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综合行政执法局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2026年，我单位部门预算1190.19万元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度部门整体支出预算1190.19万元。年度总体工作目标，2026年主要工作任务是加强文化市场、市场监督管理、城市管理、农业方面、交通运政几方面的安全生产检查。综合管理方面做好统筹安排工作及办公室后勤保障工作，政策法规方面加强案件办理的合规性合法性。确保各领域运行秩序。年度绩效指标设置情况：细化指标2个，包括产出指标、效益指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本单位无重点项目。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334</Words>
  <Characters>358</Characters>
  <Lines>22</Lines>
  <Paragraphs>8</Paragraphs>
  <CharactersWithSpaces>359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2026-03-19T03:56:40Z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eyJoZGlkIjoiOThkM2UyYWRmOWJhMmZmNDNkNmNmZjAwNzFmY2MyMWYiLCJ1c2VySWQiOiIzNjM2MjE3NTMifQ==</vt:lpwstr>
  </property>
  <property fmtid="{D5CDD505-2E9C-101B-9397-08002B2CF9AE}" pid="4" name="ICV">
    <vt:lpwstr>7EA82A82FDED4AF7AA0027BAEA23AD3C_12</vt:lpwstr>
  </property>
</Properties>
</file>