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cs="方正小标宋简体"/>
          <w:sz w:val="72"/>
          <w:szCs w:val="72"/>
        </w:rPr>
      </w:pPr>
      <w:bookmarkStart w:id="0" w:name="_Toc11654"/>
      <w:r>
        <w:rPr>
          <w:rFonts w:ascii="方正小标宋简体" w:eastAsia="方正小标宋简体" w:cs="方正小标宋简体" w:hint="eastAsia"/>
          <w:sz w:val="72"/>
          <w:szCs w:val="72"/>
        </w:rPr>
        <w:t>202</w:t>
      </w:r>
      <w:r>
        <w:rPr>
          <w:rFonts w:ascii="方正小标宋简体" w:eastAsia="方正小标宋简体" w:cs="方正小标宋简体" w:hint="eastAsia"/>
          <w:sz w:val="72"/>
          <w:szCs w:val="72"/>
          <w:lang w:val="en-US" w:eastAsia="zh-CN"/>
        </w:rPr>
        <w:t>4</w:t>
      </w:r>
      <w:r>
        <w:rPr>
          <w:rFonts w:ascii="方正小标宋简体" w:eastAsia="方正小标宋简体" w:cs="方正小标宋简体" w:hint="eastAsia"/>
          <w:sz w:val="72"/>
          <w:szCs w:val="72"/>
        </w:rPr>
        <w:t>年度</w:t>
      </w:r>
      <w:bookmarkEnd w:id="0"/>
    </w:p>
    <w:p>
      <w:pPr>
        <w:adjustRightInd w:val="0"/>
        <w:snapToGrid w:val="0"/>
        <w:spacing w:line="360" w:lineRule="auto"/>
        <w:jc w:val="center"/>
        <w:outlineLvl w:val="0"/>
      </w:pPr>
      <w:bookmarkStart w:id="1" w:name="_Toc15377426"/>
      <w:bookmarkStart w:id="2" w:name="_Toc15396476"/>
      <w:bookmarkStart w:id="3" w:name="_Toc15377194"/>
      <w:bookmarkStart w:id="4" w:name="_Toc15396598"/>
      <w:bookmarkStart w:id="5" w:name="_Toc21168"/>
      <w:bookmarkStart w:id="6" w:name="_Toc15378442"/>
      <w:r>
        <w:rPr>
          <w:rFonts w:ascii="方正小标宋简体" w:eastAsia="方正小标宋简体" w:cs="方正小标宋简体" w:hint="eastAsia"/>
          <w:sz w:val="72"/>
          <w:szCs w:val="72"/>
        </w:rPr>
        <w:t>四川省</w:t>
      </w:r>
      <w:bookmarkStart w:id="7" w:name="_Toc15306268"/>
      <w:r>
        <w:rPr>
          <w:rFonts w:ascii="方正小标宋简体" w:eastAsia="方正小标宋简体" w:cs="方正小标宋简体" w:hint="eastAsia"/>
          <w:sz w:val="72"/>
          <w:szCs w:val="72"/>
          <w:lang w:eastAsia="zh-CN"/>
        </w:rPr>
        <w:t>阿坝州金川县综合行政执法局</w:t>
      </w:r>
      <w:r>
        <w:rPr>
          <w:rFonts w:ascii="方正小标宋简体" w:eastAsia="方正小标宋简体" w:cs="方正小标宋简体" w:hint="eastAsia"/>
          <w:sz w:val="72"/>
          <w:szCs w:val="72"/>
        </w:rPr>
        <w:t>部门决算</w:t>
      </w:r>
      <w:bookmarkEnd w:id="1"/>
      <w:bookmarkEnd w:id="2"/>
      <w:bookmarkEnd w:id="3"/>
      <w:bookmarkEnd w:id="4"/>
      <w:bookmarkEnd w:id="5"/>
      <w:bookmarkEnd w:id="6"/>
      <w:bookmarkEnd w:id="7"/>
    </w:p>
    <w:p/>
    <w:p>
      <w:pPr>
        <w:widowControl/>
        <w:spacing w:line="440" w:lineRule="exact"/>
        <w:jc w:val="left"/>
        <w:rPr>
          <w:rFonts w:ascii="仿宋" w:eastAsia="仿宋"/>
          <w:b/>
          <w:sz w:val="24"/>
        </w:rPr>
      </w:pPr>
      <w:bookmarkStart w:id="8" w:name="_Toc15396599"/>
      <w:bookmarkStart w:id="9" w:name="_Toc15377196"/>
      <w:r>
        <w:rPr>
          <w:rFonts w:ascii="仿宋" w:eastAsia="仿宋"/>
          <w:b/>
          <w:sz w:val="24"/>
        </w:rPr>
        <w:br w:type="page"/>
      </w:r>
    </w:p>
    <w:sdt>
      <w:sdtPr>
        <w:rPr>
          <w:rFonts w:ascii="黑体" w:eastAsia="黑体" w:cs="黑体" w:hint="eastAsia"/>
          <w:kern w:val="2"/>
          <w:sz w:val="48"/>
          <w:szCs w:val="48"/>
          <w:lang w:val="en-US" w:eastAsia="zh-CN" w:bidi="ar-SA"/>
        </w:rPr>
        <w:id w:val="1973349398"/>
        <w15:color w:val="DBDBDB"/>
        <w:docPartObj>
          <w:docPartGallery w:val="Table of Contents"/>
          <w:docPartUnique/>
        </w:docPartObj>
      </w:sdtPr>
      <w:sdtEndPr>
        <w:rPr>
          <w:rFonts w:ascii="Arial" w:cs="Times New Roman" w:hAnsi="Arial"/>
          <w:b/>
          <w:sz w:val="24"/>
          <w:szCs w:val="28"/>
        </w:rPr>
      </w:sdtEndPr>
      <w:sdtContent>
        <w:p>
          <w:pPr>
            <w:spacing w:before="0" w:after="0" w:line="240" w:lineRule="auto"/>
            <w:ind w:left="0" w:right="0" w:firstLine="0"/>
            <w:jc w:val="center"/>
            <w:rPr>
              <w:rFonts w:ascii="黑体" w:eastAsia="黑体" w:cs="黑体" w:hint="eastAsia"/>
              <w:kern w:val="2"/>
              <w:sz w:val="48"/>
              <w:szCs w:val="48"/>
              <w:lang w:val="en-US" w:eastAsia="zh-CN" w:bidi="ar-SA"/>
            </w:rPr>
          </w:pPr>
          <w:r>
            <w:rPr>
              <w:rFonts w:ascii="黑体" w:eastAsia="黑体" w:cs="黑体" w:hint="eastAsia"/>
              <w:kern w:val="2"/>
              <w:sz w:val="48"/>
              <w:szCs w:val="48"/>
              <w:lang w:val="en-US" w:eastAsia="zh-CN" w:bidi="ar-SA"/>
            </w:rPr>
            <w:t>目录</w:t>
          </w:r>
        </w:p>
        <w:p>
          <w:pPr>
            <w:spacing w:before="0" w:after="0" w:line="240" w:lineRule="auto"/>
            <w:ind w:left="0" w:right="0" w:firstLine="0"/>
            <w:jc w:val="center"/>
            <w:rPr>
              <w:rFonts w:ascii="黑体" w:eastAsia="黑体" w:cs="黑体" w:hint="eastAsia"/>
              <w:kern w:val="2"/>
              <w:sz w:val="44"/>
              <w:szCs w:val="44"/>
              <w:lang w:val="en-US" w:eastAsia="zh-CN" w:bidi="ar-SA"/>
            </w:rPr>
          </w:pPr>
        </w:p>
        <w:p>
          <w:pPr>
            <w:spacing w:before="0" w:after="0" w:line="240" w:lineRule="auto"/>
            <w:ind w:left="0" w:right="0" w:firstLine="0"/>
            <w:jc w:val="center"/>
            <w:rPr>
              <w:rFonts w:ascii="方正大标宋_GBK" w:eastAsia="方正大标宋_GBK" w:cs="方正大标宋_GBK" w:hint="eastAsia"/>
              <w:sz w:val="28"/>
              <w:szCs w:val="28"/>
            </w:rPr>
          </w:pPr>
          <w:r>
            <w:fldChar w:fldCharType="begin"/>
          </w:r>
          <w:r>
            <w:instrText xml:space="preserve">TOC \o "1-3" \h \u </w:instrText>
          </w:r>
          <w:r>
            <w:fldChar w:fldCharType="separate"/>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_Toc11654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202</w:t>
          </w:r>
          <w:r>
            <w:rPr>
              <w:rFonts w:ascii="方正大标宋_GBK" w:eastAsia="方正大标宋_GBK" w:cs="方正大标宋_GBK" w:hint="eastAsia"/>
              <w:sz w:val="28"/>
              <w:szCs w:val="28"/>
              <w:lang w:val="en-US" w:eastAsia="zh-CN"/>
            </w:rPr>
            <w:t>4</w:t>
          </w:r>
          <w:r>
            <w:rPr>
              <w:rFonts w:ascii="方正大标宋_GBK" w:eastAsia="方正大标宋_GBK" w:cs="方正大标宋_GBK" w:hint="eastAsia"/>
              <w:sz w:val="28"/>
              <w:szCs w:val="28"/>
            </w:rPr>
            <w:t>年度</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_Toc21168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四川省</w:t>
          </w:r>
          <w:r>
            <w:rPr>
              <w:rFonts w:ascii="方正大标宋_GBK" w:eastAsia="方正大标宋_GBK" w:cs="方正大标宋_GBK" w:hint="eastAsia"/>
              <w:sz w:val="28"/>
              <w:szCs w:val="28"/>
              <w:lang w:eastAsia="zh-CN"/>
            </w:rPr>
            <w:t>阿坝州金川县综合行政执法局</w:t>
          </w:r>
          <w:r>
            <w:rPr>
              <w:rFonts w:ascii="方正大标宋_GBK" w:eastAsia="方正大标宋_GBK" w:cs="方正大标宋_GBK" w:hint="eastAsia"/>
              <w:sz w:val="28"/>
              <w:szCs w:val="28"/>
            </w:rPr>
            <w:t>部门决算</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_Toc21168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_Toc8049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第一部分 部门概况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_Toc8049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4</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_Toc17827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val="en-US" w:eastAsia="zh-CN"/>
            </w:rPr>
            <w:t>一、部门职责</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_Toc17827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4</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_Toc10782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二、机</w:t>
          </w:r>
          <w:r>
            <w:rPr>
              <w:rFonts w:ascii="方正大标宋_GBK" w:eastAsia="方正大标宋_GBK" w:cs="方正大标宋_GBK" w:hint="eastAsia"/>
              <w:bCs w:val="0"/>
              <w:sz w:val="28"/>
              <w:szCs w:val="28"/>
            </w:rPr>
            <w:t>构设置</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_Toc10782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6</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jc w:val="both"/>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_Toc24014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第二部分 202</w:t>
          </w:r>
          <w:r>
            <w:rPr>
              <w:rFonts w:ascii="方正大标宋_GBK" w:eastAsia="方正大标宋_GBK" w:cs="方正大标宋_GBK" w:hint="eastAsia"/>
              <w:sz w:val="28"/>
              <w:szCs w:val="28"/>
              <w:lang w:val="en-US" w:eastAsia="zh-CN"/>
            </w:rPr>
            <w:t>4</w:t>
          </w:r>
          <w:r>
            <w:rPr>
              <w:rFonts w:ascii="方正大标宋_GBK" w:eastAsia="方正大标宋_GBK" w:cs="方正大标宋_GBK" w:hint="eastAsia"/>
              <w:sz w:val="28"/>
              <w:szCs w:val="28"/>
            </w:rPr>
            <w:t>年度</w:t>
          </w:r>
          <w:r>
            <w:rPr>
              <w:rFonts w:ascii="方正大标宋_GBK" w:eastAsia="方正大标宋_GBK" w:cs="方正大标宋_GBK" w:hint="eastAsia"/>
              <w:bCs/>
              <w:sz w:val="28"/>
              <w:szCs w:val="28"/>
            </w:rPr>
            <w:t>部门决算情况说明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_Toc24014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7</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_Toc13415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eastAsia="zh-CN"/>
            </w:rPr>
            <w:t>一、</w:t>
          </w:r>
          <w:r>
            <w:rPr>
              <w:rFonts w:ascii="方正大标宋_GBK" w:eastAsia="方正大标宋_GBK" w:cs="方正大标宋_GBK" w:hint="eastAsia"/>
              <w:sz w:val="28"/>
              <w:szCs w:val="28"/>
            </w:rPr>
            <w:t>收入支出决算总体情况说明</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_Toc13415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7</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_Toc1823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eastAsia="zh-CN"/>
            </w:rPr>
            <w:t>二、收入决算情况说明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_Toc1823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7</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_Toc20364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eastAsia="zh-CN"/>
            </w:rPr>
            <w:t>三、支出决算情况说明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_Toc20364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8</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_Toc3906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eastAsia="zh-CN"/>
            </w:rPr>
            <w:t>四、财政拨款收入支出决算总体情况说明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_Toc3906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9</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_Toc11755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lang w:eastAsia="zh-CN"/>
            </w:rPr>
            <w:t>五、一般公共预算财政拨款支出决算情况说明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_Toc11755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9</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_Toc15923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（一）一般公共预算财政拨款支出决算总体情况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_Toc15923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10</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_Toc20680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（二）一般公共预算财政拨款支出决算结构情况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_Toc20680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10</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_Toc13538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（三）一般公共预算财政拨款支出决算具体情况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_Toc13538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11</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_Toc16664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bCs/>
              <w:kern w:val="2"/>
              <w:sz w:val="28"/>
              <w:szCs w:val="28"/>
              <w:lang w:val="en-US" w:eastAsia="zh-CN" w:bidi="ar-SA"/>
            </w:rPr>
            <w:t>六、一般公共预算财政拨款基本支出决算情况说明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_Toc16664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12</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_Toc9195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bCs/>
              <w:kern w:val="2"/>
              <w:sz w:val="28"/>
              <w:szCs w:val="28"/>
              <w:lang w:val="en-US" w:eastAsia="zh-CN" w:bidi="ar-SA"/>
            </w:rPr>
            <w:t>七、财政拨款“三公”经费支出决算情况说明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_Toc9195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13</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_Toc8399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（一）“三公”经费财政拨款支出决算总体情况说明</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_Toc8399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13</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_Toc6079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（二）“三公”经费财政拨款支出决算具体情况说明</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_Toc6079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13</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_Toc22032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bCs/>
              <w:kern w:val="2"/>
              <w:sz w:val="28"/>
              <w:szCs w:val="28"/>
              <w:lang w:val="en-US" w:eastAsia="zh-CN" w:bidi="ar-SA"/>
            </w:rPr>
            <w:t>八、政府性基金预算支出决算情况说明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_Toc22032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_Toc7716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bCs/>
              <w:kern w:val="2"/>
              <w:sz w:val="28"/>
              <w:szCs w:val="28"/>
              <w:lang w:val="en-US" w:eastAsia="zh-CN" w:bidi="ar-SA"/>
            </w:rPr>
            <w:t>九、国有资本经营预算支出决算情况说明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_Toc7716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_Toc26731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bCs/>
              <w:kern w:val="2"/>
              <w:sz w:val="28"/>
              <w:szCs w:val="28"/>
              <w:lang w:val="en-US" w:eastAsia="zh-CN" w:bidi="ar-SA"/>
            </w:rPr>
            <w:t>十、其他重要事项的情况说明</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_Toc26731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_Toc2528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（一）机关运行经费支出情况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_Toc2528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_Toc5727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（二）政府采购支出情况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_Toc5727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_Toc22120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（三）国有资产占有使用情况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_Toc22120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7"/>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_Toc19853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（四）预算绩效管理情况</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_Toc19853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15</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_Toc23661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第三部分 名词解释</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_Toc23661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16</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_Toc32006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第四部分 附件</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_Toc32006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20</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_Toc19389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20</w:t>
          </w:r>
          <w:r>
            <w:rPr>
              <w:rFonts w:ascii="方正大标宋_GBK" w:eastAsia="方正大标宋_GBK" w:cs="方正大标宋_GBK" w:hint="eastAsia"/>
              <w:sz w:val="28"/>
              <w:szCs w:val="28"/>
              <w:lang w:val="en-US" w:eastAsia="zh-CN"/>
            </w:rPr>
            <w:t>24</w:t>
          </w:r>
          <w:r>
            <w:rPr>
              <w:rFonts w:ascii="方正大标宋_GBK" w:eastAsia="方正大标宋_GBK" w:cs="方正大标宋_GBK" w:hint="eastAsia"/>
              <w:sz w:val="28"/>
              <w:szCs w:val="28"/>
            </w:rPr>
            <w:t>年部门</w:t>
          </w:r>
          <w:r>
            <w:rPr>
              <w:rFonts w:ascii="方正大标宋_GBK" w:eastAsia="方正大标宋_GBK" w:cs="方正大标宋_GBK" w:hint="eastAsia"/>
              <w:sz w:val="28"/>
              <w:szCs w:val="28"/>
              <w:lang w:eastAsia="zh-CN"/>
            </w:rPr>
            <w:t>预算绩效评价报告</w:t>
          </w:r>
          <w:r>
            <w:rPr>
              <w:rFonts w:ascii="方正大标宋_GBK" w:eastAsia="方正大标宋_GBK" w:cs="方正大标宋_GBK" w:hint="eastAsia"/>
              <w:sz w:val="28"/>
              <w:szCs w:val="28"/>
            </w:rPr>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_Toc19389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20</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8"/>
            <w:tabs>
              <w:tab w:val="clear" w:pos="8296"/>
              <w:tab w:val="right" w:leader="dot" w:pos="8306"/>
            </w:tabs>
            <w:rPr>
              <w:rFonts w:ascii="方正大标宋_GBK" w:eastAsia="方正大标宋_GBK" w:cs="方正大标宋_GBK" w:hint="eastAsia"/>
              <w:sz w:val="28"/>
              <w:szCs w:val="28"/>
            </w:rPr>
          </w:pP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HYPERLINK \l _Toc23732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第五部分 附表</w:t>
            <w:tab/>
          </w:r>
          <w:r>
            <w:rPr>
              <w:rFonts w:ascii="方正大标宋_GBK" w:eastAsia="方正大标宋_GBK" w:cs="方正大标宋_GBK" w:hint="eastAsia"/>
              <w:sz w:val="28"/>
              <w:szCs w:val="28"/>
            </w:rPr>
            <w:fldChar w:fldCharType="begin"/>
          </w:r>
          <w:r>
            <w:rPr>
              <w:rFonts w:ascii="方正大标宋_GBK" w:eastAsia="方正大标宋_GBK" w:cs="方正大标宋_GBK" w:hint="eastAsia"/>
              <w:sz w:val="28"/>
              <w:szCs w:val="28"/>
            </w:rPr>
            <w:instrText xml:space="preserve"> PAGEREF _Toc23732 \h </w:instrText>
          </w:r>
          <w:r>
            <w:rPr>
              <w:rFonts w:ascii="方正大标宋_GBK" w:eastAsia="方正大标宋_GBK" w:cs="方正大标宋_GBK" w:hint="eastAsia"/>
              <w:sz w:val="28"/>
              <w:szCs w:val="28"/>
            </w:rPr>
            <w:fldChar w:fldCharType="separate"/>
          </w:r>
          <w:r>
            <w:rPr>
              <w:rFonts w:ascii="方正大标宋_GBK" w:eastAsia="方正大标宋_GBK" w:cs="方正大标宋_GBK" w:hint="eastAsia"/>
              <w:sz w:val="28"/>
              <w:szCs w:val="28"/>
            </w:rPr>
            <w:t>76</w:t>
          </w:r>
          <w:r>
            <w:rPr>
              <w:rFonts w:ascii="方正大标宋_GBK" w:eastAsia="方正大标宋_GBK" w:cs="方正大标宋_GBK" w:hint="eastAsia"/>
              <w:sz w:val="28"/>
              <w:szCs w:val="28"/>
            </w:rPr>
            <w:fldChar w:fldCharType="end"/>
          </w:r>
          <w:r>
            <w:rPr>
              <w:rFonts w:ascii="方正大标宋_GBK" w:eastAsia="方正大标宋_GBK" w:cs="方正大标宋_GBK" w:hint="eastAsia"/>
              <w:sz w:val="28"/>
              <w:szCs w:val="28"/>
            </w:rPr>
            <w:fldChar w:fldCharType="end"/>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一、收入支出决算总表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二、收入决算表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三、支出决算表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四、财政拨款收入支出决算总表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五、财政拨款支出决算明细表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六、一般公共预算财政拨款支出决算表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七、一般公共预算财政拨款支出决算明细表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八、一般公共预算财政拨款基本支出决算明细表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九、一般公共预算财政拨款项目支出决算表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十、政府性基金预算财政拨款收入支出决算表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十一、国有资本经营预算财政拨款收入支出决算表</w:t>
          </w:r>
        </w:p>
        <w:p>
          <w:pPr>
            <w:pStyle w:val="19"/>
            <w:tabs>
              <w:tab w:val="right" w:leader="dot" w:pos="8296"/>
            </w:tabs>
            <w:adjustRightInd w:val="0"/>
            <w:snapToGrid w:val="0"/>
            <w:spacing w:line="440" w:lineRule="exact"/>
            <w:jc w:val="left"/>
            <w:rPr>
              <w:rFonts w:ascii="方正大标宋_GBK" w:eastAsia="方正大标宋_GBK" w:cs="方正大标宋_GBK" w:hint="eastAsia"/>
              <w:kern w:val="2"/>
              <w:sz w:val="28"/>
              <w:szCs w:val="28"/>
              <w:lang w:val="en-US" w:eastAsia="zh-CN" w:bidi="ar-SA"/>
            </w:rPr>
          </w:pPr>
          <w:r>
            <w:rPr>
              <w:rFonts w:ascii="方正大标宋_GBK" w:eastAsia="方正大标宋_GBK" w:cs="方正大标宋_GBK" w:hint="eastAsia"/>
              <w:kern w:val="2"/>
              <w:sz w:val="28"/>
              <w:szCs w:val="28"/>
              <w:lang w:val="en-US" w:eastAsia="zh-CN" w:bidi="ar-SA"/>
            </w:rPr>
            <w:t>十二、国有资本经营预算财政拨款支出决算表</w:t>
          </w:r>
        </w:p>
        <w:p>
          <w:pPr>
            <w:pStyle w:val="19"/>
            <w:tabs>
              <w:tab w:val="right" w:leader="dot" w:pos="8296"/>
            </w:tabs>
            <w:adjustRightInd w:val="0"/>
            <w:snapToGrid w:val="0"/>
            <w:spacing w:line="440" w:lineRule="exact"/>
            <w:jc w:val="left"/>
            <w:rPr>
              <w:rFonts w:ascii="宋体" w:eastAsia="宋体" w:cs="宋体"/>
              <w:sz w:val="24"/>
            </w:rPr>
          </w:pPr>
          <w:r>
            <w:rPr>
              <w:rFonts w:ascii="方正大标宋_GBK" w:eastAsia="方正大标宋_GBK" w:cs="方正大标宋_GBK" w:hint="eastAsia"/>
              <w:kern w:val="2"/>
              <w:sz w:val="28"/>
              <w:szCs w:val="28"/>
              <w:lang w:val="en-US" w:eastAsia="zh-CN" w:bidi="ar-SA"/>
            </w:rPr>
            <w:t>十三、财政拨款“三公”经费支出决算表</w:t>
          </w:r>
        </w:p>
        <w:p/>
        <w:p>
          <w:pPr>
            <w:pStyle w:val="21"/>
          </w:pPr>
          <w:r>
            <w:fldChar w:fldCharType="end"/>
          </w:r>
        </w:p>
      </w:sdtContent>
    </w:sdt>
    <w:p>
      <w:pPr>
        <w:pStyle w:val="1"/>
        <w:bidi w:val="0"/>
        <w:ind w:firstLineChars="500" w:firstLine="2200"/>
      </w:pPr>
      <w:bookmarkStart w:id="10" w:name="_Toc8049"/>
      <w:r>
        <w:rPr>
          <w:rFonts w:hint="eastAsia"/>
        </w:rPr>
        <w:t>第一部分 部门概况</w:t>
      </w:r>
      <w:bookmarkEnd w:id="8"/>
      <w:bookmarkEnd w:id="9"/>
      <w:bookmarkEnd w:id="10"/>
    </w:p>
    <w:p>
      <w:pPr>
        <w:pStyle w:val="2"/>
        <w:bidi w:val="0"/>
        <w:rPr>
          <w:rFonts w:hint="eastAsia"/>
          <w:lang w:val="en-US" w:eastAsia="zh-CN"/>
        </w:rPr>
      </w:pPr>
      <w:bookmarkStart w:id="11" w:name="_Toc17827"/>
      <w:r>
        <w:rPr>
          <w:rFonts w:hint="eastAsia"/>
          <w:lang w:val="en-US" w:eastAsia="zh-CN"/>
        </w:rPr>
        <w:t>一、部门职责</w:t>
      </w:r>
      <w:bookmarkEnd w:id="11"/>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rPr>
        <w:t>4.履行党要管党、从严治党责任，加强对本单位党的建设的领导，落实党建工作责任制。认真履行党风廉政建设主体责任，支持纪检监察机构履行监督责任。</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5.</w:t>
      </w:r>
      <w:r>
        <w:rPr>
          <w:rFonts w:ascii="仿宋_GB2312" w:eastAsia="仿宋_GB2312" w:cs="仿宋_GB2312" w:hint="eastAsia"/>
          <w:b w:val="0"/>
          <w:bCs w:val="0"/>
          <w:color w:val="auto"/>
          <w:kern w:val="0"/>
          <w:sz w:val="32"/>
          <w:szCs w:val="32"/>
        </w:rPr>
        <w:t>宣传贯彻执行国家和省、州、县有关综合行政执法的政策法规；组织起草有关综合行政执法的规范性文件。</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6.</w:t>
      </w:r>
      <w:r>
        <w:rPr>
          <w:rFonts w:ascii="仿宋_GB2312" w:eastAsia="仿宋_GB2312" w:cs="仿宋_GB2312" w:hint="eastAsia"/>
          <w:b w:val="0"/>
          <w:bCs w:val="0"/>
          <w:color w:val="auto"/>
          <w:kern w:val="0"/>
          <w:sz w:val="32"/>
          <w:szCs w:val="32"/>
        </w:rPr>
        <w:t>负责受理违法综合行政执法方面法律、法规和规章行为的举报、投诉或部门移送的案件线索。</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jc w:val="left"/>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7.</w:t>
      </w:r>
      <w:r>
        <w:rPr>
          <w:rFonts w:ascii="仿宋_GB2312" w:eastAsia="仿宋_GB2312" w:cs="仿宋_GB2312" w:hint="eastAsia"/>
          <w:b w:val="0"/>
          <w:bCs w:val="0"/>
          <w:color w:val="auto"/>
          <w:kern w:val="0"/>
          <w:sz w:val="32"/>
          <w:szCs w:val="32"/>
        </w:rPr>
        <w:t>负责对综合行政执法的指导、协调、监督。</w:t>
      </w:r>
    </w:p>
    <w:p>
      <w:pPr>
        <w:keepNext w:val="0"/>
        <w:keepLines w:val="0"/>
        <w:pageBreakBefore w:val="0"/>
        <w:widowControl/>
        <w:suppressLineNumbers w:val="0"/>
        <w:kinsoku/>
        <w:wordWrap/>
        <w:overflowPunct/>
        <w:topLinePunct w:val="0"/>
        <w:autoSpaceDE w:val="0"/>
        <w:autoSpaceDN/>
        <w:bidi w:val="0"/>
        <w:spacing w:line="576" w:lineRule="exact"/>
        <w:ind w:left="0" w:righ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8.</w:t>
      </w:r>
      <w:r>
        <w:rPr>
          <w:rFonts w:ascii="仿宋_GB2312" w:eastAsia="仿宋_GB2312" w:cs="仿宋_GB2312" w:hint="eastAsia"/>
          <w:b w:val="0"/>
          <w:bCs w:val="0"/>
          <w:color w:val="auto"/>
          <w:kern w:val="0"/>
          <w:sz w:val="32"/>
          <w:szCs w:val="32"/>
        </w:rPr>
        <w:t>负责加强并指导做好综合行政执法队伍建设和执法人员的业务培训，组织开展涉及领域的专项、重大执法行动。</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9.</w:t>
      </w:r>
      <w:r>
        <w:rPr>
          <w:rFonts w:ascii="仿宋_GB2312" w:eastAsia="仿宋_GB2312" w:cs="仿宋_GB2312" w:hint="eastAsia"/>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10.</w:t>
      </w:r>
      <w:r>
        <w:rPr>
          <w:rFonts w:ascii="仿宋_GB2312" w:eastAsia="仿宋_GB2312" w:cs="仿宋_GB2312" w:hint="eastAsia"/>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11.</w:t>
      </w:r>
      <w:r>
        <w:rPr>
          <w:rFonts w:ascii="仿宋_GB2312" w:eastAsia="仿宋_GB2312" w:cs="仿宋_GB2312" w:hint="eastAsia"/>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12.</w:t>
      </w:r>
      <w:r>
        <w:rPr>
          <w:rFonts w:ascii="仿宋_GB2312" w:eastAsia="仿宋_GB2312" w:cs="仿宋_GB2312" w:hint="eastAsia"/>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13.</w:t>
      </w:r>
      <w:r>
        <w:rPr>
          <w:rFonts w:ascii="仿宋_GB2312" w:eastAsia="仿宋_GB2312" w:cs="仿宋_GB2312" w:hint="eastAsia"/>
          <w:b w:val="0"/>
          <w:bCs w:val="0"/>
          <w:color w:val="auto"/>
          <w:kern w:val="0"/>
          <w:sz w:val="32"/>
          <w:szCs w:val="32"/>
        </w:rPr>
        <w:t>负责承担行驶住房城乡建设领域法律规章规定的全部行政处罚。</w:t>
      </w:r>
    </w:p>
    <w:p>
      <w:pPr>
        <w:keepNext w:val="0"/>
        <w:keepLines w:val="0"/>
        <w:pageBreakBefore w:val="0"/>
        <w:widowControl/>
        <w:suppressLineNumbers w:val="0"/>
        <w:kinsoku/>
        <w:wordWrap/>
        <w:overflowPunct/>
        <w:topLinePunct w:val="0"/>
        <w:autoSpaceDE w:val="0"/>
        <w:autoSpaceDN/>
        <w:bidi w:val="0"/>
        <w:spacing w:line="576" w:lineRule="exact"/>
        <w:ind w:left="0" w:firstLineChars="200" w:firstLine="640"/>
        <w:textAlignment w:val="auto"/>
        <w:rPr>
          <w:rFonts w:ascii="仿宋_GB2312" w:eastAsia="仿宋_GB2312" w:cs="仿宋_GB2312" w:hint="eastAsia"/>
          <w:b w:val="0"/>
          <w:bCs w:val="0"/>
          <w:color w:val="auto"/>
          <w:kern w:val="0"/>
          <w:sz w:val="32"/>
          <w:szCs w:val="32"/>
        </w:rPr>
      </w:pPr>
      <w:r>
        <w:rPr>
          <w:rFonts w:ascii="仿宋_GB2312" w:eastAsia="仿宋_GB2312" w:cs="仿宋_GB2312" w:hint="eastAsia"/>
          <w:b w:val="0"/>
          <w:bCs w:val="0"/>
          <w:color w:val="auto"/>
          <w:kern w:val="0"/>
          <w:sz w:val="32"/>
          <w:szCs w:val="32"/>
          <w:lang w:val="en-US" w:eastAsia="zh-CN"/>
        </w:rPr>
        <w:t>14.</w:t>
      </w:r>
      <w:r>
        <w:rPr>
          <w:rFonts w:ascii="仿宋_GB2312" w:eastAsia="仿宋_GB2312" w:cs="仿宋_GB2312" w:hint="eastAsia"/>
          <w:b w:val="0"/>
          <w:bCs w:val="0"/>
          <w:color w:val="auto"/>
          <w:kern w:val="0"/>
          <w:sz w:val="32"/>
          <w:szCs w:val="32"/>
        </w:rPr>
        <w:t>负责承担集中</w:t>
      </w:r>
      <w:r>
        <w:rPr>
          <w:rFonts w:ascii="仿宋_GB2312" w:eastAsia="仿宋_GB2312" w:cs="仿宋_GB2312" w:hint="eastAsia"/>
          <w:b w:val="0"/>
          <w:bCs w:val="0"/>
          <w:color w:val="auto"/>
          <w:kern w:val="0"/>
          <w:sz w:val="32"/>
          <w:szCs w:val="32"/>
          <w:lang w:eastAsia="zh-CN"/>
        </w:rPr>
        <w:t>行使</w:t>
      </w:r>
      <w:r>
        <w:rPr>
          <w:rFonts w:ascii="仿宋_GB2312" w:eastAsia="仿宋_GB2312" w:cs="仿宋_GB2312" w:hint="eastAsia"/>
          <w:b w:val="0"/>
          <w:bCs w:val="0"/>
          <w:color w:val="auto"/>
          <w:kern w:val="0"/>
          <w:sz w:val="32"/>
          <w:szCs w:val="32"/>
        </w:rPr>
        <w:t>市容环境卫生管理、城市绿化管理、市政管理方面的法律、法规、规章规定的行政处罚权。</w:t>
      </w:r>
    </w:p>
    <w:p>
      <w:pPr>
        <w:pStyle w:val="22"/>
        <w:keepNext w:val="0"/>
        <w:keepLines w:val="0"/>
        <w:pageBreakBefore w:val="0"/>
        <w:widowControl/>
        <w:suppressLineNumbers w:val="0"/>
        <w:kinsoku/>
        <w:wordWrap/>
        <w:overflowPunct/>
        <w:topLinePunct w:val="0"/>
        <w:bidi w:val="0"/>
        <w:spacing w:before="0" w:beforeAutospacing="0" w:line="576" w:lineRule="exact"/>
        <w:ind w:left="0" w:firstLineChars="200" w:firstLine="640"/>
        <w:jc w:val="both"/>
        <w:textAlignment w:val="auto"/>
      </w:pPr>
      <w:r>
        <w:rPr>
          <w:rFonts w:ascii="仿宋_GB2312" w:eastAsia="仿宋_GB2312" w:cs="仿宋_GB2312" w:hint="eastAsia"/>
          <w:b w:val="0"/>
          <w:bCs w:val="0"/>
          <w:color w:val="auto"/>
          <w:kern w:val="0"/>
          <w:sz w:val="32"/>
          <w:szCs w:val="32"/>
          <w:lang w:val="en-US" w:eastAsia="zh-CN"/>
        </w:rPr>
        <w:t>15.</w:t>
      </w:r>
      <w:r>
        <w:rPr>
          <w:rFonts w:ascii="仿宋_GB2312" w:eastAsia="仿宋_GB2312" w:cs="仿宋_GB2312" w:hint="eastAsia"/>
          <w:b w:val="0"/>
          <w:bCs w:val="0"/>
          <w:color w:val="auto"/>
          <w:kern w:val="0"/>
          <w:sz w:val="32"/>
          <w:szCs w:val="32"/>
        </w:rPr>
        <w:t>承办县委、县政府交办的其他事项。</w:t>
      </w:r>
    </w:p>
    <w:p>
      <w:pPr>
        <w:pStyle w:val="2"/>
        <w:keepNext/>
        <w:keepLines/>
        <w:pageBreakBefore w:val="0"/>
        <w:widowControl w:val="0"/>
        <w:kinsoku/>
        <w:wordWrap/>
        <w:overflowPunct/>
        <w:topLinePunct w:val="0"/>
        <w:bidi w:val="0"/>
        <w:spacing w:line="576" w:lineRule="exact"/>
        <w:ind w:firstLineChars="200" w:firstLine="640"/>
        <w:textAlignment w:val="auto"/>
        <w:rPr>
          <w:rStyle w:val="2Char"/>
          <w:b w:val="0"/>
          <w:bCs w:val="0"/>
        </w:rPr>
      </w:pPr>
      <w:bookmarkStart w:id="12" w:name="_Toc15396601"/>
      <w:bookmarkStart w:id="13" w:name="_Toc15377200"/>
      <w:bookmarkStart w:id="14" w:name="_Toc10782"/>
      <w:r>
        <w:rPr>
          <w:rFonts w:ascii="黑体" w:eastAsia="黑体" w:hint="eastAsia"/>
          <w:b w:val="0"/>
        </w:rPr>
        <w:t>二、机</w:t>
      </w:r>
      <w:r>
        <w:rPr>
          <w:rStyle w:val="2Char"/>
          <w:rFonts w:ascii="黑体" w:eastAsia="黑体" w:hint="eastAsia"/>
          <w:b w:val="0"/>
          <w:bCs w:val="0"/>
        </w:rPr>
        <w:t>构设置</w:t>
      </w:r>
      <w:bookmarkEnd w:id="12"/>
      <w:bookmarkEnd w:id="13"/>
      <w:bookmarkEnd w:id="14"/>
    </w:p>
    <w:p>
      <w:pPr>
        <w:pageBreakBefore w:val="0"/>
        <w:widowControl w:val="0"/>
        <w:kinsoku/>
        <w:wordWrap/>
        <w:overflowPunct/>
        <w:topLinePunct w:val="0"/>
        <w:bidi w:val="0"/>
        <w:spacing w:line="576" w:lineRule="exact"/>
        <w:ind w:firstLineChars="200" w:firstLine="640"/>
        <w:textAlignment w:val="auto"/>
        <w:rPr>
          <w:rFonts w:ascii="仿宋_GB2312" w:eastAsia="仿宋_GB2312" w:cs="仿宋_GB2312" w:hint="eastAsia"/>
          <w:b w:val="0"/>
          <w:bCs w:val="0"/>
          <w:color w:val="auto"/>
          <w:kern w:val="0"/>
          <w:sz w:val="32"/>
          <w:szCs w:val="32"/>
          <w:lang w:val="en-US" w:eastAsia="zh-CN"/>
        </w:rPr>
      </w:pPr>
      <w:r>
        <w:rPr>
          <w:rFonts w:ascii="仿宋_GB2312" w:eastAsia="仿宋_GB2312" w:cs="仿宋_GB2312" w:hint="eastAsia"/>
          <w:b w:val="0"/>
          <w:bCs w:val="0"/>
          <w:color w:val="auto"/>
          <w:kern w:val="0"/>
          <w:sz w:val="32"/>
          <w:szCs w:val="32"/>
          <w:lang w:val="en-US" w:eastAsia="zh-CN"/>
        </w:rPr>
        <w:t>阿坝州金川县综合行政执法局下属二级预算单位3个，其中行政单位1个，参照公务员法管理的事业单位1个，其他事业单位1个。</w:t>
      </w:r>
    </w:p>
    <w:p>
      <w:pPr>
        <w:pStyle w:val="16"/>
        <w:pageBreakBefore w:val="0"/>
        <w:widowControl w:val="0"/>
        <w:kinsoku/>
        <w:wordWrap/>
        <w:overflowPunct/>
        <w:topLinePunct w:val="0"/>
        <w:bidi w:val="0"/>
        <w:adjustRightInd w:val="0"/>
        <w:snapToGrid w:val="0"/>
        <w:spacing w:beforeLines="0" w:before="93" w:line="576" w:lineRule="exact"/>
        <w:ind w:firstLineChars="200" w:firstLine="640"/>
        <w:textAlignment w:val="auto"/>
        <w:rPr>
          <w:rFonts w:ascii="仿宋_GB2312" w:eastAsia="仿宋_GB2312" w:cs="仿宋_GB2312" w:hint="eastAsia"/>
          <w:b w:val="0"/>
          <w:bCs w:val="0"/>
          <w:color w:val="auto"/>
          <w:kern w:val="0"/>
          <w:sz w:val="32"/>
          <w:szCs w:val="32"/>
          <w:lang w:val="en-US" w:eastAsia="zh-CN"/>
        </w:rPr>
      </w:pPr>
      <w:r>
        <w:rPr>
          <w:rFonts w:ascii="仿宋_GB2312" w:eastAsia="仿宋_GB2312" w:cs="仿宋_GB2312" w:hint="eastAsia"/>
          <w:b w:val="0"/>
          <w:bCs w:val="0"/>
          <w:color w:val="auto"/>
          <w:kern w:val="0"/>
          <w:sz w:val="32"/>
          <w:szCs w:val="32"/>
          <w:lang w:val="en-US" w:eastAsia="zh-CN"/>
        </w:rPr>
        <w:t>纳入阿坝州金川县综合行政执法局202</w:t>
      </w:r>
      <w:r>
        <w:rPr>
          <w:rFonts w:cs="仿宋_GB2312" w:hint="eastAsia"/>
          <w:b w:val="0"/>
          <w:bCs w:val="0"/>
          <w:color w:val="auto"/>
          <w:kern w:val="0"/>
          <w:sz w:val="32"/>
          <w:szCs w:val="32"/>
          <w:lang w:val="en-US" w:eastAsia="zh-CN"/>
        </w:rPr>
        <w:t>4</w:t>
      </w:r>
      <w:r>
        <w:rPr>
          <w:rFonts w:ascii="仿宋_GB2312" w:eastAsia="仿宋_GB2312" w:cs="仿宋_GB2312" w:hint="eastAsia"/>
          <w:b w:val="0"/>
          <w:bCs w:val="0"/>
          <w:color w:val="auto"/>
          <w:kern w:val="0"/>
          <w:sz w:val="32"/>
          <w:szCs w:val="32"/>
          <w:lang w:val="en-US" w:eastAsia="zh-CN"/>
        </w:rPr>
        <w:t>年度部门决算编制范围的二级预算单位包括：</w:t>
      </w:r>
    </w:p>
    <w:p>
      <w:pPr>
        <w:pStyle w:val="16"/>
        <w:pageBreakBefore w:val="0"/>
        <w:widowControl w:val="0"/>
        <w:numPr>
          <w:ilvl w:val="0"/>
          <w:numId w:val="1"/>
        </w:numPr>
        <w:kinsoku/>
        <w:wordWrap/>
        <w:overflowPunct/>
        <w:topLinePunct w:val="0"/>
        <w:bidi w:val="0"/>
        <w:adjustRightInd w:val="0"/>
        <w:snapToGrid w:val="0"/>
        <w:spacing w:beforeLines="0" w:before="93" w:line="576" w:lineRule="exact"/>
        <w:ind w:leftChars="200" w:left="420"/>
        <w:textAlignment w:val="auto"/>
        <w:outlineLvl w:val="2"/>
        <w:rPr>
          <w:rFonts w:ascii="仿宋_GB2312" w:eastAsia="仿宋_GB2312" w:cs="仿宋_GB2312" w:hint="eastAsia"/>
          <w:b w:val="0"/>
          <w:bCs w:val="0"/>
          <w:color w:val="auto"/>
          <w:kern w:val="0"/>
          <w:sz w:val="32"/>
          <w:szCs w:val="32"/>
          <w:lang w:val="en-US" w:eastAsia="zh-CN"/>
        </w:rPr>
      </w:pPr>
      <w:bookmarkStart w:id="15" w:name="_Toc16934"/>
      <w:r>
        <w:rPr>
          <w:rFonts w:ascii="仿宋_GB2312" w:eastAsia="仿宋_GB2312" w:cs="仿宋_GB2312" w:hint="eastAsia"/>
          <w:b w:val="0"/>
          <w:bCs w:val="0"/>
          <w:color w:val="auto"/>
          <w:kern w:val="0"/>
          <w:sz w:val="32"/>
          <w:szCs w:val="32"/>
          <w:lang w:val="en-US" w:eastAsia="zh-CN"/>
        </w:rPr>
        <w:t>178001金川县综合行政执法局</w:t>
      </w:r>
      <w:bookmarkEnd w:id="15"/>
    </w:p>
    <w:p>
      <w:pPr>
        <w:pStyle w:val="16"/>
        <w:pageBreakBefore w:val="0"/>
        <w:widowControl w:val="0"/>
        <w:numPr>
          <w:ilvl w:val="0"/>
          <w:numId w:val="1"/>
        </w:numPr>
        <w:kinsoku/>
        <w:wordWrap/>
        <w:overflowPunct/>
        <w:topLinePunct w:val="0"/>
        <w:bidi w:val="0"/>
        <w:adjustRightInd w:val="0"/>
        <w:snapToGrid w:val="0"/>
        <w:spacing w:beforeLines="0" w:before="93" w:line="576" w:lineRule="exact"/>
        <w:ind w:leftChars="200" w:left="420" w:firstLine="0"/>
        <w:textAlignment w:val="auto"/>
        <w:outlineLvl w:val="2"/>
        <w:rPr>
          <w:rFonts w:ascii="仿宋_GB2312" w:eastAsia="仿宋_GB2312" w:cs="仿宋_GB2312" w:hint="eastAsia"/>
          <w:b w:val="0"/>
          <w:bCs w:val="0"/>
          <w:color w:val="auto"/>
          <w:kern w:val="0"/>
          <w:sz w:val="32"/>
          <w:szCs w:val="32"/>
          <w:lang w:val="en-US" w:eastAsia="zh-CN"/>
        </w:rPr>
      </w:pPr>
      <w:bookmarkStart w:id="16" w:name="_Toc2454"/>
      <w:r>
        <w:rPr>
          <w:rFonts w:ascii="仿宋_GB2312" w:eastAsia="仿宋_GB2312" w:cs="仿宋_GB2312" w:hint="eastAsia"/>
          <w:b w:val="0"/>
          <w:bCs w:val="0"/>
          <w:color w:val="auto"/>
          <w:kern w:val="0"/>
          <w:sz w:val="32"/>
          <w:szCs w:val="32"/>
          <w:lang w:val="en-US" w:eastAsia="zh-CN"/>
        </w:rPr>
        <w:t>178002金川县市场监管综合行政执法中队</w:t>
      </w:r>
      <w:bookmarkEnd w:id="16"/>
    </w:p>
    <w:p>
      <w:pPr>
        <w:pStyle w:val="16"/>
        <w:pageBreakBefore w:val="0"/>
        <w:widowControl w:val="0"/>
        <w:numPr>
          <w:ilvl w:val="0"/>
          <w:numId w:val="1"/>
        </w:numPr>
        <w:kinsoku/>
        <w:wordWrap/>
        <w:overflowPunct/>
        <w:topLinePunct w:val="0"/>
        <w:bidi w:val="0"/>
        <w:adjustRightInd w:val="0"/>
        <w:snapToGrid w:val="0"/>
        <w:spacing w:beforeLines="0" w:before="93" w:line="576" w:lineRule="exact"/>
        <w:ind w:leftChars="200" w:left="420" w:firstLine="0"/>
        <w:textAlignment w:val="auto"/>
        <w:outlineLvl w:val="2"/>
        <w:rPr>
          <w:rFonts w:ascii="仿宋_GB2312" w:eastAsia="仿宋_GB2312" w:cs="仿宋_GB2312" w:hint="eastAsia"/>
          <w:b w:val="0"/>
          <w:bCs w:val="0"/>
          <w:color w:val="auto"/>
          <w:kern w:val="0"/>
          <w:sz w:val="32"/>
          <w:szCs w:val="32"/>
          <w:lang w:val="en-US" w:eastAsia="zh-CN"/>
        </w:rPr>
      </w:pPr>
      <w:bookmarkStart w:id="17" w:name="_Toc9432"/>
      <w:r>
        <w:rPr>
          <w:rFonts w:ascii="仿宋_GB2312" w:eastAsia="仿宋_GB2312" w:cs="仿宋_GB2312" w:hint="eastAsia"/>
          <w:b w:val="0"/>
          <w:bCs w:val="0"/>
          <w:color w:val="auto"/>
          <w:kern w:val="0"/>
          <w:sz w:val="32"/>
          <w:szCs w:val="32"/>
          <w:lang w:val="en-US" w:eastAsia="zh-CN"/>
        </w:rPr>
        <w:t>178003金川县行政执法综合服务中心</w:t>
      </w:r>
      <w:bookmarkEnd w:id="17"/>
    </w:p>
    <w:p>
      <w:pPr>
        <w:pStyle w:val="16"/>
        <w:pageBreakBefore w:val="0"/>
        <w:widowControl w:val="0"/>
        <w:kinsoku/>
        <w:wordWrap/>
        <w:overflowPunct/>
        <w:topLinePunct w:val="0"/>
        <w:bidi w:val="0"/>
        <w:adjustRightInd w:val="0"/>
        <w:snapToGrid w:val="0"/>
        <w:spacing w:beforeLines="0" w:before="93" w:line="576" w:lineRule="exact"/>
        <w:ind w:firstLineChars="200" w:firstLine="640"/>
        <w:textAlignment w:val="auto"/>
        <w:rPr>
          <w:rFonts w:ascii="仿宋_GB2312" w:eastAsia="仿宋_GB2312" w:cs="仿宋_GB2312" w:hint="eastAsia"/>
          <w:b w:val="0"/>
          <w:bCs w:val="0"/>
          <w:color w:val="auto"/>
          <w:kern w:val="0"/>
          <w:sz w:val="32"/>
          <w:szCs w:val="32"/>
          <w:lang w:val="en-US" w:eastAsia="zh-CN"/>
        </w:rPr>
      </w:pPr>
    </w:p>
    <w:p>
      <w:pPr>
        <w:pageBreakBefore w:val="0"/>
        <w:widowControl/>
        <w:kinsoku/>
        <w:wordWrap/>
        <w:overflowPunct/>
        <w:topLinePunct w:val="0"/>
        <w:bidi w:val="0"/>
        <w:spacing w:line="576" w:lineRule="exact"/>
        <w:ind w:firstLineChars="200" w:firstLine="640"/>
        <w:jc w:val="left"/>
        <w:textAlignment w:val="auto"/>
        <w:rPr>
          <w:rFonts w:ascii="仿宋" w:eastAsia="仿宋"/>
          <w:kern w:val="0"/>
          <w:sz w:val="32"/>
          <w:szCs w:val="32"/>
        </w:rPr>
      </w:pPr>
      <w:r>
        <w:rPr>
          <w:rFonts w:ascii="仿宋" w:eastAsia="仿宋"/>
          <w:sz w:val="32"/>
          <w:szCs w:val="32"/>
        </w:rPr>
        <w:br w:type="page"/>
      </w:r>
    </w:p>
    <w:p>
      <w:pPr>
        <w:pStyle w:val="1"/>
        <w:keepNext/>
        <w:keepLines/>
        <w:pageBreakBefore w:val="0"/>
        <w:widowControl w:val="0"/>
        <w:kinsoku/>
        <w:wordWrap/>
        <w:overflowPunct/>
        <w:topLinePunct w:val="0"/>
        <w:bidi w:val="0"/>
        <w:spacing w:line="576" w:lineRule="exact"/>
        <w:ind w:right="440"/>
        <w:jc w:val="both"/>
        <w:textAlignment w:val="auto"/>
        <w:rPr>
          <w:rStyle w:val="1Char"/>
          <w:rFonts w:ascii="黑体" w:eastAsia="黑体"/>
          <w:b w:val="0"/>
          <w:bCs/>
        </w:rPr>
      </w:pPr>
      <w:bookmarkStart w:id="18" w:name="_Toc15396602"/>
      <w:bookmarkStart w:id="19" w:name="_Toc24014"/>
      <w:bookmarkStart w:id="20" w:name="_Toc15377204"/>
      <w:r>
        <w:rPr>
          <w:rFonts w:ascii="黑体" w:eastAsia="黑体" w:hint="eastAsia"/>
          <w:b w:val="0"/>
        </w:rPr>
        <w:t>第二部分 202</w:t>
      </w:r>
      <w:r>
        <w:rPr>
          <w:rFonts w:ascii="黑体" w:eastAsia="黑体" w:hint="eastAsia"/>
          <w:b w:val="0"/>
          <w:lang w:val="en-US" w:eastAsia="zh-CN"/>
        </w:rPr>
        <w:t>4</w:t>
      </w:r>
      <w:r>
        <w:rPr>
          <w:rFonts w:ascii="黑体" w:eastAsia="黑体" w:hint="eastAsia"/>
          <w:b w:val="0"/>
        </w:rPr>
        <w:t>年度</w:t>
      </w:r>
      <w:r>
        <w:rPr>
          <w:rStyle w:val="1Char"/>
          <w:rFonts w:ascii="黑体" w:eastAsia="黑体" w:hint="eastAsia"/>
          <w:b w:val="0"/>
          <w:bCs/>
        </w:rPr>
        <w:t>部门决算情况说明</w:t>
      </w:r>
      <w:bookmarkEnd w:id="18"/>
      <w:bookmarkEnd w:id="19"/>
      <w:bookmarkEnd w:id="20"/>
    </w:p>
    <w:p>
      <w:pPr>
        <w:pageBreakBefore w:val="0"/>
        <w:widowControl w:val="0"/>
        <w:kinsoku/>
        <w:wordWrap/>
        <w:overflowPunct/>
        <w:topLinePunct w:val="0"/>
        <w:bidi w:val="0"/>
        <w:spacing w:line="576" w:lineRule="exact"/>
        <w:ind w:firstLineChars="200" w:firstLine="420"/>
        <w:textAlignment w:val="auto"/>
      </w:pPr>
    </w:p>
    <w:p>
      <w:pPr>
        <w:pStyle w:val="2"/>
        <w:keepNext/>
        <w:keepLines/>
        <w:pageBreakBefore w:val="0"/>
        <w:widowControl w:val="0"/>
        <w:kinsoku/>
        <w:wordWrap/>
        <w:overflowPunct/>
        <w:topLinePunct w:val="0"/>
        <w:bidi w:val="0"/>
        <w:spacing w:line="576" w:lineRule="exact"/>
        <w:ind w:firstLineChars="200" w:firstLine="640"/>
        <w:textAlignment w:val="auto"/>
        <w:rPr>
          <w:rFonts w:ascii="黑体" w:eastAsia="黑体" w:hint="eastAsia"/>
          <w:b w:val="0"/>
        </w:rPr>
      </w:pPr>
      <w:bookmarkStart w:id="21" w:name="_Toc15377205"/>
      <w:bookmarkStart w:id="22" w:name="_Toc15396603"/>
      <w:bookmarkStart w:id="23" w:name="_Toc13415"/>
      <w:r>
        <w:rPr>
          <w:rFonts w:ascii="黑体" w:eastAsia="黑体" w:hint="eastAsia"/>
          <w:b w:val="0"/>
          <w:lang w:eastAsia="zh-CN"/>
        </w:rPr>
        <w:t>一、</w:t>
      </w:r>
      <w:r>
        <w:rPr>
          <w:rFonts w:ascii="黑体" w:eastAsia="黑体" w:hint="eastAsia"/>
          <w:b w:val="0"/>
        </w:rPr>
        <w:t>收入支出决算总体情况说明</w:t>
      </w:r>
      <w:bookmarkEnd w:id="21"/>
      <w:bookmarkEnd w:id="22"/>
      <w:bookmarkEnd w:id="23"/>
    </w:p>
    <w:p>
      <w:pPr>
        <w:pageBreakBefore w:val="0"/>
        <w:widowControl w:val="0"/>
        <w:kinsoku/>
        <w:wordWrap/>
        <w:overflowPunct/>
        <w:topLinePunct w:val="0"/>
        <w:bidi w:val="0"/>
        <w:spacing w:line="576" w:lineRule="exact"/>
        <w:ind w:firstLineChars="200" w:firstLine="640"/>
        <w:jc w:val="left"/>
        <w:textAlignment w:val="auto"/>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年度收、支总计均为</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万元。与202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年度相比，收、支总计</w:t>
      </w:r>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69.22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上升</w:t>
      </w:r>
      <w:r>
        <w:rPr>
          <w:rFonts w:ascii="仿宋_GB2312" w:eastAsia="仿宋_GB2312" w:cs="仿宋_GB2312" w:hint="eastAsia"/>
          <w:sz w:val="32"/>
          <w:szCs w:val="32"/>
          <w:lang w:val="en-US" w:eastAsia="zh-CN"/>
        </w:rPr>
        <w:t>6.47</w:t>
      </w:r>
      <w:r>
        <w:rPr>
          <w:rFonts w:ascii="仿宋_GB2312" w:eastAsia="仿宋_GB2312" w:cs="仿宋_GB2312" w:hint="eastAsia"/>
          <w:sz w:val="32"/>
          <w:szCs w:val="32"/>
        </w:rPr>
        <w:t>%。主要变动原因是</w:t>
      </w:r>
      <w:r>
        <w:rPr>
          <w:rFonts w:ascii="仿宋_GB2312" w:eastAsia="仿宋_GB2312" w:cs="仿宋_GB2312" w:hint="eastAsia"/>
          <w:color w:val="000000"/>
          <w:spacing w:val="-2"/>
          <w:sz w:val="32"/>
          <w:szCs w:val="32"/>
        </w:rPr>
        <w:t>202</w:t>
      </w:r>
      <w:r>
        <w:rPr>
          <w:rFonts w:ascii="仿宋_GB2312" w:eastAsia="仿宋_GB2312" w:cs="仿宋_GB2312" w:hint="eastAsia"/>
          <w:color w:val="000000"/>
          <w:spacing w:val="-2"/>
          <w:sz w:val="32"/>
          <w:szCs w:val="32"/>
          <w:lang w:val="en-US" w:eastAsia="zh-CN"/>
        </w:rPr>
        <w:t>4</w:t>
      </w:r>
      <w:r>
        <w:rPr>
          <w:rFonts w:ascii="仿宋_GB2312" w:eastAsia="仿宋_GB2312" w:cs="仿宋_GB2312" w:hint="eastAsia"/>
          <w:color w:val="000000"/>
          <w:spacing w:val="-2"/>
          <w:sz w:val="32"/>
          <w:szCs w:val="32"/>
        </w:rPr>
        <w:t>年人员</w:t>
      </w:r>
      <w:r>
        <w:rPr>
          <w:rFonts w:ascii="仿宋_GB2312" w:eastAsia="仿宋_GB2312" w:cs="仿宋_GB2312" w:hint="eastAsia"/>
          <w:color w:val="000000"/>
          <w:spacing w:val="-2"/>
          <w:sz w:val="32"/>
          <w:szCs w:val="32"/>
          <w:lang w:eastAsia="zh-CN"/>
        </w:rPr>
        <w:t>变</w:t>
      </w:r>
      <w:r>
        <w:rPr>
          <w:rFonts w:ascii="仿宋_GB2312" w:eastAsia="仿宋_GB2312" w:cs="仿宋_GB2312" w:hint="eastAsia"/>
          <w:color w:val="000000"/>
          <w:spacing w:val="-2"/>
          <w:sz w:val="32"/>
          <w:szCs w:val="32"/>
        </w:rPr>
        <w:t>动及正常调资</w:t>
      </w:r>
      <w:r>
        <w:rPr>
          <w:rFonts w:ascii="仿宋_GB2312" w:eastAsia="仿宋_GB2312" w:cs="仿宋_GB2312" w:hint="eastAsia"/>
          <w:sz w:val="32"/>
          <w:szCs w:val="32"/>
        </w:rPr>
        <w:t>。</w:t>
      </w:r>
    </w:p>
    <w:p>
      <w:pPr>
        <w:pStyle w:val="23"/>
        <w:pageBreakBefore w:val="0"/>
        <w:widowControl w:val="0"/>
        <w:kinsoku/>
        <w:wordWrap/>
        <w:overflowPunct/>
        <w:topLinePunct w:val="0"/>
        <w:bidi w:val="0"/>
        <w:spacing w:line="576" w:lineRule="exact"/>
        <w:ind w:left="420" w:firstLineChars="200" w:firstLine="640"/>
        <w:textAlignment w:val="auto"/>
        <w:rPr>
          <w:rFonts w:ascii="仿宋" w:eastAsia="仿宋"/>
          <w:sz w:val="32"/>
          <w:szCs w:val="32"/>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78105</wp:posOffset>
            </wp:positionH>
            <wp:positionV relativeFrom="paragraph">
              <wp:posOffset>364490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2"/>
              </a:graphicData>
            </a:graphic>
          </wp:anchor>
        </w:drawing>
      </w:r>
      <w:r>
        <w:rPr>
          <w:rFonts w:ascii="仿宋" w:eastAsia="仿宋" w:hint="eastAsia"/>
          <w:sz w:val="32"/>
          <w:szCs w:val="32"/>
        </w:rPr>
        <w:t>（图</w:t>
      </w:r>
      <w:r>
        <w:rPr>
          <w:rFonts w:ascii="仿宋" w:eastAsia="仿宋"/>
          <w:sz w:val="32"/>
          <w:szCs w:val="32"/>
        </w:rPr>
        <w:t>1</w:t>
      </w:r>
      <w:r>
        <w:rPr>
          <w:rFonts w:ascii="仿宋" w:eastAsia="仿宋" w:hint="eastAsia"/>
          <w:sz w:val="32"/>
          <w:szCs w:val="32"/>
        </w:rPr>
        <w:t>：收、支决算总计变动情况图）（柱状图）</w:t>
      </w:r>
    </w:p>
    <w:p>
      <w:pPr>
        <w:pageBreakBefore w:val="0"/>
        <w:widowControl w:val="0"/>
        <w:kinsoku/>
        <w:wordWrap/>
        <w:overflowPunct/>
        <w:topLinePunct w:val="0"/>
        <w:bidi w:val="0"/>
        <w:spacing w:line="576" w:lineRule="exact"/>
        <w:ind w:firstLineChars="200" w:firstLine="640"/>
        <w:jc w:val="left"/>
        <w:textAlignment w:val="auto"/>
        <w:rPr>
          <w:rFonts w:ascii="仿宋_GB2312" w:eastAsia="仿宋_GB2312"/>
          <w:sz w:val="32"/>
          <w:szCs w:val="32"/>
        </w:rPr>
      </w:pPr>
    </w:p>
    <w:p>
      <w:pPr>
        <w:pStyle w:val="2"/>
        <w:keepNext/>
        <w:keepLines/>
        <w:pageBreakBefore w:val="0"/>
        <w:widowControl w:val="0"/>
        <w:kinsoku/>
        <w:wordWrap/>
        <w:overflowPunct/>
        <w:topLinePunct w:val="0"/>
        <w:bidi w:val="0"/>
        <w:spacing w:line="576" w:lineRule="exact"/>
        <w:ind w:firstLineChars="200" w:firstLine="640"/>
        <w:textAlignment w:val="auto"/>
        <w:rPr>
          <w:rFonts w:ascii="黑体" w:eastAsia="黑体" w:hint="eastAsia"/>
          <w:b w:val="0"/>
          <w:lang w:eastAsia="zh-CN"/>
        </w:rPr>
      </w:pPr>
      <w:bookmarkStart w:id="24" w:name="_Toc15377206"/>
      <w:bookmarkStart w:id="25" w:name="_Toc1823"/>
      <w:bookmarkStart w:id="26" w:name="_Toc15396604"/>
      <w:r>
        <w:rPr>
          <w:rFonts w:ascii="黑体" w:eastAsia="黑体" w:hint="eastAsia"/>
          <w:b w:val="0"/>
          <w:lang w:eastAsia="zh-CN"/>
        </w:rPr>
        <w:t>二、收入决算情况说明</w:t>
      </w:r>
      <w:bookmarkEnd w:id="24"/>
      <w:bookmarkEnd w:id="25"/>
      <w:bookmarkEnd w:id="26"/>
    </w:p>
    <w:p>
      <w:pPr>
        <w:pageBreakBefore w:val="0"/>
        <w:widowControl w:val="0"/>
        <w:kinsoku/>
        <w:wordWrap/>
        <w:overflowPunct/>
        <w:topLinePunct w:val="0"/>
        <w:bidi w:val="0"/>
        <w:spacing w:line="576" w:lineRule="exact"/>
        <w:ind w:firstLineChars="200" w:firstLine="640"/>
        <w:textAlignment w:val="auto"/>
        <w:outlineLvl w:val="1"/>
        <w:rPr>
          <w:rFonts w:ascii="仿宋_GB2312" w:eastAsia="仿宋_GB2312" w:cs="仿宋_GB2312" w:hint="eastAsia"/>
          <w:sz w:val="32"/>
          <w:szCs w:val="32"/>
          <w:lang w:eastAsia="zh-CN"/>
        </w:rPr>
      </w:pPr>
      <w:bookmarkStart w:id="27" w:name="_Toc15009"/>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年度本年收入合计</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万元，其中：一般公共预算财政拨款收入</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r>
        <w:rPr>
          <w:rFonts w:ascii="仿宋_GB2312" w:eastAsia="仿宋_GB2312" w:cs="仿宋_GB2312" w:hint="eastAsia"/>
          <w:sz w:val="32"/>
          <w:szCs w:val="32"/>
          <w:lang w:eastAsia="zh-CN"/>
        </w:rPr>
        <w:t>。</w:t>
      </w:r>
      <w:bookmarkEnd w:id="27"/>
    </w:p>
    <w:p>
      <w:pPr>
        <w:pStyle w:val="23"/>
        <w:pageBreakBefore w:val="0"/>
        <w:widowControl w:val="0"/>
        <w:kinsoku/>
        <w:wordWrap/>
        <w:overflowPunct/>
        <w:topLinePunct w:val="0"/>
        <w:bidi w:val="0"/>
        <w:spacing w:line="576" w:lineRule="exact"/>
        <w:ind w:left="420" w:firstLineChars="200" w:firstLine="640"/>
        <w:textAlignment w:val="auto"/>
        <w:rPr>
          <w:rFonts w:ascii="仿宋" w:eastAsia="仿宋"/>
          <w:sz w:val="32"/>
          <w:szCs w:val="32"/>
        </w:rPr>
      </w:pPr>
      <w:r>
        <w:rPr>
          <w:rFonts w:ascii="黑体" w:eastAsia="黑体" w:hint="eastAsia"/>
          <w:b w:val="0"/>
          <w:bCs w:val="0"/>
          <w:color w:val="auto"/>
          <w:sz w:val="32"/>
          <w:szCs w:val="32"/>
        </w:rPr>
        <w:drawing>
          <wp:anchor distT="0" distB="0" distL="114300" distR="114300" simplePos="0" relativeHeight="22" behindDoc="0" locked="0" layoutInCell="1" hidden="0" allowOverlap="1">
            <wp:simplePos x="0" y="0"/>
            <wp:positionH relativeFrom="column">
              <wp:posOffset>36830</wp:posOffset>
            </wp:positionH>
            <wp:positionV relativeFrom="paragraph">
              <wp:posOffset>328295</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3"/>
              </a:graphicData>
            </a:graphic>
          </wp:anchor>
        </w:drawing>
      </w:r>
      <w:r>
        <w:rPr>
          <w:rFonts w:ascii="仿宋" w:eastAsia="仿宋" w:hint="eastAsia"/>
          <w:sz w:val="32"/>
          <w:szCs w:val="32"/>
        </w:rPr>
        <w:t>（图2：收入决算结构图）（饼状图）</w:t>
      </w:r>
    </w:p>
    <w:p>
      <w:pPr>
        <w:pStyle w:val="2"/>
        <w:keepNext/>
        <w:keepLines/>
        <w:pageBreakBefore w:val="0"/>
        <w:widowControl w:val="0"/>
        <w:kinsoku/>
        <w:wordWrap/>
        <w:overflowPunct/>
        <w:topLinePunct w:val="0"/>
        <w:bidi w:val="0"/>
        <w:spacing w:line="576" w:lineRule="exact"/>
        <w:ind w:firstLineChars="200" w:firstLine="640"/>
        <w:textAlignment w:val="auto"/>
        <w:rPr>
          <w:rFonts w:ascii="黑体" w:eastAsia="黑体" w:hint="eastAsia"/>
          <w:b w:val="0"/>
          <w:lang w:eastAsia="zh-CN"/>
        </w:rPr>
      </w:pPr>
      <w:bookmarkStart w:id="28" w:name="_Toc15377207"/>
      <w:bookmarkStart w:id="29" w:name="_Toc15396605"/>
      <w:bookmarkStart w:id="30" w:name="_Toc20364"/>
      <w:r>
        <w:rPr>
          <w:rFonts w:ascii="黑体" w:eastAsia="黑体" w:hint="eastAsia"/>
          <w:b w:val="0"/>
          <w:lang w:eastAsia="zh-CN"/>
        </w:rPr>
        <w:t>三、支出决算情况说明</w:t>
      </w:r>
      <w:bookmarkEnd w:id="28"/>
      <w:bookmarkEnd w:id="29"/>
      <w:bookmarkEnd w:id="30"/>
    </w:p>
    <w:p>
      <w:pPr>
        <w:pageBreakBefore w:val="0"/>
        <w:widowControl w:val="0"/>
        <w:kinsoku/>
        <w:wordWrap/>
        <w:overflowPunct/>
        <w:topLinePunct w:val="0"/>
        <w:bidi w:val="0"/>
        <w:spacing w:line="576" w:lineRule="exact"/>
        <w:ind w:firstLineChars="200" w:firstLine="640"/>
        <w:textAlignment w:val="auto"/>
        <w:outlineLvl w:val="1"/>
        <w:rPr>
          <w:rFonts w:ascii="仿宋_GB2312" w:eastAsia="仿宋_GB2312" w:cs="仿宋_GB2312" w:hint="eastAsia"/>
          <w:sz w:val="32"/>
          <w:szCs w:val="32"/>
        </w:rPr>
      </w:pPr>
      <w:bookmarkStart w:id="31" w:name="_Toc11044"/>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年度本年支出合计</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万元，其中：基本支出</w:t>
      </w:r>
      <w:r>
        <w:rPr>
          <w:rFonts w:ascii="仿宋_GB2312" w:eastAsia="仿宋_GB2312" w:cs="仿宋_GB2312" w:hint="eastAsia"/>
          <w:sz w:val="32"/>
          <w:szCs w:val="32"/>
          <w:lang w:val="en-US" w:eastAsia="zh-CN"/>
        </w:rPr>
        <w:t>1117.49</w:t>
      </w:r>
      <w:r>
        <w:rPr>
          <w:rFonts w:ascii="仿宋_GB2312" w:eastAsia="仿宋_GB2312" w:cs="仿宋_GB2312" w:hint="eastAsia"/>
          <w:sz w:val="32"/>
          <w:szCs w:val="32"/>
        </w:rPr>
        <w:t>万元，占98.</w:t>
      </w:r>
      <w:r>
        <w:rPr>
          <w:rFonts w:ascii="仿宋_GB2312" w:eastAsia="仿宋_GB2312" w:cs="仿宋_GB2312" w:hint="eastAsia"/>
          <w:sz w:val="32"/>
          <w:szCs w:val="32"/>
          <w:lang w:val="en-US" w:eastAsia="zh-CN"/>
        </w:rPr>
        <w:t>02</w:t>
      </w:r>
      <w:r>
        <w:rPr>
          <w:rFonts w:ascii="仿宋_GB2312" w:eastAsia="仿宋_GB2312" w:cs="仿宋_GB2312" w:hint="eastAsia"/>
          <w:sz w:val="32"/>
          <w:szCs w:val="32"/>
        </w:rPr>
        <w:t>%；项目支出</w:t>
      </w:r>
      <w:r>
        <w:rPr>
          <w:rFonts w:ascii="仿宋_GB2312" w:eastAsia="仿宋_GB2312" w:cs="仿宋_GB2312" w:hint="eastAsia"/>
          <w:sz w:val="32"/>
          <w:szCs w:val="32"/>
          <w:lang w:val="en-US" w:eastAsia="zh-CN"/>
        </w:rPr>
        <w:t>22.16</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1.98</w:t>
      </w:r>
      <w:r>
        <w:rPr>
          <w:rFonts w:ascii="仿宋_GB2312" w:eastAsia="仿宋_GB2312" w:cs="仿宋_GB2312" w:hint="eastAsia"/>
          <w:sz w:val="32"/>
          <w:szCs w:val="32"/>
        </w:rPr>
        <w:t>%；上缴上级支出0万元，占0%；经营支出0万元，占0%；对附属单位补助支出0万元，占0%。</w:t>
      </w:r>
      <w:bookmarkEnd w:id="31"/>
    </w:p>
    <w:p>
      <w:pPr>
        <w:pStyle w:val="23"/>
        <w:pageBreakBefore w:val="0"/>
        <w:widowControl w:val="0"/>
        <w:kinsoku/>
        <w:wordWrap/>
        <w:overflowPunct/>
        <w:topLinePunct w:val="0"/>
        <w:bidi w:val="0"/>
        <w:spacing w:line="576" w:lineRule="exact"/>
        <w:textAlignment w:val="auto"/>
        <w:rPr>
          <w:rFonts w:ascii="仿宋" w:eastAsia="仿宋"/>
          <w:sz w:val="32"/>
          <w:szCs w:val="32"/>
        </w:rPr>
      </w:pPr>
      <w:r>
        <w:rPr>
          <w:rFonts w:ascii="黑体" w:eastAsia="黑体" w:hint="eastAsia"/>
          <w:b w:val="0"/>
          <w:bCs w:val="0"/>
          <w:color w:val="auto"/>
          <w:sz w:val="32"/>
          <w:szCs w:val="32"/>
        </w:rPr>
        <w:drawing>
          <wp:anchor distT="0" distB="0" distL="114300" distR="114300" simplePos="0" relativeHeight="30" behindDoc="0" locked="0" layoutInCell="1" hidden="0" allowOverlap="1">
            <wp:simplePos x="0" y="0"/>
            <wp:positionH relativeFrom="column">
              <wp:posOffset>194945</wp:posOffset>
            </wp:positionH>
            <wp:positionV relativeFrom="paragraph">
              <wp:posOffset>137160</wp:posOffset>
            </wp:positionV>
            <wp:extent cx="5373369" cy="2648584"/>
            <wp:effectExtent l="0" t="0" r="0" b="0"/>
            <wp:wrapTopAndBottom/>
            <wp:docPr id="3" name="图表 5"/>
            <wp:cNvGraphicFramePr>
              <a:graphicFrameLocks noChangeAspect="0"/>
            </wp:cNvGraphicFramePr>
            <a:graphic>
              <a:graphicData uri="http://schemas.openxmlformats.org/drawingml/2006/chart">
                <c:chart xmlns:c="http://schemas.openxmlformats.org/drawingml/2006/chart" r:id="rId4"/>
              </a:graphicData>
            </a:graphic>
          </wp:anchor>
        </w:drawing>
      </w:r>
      <w:r>
        <w:rPr>
          <w:rFonts w:ascii="黑体" w:eastAsia="黑体" w:hint="eastAsia"/>
          <w:b w:val="0"/>
          <w:bCs w:val="0"/>
          <w:color w:val="auto"/>
          <w:sz w:val="32"/>
          <w:szCs w:val="32"/>
          <w:lang w:val="en-US" w:eastAsia="zh-CN"/>
        </w:rPr>
        <w:t xml:space="preserve"> </w:t>
      </w:r>
      <w:r>
        <w:rPr>
          <w:rFonts w:ascii="仿宋" w:eastAsia="仿宋" w:hint="eastAsia"/>
          <w:sz w:val="32"/>
          <w:szCs w:val="32"/>
        </w:rPr>
        <w:t>（图3：支出决算结构图）（饼状图）</w:t>
      </w:r>
    </w:p>
    <w:p>
      <w:pPr>
        <w:pageBreakBefore w:val="0"/>
        <w:widowControl w:val="0"/>
        <w:kinsoku/>
        <w:wordWrap/>
        <w:overflowPunct/>
        <w:topLinePunct w:val="0"/>
        <w:bidi w:val="0"/>
        <w:spacing w:line="576" w:lineRule="exact"/>
        <w:ind w:firstLineChars="200" w:firstLine="640"/>
        <w:textAlignment w:val="auto"/>
        <w:outlineLvl w:val="1"/>
        <w:rPr>
          <w:rFonts w:ascii="黑体" w:eastAsia="黑体" w:hint="eastAsia"/>
          <w:sz w:val="32"/>
          <w:szCs w:val="32"/>
        </w:rPr>
      </w:pPr>
      <w:bookmarkStart w:id="32" w:name="_Toc15377208"/>
      <w:bookmarkStart w:id="33" w:name="_Toc15396606"/>
    </w:p>
    <w:p>
      <w:pPr>
        <w:pStyle w:val="2"/>
        <w:keepNext/>
        <w:keepLines/>
        <w:pageBreakBefore w:val="0"/>
        <w:widowControl w:val="0"/>
        <w:kinsoku/>
        <w:wordWrap/>
        <w:overflowPunct/>
        <w:topLinePunct w:val="0"/>
        <w:bidi w:val="0"/>
        <w:spacing w:line="576" w:lineRule="exact"/>
        <w:ind w:firstLineChars="200" w:firstLine="640"/>
        <w:textAlignment w:val="auto"/>
        <w:rPr>
          <w:rFonts w:ascii="黑体" w:eastAsia="黑体" w:hint="eastAsia"/>
          <w:b w:val="0"/>
          <w:lang w:eastAsia="zh-CN"/>
        </w:rPr>
      </w:pPr>
      <w:bookmarkStart w:id="34" w:name="_Toc3906"/>
      <w:r>
        <w:rPr>
          <w:rFonts w:ascii="黑体" w:eastAsia="黑体" w:hint="eastAsia"/>
          <w:b w:val="0"/>
          <w:lang w:eastAsia="zh-CN"/>
        </w:rPr>
        <w:t>四、财政拨款收入支出决算总体情况说明</w:t>
      </w:r>
      <w:bookmarkEnd w:id="32"/>
      <w:bookmarkEnd w:id="33"/>
      <w:bookmarkEnd w:id="34"/>
    </w:p>
    <w:p>
      <w:pPr>
        <w:pageBreakBefore w:val="0"/>
        <w:widowControl w:val="0"/>
        <w:kinsoku/>
        <w:wordWrap/>
        <w:overflowPunct/>
        <w:topLinePunct w:val="0"/>
        <w:bidi w:val="0"/>
        <w:spacing w:line="576" w:lineRule="exact"/>
        <w:ind w:firstLineChars="200" w:firstLine="640"/>
        <w:textAlignment w:val="auto"/>
        <w:outlineLvl w:val="1"/>
        <w:rPr>
          <w:rFonts w:ascii="仿宋_GB2312" w:eastAsia="仿宋_GB2312" w:cs="仿宋_GB2312" w:hint="eastAsia"/>
          <w:sz w:val="32"/>
          <w:szCs w:val="32"/>
          <w:lang w:eastAsia="zh-CN"/>
        </w:rPr>
      </w:pPr>
      <w:bookmarkStart w:id="35" w:name="_Toc27751"/>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年度财政拨款收、支总计均为</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万元。与202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年度相比，财政拨款收、支总计</w:t>
      </w:r>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69.22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上升</w:t>
      </w:r>
      <w:r>
        <w:rPr>
          <w:rFonts w:ascii="仿宋_GB2312" w:eastAsia="仿宋_GB2312" w:cs="仿宋_GB2312" w:hint="eastAsia"/>
          <w:sz w:val="32"/>
          <w:szCs w:val="32"/>
          <w:lang w:val="en-US" w:eastAsia="zh-CN"/>
        </w:rPr>
        <w:t>6.47</w:t>
      </w:r>
      <w:r>
        <w:rPr>
          <w:rFonts w:ascii="仿宋_GB2312" w:eastAsia="仿宋_GB2312" w:cs="仿宋_GB2312" w:hint="eastAsia"/>
          <w:sz w:val="32"/>
          <w:szCs w:val="32"/>
        </w:rPr>
        <w:t>%。主要变动原因是202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年人员</w:t>
      </w:r>
      <w:r>
        <w:rPr>
          <w:rFonts w:ascii="仿宋_GB2312" w:eastAsia="仿宋_GB2312" w:cs="仿宋_GB2312" w:hint="eastAsia"/>
          <w:sz w:val="32"/>
          <w:szCs w:val="32"/>
          <w:lang w:eastAsia="zh-CN"/>
        </w:rPr>
        <w:t>变</w:t>
      </w:r>
      <w:r>
        <w:rPr>
          <w:rFonts w:ascii="仿宋_GB2312" w:eastAsia="仿宋_GB2312" w:cs="仿宋_GB2312" w:hint="eastAsia"/>
          <w:sz w:val="32"/>
          <w:szCs w:val="32"/>
        </w:rPr>
        <w:t>动及正常调资</w:t>
      </w:r>
      <w:r>
        <w:rPr>
          <w:rFonts w:ascii="仿宋_GB2312" w:eastAsia="仿宋_GB2312" w:cs="仿宋_GB2312" w:hint="eastAsia"/>
          <w:sz w:val="32"/>
          <w:szCs w:val="32"/>
          <w:lang w:eastAsia="zh-CN"/>
        </w:rPr>
        <w:t>。</w:t>
      </w:r>
      <w:bookmarkEnd w:id="35"/>
    </w:p>
    <w:p>
      <w:pPr>
        <w:pStyle w:val="23"/>
        <w:pageBreakBefore w:val="0"/>
        <w:widowControl w:val="0"/>
        <w:kinsoku/>
        <w:wordWrap/>
        <w:overflowPunct/>
        <w:topLinePunct w:val="0"/>
        <w:bidi w:val="0"/>
        <w:spacing w:line="576" w:lineRule="exact"/>
        <w:textAlignment w:val="auto"/>
        <w:rPr>
          <w:rFonts w:ascii="仿宋" w:eastAsia="仿宋"/>
          <w:sz w:val="32"/>
          <w:szCs w:val="32"/>
        </w:rPr>
      </w:pPr>
      <w:bookmarkStart w:id="36" w:name="_Toc11755"/>
      <w:bookmarkStart w:id="37" w:name="_Toc15377209"/>
      <w:bookmarkStart w:id="38" w:name="_Toc15396607"/>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206374</wp:posOffset>
            </wp:positionH>
            <wp:positionV relativeFrom="paragraph">
              <wp:posOffset>27939</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仿宋" w:eastAsia="仿宋" w:hint="eastAsia"/>
          <w:sz w:val="32"/>
          <w:szCs w:val="32"/>
        </w:rPr>
        <w:t>（图4：财政拨款收、支决算总计变动情况）（柱状图）</w:t>
      </w:r>
    </w:p>
    <w:p>
      <w:pPr>
        <w:pStyle w:val="2"/>
        <w:keepNext/>
        <w:keepLines/>
        <w:pageBreakBefore w:val="0"/>
        <w:widowControl w:val="0"/>
        <w:kinsoku/>
        <w:wordWrap/>
        <w:overflowPunct/>
        <w:topLinePunct w:val="0"/>
        <w:bidi w:val="0"/>
        <w:spacing w:line="576" w:lineRule="exact"/>
        <w:textAlignment w:val="auto"/>
        <w:rPr>
          <w:rFonts w:ascii="黑体" w:eastAsia="黑体" w:hint="eastAsia"/>
          <w:b w:val="0"/>
          <w:lang w:eastAsia="zh-CN"/>
        </w:rPr>
      </w:pPr>
      <w:r>
        <w:rPr>
          <w:rFonts w:ascii="黑体" w:eastAsia="黑体" w:hint="eastAsia"/>
          <w:b w:val="0"/>
          <w:lang w:eastAsia="zh-CN"/>
        </w:rPr>
        <w:t>五、一般公共预算财政拨款支出决算情况说明</w:t>
      </w:r>
      <w:bookmarkEnd w:id="36"/>
      <w:bookmarkEnd w:id="37"/>
      <w:bookmarkEnd w:id="38"/>
    </w:p>
    <w:p>
      <w:pPr>
        <w:pageBreakBefore w:val="0"/>
        <w:widowControl w:val="0"/>
        <w:kinsoku/>
        <w:wordWrap/>
        <w:overflowPunct/>
        <w:topLinePunct w:val="0"/>
        <w:bidi w:val="0"/>
        <w:spacing w:line="576" w:lineRule="exact"/>
        <w:ind w:firstLineChars="200" w:firstLine="640"/>
        <w:textAlignment w:val="auto"/>
        <w:outlineLvl w:val="2"/>
        <w:rPr>
          <w:rFonts w:ascii="仿宋" w:eastAsia="仿宋"/>
          <w:b/>
          <w:sz w:val="32"/>
          <w:szCs w:val="32"/>
        </w:rPr>
      </w:pPr>
      <w:bookmarkStart w:id="39" w:name="_Toc15923"/>
      <w:bookmarkStart w:id="40" w:name="_Toc15377210"/>
      <w:r>
        <w:rPr>
          <w:rFonts w:ascii="仿宋" w:eastAsia="仿宋" w:hint="eastAsia"/>
          <w:b/>
          <w:sz w:val="32"/>
          <w:szCs w:val="32"/>
        </w:rPr>
        <w:t>（一）一般公共预算财政拨款支出决算总体情况</w:t>
      </w:r>
      <w:bookmarkEnd w:id="39"/>
      <w:bookmarkEnd w:id="40"/>
    </w:p>
    <w:p>
      <w:pPr>
        <w:pageBreakBefore w:val="0"/>
        <w:widowControl w:val="0"/>
        <w:kinsoku/>
        <w:wordWrap/>
        <w:overflowPunct/>
        <w:topLinePunct w:val="0"/>
        <w:bidi w:val="0"/>
        <w:spacing w:line="576" w:lineRule="exact"/>
        <w:ind w:firstLineChars="200" w:firstLine="640"/>
        <w:textAlignment w:val="auto"/>
        <w:outlineLvl w:val="1"/>
        <w:rPr>
          <w:rFonts w:ascii="仿宋_GB2312" w:eastAsia="仿宋_GB2312" w:hint="eastAsia"/>
          <w:color w:val="000000"/>
          <w:spacing w:val="-2"/>
          <w:sz w:val="32"/>
          <w:szCs w:val="32"/>
          <w:lang w:eastAsia="zh-CN"/>
        </w:rPr>
      </w:pPr>
      <w:bookmarkStart w:id="41" w:name="_Toc12240"/>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年度一般公共预算财政拨款支出</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万元，占本年支出合计的</w:t>
      </w:r>
      <w:r>
        <w:rPr>
          <w:rFonts w:ascii="仿宋_GB2312" w:eastAsia="仿宋_GB2312" w:cs="仿宋_GB2312" w:hint="eastAsia"/>
          <w:sz w:val="32"/>
          <w:szCs w:val="32"/>
          <w:lang w:val="en-US" w:eastAsia="zh-CN"/>
        </w:rPr>
        <w:t>100</w:t>
      </w:r>
      <w:r>
        <w:rPr>
          <w:rFonts w:ascii="仿宋_GB2312" w:eastAsia="仿宋_GB2312" w:cs="仿宋_GB2312" w:hint="eastAsia"/>
          <w:sz w:val="32"/>
          <w:szCs w:val="32"/>
        </w:rPr>
        <w:t>%。与202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年度相比，一般公共预算财政拨款支出</w:t>
      </w:r>
      <w:bookmarkEnd w:id="41"/>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69.22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上升</w:t>
      </w:r>
      <w:r>
        <w:rPr>
          <w:rFonts w:ascii="仿宋_GB2312" w:eastAsia="仿宋_GB2312" w:cs="仿宋_GB2312" w:hint="eastAsia"/>
          <w:sz w:val="32"/>
          <w:szCs w:val="32"/>
          <w:lang w:val="en-US" w:eastAsia="zh-CN"/>
        </w:rPr>
        <w:t>6.47</w:t>
      </w:r>
      <w:r>
        <w:rPr>
          <w:rFonts w:ascii="仿宋_GB2312" w:eastAsia="仿宋_GB2312" w:cs="仿宋_GB2312" w:hint="eastAsia"/>
          <w:sz w:val="32"/>
          <w:szCs w:val="32"/>
        </w:rPr>
        <w:t>%。主要变动原因是202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年人员</w:t>
      </w:r>
      <w:r>
        <w:rPr>
          <w:rFonts w:ascii="仿宋_GB2312" w:eastAsia="仿宋_GB2312" w:cs="仿宋_GB2312" w:hint="eastAsia"/>
          <w:sz w:val="32"/>
          <w:szCs w:val="32"/>
          <w:lang w:eastAsia="zh-CN"/>
        </w:rPr>
        <w:t>变</w:t>
      </w:r>
      <w:r>
        <w:rPr>
          <w:rFonts w:ascii="仿宋_GB2312" w:eastAsia="仿宋_GB2312" w:cs="仿宋_GB2312" w:hint="eastAsia"/>
          <w:sz w:val="32"/>
          <w:szCs w:val="32"/>
        </w:rPr>
        <w:t>动及正常调资</w:t>
      </w:r>
      <w:r>
        <w:rPr>
          <w:rFonts w:ascii="仿宋_GB2312" w:eastAsia="仿宋_GB2312" w:cs="仿宋_GB2312" w:hint="eastAsia"/>
          <w:sz w:val="32"/>
          <w:szCs w:val="32"/>
          <w:lang w:eastAsia="zh-CN"/>
        </w:rPr>
        <w:t>。</w:t>
      </w:r>
    </w:p>
    <w:p>
      <w:pPr>
        <w:pageBreakBefore w:val="0"/>
        <w:widowControl w:val="0"/>
        <w:kinsoku/>
        <w:wordWrap/>
        <w:overflowPunct/>
        <w:topLinePunct w:val="0"/>
        <w:bidi w:val="0"/>
        <w:spacing w:line="576" w:lineRule="exact"/>
        <w:ind w:firstLineChars="200" w:firstLine="640"/>
        <w:textAlignment w:val="auto"/>
        <w:rPr>
          <w:rFonts w:ascii="仿宋" w:eastAsia="仿宋"/>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141604</wp:posOffset>
            </wp:positionH>
            <wp:positionV relativeFrom="paragraph">
              <wp:posOffset>158115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 w:eastAsia="仿宋" w:hint="eastAsia"/>
          <w:sz w:val="32"/>
          <w:szCs w:val="32"/>
        </w:rPr>
        <w:t>（图5：一般公共预算财政拨款支出决算变动情况）（柱状图）</w:t>
      </w:r>
    </w:p>
    <w:p>
      <w:pPr>
        <w:pageBreakBefore w:val="0"/>
        <w:widowControl w:val="0"/>
        <w:kinsoku/>
        <w:wordWrap/>
        <w:overflowPunct/>
        <w:topLinePunct w:val="0"/>
        <w:bidi w:val="0"/>
        <w:spacing w:line="576" w:lineRule="exact"/>
        <w:textAlignment w:val="auto"/>
        <w:outlineLvl w:val="2"/>
        <w:rPr>
          <w:rFonts w:ascii="仿宋" w:eastAsia="仿宋"/>
          <w:b/>
          <w:sz w:val="32"/>
          <w:szCs w:val="32"/>
        </w:rPr>
      </w:pPr>
      <w:bookmarkStart w:id="42" w:name="_Toc15377211"/>
      <w:bookmarkStart w:id="43" w:name="_Toc20680"/>
      <w:r>
        <w:rPr>
          <w:rFonts w:ascii="仿宋" w:eastAsia="仿宋" w:hint="eastAsia"/>
          <w:b/>
          <w:sz w:val="32"/>
          <w:szCs w:val="32"/>
        </w:rPr>
        <w:t>（二）一般公共预算财政拨款支出决算结构情况</w:t>
      </w:r>
      <w:bookmarkEnd w:id="42"/>
      <w:bookmarkEnd w:id="43"/>
    </w:p>
    <w:p>
      <w:pPr>
        <w:pageBreakBefore w:val="0"/>
        <w:widowControl w:val="0"/>
        <w:kinsoku/>
        <w:wordWrap/>
        <w:overflowPunct/>
        <w:topLinePunct w:val="0"/>
        <w:bidi w:val="0"/>
        <w:spacing w:line="576" w:lineRule="exact"/>
        <w:ind w:firstLineChars="200" w:firstLine="640"/>
        <w:textAlignment w:val="auto"/>
        <w:rPr>
          <w:rFonts w:ascii="仿宋" w:eastAsia="仿宋"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年度一般公共预算财政拨款支出</w:t>
      </w:r>
      <w:r>
        <w:rPr>
          <w:rFonts w:ascii="仿宋_GB2312" w:eastAsia="仿宋_GB2312" w:cs="仿宋_GB2312" w:hint="eastAsia"/>
          <w:sz w:val="32"/>
          <w:szCs w:val="32"/>
          <w:lang w:val="en-US" w:eastAsia="zh-CN"/>
        </w:rPr>
        <w:t>1139.65</w:t>
      </w:r>
      <w:r>
        <w:rPr>
          <w:rFonts w:ascii="仿宋_GB2312" w:eastAsia="仿宋_GB2312" w:cs="仿宋_GB2312" w:hint="eastAsia"/>
          <w:sz w:val="32"/>
          <w:szCs w:val="32"/>
        </w:rPr>
        <w:t>万元，主要用于以下方面</w:t>
      </w:r>
      <w:r>
        <w:rPr>
          <w:rFonts w:ascii="仿宋" w:eastAsia="仿宋"/>
          <w:sz w:val="32"/>
          <w:szCs w:val="32"/>
        </w:rPr>
        <w:t>:</w:t>
      </w:r>
      <w:r>
        <w:rPr>
          <w:rFonts w:ascii="仿宋" w:eastAsia="仿宋" w:hint="eastAsia"/>
          <w:b/>
          <w:bCs/>
          <w:sz w:val="32"/>
          <w:szCs w:val="32"/>
          <w:lang w:eastAsia="zh-CN"/>
        </w:rPr>
        <w:t>一般公共服务支出</w:t>
      </w:r>
      <w:r>
        <w:rPr>
          <w:rFonts w:ascii="仿宋" w:eastAsia="仿宋" w:hint="eastAsia"/>
          <w:b/>
          <w:bCs/>
          <w:sz w:val="32"/>
          <w:szCs w:val="32"/>
          <w:lang w:val="en-US" w:eastAsia="zh-CN"/>
        </w:rPr>
        <w:t>837.56</w:t>
      </w:r>
      <w:r>
        <w:rPr>
          <w:rFonts w:ascii="仿宋" w:eastAsia="仿宋" w:hint="eastAsia"/>
          <w:b/>
          <w:bCs/>
          <w:sz w:val="32"/>
          <w:szCs w:val="32"/>
        </w:rPr>
        <w:t>万元，占</w:t>
      </w:r>
      <w:r>
        <w:rPr>
          <w:rFonts w:ascii="仿宋" w:eastAsia="仿宋" w:hint="eastAsia"/>
          <w:b/>
          <w:bCs/>
          <w:sz w:val="32"/>
          <w:szCs w:val="32"/>
          <w:lang w:val="en-US" w:eastAsia="zh-CN"/>
        </w:rPr>
        <w:t>73.49</w:t>
      </w:r>
      <w:r>
        <w:rPr>
          <w:rFonts w:ascii="仿宋" w:eastAsia="仿宋"/>
          <w:b/>
          <w:bCs/>
          <w:sz w:val="32"/>
          <w:szCs w:val="32"/>
        </w:rPr>
        <w:t>%</w:t>
      </w:r>
      <w:r>
        <w:rPr>
          <w:rFonts w:ascii="仿宋" w:eastAsia="仿宋" w:hint="eastAsia"/>
          <w:sz w:val="32"/>
          <w:szCs w:val="32"/>
        </w:rPr>
        <w:t>；</w:t>
      </w:r>
      <w:r>
        <w:rPr>
          <w:rFonts w:ascii="仿宋" w:eastAsia="仿宋" w:hint="eastAsia"/>
          <w:b/>
          <w:sz w:val="32"/>
          <w:szCs w:val="32"/>
        </w:rPr>
        <w:t>社会保障和就业</w:t>
      </w:r>
      <w:r>
        <w:rPr>
          <w:rFonts w:ascii="仿宋" w:eastAsia="仿宋" w:hint="eastAsia"/>
          <w:b/>
          <w:bCs/>
          <w:sz w:val="32"/>
          <w:szCs w:val="32"/>
        </w:rPr>
        <w:t>支出</w:t>
      </w:r>
      <w:r>
        <w:rPr>
          <w:rFonts w:ascii="仿宋" w:eastAsia="仿宋" w:hint="eastAsia"/>
          <w:b/>
          <w:bCs/>
          <w:sz w:val="32"/>
          <w:szCs w:val="32"/>
          <w:lang w:val="en-US" w:eastAsia="zh-CN"/>
        </w:rPr>
        <w:t>151.72</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13.31</w:t>
      </w:r>
      <w:r>
        <w:rPr>
          <w:rFonts w:ascii="仿宋_GB2312" w:eastAsia="仿宋_GB2312" w:cs="仿宋_GB2312" w:hint="eastAsia"/>
          <w:sz w:val="32"/>
          <w:szCs w:val="32"/>
        </w:rPr>
        <w:t>%</w:t>
      </w:r>
      <w:r>
        <w:rPr>
          <w:rFonts w:ascii="仿宋" w:eastAsia="仿宋" w:hint="eastAsia"/>
          <w:sz w:val="32"/>
          <w:szCs w:val="32"/>
        </w:rPr>
        <w:t>；</w:t>
      </w:r>
      <w:r>
        <w:rPr>
          <w:rFonts w:ascii="仿宋" w:eastAsia="仿宋" w:hint="eastAsia"/>
          <w:b/>
          <w:bCs/>
          <w:sz w:val="32"/>
          <w:szCs w:val="32"/>
        </w:rPr>
        <w:t>卫生健康支出</w:t>
      </w:r>
      <w:r>
        <w:rPr>
          <w:rFonts w:ascii="仿宋" w:eastAsia="仿宋" w:hint="eastAsia"/>
          <w:b/>
          <w:bCs/>
          <w:sz w:val="32"/>
          <w:szCs w:val="32"/>
          <w:lang w:val="en-US" w:eastAsia="zh-CN"/>
        </w:rPr>
        <w:t>61.37</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5.38</w:t>
      </w:r>
      <w:r>
        <w:rPr>
          <w:rFonts w:ascii="仿宋_GB2312" w:eastAsia="仿宋_GB2312" w:cs="仿宋_GB2312" w:hint="eastAsia"/>
          <w:sz w:val="32"/>
          <w:szCs w:val="32"/>
        </w:rPr>
        <w:t>%；</w:t>
      </w:r>
      <w:r>
        <w:rPr>
          <w:rFonts w:ascii="仿宋" w:eastAsia="仿宋" w:hint="eastAsia"/>
          <w:b/>
          <w:bCs/>
          <w:sz w:val="32"/>
          <w:szCs w:val="32"/>
        </w:rPr>
        <w:t>住房保障支出</w:t>
      </w:r>
      <w:r>
        <w:rPr>
          <w:rFonts w:ascii="仿宋" w:eastAsia="仿宋" w:hint="eastAsia"/>
          <w:b/>
          <w:bCs/>
          <w:sz w:val="32"/>
          <w:szCs w:val="32"/>
          <w:lang w:val="en-US" w:eastAsia="zh-CN"/>
        </w:rPr>
        <w:t>89</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7.81</w:t>
      </w:r>
      <w:r>
        <w:rPr>
          <w:rFonts w:ascii="仿宋_GB2312" w:eastAsia="仿宋_GB2312" w:cs="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hint="eastAsia"/>
          <w:sz w:val="32"/>
          <w:szCs w:val="32"/>
          <w:lang w:eastAsia="zh-CN"/>
        </w:rPr>
      </w:pPr>
      <w:r>
        <w:rPr>
          <w:rFonts w:ascii="仿宋" w:eastAsia="仿宋" w:hint="eastAsia"/>
          <w:sz w:val="32"/>
          <w:szCs w:val="32"/>
          <w:lang w:eastAsia="zh-CN"/>
        </w:rPr>
        <w:drawing>
          <wp:inline distT="0" distB="0" distL="114300" distR="114300">
            <wp:extent cx="5256530" cy="2988310"/>
            <wp:effectExtent l="0" t="0" r="0" b="0"/>
            <wp:docPr id="6" name="图表 15"/>
            <wp:cNvGraphicFramePr>
              <a:graphicFrameLocks noChangeAspect="0"/>
            </wp:cNvGraphicFramePr>
            <a:graphic>
              <a:graphicData uri="http://schemas.openxmlformats.org/drawingml/2006/chart">
                <c:chart xmlns:c="http://schemas.openxmlformats.org/drawingml/2006/chart" r:id="rId7"/>
              </a:graphicData>
            </a:graphic>
          </wp:inline>
        </w:drawing>
      </w:r>
    </w:p>
    <w:p>
      <w:pPr>
        <w:pageBreakBefore w:val="0"/>
        <w:widowControl w:val="0"/>
        <w:kinsoku/>
        <w:wordWrap/>
        <w:overflowPunct/>
        <w:topLinePunct w:val="0"/>
        <w:bidi w:val="0"/>
        <w:spacing w:line="576" w:lineRule="exact"/>
        <w:textAlignment w:val="auto"/>
        <w:rPr>
          <w:rFonts w:ascii="仿宋" w:eastAsia="仿宋"/>
          <w:sz w:val="32"/>
          <w:szCs w:val="32"/>
        </w:rPr>
      </w:pPr>
      <w:r>
        <w:rPr>
          <w:rFonts w:ascii="仿宋" w:eastAsia="仿宋" w:hint="eastAsia"/>
          <w:sz w:val="32"/>
          <w:szCs w:val="32"/>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line="576" w:lineRule="exact"/>
        <w:textAlignment w:val="auto"/>
        <w:outlineLvl w:val="2"/>
        <w:rPr>
          <w:rFonts w:ascii="仿宋" w:eastAsia="仿宋"/>
          <w:b/>
          <w:sz w:val="32"/>
          <w:szCs w:val="32"/>
        </w:rPr>
      </w:pPr>
      <w:bookmarkStart w:id="44" w:name="_Toc13538"/>
      <w:bookmarkStart w:id="45" w:name="_Toc15377212"/>
      <w:r>
        <w:rPr>
          <w:rFonts w:ascii="仿宋" w:eastAsia="仿宋" w:hint="eastAsia"/>
          <w:b/>
          <w:sz w:val="32"/>
          <w:szCs w:val="32"/>
        </w:rPr>
        <w:t>（三）一般公共预算财政拨款支出决算具体情况</w:t>
      </w:r>
      <w:bookmarkEnd w:id="44"/>
      <w:bookmarkEnd w:id="45"/>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outlineLvl w:val="2"/>
        <w:rPr>
          <w:rFonts w:ascii="仿宋" w:eastAsia="仿宋"/>
          <w:sz w:val="32"/>
          <w:szCs w:val="32"/>
        </w:rPr>
      </w:pPr>
      <w:bookmarkStart w:id="46" w:name="_Toc15377213"/>
      <w:bookmarkStart w:id="47" w:name="_Toc31296"/>
      <w:bookmarkStart w:id="48" w:name="_Toc15377444"/>
      <w:bookmarkStart w:id="49" w:name="_Toc15378460"/>
      <w:r>
        <w:rPr>
          <w:rFonts w:ascii="仿宋" w:eastAsia="仿宋" w:hint="eastAsia"/>
          <w:b/>
          <w:sz w:val="32"/>
          <w:szCs w:val="32"/>
        </w:rPr>
        <w:t>202</w:t>
      </w:r>
      <w:r>
        <w:rPr>
          <w:rFonts w:ascii="仿宋" w:eastAsia="仿宋" w:hint="eastAsia"/>
          <w:b/>
          <w:sz w:val="32"/>
          <w:szCs w:val="32"/>
          <w:lang w:val="en-US" w:eastAsia="zh-CN"/>
        </w:rPr>
        <w:t>4</w:t>
      </w:r>
      <w:r>
        <w:rPr>
          <w:rFonts w:ascii="仿宋" w:eastAsia="仿宋" w:hint="eastAsia"/>
          <w:b/>
          <w:sz w:val="32"/>
          <w:szCs w:val="32"/>
        </w:rPr>
        <w:t>年度一般公共预算支出决算数为</w:t>
      </w:r>
      <w:r>
        <w:rPr>
          <w:rFonts w:eastAsia="仿宋" w:hint="eastAsia"/>
          <w:sz w:val="32"/>
          <w:szCs w:val="32"/>
          <w:lang w:val="en-US" w:eastAsia="zh-CN"/>
        </w:rPr>
        <w:t>1117.49万元</w:t>
      </w:r>
      <w:r>
        <w:rPr>
          <w:rFonts w:ascii="仿宋" w:eastAsia="仿宋" w:hint="eastAsia"/>
          <w:sz w:val="32"/>
          <w:szCs w:val="32"/>
        </w:rPr>
        <w:t>，</w:t>
      </w:r>
      <w:r>
        <w:rPr>
          <w:rStyle w:val="20"/>
          <w:rFonts w:ascii="仿宋" w:eastAsia="仿宋" w:hint="eastAsia"/>
          <w:bCs/>
          <w:sz w:val="32"/>
          <w:szCs w:val="32"/>
        </w:rPr>
        <w:t>完成预算</w:t>
      </w:r>
      <w:r>
        <w:rPr>
          <w:rStyle w:val="20"/>
          <w:rFonts w:ascii="仿宋" w:eastAsia="仿宋" w:hint="eastAsia"/>
          <w:bCs/>
          <w:sz w:val="32"/>
          <w:szCs w:val="32"/>
          <w:lang w:val="en-US" w:eastAsia="zh-CN"/>
        </w:rPr>
        <w:t>100</w:t>
      </w:r>
      <w:r>
        <w:rPr>
          <w:rStyle w:val="20"/>
          <w:rFonts w:ascii="仿宋" w:eastAsia="仿宋"/>
          <w:bCs/>
          <w:sz w:val="32"/>
          <w:szCs w:val="32"/>
        </w:rPr>
        <w:t>%</w:t>
      </w:r>
      <w:r>
        <w:rPr>
          <w:rStyle w:val="20"/>
          <w:rFonts w:ascii="仿宋" w:eastAsia="仿宋" w:hint="eastAsia"/>
          <w:bCs/>
          <w:sz w:val="32"/>
          <w:szCs w:val="32"/>
        </w:rPr>
        <w:t>。其中：</w:t>
      </w:r>
      <w:bookmarkEnd w:id="46"/>
      <w:bookmarkEnd w:id="47"/>
      <w:bookmarkEnd w:id="48"/>
      <w:bookmarkEnd w:id="49"/>
    </w:p>
    <w:p>
      <w:pPr>
        <w:keepNext w:val="0"/>
        <w:keepLines w:val="0"/>
        <w:pageBreakBefore w:val="0"/>
        <w:widowControl w:val="0"/>
        <w:numPr>
          <w:ilvl w:val="0"/>
          <w:numId w:val="2"/>
        </w:numPr>
        <w:kinsoku/>
        <w:wordWrap/>
        <w:overflowPunct/>
        <w:topLinePunct w:val="0"/>
        <w:autoSpaceDE/>
        <w:autoSpaceDN/>
        <w:bidi w:val="0"/>
        <w:adjustRightInd/>
        <w:snapToGrid/>
        <w:spacing w:line="576" w:lineRule="exact"/>
        <w:ind w:left="0" w:firstLineChars="200" w:firstLine="640"/>
        <w:textAlignment w:val="auto"/>
        <w:rPr>
          <w:rStyle w:val="20"/>
          <w:rFonts w:ascii="仿宋_GB2312" w:eastAsia="仿宋_GB2312" w:cs="仿宋_GB2312" w:hint="eastAsia"/>
          <w:b w:val="0"/>
          <w:bCs/>
          <w:sz w:val="32"/>
          <w:szCs w:val="32"/>
        </w:rPr>
      </w:pPr>
      <w:r>
        <w:rPr>
          <w:rStyle w:val="20"/>
          <w:rFonts w:ascii="仿宋" w:eastAsia="仿宋" w:hint="eastAsia"/>
          <w:bCs/>
          <w:sz w:val="32"/>
          <w:szCs w:val="32"/>
          <w:lang w:eastAsia="zh-CN"/>
        </w:rPr>
        <w:t>政府办公厅（室）及相关机构事务行政运行</w:t>
      </w:r>
      <w:r>
        <w:rPr>
          <w:rStyle w:val="20"/>
          <w:rFonts w:ascii="仿宋" w:eastAsia="仿宋"/>
          <w:bCs/>
          <w:sz w:val="32"/>
          <w:szCs w:val="32"/>
        </w:rPr>
        <w:t>:</w:t>
      </w:r>
      <w:r>
        <w:rPr>
          <w:rStyle w:val="20"/>
          <w:rFonts w:ascii="仿宋" w:eastAsia="仿宋"/>
          <w:b w:val="0"/>
          <w:bCs/>
          <w:sz w:val="32"/>
          <w:szCs w:val="32"/>
        </w:rPr>
        <w:t xml:space="preserve"> </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815.4</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Style w:val="20"/>
          <w:rFonts w:ascii="仿宋_GB2312" w:eastAsia="仿宋_GB2312" w:cs="仿宋_GB2312" w:hint="eastAsia"/>
          <w:b w:val="0"/>
          <w:bCs/>
          <w:sz w:val="32"/>
          <w:szCs w:val="32"/>
          <w:lang w:eastAsia="zh-CN"/>
        </w:rPr>
      </w:pPr>
      <w:r>
        <w:rPr>
          <w:rStyle w:val="20"/>
          <w:rFonts w:ascii="仿宋" w:eastAsia="仿宋" w:hint="eastAsia"/>
          <w:bCs/>
          <w:sz w:val="32"/>
          <w:szCs w:val="32"/>
          <w:lang w:val="en-US" w:eastAsia="zh-CN"/>
        </w:rPr>
        <w:t xml:space="preserve">2. </w:t>
      </w:r>
      <w:r>
        <w:rPr>
          <w:rStyle w:val="20"/>
          <w:rFonts w:ascii="仿宋" w:eastAsia="仿宋" w:hint="eastAsia"/>
          <w:bCs/>
          <w:sz w:val="32"/>
          <w:szCs w:val="32"/>
        </w:rPr>
        <w:t>社会保障和就业（类）</w:t>
      </w:r>
      <w:r>
        <w:rPr>
          <w:rStyle w:val="20"/>
          <w:rFonts w:ascii="仿宋" w:eastAsia="仿宋" w:hint="eastAsia"/>
          <w:bCs/>
          <w:sz w:val="32"/>
          <w:szCs w:val="32"/>
          <w:lang w:eastAsia="zh-CN"/>
        </w:rPr>
        <w:t>行政事业单位养老支出</w:t>
      </w:r>
      <w:r>
        <w:rPr>
          <w:rStyle w:val="20"/>
          <w:rFonts w:ascii="仿宋" w:eastAsia="仿宋" w:hint="eastAsia"/>
          <w:bCs/>
          <w:sz w:val="32"/>
          <w:szCs w:val="32"/>
        </w:rPr>
        <w:t>（款）</w:t>
      </w:r>
      <w:r>
        <w:rPr>
          <w:rStyle w:val="20"/>
          <w:rFonts w:ascii="仿宋" w:eastAsia="仿宋" w:hint="eastAsia"/>
          <w:bCs/>
          <w:sz w:val="32"/>
          <w:szCs w:val="32"/>
          <w:lang w:eastAsia="zh-CN"/>
        </w:rPr>
        <w:t>机关事业单位基本养老保险缴费支出</w:t>
      </w:r>
      <w:r>
        <w:rPr>
          <w:rStyle w:val="20"/>
          <w:rFonts w:ascii="仿宋" w:eastAsia="仿宋" w:hint="eastAsia"/>
          <w:bCs/>
          <w:sz w:val="32"/>
          <w:szCs w:val="32"/>
        </w:rPr>
        <w:t>（项）</w:t>
      </w:r>
      <w:r>
        <w:rPr>
          <w:rStyle w:val="20"/>
          <w:rFonts w:ascii="仿宋" w:eastAsia="仿宋"/>
          <w:bCs/>
          <w:sz w:val="32"/>
          <w:szCs w:val="32"/>
        </w:rPr>
        <w:t>:</w:t>
      </w:r>
      <w:r>
        <w:rPr>
          <w:rStyle w:val="20"/>
          <w:rFonts w:ascii="仿宋" w:eastAsia="仿宋"/>
          <w:b w:val="0"/>
          <w:bCs/>
          <w:sz w:val="32"/>
          <w:szCs w:val="32"/>
        </w:rPr>
        <w:t xml:space="preserve"> </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101.14</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r>
        <w:rPr>
          <w:rStyle w:val="20"/>
          <w:rFonts w:ascii="仿宋_GB2312" w:eastAsia="仿宋_GB2312" w:cs="仿宋_GB2312" w:hint="eastAsia"/>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Style w:val="20"/>
          <w:rFonts w:ascii="仿宋_GB2312" w:eastAsia="仿宋_GB2312" w:cs="仿宋_GB2312" w:hint="eastAsia"/>
          <w:b w:val="0"/>
          <w:bCs/>
          <w:sz w:val="32"/>
          <w:szCs w:val="32"/>
          <w:lang w:eastAsia="zh-CN"/>
        </w:rPr>
      </w:pPr>
      <w:r>
        <w:rPr>
          <w:rStyle w:val="20"/>
          <w:rFonts w:ascii="仿宋" w:eastAsia="仿宋" w:hint="eastAsia"/>
          <w:bCs/>
          <w:sz w:val="32"/>
          <w:szCs w:val="32"/>
          <w:lang w:val="en-US" w:eastAsia="zh-CN"/>
        </w:rPr>
        <w:t xml:space="preserve">3. </w:t>
      </w:r>
      <w:r>
        <w:rPr>
          <w:rStyle w:val="20"/>
          <w:rFonts w:ascii="仿宋" w:eastAsia="仿宋" w:hint="eastAsia"/>
          <w:bCs/>
          <w:sz w:val="32"/>
          <w:szCs w:val="32"/>
        </w:rPr>
        <w:t>社会保障和就业（类）</w:t>
      </w:r>
      <w:r>
        <w:rPr>
          <w:rStyle w:val="20"/>
          <w:rFonts w:ascii="仿宋" w:eastAsia="仿宋" w:hint="eastAsia"/>
          <w:bCs/>
          <w:sz w:val="32"/>
          <w:szCs w:val="32"/>
          <w:lang w:eastAsia="zh-CN"/>
        </w:rPr>
        <w:t>行政事业单位养老支出</w:t>
      </w:r>
      <w:r>
        <w:rPr>
          <w:rStyle w:val="20"/>
          <w:rFonts w:ascii="仿宋" w:eastAsia="仿宋" w:hint="eastAsia"/>
          <w:bCs/>
          <w:sz w:val="32"/>
          <w:szCs w:val="32"/>
        </w:rPr>
        <w:t>（款）</w:t>
      </w:r>
      <w:r>
        <w:rPr>
          <w:rStyle w:val="20"/>
          <w:rFonts w:ascii="仿宋" w:eastAsia="仿宋" w:hint="eastAsia"/>
          <w:bCs/>
          <w:sz w:val="32"/>
          <w:szCs w:val="32"/>
          <w:lang w:eastAsia="zh-CN"/>
        </w:rPr>
        <w:t>机关事业单位职业年金缴费支出</w:t>
      </w:r>
      <w:r>
        <w:rPr>
          <w:rStyle w:val="20"/>
          <w:rFonts w:ascii="仿宋" w:eastAsia="仿宋" w:hint="eastAsia"/>
          <w:bCs/>
          <w:sz w:val="32"/>
          <w:szCs w:val="32"/>
        </w:rPr>
        <w:t>（项）</w:t>
      </w:r>
      <w:r>
        <w:rPr>
          <w:rStyle w:val="20"/>
          <w:rFonts w:ascii="仿宋" w:eastAsia="仿宋"/>
          <w:bCs/>
          <w:sz w:val="32"/>
          <w:szCs w:val="32"/>
        </w:rPr>
        <w:t>:</w:t>
      </w:r>
      <w:r>
        <w:rPr>
          <w:rStyle w:val="20"/>
          <w:rFonts w:ascii="仿宋_GB2312" w:eastAsia="仿宋_GB2312" w:cs="仿宋_GB2312" w:hint="eastAsia"/>
          <w:b w:val="0"/>
          <w:bCs/>
          <w:sz w:val="32"/>
          <w:szCs w:val="32"/>
        </w:rPr>
        <w:t xml:space="preserve"> 支出决算为</w:t>
      </w:r>
      <w:r>
        <w:rPr>
          <w:rStyle w:val="20"/>
          <w:rFonts w:ascii="仿宋_GB2312" w:eastAsia="仿宋_GB2312" w:cs="仿宋_GB2312" w:hint="eastAsia"/>
          <w:b w:val="0"/>
          <w:bCs/>
          <w:sz w:val="32"/>
          <w:szCs w:val="32"/>
          <w:lang w:val="en-US" w:eastAsia="zh-CN"/>
        </w:rPr>
        <w:t>50.58</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r>
        <w:rPr>
          <w:rStyle w:val="20"/>
          <w:rFonts w:ascii="仿宋_GB2312" w:eastAsia="仿宋_GB2312" w:cs="仿宋_GB2312" w:hint="eastAsia"/>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cs="仿宋_GB2312" w:hint="eastAsia"/>
          <w:b/>
          <w:sz w:val="32"/>
          <w:szCs w:val="32"/>
        </w:rPr>
      </w:pPr>
      <w:r>
        <w:rPr>
          <w:rFonts w:ascii="仿宋" w:eastAsia="仿宋" w:hint="eastAsia"/>
          <w:b/>
          <w:bCs/>
          <w:sz w:val="32"/>
          <w:szCs w:val="32"/>
          <w:lang w:val="en-US" w:eastAsia="zh-CN"/>
        </w:rPr>
        <w:t xml:space="preserve">4. </w:t>
      </w:r>
      <w:r>
        <w:rPr>
          <w:rFonts w:ascii="仿宋" w:eastAsia="仿宋" w:hint="eastAsia"/>
          <w:b/>
          <w:bCs/>
          <w:sz w:val="32"/>
          <w:szCs w:val="32"/>
        </w:rPr>
        <w:t>卫生健康</w:t>
      </w:r>
      <w:r>
        <w:rPr>
          <w:rStyle w:val="20"/>
          <w:rFonts w:ascii="仿宋" w:eastAsia="仿宋" w:hint="eastAsia"/>
          <w:bCs/>
          <w:sz w:val="32"/>
          <w:szCs w:val="32"/>
        </w:rPr>
        <w:t>（类）</w:t>
      </w:r>
      <w:r>
        <w:rPr>
          <w:rStyle w:val="20"/>
          <w:rFonts w:ascii="仿宋" w:eastAsia="仿宋" w:hint="eastAsia"/>
          <w:bCs/>
          <w:sz w:val="32"/>
          <w:szCs w:val="32"/>
          <w:lang w:eastAsia="zh-CN"/>
        </w:rPr>
        <w:t>行政事业单位医疗</w:t>
      </w:r>
      <w:r>
        <w:rPr>
          <w:rStyle w:val="20"/>
          <w:rFonts w:ascii="仿宋" w:eastAsia="仿宋" w:hint="eastAsia"/>
          <w:bCs/>
          <w:sz w:val="32"/>
          <w:szCs w:val="32"/>
        </w:rPr>
        <w:t>（款）</w:t>
      </w:r>
      <w:r>
        <w:rPr>
          <w:rStyle w:val="20"/>
          <w:rFonts w:ascii="仿宋" w:eastAsia="仿宋" w:hint="eastAsia"/>
          <w:bCs/>
          <w:sz w:val="32"/>
          <w:szCs w:val="32"/>
          <w:lang w:eastAsia="zh-CN"/>
        </w:rPr>
        <w:t>行政单位医疗</w:t>
      </w:r>
      <w:r>
        <w:rPr>
          <w:rStyle w:val="20"/>
          <w:rFonts w:ascii="仿宋" w:eastAsia="仿宋" w:hint="eastAsia"/>
          <w:bCs/>
          <w:sz w:val="32"/>
          <w:szCs w:val="32"/>
        </w:rPr>
        <w:t>（项）</w:t>
      </w:r>
      <w:r>
        <w:rPr>
          <w:rStyle w:val="20"/>
          <w:rFonts w:ascii="仿宋" w:eastAsia="仿宋"/>
          <w:bCs/>
          <w:sz w:val="32"/>
          <w:szCs w:val="32"/>
        </w:rPr>
        <w:t>:</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45.21</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Fonts w:ascii="仿宋_GB2312" w:eastAsia="仿宋_GB2312" w:cs="仿宋_GB2312" w:hint="eastAsia"/>
          <w:b/>
          <w:sz w:val="32"/>
          <w:szCs w:val="32"/>
        </w:rPr>
      </w:pPr>
      <w:r>
        <w:rPr>
          <w:rFonts w:ascii="仿宋" w:eastAsia="仿宋" w:hint="eastAsia"/>
          <w:b/>
          <w:bCs/>
          <w:sz w:val="32"/>
          <w:szCs w:val="32"/>
          <w:lang w:val="en-US" w:eastAsia="zh-CN"/>
        </w:rPr>
        <w:t xml:space="preserve">5. </w:t>
      </w:r>
      <w:r>
        <w:rPr>
          <w:rFonts w:ascii="仿宋" w:eastAsia="仿宋" w:hint="eastAsia"/>
          <w:b/>
          <w:bCs/>
          <w:sz w:val="32"/>
          <w:szCs w:val="32"/>
        </w:rPr>
        <w:t>卫生健康</w:t>
      </w:r>
      <w:r>
        <w:rPr>
          <w:rStyle w:val="20"/>
          <w:rFonts w:ascii="仿宋" w:eastAsia="仿宋" w:hint="eastAsia"/>
          <w:bCs/>
          <w:sz w:val="32"/>
          <w:szCs w:val="32"/>
        </w:rPr>
        <w:t>（类）</w:t>
      </w:r>
      <w:r>
        <w:rPr>
          <w:rStyle w:val="20"/>
          <w:rFonts w:ascii="仿宋" w:eastAsia="仿宋" w:hint="eastAsia"/>
          <w:bCs/>
          <w:sz w:val="32"/>
          <w:szCs w:val="32"/>
          <w:lang w:eastAsia="zh-CN"/>
        </w:rPr>
        <w:t>行政事业单位医疗</w:t>
      </w:r>
      <w:r>
        <w:rPr>
          <w:rStyle w:val="20"/>
          <w:rFonts w:ascii="仿宋" w:eastAsia="仿宋" w:hint="eastAsia"/>
          <w:bCs/>
          <w:sz w:val="32"/>
          <w:szCs w:val="32"/>
        </w:rPr>
        <w:t>（款）</w:t>
      </w:r>
      <w:r>
        <w:rPr>
          <w:rStyle w:val="20"/>
          <w:rFonts w:ascii="仿宋" w:eastAsia="仿宋" w:hint="eastAsia"/>
          <w:bCs/>
          <w:sz w:val="32"/>
          <w:szCs w:val="32"/>
          <w:lang w:eastAsia="zh-CN"/>
        </w:rPr>
        <w:t>事业单位医疗</w:t>
      </w:r>
      <w:r>
        <w:rPr>
          <w:rStyle w:val="20"/>
          <w:rFonts w:ascii="仿宋" w:eastAsia="仿宋" w:hint="eastAsia"/>
          <w:bCs/>
          <w:sz w:val="32"/>
          <w:szCs w:val="32"/>
        </w:rPr>
        <w:t>（项）</w:t>
      </w:r>
      <w:r>
        <w:rPr>
          <w:rStyle w:val="20"/>
          <w:rFonts w:ascii="仿宋" w:eastAsia="仿宋"/>
          <w:bCs/>
          <w:sz w:val="32"/>
          <w:szCs w:val="32"/>
        </w:rPr>
        <w:t>:</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4.35</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Fonts w:ascii="仿宋_GB2312" w:eastAsia="仿宋_GB2312" w:cs="仿宋_GB2312" w:hint="eastAsia"/>
          <w:b/>
          <w:sz w:val="32"/>
          <w:szCs w:val="32"/>
        </w:rPr>
      </w:pPr>
      <w:r>
        <w:rPr>
          <w:rFonts w:ascii="仿宋" w:eastAsia="仿宋" w:hint="eastAsia"/>
          <w:b/>
          <w:bCs/>
          <w:sz w:val="32"/>
          <w:szCs w:val="32"/>
          <w:lang w:val="en-US" w:eastAsia="zh-CN"/>
        </w:rPr>
        <w:t xml:space="preserve">6. </w:t>
      </w:r>
      <w:r>
        <w:rPr>
          <w:rFonts w:ascii="仿宋" w:eastAsia="仿宋" w:hint="eastAsia"/>
          <w:b/>
          <w:bCs/>
          <w:sz w:val="32"/>
          <w:szCs w:val="32"/>
        </w:rPr>
        <w:t>卫生健康</w:t>
      </w:r>
      <w:r>
        <w:rPr>
          <w:rStyle w:val="20"/>
          <w:rFonts w:ascii="仿宋" w:eastAsia="仿宋" w:hint="eastAsia"/>
          <w:bCs/>
          <w:sz w:val="32"/>
          <w:szCs w:val="32"/>
        </w:rPr>
        <w:t>（类）</w:t>
      </w:r>
      <w:r>
        <w:rPr>
          <w:rStyle w:val="20"/>
          <w:rFonts w:ascii="仿宋" w:eastAsia="仿宋" w:hint="eastAsia"/>
          <w:bCs/>
          <w:sz w:val="32"/>
          <w:szCs w:val="32"/>
          <w:lang w:eastAsia="zh-CN"/>
        </w:rPr>
        <w:t>行政事业单位医疗</w:t>
      </w:r>
      <w:r>
        <w:rPr>
          <w:rStyle w:val="20"/>
          <w:rFonts w:ascii="仿宋" w:eastAsia="仿宋" w:hint="eastAsia"/>
          <w:bCs/>
          <w:sz w:val="32"/>
          <w:szCs w:val="32"/>
        </w:rPr>
        <w:t>（款）</w:t>
      </w:r>
      <w:r>
        <w:rPr>
          <w:rStyle w:val="20"/>
          <w:rFonts w:ascii="仿宋" w:eastAsia="仿宋" w:hint="eastAsia"/>
          <w:bCs/>
          <w:sz w:val="32"/>
          <w:szCs w:val="32"/>
          <w:lang w:eastAsia="zh-CN"/>
        </w:rPr>
        <w:t>公务员医疗补助</w:t>
      </w:r>
      <w:r>
        <w:rPr>
          <w:rStyle w:val="20"/>
          <w:rFonts w:ascii="仿宋" w:eastAsia="仿宋" w:hint="eastAsia"/>
          <w:bCs/>
          <w:sz w:val="32"/>
          <w:szCs w:val="32"/>
        </w:rPr>
        <w:t>（项）</w:t>
      </w:r>
      <w:r>
        <w:rPr>
          <w:rStyle w:val="20"/>
          <w:rFonts w:ascii="仿宋" w:eastAsia="仿宋"/>
          <w:bCs/>
          <w:sz w:val="32"/>
          <w:szCs w:val="32"/>
        </w:rPr>
        <w:t>:</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10.84</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Fonts w:ascii="仿宋_GB2312" w:eastAsia="仿宋_GB2312" w:cs="仿宋_GB2312" w:hint="eastAsia"/>
          <w:b/>
          <w:sz w:val="32"/>
          <w:szCs w:val="32"/>
        </w:rPr>
      </w:pPr>
      <w:r>
        <w:rPr>
          <w:rFonts w:ascii="仿宋" w:eastAsia="仿宋" w:hint="eastAsia"/>
          <w:b/>
          <w:bCs/>
          <w:sz w:val="32"/>
          <w:szCs w:val="32"/>
          <w:lang w:val="en-US" w:eastAsia="zh-CN"/>
        </w:rPr>
        <w:t xml:space="preserve">7. </w:t>
      </w:r>
      <w:r>
        <w:rPr>
          <w:rFonts w:ascii="仿宋" w:eastAsia="仿宋" w:hint="eastAsia"/>
          <w:b/>
          <w:bCs/>
          <w:sz w:val="32"/>
          <w:szCs w:val="32"/>
        </w:rPr>
        <w:t>卫生健康</w:t>
      </w:r>
      <w:r>
        <w:rPr>
          <w:rStyle w:val="20"/>
          <w:rFonts w:ascii="仿宋" w:eastAsia="仿宋" w:hint="eastAsia"/>
          <w:bCs/>
          <w:sz w:val="32"/>
          <w:szCs w:val="32"/>
        </w:rPr>
        <w:t>（类）</w:t>
      </w:r>
      <w:r>
        <w:rPr>
          <w:rStyle w:val="20"/>
          <w:rFonts w:ascii="仿宋" w:eastAsia="仿宋" w:hint="eastAsia"/>
          <w:bCs/>
          <w:sz w:val="32"/>
          <w:szCs w:val="32"/>
          <w:lang w:eastAsia="zh-CN"/>
        </w:rPr>
        <w:t>行政事业单位医疗</w:t>
      </w:r>
      <w:r>
        <w:rPr>
          <w:rStyle w:val="20"/>
          <w:rFonts w:ascii="仿宋" w:eastAsia="仿宋" w:hint="eastAsia"/>
          <w:bCs/>
          <w:sz w:val="32"/>
          <w:szCs w:val="32"/>
        </w:rPr>
        <w:t>（款）</w:t>
      </w:r>
      <w:r>
        <w:rPr>
          <w:rStyle w:val="20"/>
          <w:rFonts w:ascii="仿宋" w:eastAsia="仿宋" w:hint="eastAsia"/>
          <w:bCs/>
          <w:sz w:val="32"/>
          <w:szCs w:val="32"/>
          <w:lang w:eastAsia="zh-CN"/>
        </w:rPr>
        <w:t>其他行政事业单位医疗支出</w:t>
      </w:r>
      <w:r>
        <w:rPr>
          <w:rStyle w:val="20"/>
          <w:rFonts w:ascii="仿宋" w:eastAsia="仿宋" w:hint="eastAsia"/>
          <w:bCs/>
          <w:sz w:val="32"/>
          <w:szCs w:val="32"/>
        </w:rPr>
        <w:t>（项）</w:t>
      </w:r>
      <w:r>
        <w:rPr>
          <w:rStyle w:val="20"/>
          <w:rFonts w:ascii="仿宋" w:eastAsia="仿宋"/>
          <w:bCs/>
          <w:sz w:val="32"/>
          <w:szCs w:val="32"/>
        </w:rPr>
        <w:t>:</w:t>
      </w:r>
      <w:r>
        <w:rPr>
          <w:rStyle w:val="20"/>
          <w:rFonts w:ascii="仿宋_GB2312" w:eastAsia="仿宋_GB2312" w:cs="仿宋_GB2312" w:hint="eastAsia"/>
          <w:b w:val="0"/>
          <w:bCs/>
          <w:sz w:val="32"/>
          <w:szCs w:val="32"/>
        </w:rPr>
        <w:t>支出决算为</w:t>
      </w:r>
      <w:r>
        <w:rPr>
          <w:rStyle w:val="20"/>
          <w:rFonts w:ascii="仿宋_GB2312" w:eastAsia="仿宋_GB2312" w:cs="仿宋_GB2312" w:hint="eastAsia"/>
          <w:b w:val="0"/>
          <w:bCs/>
          <w:sz w:val="32"/>
          <w:szCs w:val="32"/>
          <w:lang w:val="en-US" w:eastAsia="zh-CN"/>
        </w:rPr>
        <w:t>0.98</w:t>
      </w:r>
      <w:r>
        <w:rPr>
          <w:rStyle w:val="20"/>
          <w:rFonts w:ascii="仿宋_GB2312" w:eastAsia="仿宋_GB2312" w:cs="仿宋_GB2312" w:hint="eastAsia"/>
          <w:b w:val="0"/>
          <w:bCs/>
          <w:sz w:val="32"/>
          <w:szCs w:val="32"/>
        </w:rPr>
        <w:t>万元，完成预算</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Style w:val="20"/>
          <w:rFonts w:ascii="仿宋_GB2312" w:eastAsia="仿宋_GB2312" w:cs="仿宋_GB2312" w:hint="eastAsia"/>
          <w:b w:val="0"/>
          <w:bCs/>
          <w:sz w:val="32"/>
          <w:szCs w:val="32"/>
          <w:lang w:val="en-US" w:eastAsia="zh-CN"/>
        </w:rPr>
      </w:pPr>
      <w:r>
        <w:rPr>
          <w:rFonts w:ascii="仿宋" w:eastAsia="仿宋" w:cs="Times New Roman" w:hint="eastAsia"/>
          <w:b/>
          <w:bCs/>
          <w:sz w:val="32"/>
          <w:szCs w:val="32"/>
          <w:lang w:val="en-US" w:eastAsia="zh-CN"/>
        </w:rPr>
        <w:t>8. 住房保障支出（类）住房改革支出（款）住房公积金（项）：</w:t>
      </w:r>
      <w:r>
        <w:rPr>
          <w:rStyle w:val="20"/>
          <w:rFonts w:ascii="仿宋_GB2312" w:eastAsia="仿宋_GB2312" w:cs="仿宋_GB2312" w:hint="eastAsia"/>
          <w:b w:val="0"/>
          <w:bCs/>
          <w:sz w:val="32"/>
          <w:szCs w:val="32"/>
          <w:lang w:val="en-US" w:eastAsia="zh-CN"/>
        </w:rPr>
        <w:t>支出决算为89万元，完成预算100%，决算数等于预算数。</w:t>
      </w:r>
    </w:p>
    <w:p>
      <w:pPr>
        <w:pStyle w:val="21"/>
        <w:rPr>
          <w:lang w:val="en-US"/>
        </w:rPr>
      </w:pPr>
      <w:r>
        <w:rPr>
          <w:rStyle w:val="20"/>
          <w:rFonts w:ascii="仿宋_GB2312" w:eastAsia="仿宋_GB2312" w:cs="仿宋_GB2312" w:hint="eastAsia"/>
          <w:b w:val="0"/>
          <w:bCs/>
          <w:sz w:val="32"/>
          <w:szCs w:val="32"/>
          <w:lang w:val="en-US" w:eastAsia="zh-CN"/>
        </w:rPr>
        <w:t xml:space="preserve">     </w:t>
      </w:r>
    </w:p>
    <w:p>
      <w:pPr>
        <w:pageBreakBefore w:val="0"/>
        <w:widowControl w:val="0"/>
        <w:tabs>
          <w:tab w:val="right" w:pos="8306"/>
        </w:tabs>
        <w:kinsoku/>
        <w:wordWrap/>
        <w:overflowPunct/>
        <w:topLinePunct w:val="0"/>
        <w:bidi w:val="0"/>
        <w:spacing w:line="576" w:lineRule="exact"/>
        <w:ind w:firstLineChars="200" w:firstLine="640"/>
        <w:textAlignment w:val="auto"/>
        <w:outlineLvl w:val="1"/>
        <w:rPr>
          <w:rFonts w:ascii="黑体" w:eastAsia="黑体" w:hint="eastAsia"/>
          <w:sz w:val="32"/>
          <w:szCs w:val="32"/>
        </w:rPr>
      </w:pPr>
      <w:bookmarkStart w:id="50" w:name="_Toc15377214"/>
      <w:bookmarkStart w:id="51" w:name="_Toc15396608"/>
    </w:p>
    <w:p>
      <w:pPr>
        <w:pageBreakBefore w:val="0"/>
        <w:widowControl w:val="0"/>
        <w:tabs>
          <w:tab w:val="right" w:pos="8306"/>
        </w:tabs>
        <w:kinsoku/>
        <w:wordWrap/>
        <w:overflowPunct/>
        <w:topLinePunct w:val="0"/>
        <w:bidi w:val="0"/>
        <w:spacing w:line="576" w:lineRule="exact"/>
        <w:ind w:firstLineChars="200" w:firstLine="640"/>
        <w:textAlignment w:val="auto"/>
        <w:outlineLvl w:val="1"/>
        <w:rPr>
          <w:rStyle w:val="2Char"/>
        </w:rPr>
      </w:pPr>
      <w:bookmarkStart w:id="52" w:name="_Toc16664"/>
      <w:r>
        <w:rPr>
          <w:rFonts w:ascii="黑体" w:eastAsia="黑体" w:cs="Times New Roman" w:hint="eastAsia"/>
          <w:b w:val="0"/>
          <w:bCs/>
          <w:kern w:val="2"/>
          <w:sz w:val="32"/>
          <w:szCs w:val="32"/>
          <w:lang w:val="en-US" w:eastAsia="zh-CN" w:bidi="ar-SA"/>
        </w:rPr>
        <w:t>六、一般公共预算财政拨款基本支出决算情况说明</w:t>
      </w:r>
      <w:bookmarkEnd w:id="50"/>
      <w:bookmarkEnd w:id="51"/>
      <w:bookmarkEnd w:id="52"/>
      <w:r>
        <w:rPr>
          <w:rStyle w:val="2Char"/>
          <w:rFonts w:asci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t>2024年度一般公共预算财政拨款基本支出1117.49万元，其中：</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t>人员经费1064.81万元，主要包括：基本工资197万元、津贴补贴266.22万元、奖金251.32万元、绩效工资13.66万元、机关事业单位基本养老保险缴费101.14万元、职业年金缴费50.58万元、其他社会保障缴费10.82万元、其他工资福利支出22.96万元、生活补助5.7万元、医疗费补助10.84万元、奖励金0.012万元、住房公积金85万元。</w:t>
        <w:br/>
        <w:t>　　公用经费52.68万元，主要包括：办公费9.25万元、水费0.35万元、电费1万元、邮电费3.32万元、差旅费18、维修（护）费0.49万元、劳务费0.2万元、公务用车运行维护费19.72万元、福利费0.35。</w:t>
      </w:r>
    </w:p>
    <w:p>
      <w:pPr>
        <w:pageBreakBefore w:val="0"/>
        <w:widowControl w:val="0"/>
        <w:kinsoku/>
        <w:wordWrap/>
        <w:overflowPunct/>
        <w:topLinePunct w:val="0"/>
        <w:bidi w:val="0"/>
        <w:spacing w:line="576" w:lineRule="exact"/>
        <w:ind w:firstLineChars="200" w:firstLine="640"/>
        <w:textAlignment w:val="auto"/>
        <w:outlineLvl w:val="1"/>
        <w:rPr>
          <w:rFonts w:ascii="黑体" w:eastAsia="黑体" w:hint="eastAsia"/>
          <w:sz w:val="32"/>
          <w:szCs w:val="32"/>
        </w:rPr>
      </w:pPr>
      <w:bookmarkStart w:id="53" w:name="_Toc15396609"/>
      <w:bookmarkStart w:id="54" w:name="_Toc15377215"/>
    </w:p>
    <w:p>
      <w:pPr>
        <w:pageBreakBefore w:val="0"/>
        <w:widowControl w:val="0"/>
        <w:tabs>
          <w:tab w:val="right" w:pos="8306"/>
        </w:tabs>
        <w:kinsoku/>
        <w:wordWrap/>
        <w:overflowPunct/>
        <w:topLinePunct w:val="0"/>
        <w:bidi w:val="0"/>
        <w:spacing w:line="576" w:lineRule="exact"/>
        <w:ind w:firstLineChars="200" w:firstLine="640"/>
        <w:textAlignment w:val="auto"/>
        <w:outlineLvl w:val="1"/>
        <w:rPr>
          <w:rFonts w:ascii="黑体" w:eastAsia="黑体" w:cs="Times New Roman" w:hint="eastAsia"/>
          <w:b w:val="0"/>
          <w:bCs/>
          <w:kern w:val="2"/>
          <w:sz w:val="32"/>
          <w:szCs w:val="32"/>
          <w:lang w:val="en-US" w:eastAsia="zh-CN" w:bidi="ar-SA"/>
        </w:rPr>
      </w:pPr>
      <w:bookmarkStart w:id="55" w:name="_Toc9195"/>
      <w:r>
        <w:rPr>
          <w:rFonts w:ascii="黑体" w:eastAsia="黑体" w:cs="Times New Roman" w:hint="eastAsia"/>
          <w:b w:val="0"/>
          <w:bCs/>
          <w:kern w:val="2"/>
          <w:sz w:val="32"/>
          <w:szCs w:val="32"/>
          <w:lang w:val="en-US" w:eastAsia="zh-CN" w:bidi="ar-SA"/>
        </w:rPr>
        <w:t>七、财政拨款“三公”经费支出决算情况说明</w:t>
      </w:r>
      <w:bookmarkEnd w:id="53"/>
      <w:bookmarkEnd w:id="54"/>
      <w:bookmarkEnd w:id="55"/>
    </w:p>
    <w:p>
      <w:pPr>
        <w:pageBreakBefore w:val="0"/>
        <w:widowControl w:val="0"/>
        <w:kinsoku/>
        <w:wordWrap/>
        <w:overflowPunct/>
        <w:topLinePunct w:val="0"/>
        <w:bidi w:val="0"/>
        <w:spacing w:line="576" w:lineRule="exact"/>
        <w:ind w:firstLineChars="200" w:firstLine="640"/>
        <w:textAlignment w:val="auto"/>
        <w:outlineLvl w:val="2"/>
        <w:rPr>
          <w:rFonts w:ascii="仿宋" w:eastAsia="仿宋"/>
          <w:b/>
          <w:sz w:val="32"/>
          <w:szCs w:val="32"/>
        </w:rPr>
      </w:pPr>
      <w:bookmarkStart w:id="56" w:name="_Toc15377216"/>
      <w:bookmarkStart w:id="57" w:name="_Toc8399"/>
      <w:r>
        <w:rPr>
          <w:rFonts w:ascii="仿宋" w:eastAsia="仿宋" w:hint="eastAsia"/>
          <w:b/>
          <w:sz w:val="32"/>
          <w:szCs w:val="32"/>
        </w:rPr>
        <w:t>（一）“三公”经费财政拨款支出决算总体情况说明</w:t>
      </w:r>
      <w:bookmarkEnd w:id="56"/>
      <w:bookmarkEnd w:id="57"/>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t>2024年度“三公”经费财政拨款支出决算为19.72万元，完成预算100%，较上年度减少4.94万元，下降20.15%。决算数预算数持平。</w:t>
      </w:r>
    </w:p>
    <w:p>
      <w:pPr>
        <w:pageBreakBefore w:val="0"/>
        <w:widowControl w:val="0"/>
        <w:kinsoku/>
        <w:wordWrap/>
        <w:overflowPunct/>
        <w:topLinePunct w:val="0"/>
        <w:bidi w:val="0"/>
        <w:spacing w:line="576" w:lineRule="exact"/>
        <w:ind w:firstLineChars="200" w:firstLine="640"/>
        <w:textAlignment w:val="auto"/>
        <w:outlineLvl w:val="2"/>
        <w:rPr>
          <w:rFonts w:ascii="仿宋" w:eastAsia="仿宋"/>
          <w:b/>
          <w:sz w:val="32"/>
          <w:szCs w:val="32"/>
        </w:rPr>
      </w:pPr>
      <w:bookmarkStart w:id="58" w:name="_Toc15377217"/>
      <w:bookmarkStart w:id="59" w:name="_Toc6079"/>
      <w:r>
        <w:rPr>
          <w:rFonts w:ascii="仿宋" w:eastAsia="仿宋" w:hint="eastAsia"/>
          <w:b/>
          <w:sz w:val="32"/>
          <w:szCs w:val="32"/>
        </w:rPr>
        <w:t>（二）“三公”经费财政拨款支出决算具体情况说明</w:t>
      </w:r>
      <w:bookmarkEnd w:id="58"/>
      <w:bookmarkEnd w:id="59"/>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t>2024年度“三公”经费财政拨款支出决算中，因公出国（境）费支出决算0万元，占0%；公务用车购置及运行维护费支出决算19.72万元，占100%；公务接待费支出决算0万元，占0%。具体情况如下：</w:t>
      </w:r>
    </w:p>
    <w:p>
      <w:pPr>
        <w:pStyle w:val="23"/>
        <w:pageBreakBefore w:val="0"/>
        <w:widowControl w:val="0"/>
        <w:kinsoku/>
        <w:wordWrap/>
        <w:overflowPunct/>
        <w:topLinePunct w:val="0"/>
        <w:bidi w:val="0"/>
        <w:spacing w:line="576" w:lineRule="exact"/>
        <w:ind w:left="420" w:firstLineChars="200" w:firstLine="640"/>
        <w:textAlignment w:val="auto"/>
      </w:pPr>
      <w:r>
        <w:rPr>
          <w:rFonts w:ascii="仿宋" w:eastAsia="仿宋" w:hint="eastAsia"/>
          <w:b/>
          <w:bCs/>
          <w:color w:val="auto"/>
          <w:sz w:val="32"/>
          <w:szCs w:val="32"/>
        </w:rPr>
        <w:drawing>
          <wp:anchor distT="0" distB="0" distL="114300" distR="114300" simplePos="0" relativeHeight="28" behindDoc="0" locked="0" layoutInCell="1" hidden="0" allowOverlap="1">
            <wp:simplePos x="0" y="0"/>
            <wp:positionH relativeFrom="column">
              <wp:posOffset>163195</wp:posOffset>
            </wp:positionH>
            <wp:positionV relativeFrom="paragraph">
              <wp:posOffset>275590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8"/>
              </a:graphicData>
            </a:graphic>
          </wp:anchor>
        </w:drawing>
      </w:r>
    </w:p>
    <w:p>
      <w:pPr>
        <w:pageBreakBefore w:val="0"/>
        <w:widowControl w:val="0"/>
        <w:kinsoku/>
        <w:wordWrap/>
        <w:overflowPunct/>
        <w:topLinePunct w:val="0"/>
        <w:bidi w:val="0"/>
        <w:spacing w:line="576" w:lineRule="exact"/>
        <w:ind w:firstLineChars="200" w:firstLine="640"/>
        <w:textAlignment w:val="auto"/>
        <w:rPr>
          <w:rFonts w:ascii="仿宋" w:eastAsia="仿宋"/>
          <w:sz w:val="32"/>
          <w:szCs w:val="32"/>
        </w:rPr>
      </w:pPr>
      <w:r>
        <w:rPr>
          <w:rFonts w:ascii="仿宋" w:eastAsia="仿宋" w:hint="eastAsia"/>
          <w:sz w:val="32"/>
          <w:szCs w:val="32"/>
        </w:rPr>
        <w:t>（图7：“三公”经费财政拨款支出结构）（饼状图）</w:t>
      </w:r>
    </w:p>
    <w:p>
      <w:pPr>
        <w:pageBreakBefore w:val="0"/>
        <w:widowControl w:val="0"/>
        <w:numPr>
          <w:ilvl w:val="0"/>
          <w:numId w:val="3"/>
        </w:numPr>
        <w:kinsoku/>
        <w:wordWrap/>
        <w:overflowPunct/>
        <w:topLinePunct w:val="0"/>
        <w:bidi w:val="0"/>
        <w:spacing w:line="576" w:lineRule="exact"/>
        <w:ind w:left="0" w:firstLineChars="200" w:firstLine="640"/>
        <w:textAlignment w:val="auto"/>
        <w:rPr>
          <w:rStyle w:val="20"/>
          <w:rFonts w:ascii="仿宋_GB2312" w:eastAsia="仿宋_GB2312" w:cs="仿宋_GB2312" w:hint="eastAsia"/>
          <w:b w:val="0"/>
          <w:bCs/>
          <w:sz w:val="32"/>
          <w:szCs w:val="32"/>
          <w:lang w:val="en-US" w:eastAsia="zh-CN"/>
        </w:rPr>
      </w:pPr>
      <w:r>
        <w:rPr>
          <w:rFonts w:ascii="仿宋_GB2312" w:eastAsia="仿宋_GB2312" w:hint="eastAsia"/>
          <w:b/>
          <w:sz w:val="32"/>
          <w:szCs w:val="32"/>
        </w:rPr>
        <w:t>因公出国（境）经费支出</w:t>
      </w:r>
      <w:r>
        <w:rPr>
          <w:rStyle w:val="20"/>
          <w:rFonts w:ascii="仿宋_GB2312" w:eastAsia="仿宋_GB2312" w:cs="仿宋_GB2312" w:hint="eastAsia"/>
          <w:b w:val="0"/>
          <w:bCs/>
          <w:sz w:val="32"/>
          <w:szCs w:val="32"/>
          <w:lang w:val="en-US" w:eastAsia="zh-CN"/>
        </w:rPr>
        <w:t>0万元，完成预算0%。全年安排因公出国（境）团组0次，出国（境）0人。</w:t>
      </w:r>
    </w:p>
    <w:p>
      <w:pPr>
        <w:pageBreakBefore w:val="0"/>
        <w:widowControl w:val="0"/>
        <w:numPr>
          <w:ilvl w:val="0"/>
          <w:numId w:val="3"/>
        </w:numPr>
        <w:kinsoku/>
        <w:wordWrap/>
        <w:overflowPunct/>
        <w:topLinePunct w:val="0"/>
        <w:bidi w:val="0"/>
        <w:spacing w:line="576" w:lineRule="exact"/>
        <w:ind w:left="0" w:firstLineChars="200" w:firstLine="640"/>
        <w:textAlignment w:val="auto"/>
        <w:rPr>
          <w:rStyle w:val="20"/>
          <w:rFonts w:ascii="仿宋_GB2312" w:eastAsia="仿宋_GB2312" w:cs="仿宋_GB2312" w:hint="eastAsia"/>
          <w:b w:val="0"/>
          <w:bCs/>
          <w:sz w:val="32"/>
          <w:szCs w:val="32"/>
          <w:lang w:val="en-US" w:eastAsia="zh-CN"/>
        </w:rPr>
      </w:pPr>
      <w:r>
        <w:rPr>
          <w:rFonts w:ascii="仿宋_GB2312" w:eastAsia="仿宋_GB2312" w:hint="eastAsia"/>
          <w:b/>
          <w:sz w:val="32"/>
          <w:szCs w:val="32"/>
        </w:rPr>
        <w:t>公务用车购置及运行维护费支出</w:t>
      </w:r>
      <w:r>
        <w:rPr>
          <w:rStyle w:val="20"/>
          <w:rFonts w:ascii="仿宋_GB2312" w:eastAsia="仿宋_GB2312" w:cs="仿宋_GB2312" w:hint="eastAsia"/>
          <w:b w:val="0"/>
          <w:bCs/>
          <w:sz w:val="32"/>
          <w:szCs w:val="32"/>
          <w:lang w:val="en-US" w:eastAsia="zh-CN"/>
        </w:rPr>
        <w:t>19.72万元,完成预算100%。公务用车购置及运行维护费支出决算比2023年度减少4.94万元，下降20.15%。主要原因是2024年公务用车运行维护费预算减少。</w:t>
      </w:r>
    </w:p>
    <w:p>
      <w:pPr>
        <w:pageBreakBefore w:val="0"/>
        <w:widowControl w:val="0"/>
        <w:kinsoku/>
        <w:wordWrap/>
        <w:overflowPunct/>
        <w:topLinePunct w:val="0"/>
        <w:bidi w:val="0"/>
        <w:spacing w:line="576" w:lineRule="exact"/>
        <w:ind w:firstLineChars="200" w:firstLine="640"/>
        <w:textAlignment w:val="auto"/>
        <w:rPr>
          <w:rStyle w:val="20"/>
          <w:rFonts w:ascii="仿宋_GB2312" w:eastAsia="仿宋_GB2312" w:cs="仿宋_GB2312" w:hint="eastAsia"/>
          <w:b w:val="0"/>
          <w:bCs/>
          <w:sz w:val="32"/>
          <w:szCs w:val="32"/>
          <w:lang w:val="en-US" w:eastAsia="zh-CN"/>
        </w:rPr>
      </w:pPr>
      <w:r>
        <w:rPr>
          <w:rFonts w:ascii="仿宋_GB2312" w:eastAsia="仿宋_GB2312" w:hint="eastAsia"/>
          <w:sz w:val="32"/>
          <w:szCs w:val="32"/>
        </w:rPr>
        <w:t>其中：</w:t>
      </w:r>
      <w:r>
        <w:rPr>
          <w:rFonts w:ascii="仿宋_GB2312" w:eastAsia="仿宋_GB2312" w:hint="eastAsia"/>
          <w:b/>
          <w:sz w:val="32"/>
          <w:szCs w:val="32"/>
        </w:rPr>
        <w:t>公务用车购置支出</w:t>
      </w:r>
      <w:r>
        <w:rPr>
          <w:rStyle w:val="20"/>
          <w:rFonts w:ascii="仿宋_GB2312" w:eastAsia="仿宋_GB2312" w:cs="仿宋_GB2312" w:hint="eastAsia"/>
          <w:b w:val="0"/>
          <w:bCs/>
          <w:sz w:val="32"/>
          <w:szCs w:val="32"/>
          <w:lang w:val="en-US" w:eastAsia="zh-CN"/>
        </w:rPr>
        <w:t>0万元。截至2024年12月31日，单位共有公务用车4辆，其中：轿车4辆、越野车0辆、载客汽车0辆。</w:t>
      </w:r>
    </w:p>
    <w:p>
      <w:pPr>
        <w:pageBreakBefore w:val="0"/>
        <w:widowControl w:val="0"/>
        <w:kinsoku/>
        <w:wordWrap/>
        <w:overflowPunct/>
        <w:topLinePunct w:val="0"/>
        <w:bidi w:val="0"/>
        <w:spacing w:line="576" w:lineRule="exact"/>
        <w:ind w:firstLineChars="200" w:firstLine="640"/>
        <w:textAlignment w:val="auto"/>
        <w:rPr>
          <w:rStyle w:val="20"/>
          <w:rFonts w:ascii="仿宋_GB2312" w:eastAsia="仿宋_GB2312" w:cs="仿宋_GB2312" w:hint="eastAsia"/>
          <w:b w:val="0"/>
          <w:bCs/>
          <w:sz w:val="32"/>
          <w:szCs w:val="32"/>
          <w:lang w:val="en-US" w:eastAsia="zh-CN"/>
        </w:rPr>
      </w:pPr>
      <w:r>
        <w:rPr>
          <w:rFonts w:ascii="仿宋_GB2312" w:eastAsia="仿宋_GB2312" w:hint="eastAsia"/>
          <w:b/>
          <w:sz w:val="32"/>
          <w:szCs w:val="32"/>
        </w:rPr>
        <w:t>公务用车运行维护费支出</w:t>
      </w:r>
      <w:r>
        <w:rPr>
          <w:rStyle w:val="20"/>
          <w:rFonts w:ascii="仿宋_GB2312" w:eastAsia="仿宋_GB2312" w:cs="仿宋_GB2312" w:hint="eastAsia"/>
          <w:b w:val="0"/>
          <w:bCs/>
          <w:sz w:val="32"/>
          <w:szCs w:val="32"/>
          <w:lang w:val="en-US" w:eastAsia="zh-CN"/>
        </w:rPr>
        <w:t>19.72万元。主要用于在城区、各乡镇开展执法检查等所需的公务用车燃料费、维修费、过路过桥费、保险费等支出。</w:t>
      </w:r>
    </w:p>
    <w:p>
      <w:pPr>
        <w:pageBreakBefore w:val="0"/>
        <w:widowControl w:val="0"/>
        <w:numPr>
          <w:ilvl w:val="0"/>
          <w:numId w:val="3"/>
        </w:numPr>
        <w:kinsoku/>
        <w:wordWrap/>
        <w:overflowPunct/>
        <w:topLinePunct w:val="0"/>
        <w:bidi w:val="0"/>
        <w:spacing w:line="576" w:lineRule="exact"/>
        <w:ind w:left="0" w:firstLineChars="200" w:firstLine="640"/>
        <w:textAlignment w:val="auto"/>
        <w:outlineLvl w:val="1"/>
        <w:rPr>
          <w:rStyle w:val="20"/>
          <w:rFonts w:ascii="仿宋" w:eastAsia="仿宋" w:hint="eastAsia"/>
          <w:b w:val="0"/>
          <w:bCs/>
          <w:sz w:val="32"/>
          <w:szCs w:val="32"/>
        </w:rPr>
      </w:pPr>
      <w:bookmarkStart w:id="60" w:name="_Toc4361"/>
      <w:r>
        <w:rPr>
          <w:rFonts w:ascii="仿宋_GB2312" w:eastAsia="仿宋_GB2312" w:hint="eastAsia"/>
          <w:b/>
          <w:sz w:val="32"/>
          <w:szCs w:val="32"/>
        </w:rPr>
        <w:t>公务接待费支出</w:t>
      </w:r>
      <w:r>
        <w:rPr>
          <w:rStyle w:val="20"/>
          <w:rFonts w:ascii="仿宋_GB2312" w:eastAsia="仿宋_GB2312" w:cs="仿宋_GB2312" w:hint="eastAsia"/>
          <w:b w:val="0"/>
          <w:bCs/>
          <w:sz w:val="32"/>
          <w:szCs w:val="32"/>
          <w:lang w:val="en-US" w:eastAsia="zh-CN"/>
        </w:rPr>
        <w:t>0万元，完成预算0%。</w:t>
      </w:r>
      <w:bookmarkStart w:id="61" w:name="_Toc15396610"/>
      <w:bookmarkStart w:id="62" w:name="_Toc15377218"/>
      <w:bookmarkEnd w:id="60"/>
    </w:p>
    <w:p>
      <w:pPr>
        <w:pageBreakBefore w:val="0"/>
        <w:widowControl w:val="0"/>
        <w:kinsoku/>
        <w:wordWrap/>
        <w:overflowPunct/>
        <w:topLinePunct w:val="0"/>
        <w:bidi w:val="0"/>
        <w:spacing w:line="576" w:lineRule="exact"/>
        <w:ind w:left="640" w:firstLineChars="200" w:firstLine="640"/>
        <w:textAlignment w:val="auto"/>
        <w:outlineLvl w:val="1"/>
        <w:rPr>
          <w:rStyle w:val="2Char"/>
          <w:rFonts w:ascii="黑体" w:eastAsia="黑体"/>
        </w:rPr>
      </w:pPr>
    </w:p>
    <w:p>
      <w:pPr>
        <w:pageBreakBefore w:val="0"/>
        <w:widowControl w:val="0"/>
        <w:tabs>
          <w:tab w:val="right" w:pos="8306"/>
        </w:tabs>
        <w:kinsoku/>
        <w:wordWrap/>
        <w:overflowPunct/>
        <w:topLinePunct w:val="0"/>
        <w:bidi w:val="0"/>
        <w:spacing w:line="576" w:lineRule="exact"/>
        <w:ind w:firstLineChars="200" w:firstLine="640"/>
        <w:textAlignment w:val="auto"/>
        <w:outlineLvl w:val="1"/>
        <w:rPr>
          <w:rFonts w:ascii="黑体" w:eastAsia="黑体" w:cs="Times New Roman" w:hint="eastAsia"/>
          <w:b w:val="0"/>
          <w:bCs/>
          <w:kern w:val="2"/>
          <w:sz w:val="32"/>
          <w:szCs w:val="32"/>
          <w:lang w:val="en-US" w:eastAsia="zh-CN" w:bidi="ar-SA"/>
        </w:rPr>
      </w:pPr>
      <w:bookmarkStart w:id="63" w:name="_Toc22032"/>
      <w:r>
        <w:rPr>
          <w:rFonts w:ascii="黑体" w:eastAsia="黑体" w:cs="Times New Roman" w:hint="eastAsia"/>
          <w:b w:val="0"/>
          <w:bCs/>
          <w:kern w:val="2"/>
          <w:sz w:val="32"/>
          <w:szCs w:val="32"/>
          <w:lang w:val="en-US" w:eastAsia="zh-CN" w:bidi="ar-SA"/>
        </w:rPr>
        <w:t>八、政府性基金预算支出决算情况说明</w:t>
      </w:r>
      <w:bookmarkEnd w:id="61"/>
      <w:bookmarkEnd w:id="62"/>
      <w:bookmarkEnd w:id="63"/>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64" w:name="_Toc21179"/>
      <w:r>
        <w:rPr>
          <w:rStyle w:val="20"/>
          <w:rFonts w:ascii="仿宋_GB2312" w:eastAsia="仿宋_GB2312" w:cs="仿宋_GB2312" w:hint="eastAsia"/>
          <w:b w:val="0"/>
          <w:bCs/>
          <w:sz w:val="32"/>
          <w:szCs w:val="32"/>
          <w:lang w:val="en-US" w:eastAsia="zh-CN"/>
        </w:rPr>
        <w:t>2024年度政府性基金预算财政拨款支出0万元。</w:t>
      </w:r>
      <w:bookmarkEnd w:id="64"/>
    </w:p>
    <w:p>
      <w:pPr>
        <w:pageBreakBefore w:val="0"/>
        <w:widowControl w:val="0"/>
        <w:tabs>
          <w:tab w:val="right" w:pos="8306"/>
        </w:tabs>
        <w:kinsoku/>
        <w:wordWrap/>
        <w:overflowPunct/>
        <w:topLinePunct w:val="0"/>
        <w:bidi w:val="0"/>
        <w:spacing w:line="576" w:lineRule="exact"/>
        <w:ind w:firstLineChars="200" w:firstLine="640"/>
        <w:textAlignment w:val="auto"/>
        <w:outlineLvl w:val="1"/>
        <w:rPr>
          <w:rFonts w:ascii="黑体" w:eastAsia="黑体" w:cs="Times New Roman" w:hint="eastAsia"/>
          <w:b w:val="0"/>
          <w:bCs/>
          <w:kern w:val="2"/>
          <w:sz w:val="32"/>
          <w:szCs w:val="32"/>
          <w:lang w:val="en-US" w:eastAsia="zh-CN" w:bidi="ar-SA"/>
        </w:rPr>
      </w:pPr>
      <w:bookmarkStart w:id="65" w:name="_Toc15377219"/>
      <w:bookmarkStart w:id="66" w:name="_Toc15396611"/>
      <w:bookmarkStart w:id="67" w:name="_Toc7716"/>
      <w:r>
        <w:rPr>
          <w:rFonts w:ascii="黑体" w:eastAsia="黑体" w:cs="Times New Roman" w:hint="eastAsia"/>
          <w:b w:val="0"/>
          <w:bCs/>
          <w:kern w:val="2"/>
          <w:sz w:val="32"/>
          <w:szCs w:val="32"/>
          <w:lang w:val="en-US" w:eastAsia="zh-CN" w:bidi="ar-SA"/>
        </w:rPr>
        <w:t>九、国有资本经营预算支出决算情况说明</w:t>
      </w:r>
      <w:bookmarkEnd w:id="65"/>
      <w:bookmarkEnd w:id="66"/>
      <w:bookmarkEnd w:id="67"/>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68" w:name="_Toc18838"/>
      <w:r>
        <w:rPr>
          <w:rStyle w:val="20"/>
          <w:rFonts w:ascii="仿宋_GB2312" w:eastAsia="仿宋_GB2312" w:cs="仿宋_GB2312" w:hint="eastAsia"/>
          <w:b w:val="0"/>
          <w:bCs/>
          <w:sz w:val="32"/>
          <w:szCs w:val="32"/>
          <w:lang w:val="en-US" w:eastAsia="zh-CN"/>
        </w:rPr>
        <w:t>2024年度国有资本经营预算财政拨款支出0万元。</w:t>
      </w:r>
      <w:bookmarkEnd w:id="68"/>
    </w:p>
    <w:p>
      <w:pPr>
        <w:pageBreakBefore w:val="0"/>
        <w:widowControl w:val="0"/>
        <w:kinsoku/>
        <w:wordWrap/>
        <w:overflowPunct/>
        <w:topLinePunct w:val="0"/>
        <w:bidi w:val="0"/>
        <w:spacing w:line="576" w:lineRule="exact"/>
        <w:ind w:firstLineChars="200" w:firstLine="880"/>
        <w:jc w:val="center"/>
        <w:textAlignment w:val="auto"/>
        <w:rPr>
          <w:rFonts w:ascii="方正小标宋简体" w:eastAsia="方正小标宋简体" w:cs="方正小标宋简体"/>
          <w:sz w:val="44"/>
          <w:szCs w:val="44"/>
        </w:rPr>
      </w:pPr>
    </w:p>
    <w:p>
      <w:pPr>
        <w:pageBreakBefore w:val="0"/>
        <w:widowControl w:val="0"/>
        <w:tabs>
          <w:tab w:val="right" w:pos="8306"/>
        </w:tabs>
        <w:kinsoku/>
        <w:wordWrap/>
        <w:overflowPunct/>
        <w:topLinePunct w:val="0"/>
        <w:bidi w:val="0"/>
        <w:spacing w:line="576" w:lineRule="exact"/>
        <w:ind w:firstLineChars="200" w:firstLine="640"/>
        <w:textAlignment w:val="auto"/>
        <w:outlineLvl w:val="1"/>
        <w:rPr>
          <w:rFonts w:ascii="黑体" w:eastAsia="黑体" w:cs="Times New Roman" w:hint="eastAsia"/>
          <w:b w:val="0"/>
          <w:bCs/>
          <w:kern w:val="2"/>
          <w:sz w:val="32"/>
          <w:szCs w:val="32"/>
          <w:lang w:val="en-US" w:eastAsia="zh-CN" w:bidi="ar-SA"/>
        </w:rPr>
      </w:pPr>
      <w:bookmarkStart w:id="69" w:name="_Toc15377221"/>
      <w:bookmarkStart w:id="70" w:name="_Toc26731"/>
      <w:bookmarkStart w:id="71" w:name="_Toc15396612"/>
      <w:r>
        <w:rPr>
          <w:rFonts w:ascii="黑体" w:eastAsia="黑体" w:cs="Times New Roman" w:hint="eastAsia"/>
          <w:b w:val="0"/>
          <w:bCs/>
          <w:kern w:val="2"/>
          <w:sz w:val="32"/>
          <w:szCs w:val="32"/>
          <w:lang w:val="en-US" w:eastAsia="zh-CN" w:bidi="ar-SA"/>
        </w:rPr>
        <w:t>十、其他重要事项的情况说明</w:t>
      </w:r>
      <w:bookmarkEnd w:id="69"/>
      <w:bookmarkEnd w:id="70"/>
      <w:bookmarkEnd w:id="71"/>
    </w:p>
    <w:p>
      <w:pPr>
        <w:pageBreakBefore w:val="0"/>
        <w:widowControl w:val="0"/>
        <w:kinsoku/>
        <w:wordWrap/>
        <w:overflowPunct/>
        <w:topLinePunct w:val="0"/>
        <w:bidi w:val="0"/>
        <w:spacing w:line="576" w:lineRule="exact"/>
        <w:ind w:firstLineChars="200" w:firstLine="640"/>
        <w:textAlignment w:val="auto"/>
        <w:outlineLvl w:val="2"/>
        <w:rPr>
          <w:rFonts w:ascii="仿宋" w:eastAsia="仿宋"/>
          <w:sz w:val="32"/>
          <w:szCs w:val="32"/>
        </w:rPr>
      </w:pPr>
      <w:bookmarkStart w:id="72" w:name="_Toc15377222"/>
      <w:bookmarkStart w:id="73" w:name="_Toc2528"/>
      <w:r>
        <w:rPr>
          <w:rFonts w:ascii="仿宋" w:eastAsia="仿宋" w:hint="eastAsia"/>
          <w:b/>
          <w:sz w:val="32"/>
          <w:szCs w:val="32"/>
        </w:rPr>
        <w:t>（一）机关运行经费支出情况</w:t>
      </w:r>
      <w:bookmarkEnd w:id="72"/>
      <w:bookmarkEnd w:id="73"/>
    </w:p>
    <w:p>
      <w:pPr>
        <w:pageBreakBefore w:val="0"/>
        <w:widowControl w:val="0"/>
        <w:kinsoku/>
        <w:wordWrap/>
        <w:overflowPunct/>
        <w:topLinePunct w:val="0"/>
        <w:bidi w:val="0"/>
        <w:spacing w:line="576" w:lineRule="exact"/>
        <w:ind w:firstLineChars="200" w:firstLine="640"/>
        <w:jc w:val="left"/>
        <w:textAlignment w:val="auto"/>
        <w:rPr>
          <w:rFonts w:ascii="仿宋_GB2312" w:eastAsia="仿宋_GB2312" w:cs="仿宋_GB2312" w:hint="eastAsia"/>
          <w:sz w:val="32"/>
          <w:szCs w:val="32"/>
        </w:rPr>
      </w:pPr>
      <w:bookmarkStart w:id="74" w:name="_Toc18263"/>
      <w:r>
        <w:rPr>
          <w:rStyle w:val="20"/>
          <w:rFonts w:ascii="仿宋_GB2312" w:eastAsia="仿宋_GB2312" w:cs="仿宋_GB2312" w:hint="eastAsia"/>
          <w:b w:val="0"/>
          <w:bCs/>
          <w:sz w:val="32"/>
          <w:szCs w:val="32"/>
          <w:lang w:val="en-US" w:eastAsia="zh-CN"/>
        </w:rPr>
        <w:t>2024年度，阿坝州金川县综合行政执法局机关运行经费支出1139.65万元，</w:t>
      </w:r>
      <w:bookmarkEnd w:id="74"/>
      <w:r>
        <w:rPr>
          <w:rStyle w:val="20"/>
          <w:rFonts w:ascii="仿宋_GB2312" w:eastAsia="仿宋_GB2312" w:cs="仿宋_GB2312" w:hint="eastAsia"/>
          <w:b w:val="0"/>
          <w:bCs/>
          <w:sz w:val="32"/>
          <w:szCs w:val="32"/>
          <w:lang w:val="en-US" w:eastAsia="zh-CN"/>
        </w:rPr>
        <w:t>较上年</w:t>
      </w:r>
      <w:r>
        <w:rPr>
          <w:rFonts w:ascii="仿宋_GB2312" w:eastAsia="仿宋_GB2312" w:cs="仿宋_GB2312" w:hint="eastAsia"/>
          <w:sz w:val="32"/>
          <w:szCs w:val="32"/>
          <w:lang w:eastAsia="zh-CN"/>
        </w:rPr>
        <w:t>增加</w:t>
      </w:r>
      <w:r>
        <w:rPr>
          <w:rFonts w:ascii="仿宋_GB2312" w:eastAsia="仿宋_GB2312" w:cs="仿宋_GB2312" w:hint="eastAsia"/>
          <w:sz w:val="32"/>
          <w:szCs w:val="32"/>
          <w:lang w:val="en-US" w:eastAsia="zh-CN"/>
        </w:rPr>
        <w:t>69.22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上升</w:t>
      </w:r>
      <w:r>
        <w:rPr>
          <w:rFonts w:ascii="仿宋_GB2312" w:eastAsia="仿宋_GB2312" w:cs="仿宋_GB2312" w:hint="eastAsia"/>
          <w:sz w:val="32"/>
          <w:szCs w:val="32"/>
          <w:lang w:val="en-US" w:eastAsia="zh-CN"/>
        </w:rPr>
        <w:t>6.47</w:t>
      </w:r>
      <w:r>
        <w:rPr>
          <w:rFonts w:ascii="仿宋_GB2312" w:eastAsia="仿宋_GB2312" w:cs="仿宋_GB2312" w:hint="eastAsia"/>
          <w:sz w:val="32"/>
          <w:szCs w:val="32"/>
        </w:rPr>
        <w:t>%。主要变动原因是</w:t>
      </w:r>
      <w:r>
        <w:rPr>
          <w:rFonts w:ascii="仿宋_GB2312" w:eastAsia="仿宋_GB2312" w:cs="仿宋_GB2312" w:hint="eastAsia"/>
          <w:color w:val="000000"/>
          <w:spacing w:val="-2"/>
          <w:sz w:val="32"/>
          <w:szCs w:val="32"/>
        </w:rPr>
        <w:t>202</w:t>
      </w:r>
      <w:r>
        <w:rPr>
          <w:rFonts w:ascii="仿宋_GB2312" w:eastAsia="仿宋_GB2312" w:cs="仿宋_GB2312" w:hint="eastAsia"/>
          <w:color w:val="000000"/>
          <w:spacing w:val="-2"/>
          <w:sz w:val="32"/>
          <w:szCs w:val="32"/>
          <w:lang w:val="en-US" w:eastAsia="zh-CN"/>
        </w:rPr>
        <w:t>4</w:t>
      </w:r>
      <w:r>
        <w:rPr>
          <w:rFonts w:ascii="仿宋_GB2312" w:eastAsia="仿宋_GB2312" w:cs="仿宋_GB2312" w:hint="eastAsia"/>
          <w:color w:val="000000"/>
          <w:spacing w:val="-2"/>
          <w:sz w:val="32"/>
          <w:szCs w:val="32"/>
        </w:rPr>
        <w:t>年人员</w:t>
      </w:r>
      <w:r>
        <w:rPr>
          <w:rFonts w:ascii="仿宋_GB2312" w:eastAsia="仿宋_GB2312" w:cs="仿宋_GB2312" w:hint="eastAsia"/>
          <w:color w:val="000000"/>
          <w:spacing w:val="-2"/>
          <w:sz w:val="32"/>
          <w:szCs w:val="32"/>
          <w:lang w:eastAsia="zh-CN"/>
        </w:rPr>
        <w:t>变</w:t>
      </w:r>
      <w:r>
        <w:rPr>
          <w:rFonts w:ascii="仿宋_GB2312" w:eastAsia="仿宋_GB2312" w:cs="仿宋_GB2312" w:hint="eastAsia"/>
          <w:color w:val="000000"/>
          <w:spacing w:val="-2"/>
          <w:sz w:val="32"/>
          <w:szCs w:val="32"/>
        </w:rPr>
        <w:t>动及正常调资</w:t>
      </w:r>
      <w:r>
        <w:rPr>
          <w:rFonts w:ascii="仿宋_GB2312" w:eastAsia="仿宋_GB2312" w:cs="仿宋_GB2312" w:hint="eastAsia"/>
          <w:sz w:val="32"/>
          <w:szCs w:val="32"/>
        </w:rPr>
        <w:t>。</w:t>
      </w: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p>
    <w:p>
      <w:pPr>
        <w:pageBreakBefore w:val="0"/>
        <w:widowControl w:val="0"/>
        <w:kinsoku/>
        <w:wordWrap/>
        <w:overflowPunct/>
        <w:topLinePunct w:val="0"/>
        <w:autoSpaceDE w:val="0"/>
        <w:autoSpaceDN w:val="0"/>
        <w:bidi w:val="0"/>
        <w:adjustRightInd w:val="0"/>
        <w:spacing w:line="576" w:lineRule="exact"/>
        <w:ind w:firstLineChars="200" w:firstLine="640"/>
        <w:jc w:val="left"/>
        <w:textAlignment w:val="auto"/>
        <w:outlineLvl w:val="2"/>
        <w:rPr>
          <w:rFonts w:ascii="仿宋" w:eastAsia="仿宋"/>
          <w:b/>
          <w:sz w:val="32"/>
          <w:szCs w:val="32"/>
        </w:rPr>
      </w:pPr>
      <w:bookmarkStart w:id="75" w:name="_Toc15377223"/>
      <w:bookmarkStart w:id="76" w:name="_Toc5727"/>
      <w:r>
        <w:rPr>
          <w:rFonts w:ascii="仿宋" w:eastAsia="仿宋" w:hint="eastAsia"/>
          <w:b/>
          <w:sz w:val="32"/>
          <w:szCs w:val="32"/>
        </w:rPr>
        <w:t>（二）政府采购支出情况</w:t>
      </w:r>
      <w:bookmarkEnd w:id="75"/>
      <w:bookmarkEnd w:id="76"/>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77" w:name="_Toc3122"/>
      <w:r>
        <w:rPr>
          <w:rStyle w:val="20"/>
          <w:rFonts w:ascii="仿宋_GB2312" w:eastAsia="仿宋_GB2312" w:cs="仿宋_GB2312" w:hint="eastAsia"/>
          <w:b w:val="0"/>
          <w:bCs/>
          <w:sz w:val="32"/>
          <w:szCs w:val="32"/>
          <w:lang w:val="en-US" w:eastAsia="zh-CN"/>
        </w:rPr>
        <w:t>2024年度，阿坝州金川县综合行政执法局政府采购支出总额0万元，其中：政府采购货物支出0万元、政府采购工程支出0万元、政府采购服务支出0万元。。授予中小企业合同金额0万元，占政府采购支出总额的0%</w:t>
      </w:r>
      <w:bookmarkEnd w:id="77"/>
    </w:p>
    <w:p>
      <w:pPr>
        <w:pageBreakBefore w:val="0"/>
        <w:widowControl w:val="0"/>
        <w:kinsoku/>
        <w:wordWrap/>
        <w:overflowPunct/>
        <w:topLinePunct w:val="0"/>
        <w:autoSpaceDE w:val="0"/>
        <w:autoSpaceDN w:val="0"/>
        <w:bidi w:val="0"/>
        <w:adjustRightInd w:val="0"/>
        <w:spacing w:line="576" w:lineRule="exact"/>
        <w:ind w:firstLineChars="200" w:firstLine="640"/>
        <w:jc w:val="left"/>
        <w:textAlignment w:val="auto"/>
        <w:outlineLvl w:val="2"/>
        <w:rPr>
          <w:rFonts w:ascii="仿宋" w:eastAsia="仿宋"/>
          <w:b/>
          <w:sz w:val="32"/>
          <w:szCs w:val="32"/>
        </w:rPr>
      </w:pPr>
      <w:bookmarkStart w:id="78" w:name="_Toc22120"/>
      <w:bookmarkStart w:id="79" w:name="_Toc15377224"/>
      <w:r>
        <w:rPr>
          <w:rFonts w:ascii="仿宋" w:eastAsia="仿宋" w:hint="eastAsia"/>
          <w:b/>
          <w:sz w:val="32"/>
          <w:szCs w:val="32"/>
        </w:rPr>
        <w:t>（三）国有资产占有使用情况</w:t>
      </w:r>
      <w:bookmarkEnd w:id="78"/>
      <w:bookmarkEnd w:id="79"/>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0" w:name="_Toc14178"/>
      <w:r>
        <w:rPr>
          <w:rStyle w:val="20"/>
          <w:rFonts w:ascii="仿宋_GB2312" w:eastAsia="仿宋_GB2312" w:cs="仿宋_GB2312" w:hint="eastAsia"/>
          <w:b w:val="0"/>
          <w:bCs/>
          <w:sz w:val="32"/>
          <w:szCs w:val="32"/>
          <w:lang w:val="en-US" w:eastAsia="zh-CN"/>
        </w:rPr>
        <w:t>截至2024年12月31日，阿坝州金川县综合行政执法局共有车辆4辆，其中：主要领导干部用车0辆、其他用车4辆，其他用车主要是用于城区及各乡镇开展会自发检查。单价100万元以上设备（不含车辆）0台。</w:t>
      </w:r>
      <w:bookmarkEnd w:id="80"/>
    </w:p>
    <w:p>
      <w:pPr>
        <w:pageBreakBefore w:val="0"/>
        <w:widowControl w:val="0"/>
        <w:kinsoku/>
        <w:wordWrap/>
        <w:overflowPunct/>
        <w:topLinePunct w:val="0"/>
        <w:autoSpaceDE w:val="0"/>
        <w:autoSpaceDN w:val="0"/>
        <w:bidi w:val="0"/>
        <w:adjustRightInd w:val="0"/>
        <w:spacing w:line="576" w:lineRule="exact"/>
        <w:ind w:firstLineChars="200" w:firstLine="640"/>
        <w:jc w:val="left"/>
        <w:textAlignment w:val="auto"/>
        <w:outlineLvl w:val="2"/>
        <w:rPr>
          <w:rFonts w:ascii="仿宋" w:eastAsia="仿宋"/>
          <w:b/>
          <w:sz w:val="32"/>
          <w:szCs w:val="32"/>
        </w:rPr>
      </w:pPr>
      <w:bookmarkStart w:id="81" w:name="_Toc19853"/>
      <w:r>
        <w:rPr>
          <w:rFonts w:ascii="仿宋" w:eastAsia="仿宋" w:hint="eastAsia"/>
          <w:b/>
          <w:sz w:val="32"/>
          <w:szCs w:val="32"/>
        </w:rPr>
        <w:t>（四）预算绩效管理情况</w:t>
      </w:r>
      <w:bookmarkEnd w:id="81"/>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2" w:name="_Toc14325"/>
      <w:r>
        <w:rPr>
          <w:rStyle w:val="20"/>
          <w:rFonts w:ascii="仿宋_GB2312" w:eastAsia="仿宋_GB2312" w:cs="仿宋_GB2312" w:hint="eastAsia"/>
          <w:b w:val="0"/>
          <w:bCs/>
          <w:sz w:val="32"/>
          <w:szCs w:val="32"/>
          <w:lang w:val="en-US" w:eastAsia="zh-CN"/>
        </w:rPr>
        <w:t>根据预算绩效管理要求，本部门在2024年度预算编制阶段，组织对2024年执法专项经费项目开展了预算事前绩效评估，对1个项目编制了绩效目标，预算执行过程中，选取1个项目开展绩效监控。</w:t>
      </w:r>
      <w:bookmarkEnd w:id="82"/>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3" w:name="_Toc10616"/>
      <w:r>
        <w:rPr>
          <w:rStyle w:val="20"/>
          <w:rFonts w:ascii="仿宋_GB2312" w:eastAsia="仿宋_GB2312" w:cs="仿宋_GB2312" w:hint="eastAsia"/>
          <w:b w:val="0"/>
          <w:bCs/>
          <w:sz w:val="32"/>
          <w:szCs w:val="32"/>
          <w:lang w:val="en-US" w:eastAsia="zh-CN"/>
        </w:rPr>
        <w:t>组织对2024年度一般公共预算、政府性基金预算、国有资本经营预算、社会保险基金预算以及资本资产、债券资金等全面开展绩效自评，形成金川县综合行政执法局2024年部门整体绩效自评报告，金川县综合行政执法局2024年部门整体绩效自评报告绩效自评得分为95分，绩效自评综述：</w:t>
      </w:r>
      <w:r>
        <w:rPr>
          <w:rStyle w:val="20"/>
          <w:rFonts w:ascii="仿宋_GB2312" w:eastAsia="仿宋_GB2312" w:cs="仿宋_GB2312"/>
          <w:b w:val="0"/>
          <w:bCs/>
          <w:sz w:val="32"/>
          <w:szCs w:val="32"/>
          <w:lang w:val="en-US" w:eastAsia="zh-CN"/>
        </w:rPr>
        <w:t>我局认真地完成了202</w:t>
      </w:r>
      <w:r>
        <w:rPr>
          <w:rStyle w:val="20"/>
          <w:rFonts w:ascii="仿宋_GB2312" w:eastAsia="仿宋_GB2312" w:cs="仿宋_GB2312" w:hint="eastAsia"/>
          <w:b w:val="0"/>
          <w:bCs/>
          <w:sz w:val="32"/>
          <w:szCs w:val="32"/>
          <w:lang w:val="en-US" w:eastAsia="zh-CN"/>
        </w:rPr>
        <w:t>4</w:t>
      </w:r>
      <w:r>
        <w:rPr>
          <w:rStyle w:val="20"/>
          <w:rFonts w:ascii="仿宋_GB2312" w:eastAsia="仿宋_GB2312" w:cs="仿宋_GB2312"/>
          <w:b w:val="0"/>
          <w:bCs/>
          <w:sz w:val="32"/>
          <w:szCs w:val="32"/>
          <w:lang w:val="en-US" w:eastAsia="zh-CN"/>
        </w:rPr>
        <w:t>年部门预算汇总工作，财务管理和会计基础工作日益完善。部门基本支出预算，保障了机关日常正常运转，认真履行部门职能职责，圆满完成了县委、县政府下达的各项业务目标任务</w:t>
      </w:r>
      <w:r>
        <w:rPr>
          <w:rStyle w:val="20"/>
          <w:rFonts w:ascii="仿宋_GB2312" w:eastAsia="仿宋_GB2312" w:cs="仿宋_GB2312" w:hint="eastAsia"/>
          <w:b w:val="0"/>
          <w:bCs/>
          <w:sz w:val="32"/>
          <w:szCs w:val="32"/>
          <w:lang w:val="en-US" w:eastAsia="zh-CN"/>
        </w:rPr>
        <w:t>；2024年执法专项经费预算项目绩效自评得分为80分，绩效自评综述：</w:t>
      </w:r>
      <w:r>
        <w:rPr>
          <w:rStyle w:val="20"/>
          <w:rFonts w:ascii="仿宋_GB2312" w:eastAsia="仿宋_GB2312" w:cs="仿宋_GB2312" w:hint="eastAsia"/>
          <w:b w:val="0"/>
          <w:bCs/>
          <w:sz w:val="32"/>
          <w:szCs w:val="32"/>
          <w:lang w:val="zh-CN" w:eastAsia="zh-CN"/>
        </w:rPr>
        <w:t>项目完成预期目标，实施结果与绩效目标相匹配，反映目标实现率</w:t>
      </w:r>
      <w:r>
        <w:rPr>
          <w:rStyle w:val="20"/>
          <w:rFonts w:ascii="仿宋_GB2312" w:eastAsia="仿宋_GB2312" w:cs="仿宋_GB2312" w:hint="eastAsia"/>
          <w:b w:val="0"/>
          <w:bCs/>
          <w:sz w:val="32"/>
          <w:szCs w:val="32"/>
          <w:lang w:val="en-US" w:eastAsia="zh-CN"/>
        </w:rPr>
        <w:t>100%</w:t>
      </w:r>
      <w:r>
        <w:rPr>
          <w:rStyle w:val="20"/>
          <w:rFonts w:ascii="仿宋_GB2312" w:eastAsia="仿宋_GB2312" w:cs="仿宋_GB2312" w:hint="eastAsia"/>
          <w:b w:val="0"/>
          <w:bCs/>
          <w:sz w:val="32"/>
          <w:szCs w:val="32"/>
          <w:lang w:val="zh-CN" w:eastAsia="zh-CN"/>
        </w:rPr>
        <w:t>，项目实际完成时间与计划完成时间的比较差异率为</w:t>
      </w:r>
      <w:r>
        <w:rPr>
          <w:rStyle w:val="20"/>
          <w:rFonts w:ascii="仿宋_GB2312" w:eastAsia="仿宋_GB2312" w:cs="仿宋_GB2312" w:hint="eastAsia"/>
          <w:b w:val="0"/>
          <w:bCs/>
          <w:sz w:val="32"/>
          <w:szCs w:val="32"/>
          <w:lang w:val="en-US" w:eastAsia="zh-CN"/>
        </w:rPr>
        <w:t>0%。绩效自评报告详见附件。</w:t>
      </w:r>
      <w:bookmarkEnd w:id="83"/>
    </w:p>
    <w:p>
      <w:pPr>
        <w:pStyle w:val="1"/>
        <w:keepNext/>
        <w:keepLines/>
        <w:pageBreakBefore w:val="0"/>
        <w:widowControl w:val="0"/>
        <w:kinsoku/>
        <w:wordWrap/>
        <w:overflowPunct/>
        <w:topLinePunct w:val="0"/>
        <w:bidi w:val="0"/>
        <w:spacing w:line="576" w:lineRule="exact"/>
        <w:ind w:firstLineChars="200" w:firstLine="880"/>
        <w:jc w:val="center"/>
        <w:textAlignment w:val="auto"/>
      </w:pPr>
      <w:bookmarkStart w:id="84" w:name="_Toc23661"/>
      <w:r>
        <w:rPr>
          <w:rFonts w:hint="eastAsia"/>
        </w:rPr>
        <w:t>第三部分 名词解释</w:t>
      </w:r>
      <w:bookmarkEnd w:id="84"/>
    </w:p>
    <w:p>
      <w:pPr>
        <w:pageBreakBefore w:val="0"/>
        <w:widowControl w:val="0"/>
        <w:kinsoku/>
        <w:wordWrap/>
        <w:overflowPunct/>
        <w:topLinePunct w:val="0"/>
        <w:bidi w:val="0"/>
        <w:spacing w:line="576" w:lineRule="exact"/>
        <w:ind w:firstLineChars="200" w:firstLine="420"/>
        <w:textAlignment w:val="auto"/>
      </w:pP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5" w:name="_Toc8189"/>
      <w:r>
        <w:rPr>
          <w:rFonts w:ascii="仿宋_GB2312仿宋_GB2312" w:eastAsia="仿宋_GB2312仿宋_GB2312" w:hint="eastAsia"/>
          <w:sz w:val="32"/>
          <w:szCs w:val="32"/>
        </w:rPr>
        <w:t>1.</w:t>
      </w:r>
      <w:r>
        <w:rPr>
          <w:rStyle w:val="20"/>
          <w:rFonts w:ascii="仿宋_GB2312" w:eastAsia="仿宋_GB2312" w:cs="仿宋_GB2312" w:hint="eastAsia"/>
          <w:b w:val="0"/>
          <w:bCs/>
          <w:sz w:val="32"/>
          <w:szCs w:val="32"/>
          <w:lang w:val="en-US" w:eastAsia="zh-CN"/>
        </w:rPr>
        <w:t>财政拨款收入：指单位从同级财政部门取得的财政预算资金。</w:t>
      </w:r>
      <w:bookmarkEnd w:id="85"/>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6" w:name="_Toc10030"/>
      <w:r>
        <w:rPr>
          <w:rStyle w:val="20"/>
          <w:rFonts w:ascii="仿宋_GB2312" w:eastAsia="仿宋_GB2312" w:cs="仿宋_GB2312" w:hint="eastAsia"/>
          <w:b w:val="0"/>
          <w:bCs/>
          <w:sz w:val="32"/>
          <w:szCs w:val="32"/>
          <w:lang w:val="en-US" w:eastAsia="zh-CN"/>
        </w:rPr>
        <w:t>2.事业收入：指事业单位开展专业业务活动及辅助活动取得的收入。</w:t>
      </w:r>
      <w:bookmarkEnd w:id="86"/>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7" w:name="_Toc9837"/>
      <w:r>
        <w:rPr>
          <w:rStyle w:val="20"/>
          <w:rFonts w:ascii="仿宋_GB2312" w:eastAsia="仿宋_GB2312" w:cs="仿宋_GB2312" w:hint="eastAsia"/>
          <w:b w:val="0"/>
          <w:bCs/>
          <w:sz w:val="32"/>
          <w:szCs w:val="32"/>
          <w:lang w:val="en-US" w:eastAsia="zh-CN"/>
        </w:rPr>
        <w:t>3.经营收入：指事业单位在专业业务活动及其辅助活动之外开展非独立核算经营活动取得的收入。</w:t>
      </w:r>
      <w:bookmarkEnd w:id="87"/>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8" w:name="_Toc2797"/>
      <w:r>
        <w:rPr>
          <w:rStyle w:val="20"/>
          <w:rFonts w:ascii="仿宋_GB2312" w:eastAsia="仿宋_GB2312" w:cs="仿宋_GB2312" w:hint="eastAsia"/>
          <w:b w:val="0"/>
          <w:bCs/>
          <w:sz w:val="32"/>
          <w:szCs w:val="32"/>
          <w:lang w:val="en-US" w:eastAsia="zh-CN"/>
        </w:rPr>
        <w:t>4.其他收入：指单位取得的除上述收入以外的各项收入。</w:t>
      </w:r>
      <w:bookmarkEnd w:id="88"/>
      <w:r>
        <w:rPr>
          <w:rStyle w:val="20"/>
          <w:rFonts w:ascii="仿宋_GB2312" w:eastAsia="仿宋_GB2312" w:cs="仿宋_GB2312" w:hint="eastAsia"/>
          <w:b w:val="0"/>
          <w:bCs/>
          <w:sz w:val="32"/>
          <w:szCs w:val="32"/>
          <w:lang w:val="en-US" w:eastAsia="zh-CN"/>
        </w:rPr>
        <w:t xml:space="preserve"> </w:t>
      </w: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89" w:name="_Toc5282"/>
      <w:r>
        <w:rPr>
          <w:rStyle w:val="20"/>
          <w:rFonts w:ascii="仿宋_GB2312" w:eastAsia="仿宋_GB2312" w:cs="仿宋_GB2312" w:hint="eastAsia"/>
          <w:b w:val="0"/>
          <w:bCs/>
          <w:sz w:val="32"/>
          <w:szCs w:val="32"/>
          <w:lang w:val="en-US" w:eastAsia="zh-CN"/>
        </w:rPr>
        <w:t>5.使用非财政拨款结余（含专用结余）：指事业单位使用以前年度积累的非财政拨款结余弥补当年收支差额的金额。</w:t>
      </w:r>
      <w:bookmarkEnd w:id="89"/>
      <w:r>
        <w:rPr>
          <w:rStyle w:val="20"/>
          <w:rFonts w:ascii="仿宋_GB2312" w:eastAsia="仿宋_GB2312" w:cs="仿宋_GB2312" w:hint="eastAsia"/>
          <w:b w:val="0"/>
          <w:bCs/>
          <w:sz w:val="32"/>
          <w:szCs w:val="32"/>
          <w:lang w:val="en-US" w:eastAsia="zh-CN"/>
        </w:rPr>
        <w:t xml:space="preserve"> </w:t>
      </w: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0" w:name="_Toc30745"/>
      <w:r>
        <w:rPr>
          <w:rStyle w:val="20"/>
          <w:rFonts w:ascii="仿宋_GB2312" w:eastAsia="仿宋_GB2312" w:cs="仿宋_GB2312" w:hint="eastAsia"/>
          <w:b w:val="0"/>
          <w:bCs/>
          <w:sz w:val="32"/>
          <w:szCs w:val="32"/>
          <w:lang w:val="en-US" w:eastAsia="zh-CN"/>
        </w:rPr>
        <w:t>6.年初结转和结余：指以前年度尚未完成、结转到本年按有关规定继续使用的资金。</w:t>
      </w:r>
      <w:bookmarkEnd w:id="90"/>
      <w:r>
        <w:rPr>
          <w:rStyle w:val="20"/>
          <w:rFonts w:ascii="仿宋_GB2312" w:eastAsia="仿宋_GB2312" w:cs="仿宋_GB2312" w:hint="eastAsia"/>
          <w:b w:val="0"/>
          <w:bCs/>
          <w:sz w:val="32"/>
          <w:szCs w:val="32"/>
          <w:lang w:val="en-US" w:eastAsia="zh-CN"/>
        </w:rPr>
        <w:t xml:space="preserve"> </w:t>
      </w: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1" w:name="_Toc6502"/>
      <w:r>
        <w:rPr>
          <w:rStyle w:val="20"/>
          <w:rFonts w:ascii="仿宋_GB2312" w:eastAsia="仿宋_GB2312" w:cs="仿宋_GB2312" w:hint="eastAsia"/>
          <w:b w:val="0"/>
          <w:bCs/>
          <w:sz w:val="32"/>
          <w:szCs w:val="32"/>
          <w:lang w:val="en-US" w:eastAsia="zh-CN"/>
        </w:rPr>
        <w:t>7.结余分配：指事业单位按照会计制度规定缴纳的所得税、提取的专用结余以及转入非财政拨款结余的金额等。</w:t>
      </w:r>
      <w:bookmarkEnd w:id="91"/>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2" w:name="_Toc10776"/>
      <w:r>
        <w:rPr>
          <w:rStyle w:val="20"/>
          <w:rFonts w:ascii="仿宋_GB2312" w:eastAsia="仿宋_GB2312" w:cs="仿宋_GB2312" w:hint="eastAsia"/>
          <w:b w:val="0"/>
          <w:bCs/>
          <w:sz w:val="32"/>
          <w:szCs w:val="32"/>
          <w:lang w:val="en-US" w:eastAsia="zh-CN"/>
        </w:rPr>
        <w:t>8.年末结转和结余：指单位按有关规定结转到下年或以后年度继续使用的资金。</w:t>
      </w:r>
      <w:bookmarkEnd w:id="92"/>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3" w:name="_Toc21284"/>
      <w:r>
        <w:rPr>
          <w:rStyle w:val="20"/>
          <w:rFonts w:ascii="仿宋_GB2312" w:eastAsia="仿宋_GB2312" w:cs="仿宋_GB2312" w:hint="eastAsia"/>
          <w:b w:val="0"/>
          <w:bCs/>
          <w:sz w:val="32"/>
          <w:szCs w:val="32"/>
          <w:lang w:val="en-US" w:eastAsia="zh-CN"/>
        </w:rPr>
        <w:t>9.文化旅游体育与传媒（类）文化与体育（款)行政运行（项）：反映行政单位（包括实行公务员管理的事业单位）的基本支出。</w:t>
      </w:r>
      <w:bookmarkEnd w:id="93"/>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t xml:space="preserve"> </w:t>
      </w:r>
      <w:bookmarkStart w:id="94" w:name="_Toc23493"/>
      <w:r>
        <w:rPr>
          <w:rStyle w:val="20"/>
          <w:rFonts w:ascii="仿宋_GB2312" w:eastAsia="仿宋_GB2312" w:cs="仿宋_GB2312" w:hint="eastAsia"/>
          <w:b w:val="0"/>
          <w:bCs/>
          <w:sz w:val="32"/>
          <w:szCs w:val="32"/>
          <w:lang w:val="en-US" w:eastAsia="zh-CN"/>
        </w:rPr>
        <w:t>10.文化旅游体育与传媒（类）文化与体育（款)机关服务（项）：反映为行政单位（包括实行公务员管理的事业单位）提供后勤服务的各类后勤服务中心。</w:t>
      </w:r>
      <w:bookmarkEnd w:id="94"/>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5" w:name="_Toc14082"/>
      <w:r>
        <w:rPr>
          <w:rStyle w:val="20"/>
          <w:rFonts w:ascii="仿宋_GB2312" w:eastAsia="仿宋_GB2312" w:cs="仿宋_GB2312" w:hint="eastAsia"/>
          <w:b w:val="0"/>
          <w:bCs/>
          <w:sz w:val="32"/>
          <w:szCs w:val="32"/>
          <w:lang w:val="en-US" w:eastAsia="zh-CN"/>
        </w:rPr>
        <w:t>11.社会保障和就业（类）行政事业单位养老支出（款）行政事业单位养老保险缴费支出（项）：指为单位职工缴纳基本养老保险费。</w:t>
      </w:r>
      <w:bookmarkEnd w:id="95"/>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6" w:name="_Toc1180"/>
      <w:r>
        <w:rPr>
          <w:rStyle w:val="20"/>
          <w:rFonts w:ascii="仿宋_GB2312" w:eastAsia="仿宋_GB2312" w:cs="仿宋_GB2312" w:hint="eastAsia"/>
          <w:b w:val="0"/>
          <w:bCs/>
          <w:sz w:val="32"/>
          <w:szCs w:val="32"/>
          <w:lang w:val="en-US" w:eastAsia="zh-CN"/>
        </w:rPr>
        <w:t>12.社会保障和就业（类）行政事业单位养老支出（款）行政事业职业年金缴费支出（项）：指为单位职工缴纳职业年金费。</w:t>
      </w:r>
      <w:bookmarkEnd w:id="96"/>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7" w:name="_Toc461"/>
      <w:r>
        <w:rPr>
          <w:rStyle w:val="20"/>
          <w:rFonts w:ascii="仿宋_GB2312" w:eastAsia="仿宋_GB2312" w:cs="仿宋_GB2312" w:hint="eastAsia"/>
          <w:b w:val="0"/>
          <w:bCs/>
          <w:sz w:val="32"/>
          <w:szCs w:val="32"/>
          <w:lang w:val="en-US" w:eastAsia="zh-CN"/>
        </w:rPr>
        <w:t>13.卫生健康（类）行政事业单位医疗（款）行政单位医疗（项）：指为单位行政人员缴纳基本医疗保险。</w:t>
      </w:r>
      <w:bookmarkEnd w:id="97"/>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8" w:name="_Toc3179"/>
      <w:r>
        <w:rPr>
          <w:rStyle w:val="20"/>
          <w:rFonts w:ascii="仿宋_GB2312" w:eastAsia="仿宋_GB2312" w:cs="仿宋_GB2312" w:hint="eastAsia"/>
          <w:b w:val="0"/>
          <w:bCs/>
          <w:sz w:val="32"/>
          <w:szCs w:val="32"/>
          <w:lang w:val="en-US" w:eastAsia="zh-CN"/>
        </w:rPr>
        <w:t>14.卫生健康（类）行政事业单位医疗（款）事业单位医疗（项）：指为单位事业人员缴纳基本医疗保险。</w:t>
      </w:r>
      <w:bookmarkEnd w:id="98"/>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99" w:name="_Toc2411"/>
      <w:r>
        <w:rPr>
          <w:rStyle w:val="20"/>
          <w:rFonts w:ascii="仿宋_GB2312" w:eastAsia="仿宋_GB2312" w:cs="仿宋_GB2312" w:hint="eastAsia"/>
          <w:b w:val="0"/>
          <w:bCs/>
          <w:sz w:val="32"/>
          <w:szCs w:val="32"/>
          <w:lang w:val="en-US" w:eastAsia="zh-CN"/>
        </w:rPr>
        <w:t>15.卫生健康（类）行政事业单位医疗（款）公务员医疗补助（项）：指为单位人员缴纳公务员医疗补助保险。</w:t>
      </w:r>
      <w:bookmarkEnd w:id="99"/>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0" w:name="_Toc4496"/>
      <w:r>
        <w:rPr>
          <w:rStyle w:val="20"/>
          <w:rFonts w:ascii="仿宋_GB2312" w:eastAsia="仿宋_GB2312" w:cs="仿宋_GB2312" w:hint="eastAsia"/>
          <w:b w:val="0"/>
          <w:bCs/>
          <w:sz w:val="32"/>
          <w:szCs w:val="32"/>
          <w:lang w:val="en-US" w:eastAsia="zh-CN"/>
        </w:rPr>
        <w:t>16.住房保障（类）住房改革支出（款）和住房公积金（项）：指为单位职工缴纳住房公积金。</w:t>
      </w:r>
      <w:bookmarkEnd w:id="100"/>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1" w:name="_Toc15014"/>
      <w:r>
        <w:rPr>
          <w:rStyle w:val="20"/>
          <w:rFonts w:ascii="仿宋_GB2312" w:eastAsia="仿宋_GB2312" w:cs="仿宋_GB2312" w:hint="eastAsia"/>
          <w:b w:val="0"/>
          <w:bCs/>
          <w:sz w:val="32"/>
          <w:szCs w:val="32"/>
          <w:lang w:val="en-US" w:eastAsia="zh-CN"/>
        </w:rPr>
        <w:t>17.基本支出：指为保障机构正常运转、完成日常工作任务而发生的人员支出和公用支出。</w:t>
      </w:r>
      <w:bookmarkEnd w:id="101"/>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2" w:name="_Toc32256"/>
      <w:r>
        <w:rPr>
          <w:rStyle w:val="20"/>
          <w:rFonts w:ascii="仿宋_GB2312" w:eastAsia="仿宋_GB2312" w:cs="仿宋_GB2312" w:hint="eastAsia"/>
          <w:b w:val="0"/>
          <w:bCs/>
          <w:sz w:val="32"/>
          <w:szCs w:val="32"/>
          <w:lang w:val="en-US" w:eastAsia="zh-CN"/>
        </w:rPr>
        <w:t>18.项目支出：指在基本支出之外为完成特定行政任务和事业发展目标所发生的支出。</w:t>
      </w:r>
      <w:bookmarkEnd w:id="102"/>
      <w:r>
        <w:rPr>
          <w:rStyle w:val="20"/>
          <w:rFonts w:ascii="仿宋_GB2312" w:eastAsia="仿宋_GB2312" w:cs="仿宋_GB2312" w:hint="eastAsia"/>
          <w:b w:val="0"/>
          <w:bCs/>
          <w:sz w:val="32"/>
          <w:szCs w:val="32"/>
          <w:lang w:val="en-US" w:eastAsia="zh-CN"/>
        </w:rPr>
        <w:t xml:space="preserve"> </w:t>
      </w:r>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3" w:name="_Toc11923"/>
      <w:r>
        <w:rPr>
          <w:rStyle w:val="20"/>
          <w:rFonts w:ascii="仿宋_GB2312" w:eastAsia="仿宋_GB2312" w:cs="仿宋_GB2312" w:hint="eastAsia"/>
          <w:b w:val="0"/>
          <w:bCs/>
          <w:sz w:val="32"/>
          <w:szCs w:val="32"/>
          <w:lang w:val="en-US" w:eastAsia="zh-CN"/>
        </w:rPr>
        <w:t>19.经营支出：指事业单位在专业业务活动及其辅助活动之外开展非独立核算经营活动发生的支出。</w:t>
      </w:r>
      <w:bookmarkEnd w:id="103"/>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4" w:name="_Toc18859"/>
      <w:r>
        <w:rPr>
          <w:rStyle w:val="20"/>
          <w:rFonts w:ascii="仿宋_GB2312" w:eastAsia="仿宋_GB2312" w:cs="仿宋_GB2312" w:hint="eastAsia"/>
          <w:b w:val="0"/>
          <w:bCs/>
          <w:sz w:val="32"/>
          <w:szCs w:val="32"/>
          <w:lang w:val="en-US" w:eastAsia="zh-CN"/>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bookmarkEnd w:id="104"/>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bookmarkStart w:id="105" w:name="_Toc23517"/>
      <w:r>
        <w:rPr>
          <w:rStyle w:val="20"/>
          <w:rFonts w:ascii="仿宋_GB2312" w:eastAsia="仿宋_GB2312" w:cs="仿宋_GB2312" w:hint="eastAsia"/>
          <w:b w:val="0"/>
          <w:bCs/>
          <w:sz w:val="32"/>
          <w:szCs w:val="32"/>
          <w:lang w:val="en-US" w:eastAsia="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End w:id="105"/>
    </w:p>
    <w:p>
      <w:pPr>
        <w:pageBreakBefore w:val="0"/>
        <w:widowControl w:val="0"/>
        <w:kinsoku/>
        <w:wordWrap/>
        <w:overflowPunct/>
        <w:topLinePunct w:val="0"/>
        <w:bidi w:val="0"/>
        <w:spacing w:line="576" w:lineRule="exact"/>
        <w:ind w:left="640" w:firstLineChars="200" w:firstLine="640"/>
        <w:textAlignment w:val="auto"/>
        <w:outlineLvl w:val="1"/>
        <w:rPr>
          <w:rStyle w:val="20"/>
          <w:rFonts w:ascii="仿宋_GB2312" w:eastAsia="仿宋_GB2312" w:cs="仿宋_GB2312" w:hint="eastAsia"/>
          <w:b w:val="0"/>
          <w:bCs/>
          <w:sz w:val="32"/>
          <w:szCs w:val="32"/>
          <w:lang w:val="en-US" w:eastAsia="zh-CN"/>
        </w:rPr>
      </w:pPr>
      <w:r>
        <w:rPr>
          <w:rStyle w:val="20"/>
          <w:rFonts w:ascii="仿宋_GB2312" w:eastAsia="仿宋_GB2312" w:cs="仿宋_GB2312" w:hint="eastAsia"/>
          <w:b w:val="0"/>
          <w:bCs/>
          <w:sz w:val="32"/>
          <w:szCs w:val="32"/>
          <w:lang w:val="en-US" w:eastAsia="zh-CN"/>
        </w:rPr>
        <w:br w:type="page"/>
      </w:r>
    </w:p>
    <w:p>
      <w:pPr>
        <w:pStyle w:val="1"/>
        <w:keepNext/>
        <w:keepLines/>
        <w:pageBreakBefore w:val="0"/>
        <w:widowControl w:val="0"/>
        <w:numPr>
          <w:ilvl w:val="0"/>
          <w:numId w:val="4"/>
        </w:numPr>
        <w:kinsoku/>
        <w:wordWrap/>
        <w:overflowPunct/>
        <w:topLinePunct w:val="0"/>
        <w:bidi w:val="0"/>
        <w:spacing w:line="576" w:lineRule="exact"/>
        <w:ind w:left="0" w:firstLineChars="200" w:firstLine="880"/>
        <w:jc w:val="center"/>
        <w:textAlignment w:val="auto"/>
        <w:rPr>
          <w:rFonts w:hint="eastAsia"/>
          <w:lang w:val="en-US" w:eastAsia="zh-CN"/>
        </w:rPr>
      </w:pPr>
      <w:r>
        <w:rPr>
          <w:rFonts w:hint="eastAsia"/>
          <w:lang w:val="en-US" w:eastAsia="zh-CN"/>
        </w:rPr>
        <w:t>附件</w:t>
      </w:r>
    </w:p>
    <w:p>
      <w:pPr>
        <w:pageBreakBefore w:val="0"/>
        <w:widowControl w:val="0"/>
        <w:tabs>
          <w:tab w:val="right" w:pos="8306"/>
        </w:tabs>
        <w:kinsoku/>
        <w:wordWrap/>
        <w:overflowPunct/>
        <w:topLinePunct w:val="0"/>
        <w:bidi w:val="0"/>
        <w:spacing w:line="576" w:lineRule="exact"/>
        <w:textAlignment w:val="auto"/>
        <w:outlineLvl w:val="1"/>
        <w:rPr>
          <w:rFonts w:ascii="黑体" w:eastAsia="黑体" w:cs="Times New Roman" w:hint="eastAsia"/>
          <w:b/>
          <w:bCs w:val="0"/>
          <w:kern w:val="2"/>
          <w:sz w:val="32"/>
          <w:szCs w:val="32"/>
          <w:lang w:val="en-US" w:eastAsia="zh-CN" w:bidi="ar-SA"/>
        </w:rPr>
      </w:pPr>
      <w:r>
        <w:rPr>
          <w:rFonts w:ascii="黑体" w:eastAsia="黑体" w:cs="Times New Roman" w:hint="eastAsia"/>
          <w:b/>
          <w:bCs w:val="0"/>
          <w:kern w:val="2"/>
          <w:sz w:val="32"/>
          <w:szCs w:val="32"/>
          <w:lang w:val="en-US" w:eastAsia="zh-CN" w:bidi="ar-SA"/>
        </w:rPr>
        <w:t>一、2024年部门预算绩效评价报告</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ascii="Times New Roman" w:eastAsia="方正小标宋简体" w:cs="Times New Roman" w:hAnsi="Times New Roman"/>
          <w:sz w:val="44"/>
          <w:szCs w:val="44"/>
          <w:lang w:val="en-US" w:eastAsia="zh-CN"/>
        </w:rPr>
      </w:pPr>
      <w:r>
        <w:rPr>
          <w:rFonts w:ascii="Times New Roman" w:eastAsia="方正小标宋简体" w:cs="Times New Roman" w:hAnsi="Times New Roman"/>
          <w:sz w:val="44"/>
          <w:szCs w:val="44"/>
          <w:lang w:val="en-US" w:eastAsia="zh-CN"/>
        </w:rPr>
        <w:t>金川县综合行政执法局</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ascii="Times New Roman" w:eastAsia="方正小标宋简体" w:cs="Times New Roman" w:hAnsi="Times New Roman"/>
          <w:color w:val="000000"/>
          <w:sz w:val="44"/>
          <w:szCs w:val="44"/>
          <w:lang w:eastAsia="zh-CN"/>
        </w:rPr>
      </w:pPr>
      <w:r>
        <w:rPr>
          <w:rFonts w:ascii="Times New Roman" w:eastAsia="方正小标宋简体" w:cs="Times New Roman" w:hAnsi="Times New Roman"/>
          <w:color w:val="000000"/>
          <w:sz w:val="44"/>
          <w:szCs w:val="44"/>
        </w:rPr>
        <w:t>20</w:t>
      </w:r>
      <w:r>
        <w:rPr>
          <w:rFonts w:ascii="Times New Roman" w:eastAsia="方正小标宋简体" w:cs="Times New Roman" w:hAnsi="Times New Roman"/>
          <w:color w:val="000000"/>
          <w:sz w:val="44"/>
          <w:szCs w:val="44"/>
          <w:lang w:val="en-US" w:eastAsia="zh-CN"/>
        </w:rPr>
        <w:t>2</w:t>
      </w:r>
      <w:r>
        <w:rPr>
          <w:rFonts w:eastAsia="方正小标宋简体" w:cs="Times New Roman" w:hint="eastAsia"/>
          <w:color w:val="000000"/>
          <w:sz w:val="44"/>
          <w:szCs w:val="44"/>
          <w:lang w:val="en-US" w:eastAsia="zh-CN"/>
        </w:rPr>
        <w:t>4</w:t>
      </w:r>
      <w:r>
        <w:rPr>
          <w:rFonts w:ascii="Times New Roman" w:eastAsia="方正小标宋简体" w:cs="Times New Roman" w:hAnsi="Times New Roman"/>
          <w:color w:val="000000"/>
          <w:sz w:val="44"/>
          <w:szCs w:val="44"/>
        </w:rPr>
        <w:t>年部门</w:t>
      </w:r>
      <w:r>
        <w:rPr>
          <w:rFonts w:ascii="Times New Roman" w:eastAsia="方正小标宋简体" w:cs="Times New Roman" w:hAnsi="Times New Roman"/>
          <w:color w:val="000000"/>
          <w:sz w:val="44"/>
          <w:szCs w:val="44"/>
          <w:lang w:eastAsia="zh-CN"/>
        </w:rPr>
        <w:t>预算绩效评价报告</w:t>
      </w:r>
    </w:p>
    <w:p>
      <w:pPr>
        <w:pageBreakBefore w:val="0"/>
        <w:widowControl/>
        <w:kinsoku/>
        <w:wordWrap/>
        <w:overflowPunct/>
        <w:topLinePunct w:val="0"/>
        <w:bidi w:val="0"/>
        <w:adjustRightInd w:val="0"/>
        <w:snapToGrid w:val="0"/>
        <w:spacing w:line="560" w:lineRule="exact"/>
        <w:ind w:firstLineChars="200" w:firstLine="880"/>
        <w:jc w:val="left"/>
        <w:textAlignment w:val="auto"/>
        <w:rPr>
          <w:rFonts w:ascii="Times New Roman" w:eastAsia="仿宋_GB2312" w:cs="Times New Roman" w:hAnsi="Times New Roman"/>
          <w:color w:val="000000"/>
          <w:kern w:val="0"/>
          <w:sz w:val="44"/>
          <w:szCs w:val="44"/>
        </w:rPr>
      </w:pPr>
    </w:p>
    <w:p>
      <w:pPr>
        <w:keepNext w:val="0"/>
        <w:keepLines w:val="0"/>
        <w:pageBreakBefore w:val="0"/>
        <w:widowControl/>
        <w:kinsoku/>
        <w:wordWrap/>
        <w:overflowPunct/>
        <w:topLinePunct w:val="0"/>
        <w:bidi w:val="0"/>
        <w:adjustRightInd w:val="0"/>
        <w:snapToGrid w:val="0"/>
        <w:spacing w:afterAutospacing="0" w:line="576" w:lineRule="exact"/>
        <w:ind w:firstLineChars="200" w:firstLine="640"/>
        <w:jc w:val="left"/>
        <w:textAlignment w:val="auto"/>
        <w:rPr>
          <w:rFonts w:ascii="Times New Roman" w:eastAsia="仿宋_GB2312" w:cs="Times New Roman" w:hAnsi="Times New Roman"/>
          <w:b w:val="0"/>
          <w:bCs w:val="0"/>
          <w:color w:val="auto"/>
          <w:sz w:val="32"/>
          <w:szCs w:val="32"/>
        </w:rPr>
      </w:pPr>
      <w:r>
        <w:rPr>
          <w:rFonts w:ascii="Times New Roman" w:eastAsia="仿宋_GB2312" w:cs="Times New Roman" w:hAnsi="Times New Roman"/>
          <w:color w:val="000000"/>
          <w:kern w:val="0"/>
          <w:sz w:val="32"/>
          <w:szCs w:val="32"/>
        </w:rPr>
        <w:t>根据《金川县财政局关于开展202</w:t>
      </w:r>
      <w:r>
        <w:rPr>
          <w:rFonts w:cs="Times New Roman" w:hint="eastAsia"/>
          <w:color w:val="000000"/>
          <w:kern w:val="0"/>
          <w:sz w:val="32"/>
          <w:szCs w:val="32"/>
          <w:lang w:val="en-US" w:eastAsia="zh-CN"/>
        </w:rPr>
        <w:t>4</w:t>
      </w:r>
      <w:r>
        <w:rPr>
          <w:rFonts w:ascii="Times New Roman" w:eastAsia="仿宋_GB2312" w:cs="Times New Roman" w:hAnsi="Times New Roman"/>
          <w:color w:val="000000"/>
          <w:kern w:val="0"/>
          <w:sz w:val="32"/>
          <w:szCs w:val="32"/>
        </w:rPr>
        <w:t>年</w:t>
      </w:r>
      <w:r>
        <w:rPr>
          <w:rFonts w:ascii="Times New Roman" w:eastAsia="仿宋_GB2312" w:cs="Times New Roman" w:hAnsi="Times New Roman"/>
          <w:color w:val="000000"/>
          <w:kern w:val="0"/>
          <w:sz w:val="32"/>
          <w:szCs w:val="32"/>
          <w:lang w:eastAsia="zh-CN"/>
        </w:rPr>
        <w:t>县级部门</w:t>
      </w:r>
      <w:r>
        <w:rPr>
          <w:rFonts w:ascii="Times New Roman" w:eastAsia="仿宋_GB2312" w:cs="Times New Roman" w:hAnsi="Times New Roman"/>
          <w:color w:val="000000"/>
          <w:kern w:val="0"/>
          <w:sz w:val="32"/>
          <w:szCs w:val="32"/>
        </w:rPr>
        <w:t>绩效</w:t>
      </w:r>
      <w:r>
        <w:rPr>
          <w:rFonts w:ascii="Times New Roman" w:eastAsia="仿宋_GB2312" w:cs="Times New Roman" w:hAnsi="Times New Roman"/>
          <w:color w:val="000000"/>
          <w:kern w:val="0"/>
          <w:sz w:val="32"/>
          <w:szCs w:val="32"/>
          <w:lang w:eastAsia="zh-CN"/>
        </w:rPr>
        <w:t>自评</w:t>
      </w:r>
      <w:r>
        <w:rPr>
          <w:rFonts w:ascii="Times New Roman" w:eastAsia="仿宋_GB2312" w:cs="Times New Roman" w:hAnsi="Times New Roman"/>
          <w:color w:val="000000"/>
          <w:kern w:val="0"/>
          <w:sz w:val="32"/>
          <w:szCs w:val="32"/>
        </w:rPr>
        <w:t>工作的通知》（金财监绩〔202</w:t>
      </w:r>
      <w:r>
        <w:rPr>
          <w:rFonts w:cs="Times New Roman" w:hint="eastAsia"/>
          <w:color w:val="000000"/>
          <w:kern w:val="0"/>
          <w:sz w:val="32"/>
          <w:szCs w:val="32"/>
          <w:lang w:val="en-US" w:eastAsia="zh-CN"/>
        </w:rPr>
        <w:t>5</w:t>
      </w:r>
      <w:r>
        <w:rPr>
          <w:rFonts w:ascii="Times New Roman" w:eastAsia="仿宋_GB2312" w:cs="Times New Roman" w:hAnsi="Times New Roman"/>
          <w:color w:val="000000"/>
          <w:kern w:val="0"/>
          <w:sz w:val="32"/>
          <w:szCs w:val="32"/>
        </w:rPr>
        <w:t>〕</w:t>
      </w:r>
      <w:r>
        <w:rPr>
          <w:rFonts w:ascii="Times New Roman" w:eastAsia="仿宋_GB2312" w:cs="Times New Roman" w:hAnsi="Times New Roman"/>
          <w:color w:val="000000"/>
          <w:kern w:val="0"/>
          <w:sz w:val="32"/>
          <w:szCs w:val="32"/>
          <w:lang w:val="en-US" w:eastAsia="zh-CN"/>
        </w:rPr>
        <w:t>35</w:t>
      </w:r>
      <w:r>
        <w:rPr>
          <w:rFonts w:ascii="Times New Roman" w:eastAsia="仿宋_GB2312" w:cs="Times New Roman" w:hAnsi="Times New Roman"/>
          <w:color w:val="000000"/>
          <w:kern w:val="0"/>
          <w:sz w:val="32"/>
          <w:szCs w:val="32"/>
        </w:rPr>
        <w:t>号）文件要求，结合本单位的实际涉及到部门整体支出绩效评价工作，我</w:t>
      </w:r>
      <w:r>
        <w:rPr>
          <w:rFonts w:ascii="Times New Roman" w:eastAsia="仿宋_GB2312" w:cs="Times New Roman" w:hAnsi="Times New Roman"/>
          <w:color w:val="000000"/>
          <w:kern w:val="0"/>
          <w:sz w:val="32"/>
          <w:szCs w:val="32"/>
          <w:lang w:eastAsia="zh-CN"/>
        </w:rPr>
        <w:t>局立即</w:t>
      </w:r>
      <w:r>
        <w:rPr>
          <w:rFonts w:ascii="Times New Roman" w:eastAsia="仿宋_GB2312" w:cs="Times New Roman" w:hAnsi="Times New Roman"/>
          <w:color w:val="000000"/>
          <w:kern w:val="0"/>
          <w:sz w:val="32"/>
          <w:szCs w:val="32"/>
        </w:rPr>
        <w:t>认真开展部门整体支出绩效自评工作，现将202</w:t>
      </w:r>
      <w:r>
        <w:rPr>
          <w:rFonts w:cs="Times New Roman" w:hint="eastAsia"/>
          <w:color w:val="000000"/>
          <w:kern w:val="0"/>
          <w:sz w:val="32"/>
          <w:szCs w:val="32"/>
          <w:lang w:val="en-US" w:eastAsia="zh-CN"/>
        </w:rPr>
        <w:t>4</w:t>
      </w:r>
      <w:r>
        <w:rPr>
          <w:rFonts w:ascii="Times New Roman" w:eastAsia="仿宋_GB2312" w:cs="Times New Roman" w:hAnsi="Times New Roman"/>
          <w:color w:val="000000"/>
          <w:kern w:val="0"/>
          <w:sz w:val="32"/>
          <w:szCs w:val="32"/>
        </w:rPr>
        <w:t>年部门预算支出绩效自评工作报告如下：</w:t>
      </w:r>
    </w:p>
    <w:p>
      <w:pPr>
        <w:pStyle w:val="24"/>
        <w:keepNext w:val="0"/>
        <w:keepLines w:val="0"/>
        <w:pageBreakBefore w:val="0"/>
        <w:widowControl w:val="0"/>
        <w:kinsoku/>
        <w:wordWrap/>
        <w:overflowPunct/>
        <w:topLinePunct w:val="0"/>
        <w:autoSpaceDE w:val="0"/>
        <w:autoSpaceDN w:val="0"/>
        <w:bidi w:val="0"/>
        <w:spacing w:afterAutospacing="0" w:line="576" w:lineRule="exact"/>
        <w:ind w:firstLineChars="200" w:firstLine="640"/>
        <w:textAlignment w:val="auto"/>
        <w:rPr>
          <w:rFonts w:ascii="Times New Roman" w:eastAsia="仿宋_GB2312" w:cs="Times New Roman" w:hAnsi="Times New Roman"/>
          <w:b w:val="0"/>
          <w:bCs w:val="0"/>
          <w:color w:val="auto"/>
          <w:sz w:val="32"/>
          <w:szCs w:val="32"/>
          <w:lang w:val="zh-CN"/>
        </w:rPr>
      </w:pPr>
      <w:r>
        <w:rPr>
          <w:rFonts w:ascii="Times New Roman" w:eastAsia="黑体" w:cs="Times New Roman" w:hAnsi="Times New Roman"/>
          <w:b w:val="0"/>
          <w:bCs w:val="0"/>
          <w:color w:val="auto"/>
          <w:sz w:val="32"/>
          <w:szCs w:val="32"/>
        </w:rPr>
        <w:t>一、</w:t>
      </w:r>
      <w:r>
        <w:rPr>
          <w:rFonts w:ascii="Times New Roman" w:eastAsia="黑体" w:cs="Times New Roman" w:hAnsi="Times New Roman"/>
          <w:b w:val="0"/>
          <w:bCs w:val="0"/>
          <w:color w:val="auto"/>
          <w:sz w:val="32"/>
          <w:szCs w:val="32"/>
          <w:lang w:val="zh-CN"/>
        </w:rPr>
        <w:t>部门（单位）概况</w:t>
      </w:r>
    </w:p>
    <w:p>
      <w:pPr>
        <w:pStyle w:val="24"/>
        <w:keepNext w:val="0"/>
        <w:keepLines w:val="0"/>
        <w:pageBreakBefore w:val="0"/>
        <w:widowControl w:val="0"/>
        <w:kinsoku/>
        <w:wordWrap/>
        <w:overflowPunct/>
        <w:topLinePunct w:val="0"/>
        <w:autoSpaceDE w:val="0"/>
        <w:autoSpaceDN w:val="0"/>
        <w:bidi w:val="0"/>
        <w:spacing w:afterAutospacing="0" w:line="576" w:lineRule="exact"/>
        <w:ind w:firstLineChars="200" w:firstLine="640"/>
        <w:textAlignment w:val="auto"/>
        <w:rPr>
          <w:rFonts w:ascii="Times New Roman" w:eastAsia="楷体_GB2312" w:cs="Times New Roman" w:hAnsi="Times New Roman"/>
          <w:b/>
          <w:bCs/>
          <w:color w:val="auto"/>
          <w:sz w:val="32"/>
          <w:szCs w:val="32"/>
          <w:lang w:val="zh-CN"/>
        </w:rPr>
      </w:pPr>
      <w:r>
        <w:rPr>
          <w:rFonts w:ascii="Times New Roman" w:eastAsia="楷体_GB2312" w:cs="Times New Roman" w:hAnsi="Times New Roman"/>
          <w:b/>
          <w:bCs/>
          <w:color w:val="auto"/>
          <w:sz w:val="32"/>
          <w:szCs w:val="32"/>
          <w:lang w:val="zh-CN"/>
        </w:rPr>
        <w:t>（一）机构组成</w:t>
      </w:r>
    </w:p>
    <w:p>
      <w:pPr>
        <w:pStyle w:val="24"/>
        <w:keepNext w:val="0"/>
        <w:keepLines w:val="0"/>
        <w:pageBreakBefore w:val="0"/>
        <w:widowControl w:val="0"/>
        <w:kinsoku/>
        <w:wordWrap/>
        <w:overflowPunct/>
        <w:topLinePunct w:val="0"/>
        <w:autoSpaceDE w:val="0"/>
        <w:autoSpaceDN w:val="0"/>
        <w:bidi w:val="0"/>
        <w:spacing w:afterAutospacing="0" w:line="576" w:lineRule="exact"/>
        <w:ind w:firstLineChars="200" w:firstLine="640"/>
        <w:textAlignment w:val="auto"/>
        <w:rPr>
          <w:rFonts w:ascii="Times New Roman" w:eastAsia="楷体_GB2312" w:cs="Times New Roman" w:hAnsi="Times New Roman"/>
          <w:b w:val="0"/>
          <w:bCs w:val="0"/>
          <w:color w:val="auto"/>
          <w:sz w:val="32"/>
          <w:szCs w:val="32"/>
          <w:lang w:val="en-US" w:eastAsia="zh-CN"/>
        </w:rPr>
      </w:pPr>
      <w:r>
        <w:rPr>
          <w:rFonts w:ascii="Times New Roman" w:eastAsia="楷体_GB2312" w:cs="Times New Roman" w:hAnsi="Times New Roman"/>
          <w:b w:val="0"/>
          <w:bCs w:val="0"/>
          <w:color w:val="auto"/>
          <w:sz w:val="32"/>
          <w:szCs w:val="32"/>
          <w:lang w:val="zh-CN"/>
        </w:rPr>
        <w:t>我局于</w:t>
      </w:r>
      <w:r>
        <w:rPr>
          <w:rFonts w:ascii="Times New Roman" w:eastAsia="楷体_GB2312" w:cs="Times New Roman" w:hAnsi="Times New Roman"/>
          <w:b w:val="0"/>
          <w:bCs w:val="0"/>
          <w:color w:val="auto"/>
          <w:sz w:val="32"/>
          <w:szCs w:val="32"/>
          <w:lang w:val="en-US" w:eastAsia="zh-CN"/>
        </w:rPr>
        <w:t>2019年成立，内设1个机构。</w:t>
      </w:r>
    </w:p>
    <w:p>
      <w:pPr>
        <w:pStyle w:val="24"/>
        <w:keepNext w:val="0"/>
        <w:keepLines w:val="0"/>
        <w:pageBreakBefore w:val="0"/>
        <w:widowControl w:val="0"/>
        <w:kinsoku/>
        <w:wordWrap/>
        <w:overflowPunct/>
        <w:topLinePunct w:val="0"/>
        <w:autoSpaceDE w:val="0"/>
        <w:autoSpaceDN w:val="0"/>
        <w:bidi w:val="0"/>
        <w:spacing w:afterAutospacing="0" w:line="576" w:lineRule="exact"/>
        <w:ind w:firstLineChars="200" w:firstLine="640"/>
        <w:textAlignment w:val="auto"/>
        <w:rPr>
          <w:rFonts w:ascii="Times New Roman" w:eastAsia="楷体_GB2312" w:cs="Times New Roman" w:hAnsi="Times New Roman"/>
          <w:b/>
          <w:bCs/>
          <w:color w:val="auto"/>
          <w:sz w:val="32"/>
          <w:szCs w:val="32"/>
          <w:lang w:val="en-US" w:eastAsia="zh-CN"/>
        </w:rPr>
      </w:pPr>
      <w:r>
        <w:rPr>
          <w:rFonts w:ascii="Times New Roman" w:eastAsia="楷体_GB2312" w:cs="Times New Roman" w:hAnsi="Times New Roman"/>
          <w:b/>
          <w:bCs/>
          <w:color w:val="auto"/>
          <w:sz w:val="32"/>
          <w:szCs w:val="32"/>
          <w:lang w:val="zh-CN"/>
        </w:rPr>
        <w:t>（二）机构职能</w:t>
      </w:r>
      <w:r>
        <w:rPr>
          <w:rFonts w:ascii="Times New Roman" w:eastAsia="楷体_GB2312" w:cs="Times New Roman" w:hAnsi="Times New Roman"/>
          <w:b/>
          <w:bCs/>
          <w:color w:val="auto"/>
          <w:sz w:val="32"/>
          <w:szCs w:val="32"/>
          <w:lang w:val="en-US" w:eastAsia="zh-CN"/>
        </w:rPr>
        <w:t>职责</w:t>
      </w:r>
    </w:p>
    <w:p>
      <w:pPr>
        <w:keepNext w:val="0"/>
        <w:keepLines w:val="0"/>
        <w:pageBreakBefore w:val="0"/>
        <w:widowControl/>
        <w:suppressLineNumbers w:val="0"/>
        <w:kinsoku/>
        <w:wordWrap/>
        <w:overflowPunct/>
        <w:topLinePunct w:val="0"/>
        <w:autoSpaceDE w:val="0"/>
        <w:autoSpaceDN/>
        <w:bidi w:val="0"/>
        <w:spacing w:afterAutospacing="0" w:line="576" w:lineRule="exact"/>
        <w:ind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rPr>
        <w:t>1.履行政治领导责任，做好理论武装和思想政治工作，负责学习、宣传、贯彻执行党的理论和路线方针政策，贯彻落实党中央、省委、州委、县委的决策部署，发挥好把方向、管大局、保落实的重要作用。</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rPr>
        <w:t>2.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工作、重大项目安排、大额资金使用等事项。基层党组织和党员队伍建设方面的重要事项。意识形态工作、思想政治工作和精神文明建设方面的重要事项。党风廉政建设和反腐败工作方面的重要事项。其他应当由党组讨论和决定的重大问题。</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rPr>
        <w:t>3.贯彻党管干部原则，加强干部队伍建设，完善干部培养选拔机制，加强干部教育管理监督。贯彻党管人才原则，加强人才队伍建设。加强对本单位工会、共青团、妇联等群团工作的领导。</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rPr>
        <w:t>4.履行党要管党、从严治党责任，加强对本单位党的建设的领导，落实党建工作责任制。认真履行党风廉政建设主体责任，支持纪检监察机构履行监督责任。</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jc w:val="left"/>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5.</w:t>
      </w:r>
      <w:r>
        <w:rPr>
          <w:rFonts w:ascii="Times New Roman" w:eastAsia="仿宋_GB2312" w:cs="Times New Roman" w:hAnsi="Times New Roman"/>
          <w:b w:val="0"/>
          <w:bCs w:val="0"/>
          <w:color w:val="auto"/>
          <w:kern w:val="0"/>
          <w:sz w:val="32"/>
          <w:szCs w:val="32"/>
        </w:rPr>
        <w:t>宣传贯彻执行国家和省、州、县有关综合行政执法的政策法规；组织起草有关综合行政执法的规范性文件。</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jc w:val="left"/>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6.</w:t>
      </w:r>
      <w:r>
        <w:rPr>
          <w:rFonts w:ascii="Times New Roman" w:eastAsia="仿宋_GB2312" w:cs="Times New Roman" w:hAnsi="Times New Roman"/>
          <w:b w:val="0"/>
          <w:bCs w:val="0"/>
          <w:color w:val="auto"/>
          <w:kern w:val="0"/>
          <w:sz w:val="32"/>
          <w:szCs w:val="32"/>
        </w:rPr>
        <w:t>负责受理违法综合行政执法方面法律、法规和规章行为的举报、投诉或部门移送的案件线索。</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jc w:val="left"/>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7.</w:t>
      </w:r>
      <w:r>
        <w:rPr>
          <w:rFonts w:ascii="Times New Roman" w:eastAsia="仿宋_GB2312" w:cs="Times New Roman" w:hAnsi="Times New Roman"/>
          <w:b w:val="0"/>
          <w:bCs w:val="0"/>
          <w:color w:val="auto"/>
          <w:kern w:val="0"/>
          <w:sz w:val="32"/>
          <w:szCs w:val="32"/>
        </w:rPr>
        <w:t>负责对综合行政执法的指导、协调、监督。</w:t>
      </w:r>
    </w:p>
    <w:p>
      <w:pPr>
        <w:keepNext w:val="0"/>
        <w:keepLines w:val="0"/>
        <w:pageBreakBefore w:val="0"/>
        <w:widowControl/>
        <w:suppressLineNumbers w:val="0"/>
        <w:kinsoku/>
        <w:wordWrap/>
        <w:overflowPunct/>
        <w:topLinePunct w:val="0"/>
        <w:autoSpaceDE w:val="0"/>
        <w:autoSpaceDN/>
        <w:bidi w:val="0"/>
        <w:spacing w:afterAutospacing="0" w:line="576" w:lineRule="exact"/>
        <w:ind w:left="0" w:righ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8.</w:t>
      </w:r>
      <w:r>
        <w:rPr>
          <w:rFonts w:ascii="Times New Roman" w:eastAsia="仿宋_GB2312" w:cs="Times New Roman" w:hAnsi="Times New Roman"/>
          <w:b w:val="0"/>
          <w:bCs w:val="0"/>
          <w:color w:val="auto"/>
          <w:kern w:val="0"/>
          <w:sz w:val="32"/>
          <w:szCs w:val="32"/>
        </w:rPr>
        <w:t>负责加强并指导做好综合行政执法队伍建设和执法人员的业务培训，组织开展涉及领域的专项、重大执法行动。</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9.</w:t>
      </w:r>
      <w:r>
        <w:rPr>
          <w:rFonts w:ascii="Times New Roman" w:eastAsia="仿宋_GB2312" w:cs="Times New Roman" w:hAnsi="Times New Roman"/>
          <w:b w:val="0"/>
          <w:bCs w:val="0"/>
          <w:color w:val="auto"/>
          <w:kern w:val="0"/>
          <w:sz w:val="32"/>
          <w:szCs w:val="32"/>
        </w:rPr>
        <w:t>负责承担工商、质监、食品、药品、物价、商标、专、知识产权、反不正当竞争、盐业等行政处罚及相关的行政检、行政强制等执法职责。</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10.</w:t>
      </w:r>
      <w:r>
        <w:rPr>
          <w:rFonts w:ascii="Times New Roman" w:eastAsia="仿宋_GB2312" w:cs="Times New Roman" w:hAnsi="Times New Roman"/>
          <w:b w:val="0"/>
          <w:bCs w:val="0"/>
          <w:color w:val="auto"/>
          <w:kern w:val="0"/>
          <w:sz w:val="32"/>
          <w:szCs w:val="32"/>
        </w:rPr>
        <w:t>负责承担文化、文物、出版、广播电视、电影、体育、游市场等行政处罚及相关的行政检查、行政强制等执法职责，并承担“扫黄打非”有关工作任务。</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11.</w:t>
      </w:r>
      <w:r>
        <w:rPr>
          <w:rFonts w:ascii="Times New Roman" w:eastAsia="仿宋_GB2312" w:cs="Times New Roman" w:hAnsi="Times New Roman"/>
          <w:b w:val="0"/>
          <w:bCs w:val="0"/>
          <w:color w:val="auto"/>
          <w:kern w:val="0"/>
          <w:sz w:val="32"/>
          <w:szCs w:val="32"/>
        </w:rPr>
        <w:t>负责承担水路运政、航道行政、港口行政、地方海事行政、工程质量监督管理、道路运政等行政处罚及相关的行政检查、行政强制等执法职责，承接州交通运输部门下划的公路路政执法职责。</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12.</w:t>
      </w:r>
      <w:r>
        <w:rPr>
          <w:rFonts w:ascii="Times New Roman" w:eastAsia="仿宋_GB2312" w:cs="Times New Roman" w:hAnsi="Times New Roman"/>
          <w:b w:val="0"/>
          <w:bCs w:val="0"/>
          <w:color w:val="auto"/>
          <w:kern w:val="0"/>
          <w:sz w:val="32"/>
          <w:szCs w:val="32"/>
        </w:rPr>
        <w:t>负责承担种子（食用菌）、化肥、饲料及饲料添加剂、兽医兽药、生猪屠宰、动植物检疫、水产渔政、农药、农机、农产品质量、农村合作经营等行政处罚及相关的行政检查、行政强制等执法职责。</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13.</w:t>
      </w:r>
      <w:r>
        <w:rPr>
          <w:rFonts w:ascii="Times New Roman" w:eastAsia="仿宋_GB2312" w:cs="Times New Roman" w:hAnsi="Times New Roman"/>
          <w:b w:val="0"/>
          <w:bCs w:val="0"/>
          <w:color w:val="auto"/>
          <w:kern w:val="0"/>
          <w:sz w:val="32"/>
          <w:szCs w:val="32"/>
        </w:rPr>
        <w:t>负责承担行驶住房城乡建设领域法律规章规定的全部行政处罚。</w:t>
      </w:r>
    </w:p>
    <w:p>
      <w:pPr>
        <w:keepNext w:val="0"/>
        <w:keepLines w:val="0"/>
        <w:pageBreakBefore w:val="0"/>
        <w:widowControl/>
        <w:suppressLineNumbers w:val="0"/>
        <w:kinsoku/>
        <w:wordWrap/>
        <w:overflowPunct/>
        <w:topLinePunct w:val="0"/>
        <w:autoSpaceDE w:val="0"/>
        <w:autoSpaceDN/>
        <w:bidi w:val="0"/>
        <w:spacing w:afterAutospacing="0" w:line="576" w:lineRule="exact"/>
        <w:ind w:left="0" w:firstLineChars="200" w:firstLine="640"/>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14.</w:t>
      </w:r>
      <w:r>
        <w:rPr>
          <w:rFonts w:ascii="Times New Roman" w:eastAsia="仿宋_GB2312" w:cs="Times New Roman" w:hAnsi="Times New Roman"/>
          <w:b w:val="0"/>
          <w:bCs w:val="0"/>
          <w:color w:val="auto"/>
          <w:kern w:val="0"/>
          <w:sz w:val="32"/>
          <w:szCs w:val="32"/>
        </w:rPr>
        <w:t>负责承担集中行驶市容环境卫生管理、城市绿化管理、市政管理方面的法律、法规、规章规定的行政处罚权。</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Chars="200" w:firstLine="640"/>
        <w:jc w:val="both"/>
        <w:textAlignment w:val="auto"/>
        <w:rPr>
          <w:rFonts w:ascii="Times New Roman" w:eastAsia="仿宋_GB2312" w:cs="Times New Roman" w:hAnsi="Times New Roman"/>
          <w:b w:val="0"/>
          <w:bCs w:val="0"/>
          <w:color w:val="auto"/>
          <w:kern w:val="0"/>
          <w:sz w:val="32"/>
          <w:szCs w:val="32"/>
        </w:rPr>
      </w:pPr>
      <w:r>
        <w:rPr>
          <w:rFonts w:ascii="Times New Roman" w:eastAsia="仿宋_GB2312" w:cs="Times New Roman" w:hAnsi="Times New Roman"/>
          <w:b w:val="0"/>
          <w:bCs w:val="0"/>
          <w:color w:val="auto"/>
          <w:kern w:val="0"/>
          <w:sz w:val="32"/>
          <w:szCs w:val="32"/>
          <w:lang w:val="en-US" w:eastAsia="zh-CN"/>
        </w:rPr>
        <w:t>15.</w:t>
      </w:r>
      <w:r>
        <w:rPr>
          <w:rFonts w:ascii="Times New Roman" w:eastAsia="仿宋_GB2312" w:cs="Times New Roman" w:hAnsi="Times New Roman"/>
          <w:b w:val="0"/>
          <w:bCs w:val="0"/>
          <w:color w:val="auto"/>
          <w:kern w:val="0"/>
          <w:sz w:val="32"/>
          <w:szCs w:val="32"/>
        </w:rPr>
        <w:t>承办县委、县政府交办的其他事项。</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Chars="100" w:firstLine="320"/>
        <w:jc w:val="both"/>
        <w:textAlignment w:val="auto"/>
        <w:rPr>
          <w:rFonts w:ascii="Times New Roman" w:eastAsia="楷体_GB2312" w:cs="Times New Roman" w:hAnsi="Times New Roman"/>
          <w:b/>
          <w:bCs/>
          <w:color w:val="auto"/>
          <w:sz w:val="32"/>
          <w:szCs w:val="32"/>
          <w:lang w:val="zh-CN"/>
        </w:rPr>
      </w:pPr>
      <w:r>
        <w:rPr>
          <w:rFonts w:ascii="Times New Roman" w:eastAsia="楷体_GB2312" w:cs="Times New Roman" w:hAnsi="Times New Roman"/>
          <w:b/>
          <w:bCs/>
          <w:color w:val="auto"/>
          <w:sz w:val="32"/>
          <w:szCs w:val="32"/>
          <w:lang w:val="zh-CN"/>
        </w:rPr>
        <w:t>（</w:t>
      </w:r>
      <w:r>
        <w:rPr>
          <w:rFonts w:ascii="Times New Roman" w:eastAsia="楷体_GB2312" w:cs="Times New Roman" w:hAnsi="Times New Roman"/>
          <w:b/>
          <w:bCs/>
          <w:color w:val="auto"/>
          <w:sz w:val="32"/>
          <w:szCs w:val="32"/>
          <w:lang w:val="en-US" w:eastAsia="zh-CN"/>
        </w:rPr>
        <w:t>三</w:t>
      </w:r>
      <w:r>
        <w:rPr>
          <w:rFonts w:ascii="Times New Roman" w:eastAsia="楷体_GB2312" w:cs="Times New Roman" w:hAnsi="Times New Roman"/>
          <w:b/>
          <w:bCs/>
          <w:color w:val="auto"/>
          <w:sz w:val="32"/>
          <w:szCs w:val="32"/>
          <w:lang w:val="zh-CN"/>
        </w:rPr>
        <w:t>）人员概况</w:t>
      </w:r>
    </w:p>
    <w:p>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firstLineChars="200" w:firstLine="640"/>
        <w:jc w:val="both"/>
        <w:textAlignment w:val="auto"/>
        <w:rPr>
          <w:rFonts w:ascii="Times New Roman" w:eastAsia="仿宋_GB2312" w:cs="Times New Roman" w:hAnsi="Times New Roman"/>
          <w:b w:val="0"/>
          <w:bCs w:val="0"/>
          <w:color w:val="auto"/>
          <w:kern w:val="0"/>
          <w:sz w:val="32"/>
          <w:szCs w:val="32"/>
          <w:lang w:eastAsia="zh-CN"/>
        </w:rPr>
      </w:pPr>
      <w:r>
        <w:rPr>
          <w:rFonts w:ascii="Times New Roman" w:eastAsia="仿宋_GB2312" w:cs="Times New Roman" w:hAnsi="Times New Roman"/>
          <w:b w:val="0"/>
          <w:bCs w:val="0"/>
          <w:color w:val="auto"/>
          <w:kern w:val="0"/>
          <w:sz w:val="32"/>
          <w:szCs w:val="32"/>
        </w:rPr>
        <w:t>截至202</w:t>
      </w:r>
      <w:r>
        <w:rPr>
          <w:rFonts w:ascii="Times New Roman" w:cs="Times New Roman" w:hAnsi="Times New Roman" w:hint="eastAsia"/>
          <w:b w:val="0"/>
          <w:bCs w:val="0"/>
          <w:color w:val="auto"/>
          <w:kern w:val="0"/>
          <w:sz w:val="32"/>
          <w:szCs w:val="32"/>
          <w:lang w:val="en-US" w:eastAsia="zh-CN"/>
        </w:rPr>
        <w:t>4</w:t>
      </w:r>
      <w:r>
        <w:rPr>
          <w:rFonts w:ascii="Times New Roman" w:eastAsia="仿宋_GB2312" w:cs="Times New Roman" w:hAnsi="Times New Roman"/>
          <w:b w:val="0"/>
          <w:bCs w:val="0"/>
          <w:color w:val="auto"/>
          <w:kern w:val="0"/>
          <w:sz w:val="32"/>
          <w:szCs w:val="32"/>
        </w:rPr>
        <w:t>年末</w:t>
      </w:r>
      <w:r>
        <w:rPr>
          <w:rFonts w:ascii="Times New Roman" w:eastAsia="仿宋_GB2312" w:cs="Times New Roman" w:hAnsi="Times New Roman"/>
          <w:b w:val="0"/>
          <w:bCs w:val="0"/>
          <w:color w:val="auto"/>
          <w:sz w:val="32"/>
          <w:szCs w:val="32"/>
        </w:rPr>
        <w:t>金川县</w:t>
      </w:r>
      <w:r>
        <w:rPr>
          <w:rFonts w:ascii="Times New Roman" w:eastAsia="仿宋_GB2312" w:cs="Times New Roman" w:hAnsi="Times New Roman"/>
          <w:b w:val="0"/>
          <w:bCs w:val="0"/>
          <w:color w:val="auto"/>
          <w:sz w:val="32"/>
          <w:szCs w:val="32"/>
          <w:lang w:eastAsia="zh-CN"/>
        </w:rPr>
        <w:t>综合行政执法</w:t>
      </w:r>
      <w:r>
        <w:rPr>
          <w:rFonts w:ascii="Times New Roman" w:eastAsia="仿宋_GB2312" w:cs="Times New Roman" w:hAnsi="Times New Roman"/>
          <w:b w:val="0"/>
          <w:bCs w:val="0"/>
          <w:color w:val="auto"/>
          <w:sz w:val="32"/>
          <w:szCs w:val="32"/>
          <w:lang w:val="en-US" w:eastAsia="zh-CN"/>
        </w:rPr>
        <w:t>局</w:t>
      </w:r>
      <w:r>
        <w:rPr>
          <w:rFonts w:ascii="Times New Roman" w:eastAsia="仿宋" w:cs="Times New Roman" w:hAnsi="Times New Roman"/>
          <w:color w:val="auto"/>
          <w:sz w:val="32"/>
          <w:szCs w:val="32"/>
        </w:rPr>
        <w:t>20</w:t>
      </w:r>
      <w:r>
        <w:rPr>
          <w:rFonts w:ascii="Times New Roman" w:eastAsia="仿宋" w:cs="Times New Roman" w:hAnsi="Times New Roman"/>
          <w:color w:val="auto"/>
          <w:sz w:val="32"/>
          <w:szCs w:val="32"/>
          <w:lang w:val="en-US" w:eastAsia="zh-CN"/>
        </w:rPr>
        <w:t>2</w:t>
      </w:r>
      <w:r>
        <w:rPr>
          <w:rFonts w:ascii="Times New Roman" w:eastAsia="仿宋" w:cs="Times New Roman" w:hAnsi="Times New Roman" w:hint="eastAsia"/>
          <w:color w:val="auto"/>
          <w:sz w:val="32"/>
          <w:szCs w:val="32"/>
          <w:lang w:val="en-US" w:eastAsia="zh-CN"/>
        </w:rPr>
        <w:t>4</w:t>
      </w:r>
      <w:r>
        <w:rPr>
          <w:rFonts w:ascii="Times New Roman" w:eastAsia="仿宋" w:cs="Times New Roman" w:hAnsi="Times New Roman"/>
          <w:color w:val="auto"/>
          <w:sz w:val="32"/>
          <w:szCs w:val="32"/>
        </w:rPr>
        <w:t>年独立编制机构数都是1个，无增减变化</w:t>
      </w:r>
      <w:r>
        <w:rPr>
          <w:rFonts w:ascii="Times New Roman" w:eastAsia="仿宋" w:cs="Times New Roman" w:hAnsi="Times New Roman"/>
          <w:color w:val="auto"/>
          <w:sz w:val="32"/>
          <w:szCs w:val="32"/>
          <w:lang w:eastAsia="zh-CN"/>
        </w:rPr>
        <w:t>。</w:t>
      </w:r>
      <w:r>
        <w:rPr>
          <w:rFonts w:ascii="Times New Roman" w:eastAsia="仿宋_GB2312" w:cs="Times New Roman" w:hAnsi="Times New Roman"/>
          <w:b w:val="0"/>
          <w:bCs w:val="0"/>
          <w:color w:val="auto"/>
          <w:sz w:val="32"/>
          <w:szCs w:val="32"/>
        </w:rPr>
        <w:t>编制数</w:t>
      </w:r>
      <w:r>
        <w:rPr>
          <w:rFonts w:ascii="Times New Roman" w:cs="Times New Roman" w:hAnsi="Times New Roman" w:hint="eastAsia"/>
          <w:b w:val="0"/>
          <w:bCs w:val="0"/>
          <w:color w:val="auto"/>
          <w:sz w:val="32"/>
          <w:szCs w:val="32"/>
          <w:lang w:val="en-US" w:eastAsia="zh-CN"/>
        </w:rPr>
        <w:t>65</w:t>
      </w:r>
      <w:r>
        <w:rPr>
          <w:rFonts w:ascii="Times New Roman" w:eastAsia="仿宋_GB2312" w:cs="Times New Roman" w:hAnsi="Times New Roman"/>
          <w:b w:val="0"/>
          <w:bCs w:val="0"/>
          <w:color w:val="auto"/>
          <w:sz w:val="32"/>
          <w:szCs w:val="32"/>
        </w:rPr>
        <w:t>个，其中：公务员编制</w:t>
      </w:r>
      <w:r>
        <w:rPr>
          <w:rFonts w:ascii="Times New Roman" w:cs="Times New Roman" w:hAnsi="Times New Roman" w:hint="eastAsia"/>
          <w:b w:val="0"/>
          <w:bCs w:val="0"/>
          <w:color w:val="auto"/>
          <w:sz w:val="32"/>
          <w:szCs w:val="32"/>
          <w:lang w:val="en-US" w:eastAsia="zh-CN"/>
        </w:rPr>
        <w:t>5</w:t>
      </w:r>
      <w:r>
        <w:rPr>
          <w:rFonts w:ascii="Times New Roman" w:eastAsia="仿宋_GB2312" w:cs="Times New Roman" w:hAnsi="Times New Roman"/>
          <w:b w:val="0"/>
          <w:bCs w:val="0"/>
          <w:color w:val="auto"/>
          <w:sz w:val="32"/>
          <w:szCs w:val="32"/>
          <w:lang w:eastAsia="zh-CN"/>
        </w:rPr>
        <w:t>名</w:t>
      </w:r>
      <w:r>
        <w:rPr>
          <w:rFonts w:ascii="Times New Roman" w:eastAsia="仿宋_GB2312" w:cs="Times New Roman" w:hAnsi="Times New Roman"/>
          <w:b w:val="0"/>
          <w:bCs w:val="0"/>
          <w:color w:val="auto"/>
          <w:sz w:val="32"/>
          <w:szCs w:val="32"/>
        </w:rPr>
        <w:t>、</w:t>
      </w:r>
      <w:r>
        <w:rPr>
          <w:rFonts w:ascii="Times New Roman" w:cs="Times New Roman" w:hAnsi="Times New Roman" w:hint="eastAsia"/>
          <w:b w:val="0"/>
          <w:bCs w:val="0"/>
          <w:color w:val="auto"/>
          <w:sz w:val="32"/>
          <w:szCs w:val="32"/>
          <w:lang w:eastAsia="zh-CN"/>
        </w:rPr>
        <w:t>参公编制</w:t>
      </w:r>
      <w:r>
        <w:rPr>
          <w:rFonts w:ascii="Times New Roman" w:cs="Times New Roman" w:hAnsi="Times New Roman" w:hint="eastAsia"/>
          <w:b w:val="0"/>
          <w:bCs w:val="0"/>
          <w:color w:val="auto"/>
          <w:sz w:val="32"/>
          <w:szCs w:val="32"/>
          <w:lang w:val="en-US" w:eastAsia="zh-CN"/>
        </w:rPr>
        <w:t>59名、</w:t>
      </w:r>
      <w:r>
        <w:rPr>
          <w:rFonts w:ascii="Times New Roman" w:eastAsia="仿宋_GB2312" w:cs="Times New Roman" w:hAnsi="Times New Roman"/>
          <w:b w:val="0"/>
          <w:bCs w:val="0"/>
          <w:color w:val="auto"/>
          <w:sz w:val="32"/>
          <w:szCs w:val="32"/>
          <w:lang w:eastAsia="zh-CN"/>
        </w:rPr>
        <w:t>机关工勤人员编制</w:t>
      </w:r>
      <w:r>
        <w:rPr>
          <w:rFonts w:ascii="Times New Roman" w:eastAsia="仿宋_GB2312" w:cs="Times New Roman" w:hAnsi="Times New Roman"/>
          <w:b w:val="0"/>
          <w:bCs w:val="0"/>
          <w:color w:val="auto"/>
          <w:sz w:val="32"/>
          <w:szCs w:val="32"/>
          <w:lang w:val="en-US" w:eastAsia="zh-CN"/>
        </w:rPr>
        <w:t>1名</w:t>
      </w:r>
      <w:r>
        <w:rPr>
          <w:rFonts w:ascii="Times New Roman" w:eastAsia="仿宋_GB2312" w:cs="Times New Roman" w:hAnsi="Times New Roman"/>
          <w:b w:val="0"/>
          <w:bCs w:val="0"/>
          <w:color w:val="auto"/>
          <w:sz w:val="32"/>
          <w:szCs w:val="32"/>
        </w:rPr>
        <w:t>；20</w:t>
      </w:r>
      <w:r>
        <w:rPr>
          <w:rFonts w:ascii="Times New Roman" w:eastAsia="仿宋_GB2312" w:cs="Times New Roman" w:hAnsi="Times New Roman"/>
          <w:b w:val="0"/>
          <w:bCs w:val="0"/>
          <w:color w:val="auto"/>
          <w:sz w:val="32"/>
          <w:szCs w:val="32"/>
          <w:lang w:val="en-US" w:eastAsia="zh-CN"/>
        </w:rPr>
        <w:t>2</w:t>
      </w:r>
      <w:r>
        <w:rPr>
          <w:rFonts w:ascii="Times New Roman" w:cs="Times New Roman" w:hAnsi="Times New Roman" w:hint="eastAsia"/>
          <w:b w:val="0"/>
          <w:bCs w:val="0"/>
          <w:color w:val="auto"/>
          <w:sz w:val="32"/>
          <w:szCs w:val="32"/>
          <w:lang w:val="en-US" w:eastAsia="zh-CN"/>
        </w:rPr>
        <w:t>4</w:t>
      </w:r>
      <w:r>
        <w:rPr>
          <w:rFonts w:ascii="Times New Roman" w:eastAsia="仿宋_GB2312" w:cs="Times New Roman" w:hAnsi="Times New Roman"/>
          <w:b w:val="0"/>
          <w:bCs w:val="0"/>
          <w:color w:val="auto"/>
          <w:sz w:val="32"/>
          <w:szCs w:val="32"/>
        </w:rPr>
        <w:t>年末，单位实有人数</w:t>
      </w:r>
      <w:r>
        <w:rPr>
          <w:rFonts w:ascii="Times New Roman" w:cs="Times New Roman" w:hAnsi="Times New Roman" w:hint="eastAsia"/>
          <w:b w:val="0"/>
          <w:bCs w:val="0"/>
          <w:color w:val="auto"/>
          <w:sz w:val="32"/>
          <w:szCs w:val="32"/>
          <w:lang w:val="en-US" w:eastAsia="zh-CN"/>
        </w:rPr>
        <w:t>55</w:t>
      </w:r>
      <w:r>
        <w:rPr>
          <w:rFonts w:ascii="Times New Roman" w:eastAsia="仿宋_GB2312" w:cs="Times New Roman" w:hAnsi="Times New Roman"/>
          <w:b w:val="0"/>
          <w:bCs w:val="0"/>
          <w:color w:val="auto"/>
          <w:sz w:val="32"/>
          <w:szCs w:val="32"/>
        </w:rPr>
        <w:t>人，其中：在职</w:t>
      </w:r>
      <w:r>
        <w:rPr>
          <w:rFonts w:ascii="Times New Roman" w:cs="Times New Roman" w:hAnsi="Times New Roman" w:hint="eastAsia"/>
          <w:b w:val="0"/>
          <w:bCs w:val="0"/>
          <w:color w:val="auto"/>
          <w:sz w:val="32"/>
          <w:szCs w:val="32"/>
          <w:lang w:val="en-US" w:eastAsia="zh-CN"/>
        </w:rPr>
        <w:t>55</w:t>
      </w:r>
      <w:r>
        <w:rPr>
          <w:rFonts w:ascii="Times New Roman" w:eastAsia="仿宋_GB2312" w:cs="Times New Roman" w:hAnsi="Times New Roman"/>
          <w:b w:val="0"/>
          <w:bCs w:val="0"/>
          <w:color w:val="auto"/>
          <w:sz w:val="32"/>
          <w:szCs w:val="32"/>
        </w:rPr>
        <w:t>人（公务员</w:t>
      </w:r>
      <w:r>
        <w:rPr>
          <w:rFonts w:ascii="Times New Roman" w:eastAsia="仿宋_GB2312" w:cs="Times New Roman" w:hAnsi="Times New Roman"/>
          <w:b w:val="0"/>
          <w:bCs w:val="0"/>
          <w:color w:val="auto"/>
          <w:sz w:val="32"/>
          <w:szCs w:val="32"/>
          <w:lang w:val="en-US" w:eastAsia="zh-CN"/>
        </w:rPr>
        <w:t>5</w:t>
      </w:r>
      <w:r>
        <w:rPr>
          <w:rFonts w:ascii="Times New Roman" w:eastAsia="仿宋_GB2312" w:cs="Times New Roman" w:hAnsi="Times New Roman"/>
          <w:b w:val="0"/>
          <w:bCs w:val="0"/>
          <w:color w:val="auto"/>
          <w:sz w:val="32"/>
          <w:szCs w:val="32"/>
        </w:rPr>
        <w:t>人、</w:t>
      </w:r>
      <w:r>
        <w:rPr>
          <w:rFonts w:ascii="Times New Roman" w:eastAsia="仿宋_GB2312" w:cs="Times New Roman" w:hAnsi="Times New Roman"/>
          <w:b w:val="0"/>
          <w:bCs w:val="0"/>
          <w:color w:val="auto"/>
          <w:sz w:val="32"/>
          <w:szCs w:val="32"/>
          <w:lang w:eastAsia="zh-CN"/>
        </w:rPr>
        <w:t>参公</w:t>
      </w:r>
      <w:r>
        <w:rPr>
          <w:rFonts w:ascii="Times New Roman" w:cs="Times New Roman" w:hAnsi="Times New Roman" w:hint="eastAsia"/>
          <w:b w:val="0"/>
          <w:bCs w:val="0"/>
          <w:color w:val="auto"/>
          <w:sz w:val="32"/>
          <w:szCs w:val="32"/>
          <w:lang w:val="en-US" w:eastAsia="zh-CN"/>
        </w:rPr>
        <w:t>49</w:t>
      </w:r>
      <w:r>
        <w:rPr>
          <w:rFonts w:ascii="Times New Roman" w:eastAsia="仿宋_GB2312" w:cs="Times New Roman" w:hAnsi="Times New Roman"/>
          <w:b w:val="0"/>
          <w:bCs w:val="0"/>
          <w:color w:val="auto"/>
          <w:sz w:val="32"/>
          <w:szCs w:val="32"/>
          <w:lang w:val="en-US" w:eastAsia="zh-CN"/>
        </w:rPr>
        <w:t>人、</w:t>
      </w:r>
      <w:r>
        <w:rPr>
          <w:rFonts w:ascii="Times New Roman" w:eastAsia="仿宋_GB2312" w:cs="Times New Roman" w:hAnsi="Times New Roman"/>
          <w:b w:val="0"/>
          <w:bCs w:val="0"/>
          <w:color w:val="auto"/>
          <w:sz w:val="32"/>
          <w:szCs w:val="32"/>
          <w:lang w:eastAsia="zh-CN"/>
        </w:rPr>
        <w:t>机关工勤</w:t>
      </w:r>
      <w:r>
        <w:rPr>
          <w:rFonts w:ascii="Times New Roman" w:eastAsia="仿宋_GB2312" w:cs="Times New Roman" w:hAnsi="Times New Roman"/>
          <w:b w:val="0"/>
          <w:bCs w:val="0"/>
          <w:color w:val="auto"/>
          <w:sz w:val="32"/>
          <w:szCs w:val="32"/>
          <w:lang w:val="en-US" w:eastAsia="zh-CN"/>
        </w:rPr>
        <w:t>1人</w:t>
      </w:r>
      <w:r>
        <w:rPr>
          <w:rFonts w:ascii="Times New Roman" w:eastAsia="仿宋_GB2312" w:cs="Times New Roman" w:hAnsi="Times New Roman"/>
          <w:b w:val="0"/>
          <w:bCs w:val="0"/>
          <w:color w:val="auto"/>
          <w:sz w:val="32"/>
          <w:szCs w:val="32"/>
        </w:rPr>
        <w:t>）。</w:t>
      </w:r>
      <w:r>
        <w:rPr>
          <w:rFonts w:ascii="Times New Roman" w:eastAsia="仿宋_GB2312" w:cs="Times New Roman" w:hAnsi="Times New Roman"/>
          <w:b w:val="0"/>
          <w:bCs w:val="0"/>
          <w:color w:val="auto"/>
          <w:kern w:val="0"/>
          <w:sz w:val="32"/>
          <w:szCs w:val="32"/>
        </w:rPr>
        <w:t>年末实有其他人数为4人</w:t>
      </w:r>
      <w:r>
        <w:rPr>
          <w:rFonts w:ascii="Times New Roman" w:eastAsia="仿宋_GB2312" w:cs="Times New Roman" w:hAnsi="Times New Roman"/>
          <w:b w:val="0"/>
          <w:bCs w:val="0"/>
          <w:color w:val="auto"/>
          <w:kern w:val="0"/>
          <w:sz w:val="32"/>
          <w:szCs w:val="32"/>
          <w:lang w:eastAsia="zh-CN"/>
        </w:rPr>
        <w:t>。</w:t>
      </w:r>
    </w:p>
    <w:p>
      <w:pPr>
        <w:keepNext w:val="0"/>
        <w:keepLines w:val="0"/>
        <w:pageBreakBefore w:val="0"/>
        <w:widowControl/>
        <w:kinsoku/>
        <w:wordWrap/>
        <w:overflowPunct/>
        <w:topLinePunct w:val="0"/>
        <w:autoSpaceDN/>
        <w:bidi w:val="0"/>
        <w:adjustRightInd w:val="0"/>
        <w:snapToGrid w:val="0"/>
        <w:spacing w:afterAutospacing="0" w:line="576" w:lineRule="exact"/>
        <w:ind w:firstLineChars="200" w:firstLine="640"/>
        <w:jc w:val="left"/>
        <w:textAlignment w:val="auto"/>
        <w:rPr>
          <w:rFonts w:ascii="Times New Roman" w:eastAsia="黑体" w:cs="Times New Roman" w:hAnsi="Times New Roman"/>
          <w:b w:val="0"/>
          <w:bCs w:val="0"/>
          <w:color w:val="000000"/>
          <w:kern w:val="0"/>
          <w:sz w:val="32"/>
          <w:szCs w:val="32"/>
        </w:rPr>
      </w:pPr>
      <w:r>
        <w:rPr>
          <w:rFonts w:ascii="Times New Roman" w:eastAsia="黑体" w:cs="Times New Roman" w:hAnsi="Times New Roman"/>
          <w:b w:val="0"/>
          <w:bCs w:val="0"/>
          <w:color w:val="000000"/>
          <w:kern w:val="0"/>
          <w:sz w:val="32"/>
          <w:szCs w:val="32"/>
        </w:rPr>
        <w:t>二、部门资金收支情况</w:t>
      </w:r>
    </w:p>
    <w:p>
      <w:pPr>
        <w:keepNext w:val="0"/>
        <w:keepLines w:val="0"/>
        <w:pageBreakBefore w:val="0"/>
        <w:widowControl/>
        <w:kinsoku/>
        <w:wordWrap/>
        <w:overflowPunct/>
        <w:topLinePunct w:val="0"/>
        <w:autoSpaceDN/>
        <w:bidi w:val="0"/>
        <w:adjustRightInd w:val="0"/>
        <w:snapToGrid w:val="0"/>
        <w:spacing w:afterAutospacing="0" w:line="576" w:lineRule="exact"/>
        <w:ind w:firstLineChars="200" w:firstLine="640"/>
        <w:jc w:val="left"/>
        <w:textAlignment w:val="auto"/>
        <w:rPr>
          <w:rFonts w:ascii="Times New Roman" w:eastAsia="仿宋_GB2312" w:cs="Times New Roman" w:hAnsi="Times New Roman"/>
          <w:b w:val="0"/>
          <w:bCs w:val="0"/>
          <w:color w:val="auto"/>
          <w:kern w:val="0"/>
          <w:sz w:val="32"/>
          <w:szCs w:val="32"/>
          <w:lang w:val="zh-CN" w:eastAsia="zh-CN" w:bidi="ar-SA"/>
        </w:rPr>
      </w:pPr>
      <w:r>
        <w:rPr>
          <w:rFonts w:ascii="Times New Roman" w:eastAsia="楷体_GB2312" w:cs="Times New Roman" w:hAnsi="Times New Roman"/>
          <w:b/>
          <w:bCs/>
          <w:color w:val="000000"/>
          <w:kern w:val="0"/>
          <w:sz w:val="32"/>
          <w:szCs w:val="32"/>
          <w:lang w:val="zh-CN"/>
        </w:rPr>
        <w:t>（一）收入</w:t>
      </w:r>
      <w:r>
        <w:rPr>
          <w:rFonts w:ascii="Times New Roman" w:eastAsia="楷体_GB2312" w:cs="Times New Roman" w:hAnsi="Times New Roman"/>
          <w:b/>
          <w:bCs/>
          <w:color w:val="000000"/>
          <w:kern w:val="0"/>
          <w:sz w:val="32"/>
          <w:szCs w:val="32"/>
          <w:lang w:val="en-US" w:eastAsia="zh-CN"/>
        </w:rPr>
        <w:t>情况</w:t>
      </w:r>
      <w:r>
        <w:rPr>
          <w:rFonts w:ascii="Times New Roman" w:eastAsia="楷体_GB2312" w:cs="Times New Roman" w:hAnsi="Times New Roman"/>
          <w:b/>
          <w:bCs/>
          <w:color w:val="000000"/>
          <w:kern w:val="0"/>
          <w:sz w:val="32"/>
          <w:szCs w:val="32"/>
          <w:lang w:val="zh-CN"/>
        </w:rPr>
        <w:t>。</w:t>
      </w:r>
      <w:r>
        <w:rPr>
          <w:rFonts w:ascii="Times New Roman" w:eastAsia="仿宋_GB2312" w:cs="Times New Roman" w:hAnsi="Times New Roman"/>
          <w:color w:val="000000"/>
          <w:kern w:val="0"/>
          <w:sz w:val="32"/>
          <w:szCs w:val="32"/>
        </w:rPr>
        <w:t>2</w:t>
      </w:r>
      <w:r>
        <w:rPr>
          <w:rFonts w:ascii="Times New Roman" w:eastAsia="仿宋_GB2312" w:cs="Times New Roman" w:hAnsi="Times New Roman"/>
          <w:b w:val="0"/>
          <w:bCs w:val="0"/>
          <w:color w:val="auto"/>
          <w:kern w:val="0"/>
          <w:sz w:val="32"/>
          <w:szCs w:val="32"/>
          <w:lang w:val="en-US" w:eastAsia="zh-CN" w:bidi="ar-SA"/>
        </w:rPr>
        <w:t>02</w:t>
      </w:r>
      <w:r>
        <w:rPr>
          <w:rFonts w:cs="Times New Roman" w:hint="eastAsia"/>
          <w:b w:val="0"/>
          <w:bCs w:val="0"/>
          <w:color w:val="auto"/>
          <w:kern w:val="0"/>
          <w:sz w:val="32"/>
          <w:szCs w:val="32"/>
          <w:lang w:val="en-US" w:eastAsia="zh-CN" w:bidi="ar-SA"/>
        </w:rPr>
        <w:t>4</w:t>
      </w:r>
      <w:r>
        <w:rPr>
          <w:rFonts w:ascii="Times New Roman" w:eastAsia="仿宋_GB2312" w:cs="Times New Roman" w:hAnsi="Times New Roman"/>
          <w:b w:val="0"/>
          <w:bCs w:val="0"/>
          <w:color w:val="auto"/>
          <w:kern w:val="0"/>
          <w:sz w:val="32"/>
          <w:szCs w:val="32"/>
          <w:lang w:val="en-US" w:eastAsia="zh-CN" w:bidi="ar-SA"/>
        </w:rPr>
        <w:t>年部门预算收入</w:t>
      </w:r>
      <w:r>
        <w:rPr>
          <w:rFonts w:ascii="仿宋_GB2312" w:eastAsia="仿宋_GB2312" w:cs="仿宋_GB2312" w:hint="eastAsia"/>
          <w:sz w:val="32"/>
          <w:szCs w:val="32"/>
          <w:lang w:val="en-US" w:eastAsia="zh-CN"/>
        </w:rPr>
        <w:t>1139.65</w:t>
      </w:r>
      <w:r>
        <w:rPr>
          <w:rFonts w:ascii="Times New Roman" w:eastAsia="仿宋_GB2312" w:cs="Times New Roman" w:hAnsi="Times New Roman"/>
          <w:b w:val="0"/>
          <w:bCs w:val="0"/>
          <w:color w:val="auto"/>
          <w:kern w:val="0"/>
          <w:sz w:val="32"/>
          <w:szCs w:val="32"/>
          <w:lang w:val="en-US" w:eastAsia="zh-CN" w:bidi="ar-SA"/>
        </w:rPr>
        <w:t>万元。</w:t>
      </w:r>
      <w:r>
        <w:rPr>
          <w:rFonts w:ascii="Times New Roman" w:eastAsia="仿宋_GB2312" w:cs="Times New Roman" w:hAnsi="Times New Roman"/>
          <w:b w:val="0"/>
          <w:bCs w:val="0"/>
          <w:color w:val="auto"/>
          <w:kern w:val="0"/>
          <w:sz w:val="32"/>
          <w:szCs w:val="32"/>
          <w:lang w:val="zh-CN" w:eastAsia="zh-CN" w:bidi="ar-SA"/>
        </w:rPr>
        <w:t>其中一般公共服务拨款收入</w:t>
      </w:r>
      <w:r>
        <w:rPr>
          <w:rFonts w:ascii="仿宋" w:eastAsia="仿宋" w:hint="eastAsia"/>
          <w:b/>
          <w:bCs/>
          <w:sz w:val="32"/>
          <w:szCs w:val="32"/>
          <w:lang w:val="en-US" w:eastAsia="zh-CN"/>
        </w:rPr>
        <w:t>837.56</w:t>
      </w:r>
      <w:r>
        <w:rPr>
          <w:rFonts w:ascii="Times New Roman" w:eastAsia="仿宋_GB2312" w:cs="Times New Roman" w:hAnsi="Times New Roman"/>
          <w:b w:val="0"/>
          <w:bCs w:val="0"/>
          <w:color w:val="auto"/>
          <w:kern w:val="0"/>
          <w:sz w:val="32"/>
          <w:szCs w:val="32"/>
          <w:lang w:val="zh-CN" w:eastAsia="zh-CN" w:bidi="ar-SA"/>
        </w:rPr>
        <w:t>万元，社会保障和就业支出收入</w:t>
      </w:r>
      <w:r>
        <w:rPr>
          <w:rFonts w:ascii="仿宋" w:eastAsia="仿宋" w:hint="eastAsia"/>
          <w:b/>
          <w:bCs/>
          <w:sz w:val="32"/>
          <w:szCs w:val="32"/>
          <w:lang w:val="en-US" w:eastAsia="zh-CN"/>
        </w:rPr>
        <w:t>151.72</w:t>
      </w:r>
      <w:r>
        <w:rPr>
          <w:rFonts w:ascii="Times New Roman" w:eastAsia="仿宋_GB2312" w:cs="Times New Roman" w:hAnsi="Times New Roman"/>
          <w:b w:val="0"/>
          <w:bCs w:val="0"/>
          <w:color w:val="auto"/>
          <w:kern w:val="0"/>
          <w:sz w:val="32"/>
          <w:szCs w:val="32"/>
          <w:lang w:val="zh-CN" w:eastAsia="zh-CN" w:bidi="ar-SA"/>
        </w:rPr>
        <w:t>万元，卫生健康支出收入</w:t>
      </w:r>
      <w:r>
        <w:rPr>
          <w:rFonts w:ascii="仿宋" w:eastAsia="仿宋" w:hint="eastAsia"/>
          <w:b/>
          <w:bCs/>
          <w:sz w:val="32"/>
          <w:szCs w:val="32"/>
          <w:lang w:val="en-US" w:eastAsia="zh-CN"/>
        </w:rPr>
        <w:t>61.37</w:t>
      </w:r>
      <w:r>
        <w:rPr>
          <w:rFonts w:ascii="Times New Roman" w:eastAsia="仿宋_GB2312" w:cs="Times New Roman" w:hAnsi="Times New Roman"/>
          <w:b w:val="0"/>
          <w:bCs w:val="0"/>
          <w:color w:val="auto"/>
          <w:kern w:val="0"/>
          <w:sz w:val="32"/>
          <w:szCs w:val="32"/>
          <w:lang w:val="zh-CN" w:eastAsia="zh-CN" w:bidi="ar-SA"/>
        </w:rPr>
        <w:t>万元，住房保障支出收入</w:t>
      </w:r>
      <w:r>
        <w:rPr>
          <w:rFonts w:ascii="仿宋" w:eastAsia="仿宋" w:hint="eastAsia"/>
          <w:b/>
          <w:bCs/>
          <w:sz w:val="32"/>
          <w:szCs w:val="32"/>
          <w:lang w:val="en-US" w:eastAsia="zh-CN"/>
        </w:rPr>
        <w:t>89</w:t>
      </w:r>
      <w:r>
        <w:rPr>
          <w:rFonts w:ascii="Times New Roman" w:eastAsia="仿宋_GB2312" w:cs="Times New Roman" w:hAnsi="Times New Roman"/>
          <w:b w:val="0"/>
          <w:bCs w:val="0"/>
          <w:color w:val="auto"/>
          <w:kern w:val="0"/>
          <w:sz w:val="32"/>
          <w:szCs w:val="32"/>
          <w:lang w:val="zh-CN" w:eastAsia="zh-CN" w:bidi="ar-SA"/>
        </w:rPr>
        <w:t>万元。</w:t>
      </w:r>
    </w:p>
    <w:p>
      <w:pPr>
        <w:keepNext w:val="0"/>
        <w:keepLines w:val="0"/>
        <w:pageBreakBefore w:val="0"/>
        <w:widowControl w:val="0"/>
        <w:kinsoku/>
        <w:wordWrap/>
        <w:overflowPunct/>
        <w:topLinePunct w:val="0"/>
        <w:autoSpaceDE/>
        <w:autoSpaceDN/>
        <w:bidi w:val="0"/>
        <w:adjustRightInd/>
        <w:snapToGrid/>
        <w:spacing w:line="576" w:lineRule="exact"/>
        <w:ind w:leftChars="200" w:left="420" w:firstLineChars="200" w:firstLine="640"/>
        <w:textAlignment w:val="auto"/>
        <w:rPr>
          <w:lang w:val="en-US" w:eastAsia="zh-CN"/>
        </w:rPr>
      </w:pPr>
      <w:r>
        <w:rPr>
          <w:rFonts w:ascii="Times New Roman" w:eastAsia="楷体_GB2312" w:cs="Times New Roman" w:hAnsi="Times New Roman"/>
          <w:b/>
          <w:bCs/>
          <w:color w:val="000000"/>
          <w:kern w:val="0"/>
          <w:sz w:val="32"/>
          <w:szCs w:val="32"/>
          <w:lang w:val="zh-CN"/>
        </w:rPr>
        <w:t>（</w:t>
      </w:r>
      <w:r>
        <w:rPr>
          <w:rFonts w:ascii="Times New Roman" w:eastAsia="楷体_GB2312" w:cs="Times New Roman" w:hAnsi="Times New Roman" w:hint="eastAsia"/>
          <w:b/>
          <w:bCs/>
          <w:color w:val="000000"/>
          <w:kern w:val="0"/>
          <w:sz w:val="32"/>
          <w:szCs w:val="32"/>
          <w:lang w:val="zh-CN"/>
        </w:rPr>
        <w:t>二</w:t>
      </w:r>
      <w:r>
        <w:rPr>
          <w:rFonts w:ascii="Times New Roman" w:eastAsia="楷体_GB2312" w:cs="Times New Roman" w:hAnsi="Times New Roman"/>
          <w:b/>
          <w:bCs/>
          <w:color w:val="000000"/>
          <w:kern w:val="0"/>
          <w:sz w:val="32"/>
          <w:szCs w:val="32"/>
          <w:lang w:val="zh-CN"/>
        </w:rPr>
        <w:t>）</w:t>
      </w:r>
      <w:r>
        <w:rPr>
          <w:rFonts w:ascii="Times New Roman" w:eastAsia="楷体_GB2312" w:cs="Times New Roman" w:hAnsi="Times New Roman"/>
          <w:b/>
          <w:bCs/>
          <w:color w:val="auto"/>
          <w:sz w:val="32"/>
          <w:szCs w:val="32"/>
          <w:lang w:val="en-US" w:eastAsia="zh-CN"/>
        </w:rPr>
        <w:t>支出</w:t>
      </w:r>
      <w:r>
        <w:rPr>
          <w:rFonts w:ascii="Times New Roman" w:eastAsia="楷体_GB2312" w:cs="Times New Roman" w:hAnsi="Times New Roman"/>
          <w:b/>
          <w:bCs/>
          <w:color w:val="auto"/>
          <w:sz w:val="32"/>
          <w:szCs w:val="32"/>
          <w:lang w:val="zh-CN"/>
        </w:rPr>
        <w:t>情况。</w:t>
      </w:r>
      <w:r>
        <w:rPr>
          <w:rStyle w:val="20"/>
          <w:rFonts w:ascii="仿宋_GB2312" w:eastAsia="仿宋_GB2312" w:cs="仿宋_GB2312" w:hint="eastAsia"/>
          <w:b w:val="0"/>
          <w:bCs/>
          <w:sz w:val="32"/>
          <w:szCs w:val="32"/>
          <w:lang w:val="en-US" w:eastAsia="zh-CN"/>
        </w:rPr>
        <w:t>2024年度一般公共预算财政拨款基本支出1117.49万元，其中：人员经费1064.81万元，主要包括：基本工资197万元、津贴补贴266.22万元、奖金251.32万元、绩效工资13.66万元、机关事业单位基本养老保险缴费101.14万元、职业年金缴费50.58万元、其他社会保障缴费10.82万元、其他工资福利支出22.96万元、生活补助5.7万元、医疗费补助10.84万元、奖励金0.012万元、住房公积金85万元。</w:t>
        <w:br/>
        <w:t>　　公用经费52.68万元，主要包括：办公费9.25万元、水费0.35万元、电费1万元、邮电费3.32万元、差旅费18、维修（护）费0.49万元、劳务费0.2万元、公务用车运行维护费19.72万元、福利费0.35。</w:t>
      </w:r>
      <w:r>
        <w:rPr>
          <w:rStyle w:val="20"/>
          <w:rFonts w:ascii="仿宋_GB2312" w:cs="仿宋_GB2312" w:hAnsi="仿宋_GB2312" w:hint="eastAsia"/>
          <w:b w:val="0"/>
          <w:bCs/>
          <w:sz w:val="32"/>
          <w:szCs w:val="32"/>
          <w:lang w:val="en-US" w:eastAsia="zh-CN"/>
        </w:rPr>
        <w:t>项目支出22.16万元。</w:t>
      </w:r>
    </w:p>
    <w:p>
      <w:pPr>
        <w:keepNext w:val="0"/>
        <w:keepLines w:val="0"/>
        <w:pageBreakBefore w:val="0"/>
        <w:widowControl w:val="0"/>
        <w:kinsoku/>
        <w:wordWrap/>
        <w:overflowPunct/>
        <w:topLinePunct w:val="0"/>
        <w:bidi w:val="0"/>
        <w:spacing w:afterAutospacing="0" w:line="576" w:lineRule="exact"/>
        <w:ind w:firstLineChars="200" w:firstLine="640"/>
        <w:textAlignment w:val="auto"/>
        <w:rPr>
          <w:rFonts w:ascii="Times New Roman" w:eastAsia="仿宋_GB2312" w:cs="Times New Roman" w:hAnsi="Times New Roman"/>
          <w:color w:val="000000"/>
          <w:kern w:val="0"/>
          <w:sz w:val="32"/>
          <w:szCs w:val="32"/>
          <w:lang w:eastAsia="zh-CN"/>
        </w:rPr>
      </w:pPr>
      <w:r>
        <w:rPr>
          <w:rFonts w:ascii="Times New Roman" w:eastAsia="仿宋_GB2312" w:cs="Times New Roman" w:hAnsi="Times New Roman"/>
          <w:color w:val="000000"/>
          <w:kern w:val="0"/>
          <w:sz w:val="32"/>
          <w:szCs w:val="32"/>
        </w:rPr>
        <w:t>财政拨款支出主要用于保障本部门机构正常运转、完成日常工作任务。基本人员支出，是用于单位人员工资和社保就业保障经费。日常公用支出包括办公费、</w:t>
      </w:r>
      <w:r>
        <w:rPr>
          <w:rFonts w:ascii="Times New Roman" w:eastAsia="仿宋_GB2312" w:cs="Times New Roman" w:hAnsi="Times New Roman"/>
          <w:color w:val="000000"/>
          <w:kern w:val="0"/>
          <w:sz w:val="32"/>
          <w:szCs w:val="32"/>
          <w:lang w:eastAsia="zh-CN"/>
        </w:rPr>
        <w:t>差旅费</w:t>
      </w:r>
      <w:r>
        <w:rPr>
          <w:rFonts w:ascii="Times New Roman" w:eastAsia="仿宋_GB2312" w:cs="Times New Roman" w:hAnsi="Times New Roman"/>
          <w:color w:val="000000"/>
          <w:kern w:val="0"/>
          <w:sz w:val="32"/>
          <w:szCs w:val="32"/>
        </w:rPr>
        <w:t>、水电费、“三公经费”等日常公用经费。项目支出用于执法差旅费及</w:t>
      </w:r>
      <w:r>
        <w:rPr>
          <w:rFonts w:ascii="Times New Roman" w:eastAsia="仿宋_GB2312" w:cs="Times New Roman" w:hAnsi="Times New Roman"/>
          <w:color w:val="000000"/>
          <w:kern w:val="0"/>
          <w:sz w:val="32"/>
          <w:szCs w:val="32"/>
          <w:lang w:eastAsia="zh-CN"/>
        </w:rPr>
        <w:t>办公费等。</w:t>
      </w:r>
    </w:p>
    <w:p>
      <w:pPr>
        <w:keepNext w:val="0"/>
        <w:keepLines w:val="0"/>
        <w:pageBreakBefore w:val="0"/>
        <w:widowControl/>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cs="Times New Roman" w:hAnsi="Times New Roman"/>
        </w:rPr>
      </w:pPr>
      <w:r>
        <w:rPr>
          <w:rFonts w:ascii="Times New Roman" w:eastAsia="楷体_GB2312" w:cs="Times New Roman" w:hAnsi="Times New Roman"/>
          <w:b/>
          <w:bCs/>
          <w:color w:val="000000"/>
          <w:kern w:val="0"/>
          <w:sz w:val="32"/>
          <w:szCs w:val="32"/>
          <w:lang w:val="zh-CN"/>
        </w:rPr>
        <w:t>（</w:t>
      </w:r>
      <w:r>
        <w:rPr>
          <w:rFonts w:ascii="Times New Roman" w:eastAsia="楷体_GB2312" w:cs="Times New Roman" w:hAnsi="Times New Roman" w:hint="eastAsia"/>
          <w:b/>
          <w:bCs/>
          <w:color w:val="000000"/>
          <w:kern w:val="0"/>
          <w:sz w:val="32"/>
          <w:szCs w:val="32"/>
          <w:lang w:val="zh-CN"/>
        </w:rPr>
        <w:t>三</w:t>
      </w:r>
      <w:r>
        <w:rPr>
          <w:rFonts w:ascii="Times New Roman" w:eastAsia="楷体_GB2312" w:cs="Times New Roman" w:hAnsi="Times New Roman"/>
          <w:b/>
          <w:bCs/>
          <w:color w:val="000000"/>
          <w:kern w:val="0"/>
          <w:sz w:val="32"/>
          <w:szCs w:val="32"/>
          <w:lang w:val="zh-CN"/>
        </w:rPr>
        <w:t>）</w:t>
      </w:r>
      <w:r>
        <w:rPr>
          <w:rFonts w:ascii="Times New Roman" w:eastAsia="仿宋_GB2312" w:cs="Times New Roman" w:hAnsi="Times New Roman"/>
          <w:b/>
          <w:bCs/>
          <w:color w:val="000000"/>
          <w:kern w:val="0"/>
          <w:sz w:val="32"/>
          <w:szCs w:val="32"/>
        </w:rPr>
        <w:t>结余分配和结转结余情况</w:t>
      </w:r>
      <w:r>
        <w:rPr>
          <w:rFonts w:ascii="Times New Roman" w:eastAsia="仿宋_GB2312" w:cs="Times New Roman" w:hAnsi="Times New Roman"/>
          <w:b/>
          <w:bCs/>
          <w:color w:val="000000"/>
          <w:kern w:val="0"/>
          <w:sz w:val="32"/>
          <w:szCs w:val="32"/>
          <w:lang w:eastAsia="zh-CN"/>
        </w:rPr>
        <w:t>。</w:t>
      </w:r>
      <w:r>
        <w:rPr>
          <w:rFonts w:ascii="Times New Roman" w:eastAsia="仿宋_GB2312" w:cs="Times New Roman" w:hAnsi="Times New Roman"/>
          <w:color w:val="000000"/>
          <w:kern w:val="0"/>
          <w:sz w:val="32"/>
          <w:szCs w:val="32"/>
          <w:lang w:val="en-US" w:eastAsia="zh-CN"/>
        </w:rPr>
        <w:t>无</w:t>
      </w:r>
    </w:p>
    <w:p>
      <w:pPr>
        <w:pStyle w:val="24"/>
        <w:keepNext w:val="0"/>
        <w:keepLines w:val="0"/>
        <w:pageBreakBefore w:val="0"/>
        <w:widowControl w:val="0"/>
        <w:kinsoku/>
        <w:wordWrap/>
        <w:overflowPunct/>
        <w:topLinePunct w:val="0"/>
        <w:autoSpaceDE w:val="0"/>
        <w:autoSpaceDN w:val="0"/>
        <w:bidi w:val="0"/>
        <w:spacing w:afterAutospacing="0" w:line="576" w:lineRule="exact"/>
        <w:ind w:firstLineChars="200" w:firstLine="640"/>
        <w:textAlignment w:val="auto"/>
        <w:rPr>
          <w:rFonts w:ascii="Times New Roman" w:eastAsia="黑体" w:cs="Times New Roman" w:hAnsi="Times New Roman"/>
          <w:b w:val="0"/>
          <w:bCs w:val="0"/>
          <w:color w:val="auto"/>
          <w:sz w:val="32"/>
          <w:szCs w:val="32"/>
          <w:lang w:val="en-US" w:eastAsia="zh-CN"/>
        </w:rPr>
      </w:pPr>
      <w:r>
        <w:rPr>
          <w:rFonts w:ascii="Times New Roman" w:eastAsia="黑体" w:cs="Times New Roman" w:hAnsi="Times New Roman"/>
          <w:b w:val="0"/>
          <w:bCs w:val="0"/>
          <w:color w:val="auto"/>
          <w:sz w:val="32"/>
          <w:szCs w:val="32"/>
        </w:rPr>
        <w:t>三、部门整体预算绩效</w:t>
      </w:r>
      <w:r>
        <w:rPr>
          <w:rFonts w:ascii="Times New Roman" w:eastAsia="黑体" w:cs="Times New Roman" w:hAnsi="Times New Roman"/>
          <w:b w:val="0"/>
          <w:bCs w:val="0"/>
          <w:color w:val="auto"/>
          <w:sz w:val="32"/>
          <w:szCs w:val="32"/>
          <w:lang w:val="en-US" w:eastAsia="zh-CN"/>
        </w:rPr>
        <w:t>分析</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eastAsia="仿宋_GB2312" w:cs="Times New Roman" w:hAnsi="Times New Roman"/>
          <w:color w:val="000000"/>
          <w:sz w:val="32"/>
          <w:szCs w:val="32"/>
          <w:lang w:val="zh-CN"/>
        </w:rPr>
      </w:pPr>
      <w:r>
        <w:rPr>
          <w:rFonts w:ascii="Times New Roman" w:eastAsia="仿宋_GB2312" w:cs="Times New Roman" w:hAnsi="Times New Roman"/>
          <w:b/>
          <w:bCs/>
          <w:color w:val="000000"/>
          <w:kern w:val="0"/>
          <w:sz w:val="32"/>
          <w:szCs w:val="32"/>
          <w:shd w:val="clear" w:color="auto" w:fill="FFFFFF"/>
          <w:lang w:val="zh-CN"/>
          <w:highlight w:val="auto"/>
        </w:rPr>
        <w:t>（一）部门预算总体绩效分析。</w:t>
      </w:r>
      <w:r>
        <w:rPr>
          <w:rFonts w:ascii="Times New Roman" w:eastAsia="仿宋_GB2312" w:cs="Times New Roman" w:hAnsi="Times New Roman"/>
          <w:color w:val="000000"/>
          <w:sz w:val="32"/>
          <w:szCs w:val="32"/>
          <w:lang w:val="zh-CN"/>
        </w:rPr>
        <w:t>我</w:t>
      </w:r>
      <w:r>
        <w:rPr>
          <w:rFonts w:ascii="Times New Roman" w:eastAsia="仿宋_GB2312" w:cs="Times New Roman" w:hAnsi="Times New Roman"/>
          <w:color w:val="000000"/>
          <w:sz w:val="32"/>
          <w:szCs w:val="32"/>
          <w:lang w:val="en-US" w:eastAsia="zh-CN"/>
        </w:rPr>
        <w:t>局</w:t>
      </w:r>
      <w:r>
        <w:rPr>
          <w:rFonts w:ascii="Times New Roman" w:eastAsia="仿宋_GB2312" w:cs="Times New Roman" w:hAnsi="Times New Roman"/>
          <w:color w:val="000000"/>
          <w:sz w:val="32"/>
          <w:szCs w:val="32"/>
          <w:lang w:val="zh-CN"/>
        </w:rPr>
        <w:t>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b/>
          <w:bCs/>
          <w:color w:val="000000"/>
          <w:kern w:val="0"/>
          <w:sz w:val="32"/>
          <w:szCs w:val="32"/>
          <w:shd w:val="clear" w:color="auto" w:fill="FFFFFF"/>
          <w:lang w:val="en-US" w:eastAsia="zh-CN"/>
          <w:highlight w:val="auto"/>
        </w:rPr>
        <w:t>1.</w:t>
      </w:r>
      <w:r>
        <w:rPr>
          <w:rFonts w:ascii="Times New Roman" w:eastAsia="仿宋_GB2312" w:cs="Times New Roman" w:hAnsi="Times New Roman"/>
          <w:b/>
          <w:bCs/>
          <w:color w:val="000000"/>
          <w:kern w:val="0"/>
          <w:sz w:val="32"/>
          <w:szCs w:val="32"/>
          <w:shd w:val="clear" w:color="auto" w:fill="FFFFFF"/>
          <w:lang w:val="zh-CN"/>
          <w:highlight w:val="auto"/>
        </w:rPr>
        <w:t>履职效能。</w:t>
      </w:r>
      <w:r>
        <w:rPr>
          <w:rFonts w:ascii="Times New Roman" w:eastAsia="仿宋_GB2312" w:cs="Times New Roman" w:hAnsi="Times New Roman"/>
          <w:color w:val="000000"/>
          <w:sz w:val="32"/>
          <w:szCs w:val="32"/>
          <w:lang w:val="zh-CN"/>
        </w:rPr>
        <w:t>部门预算执行情况良好，但基本集中在下半年。支出情况中期评估不足，</w:t>
      </w:r>
      <w:r>
        <w:rPr>
          <w:rFonts w:ascii="Times New Roman" w:eastAsia="仿宋_GB2312" w:cs="Times New Roman" w:hAnsi="Times New Roman"/>
          <w:bCs/>
          <w:sz w:val="32"/>
          <w:szCs w:val="32"/>
        </w:rPr>
        <w:t>202</w:t>
      </w:r>
      <w:r>
        <w:rPr>
          <w:rFonts w:cs="Times New Roman" w:hint="eastAsia"/>
          <w:bCs/>
          <w:sz w:val="32"/>
          <w:szCs w:val="32"/>
          <w:lang w:val="en-US" w:eastAsia="zh-CN"/>
        </w:rPr>
        <w:t>4</w:t>
      </w:r>
      <w:r>
        <w:rPr>
          <w:rFonts w:ascii="Times New Roman" w:eastAsia="仿宋_GB2312" w:cs="Times New Roman" w:hAnsi="Times New Roman"/>
          <w:bCs/>
          <w:sz w:val="32"/>
          <w:szCs w:val="32"/>
        </w:rPr>
        <w:t>年我单位“三公”经费支出总额为</w:t>
      </w:r>
      <w:r>
        <w:rPr>
          <w:rFonts w:cs="Times New Roman" w:hint="eastAsia"/>
          <w:bCs/>
          <w:sz w:val="32"/>
          <w:szCs w:val="32"/>
          <w:lang w:val="en-US" w:eastAsia="zh-CN"/>
        </w:rPr>
        <w:t>19.72</w:t>
      </w:r>
      <w:r>
        <w:rPr>
          <w:rFonts w:ascii="Times New Roman" w:eastAsia="仿宋_GB2312" w:cs="Times New Roman" w:hAnsi="Times New Roman"/>
          <w:bCs/>
          <w:sz w:val="32"/>
          <w:szCs w:val="32"/>
        </w:rPr>
        <w:t>万元。主要是公务用车运行维护费</w:t>
      </w:r>
      <w:r>
        <w:rPr>
          <w:rFonts w:cs="Times New Roman" w:hint="eastAsia"/>
          <w:bCs/>
          <w:sz w:val="32"/>
          <w:szCs w:val="32"/>
          <w:lang w:val="en-US" w:eastAsia="zh-CN"/>
        </w:rPr>
        <w:t>19.72</w:t>
      </w:r>
      <w:r>
        <w:rPr>
          <w:rFonts w:ascii="Times New Roman" w:eastAsia="仿宋_GB2312" w:cs="Times New Roman" w:hAnsi="Times New Roman"/>
          <w:bCs/>
          <w:sz w:val="32"/>
          <w:szCs w:val="32"/>
        </w:rPr>
        <w:t>万元。</w:t>
      </w:r>
    </w:p>
    <w:p>
      <w:pPr>
        <w:keepNext w:val="0"/>
        <w:keepLines w:val="0"/>
        <w:pageBreakBefore w:val="0"/>
        <w:widowControl w:val="0"/>
        <w:kinsoku/>
        <w:wordWrap/>
        <w:overflowPunct/>
        <w:topLinePunct w:val="0"/>
        <w:bidi w:val="0"/>
        <w:spacing w:afterAutospacing="0" w:line="576" w:lineRule="exact"/>
        <w:ind w:firstLineChars="200" w:firstLine="640"/>
        <w:textAlignment w:val="auto"/>
        <w:rPr>
          <w:rFonts w:ascii="Times New Roman" w:eastAsia="仿宋_GB2312" w:cs="Times New Roman" w:hAnsi="Times New Roman"/>
          <w:color w:val="0000FF"/>
          <w:kern w:val="0"/>
          <w:sz w:val="32"/>
          <w:szCs w:val="32"/>
          <w:shd w:val="clear" w:color="auto" w:fill="FFFFFF"/>
          <w:lang w:val="zh-CN"/>
          <w:highlight w:val="auto"/>
        </w:rPr>
      </w:pPr>
      <w:r>
        <w:rPr>
          <w:rFonts w:ascii="Times New Roman" w:eastAsia="仿宋_GB2312" w:cs="Times New Roman" w:hAnsi="Times New Roman"/>
          <w:b/>
          <w:bCs/>
          <w:color w:val="auto"/>
          <w:kern w:val="0"/>
          <w:sz w:val="32"/>
          <w:szCs w:val="32"/>
          <w:shd w:val="clear" w:color="auto" w:fill="FFFFFF"/>
          <w:lang w:val="en-US" w:eastAsia="zh-CN"/>
          <w:highlight w:val="auto"/>
        </w:rPr>
        <w:t>2.</w:t>
      </w:r>
      <w:r>
        <w:rPr>
          <w:rFonts w:ascii="Times New Roman" w:eastAsia="仿宋_GB2312" w:cs="Times New Roman" w:hAnsi="Times New Roman"/>
          <w:b/>
          <w:bCs/>
          <w:color w:val="auto"/>
          <w:kern w:val="0"/>
          <w:sz w:val="32"/>
          <w:szCs w:val="32"/>
          <w:shd w:val="clear" w:color="auto" w:fill="FFFFFF"/>
          <w:lang w:val="zh-CN"/>
          <w:highlight w:val="auto"/>
        </w:rPr>
        <w:t>预算管理。</w:t>
      </w:r>
      <w:r>
        <w:rPr>
          <w:rFonts w:ascii="Times New Roman" w:eastAsia="仿宋_GB2312" w:cs="Times New Roman" w:hAnsi="Times New Roman"/>
          <w:b w:val="0"/>
          <w:bCs w:val="0"/>
          <w:color w:val="auto"/>
          <w:sz w:val="32"/>
          <w:szCs w:val="32"/>
        </w:rPr>
        <w:t>一是规章制度建立健全，制度执行严格合规，会计核算符合相关规定。二是严格按照有关规定，加强对财政各项资金的监督管理，确保资金及时、足额到位。资金支付依据和开支标准合法合规，未出现截留和挪作他用现象。三是按规定对财政拨付的资金进行自检自查，做好资金使用效益管理工作</w:t>
      </w:r>
      <w:r>
        <w:rPr>
          <w:rFonts w:ascii="Times New Roman" w:eastAsia="仿宋_GB2312" w:cs="Times New Roman" w:hAnsi="Times New Roman"/>
          <w:b w:val="0"/>
          <w:bCs w:val="0"/>
          <w:color w:val="auto"/>
          <w:sz w:val="32"/>
          <w:szCs w:val="32"/>
          <w:lang w:eastAsia="zh-CN"/>
        </w:rPr>
        <w:t>。</w:t>
      </w:r>
      <w:r>
        <w:rPr>
          <w:rFonts w:ascii="Times New Roman" w:eastAsia="仿宋_GB2312" w:cs="Times New Roman" w:hAnsi="Times New Roman"/>
          <w:color w:val="000000"/>
          <w:kern w:val="0"/>
          <w:sz w:val="32"/>
          <w:szCs w:val="32"/>
          <w:lang w:eastAsia="zh-CN"/>
        </w:rPr>
        <w:t>四是</w:t>
      </w:r>
      <w:r>
        <w:rPr>
          <w:rFonts w:ascii="Times New Roman" w:eastAsia="仿宋_GB2312" w:cs="Times New Roman" w:hAnsi="Times New Roman"/>
          <w:color w:val="000000"/>
          <w:kern w:val="0"/>
          <w:sz w:val="32"/>
          <w:szCs w:val="32"/>
        </w:rPr>
        <w:t>严格按照县级部门预算编制通知和有关要求，按时完成基础库、项目库报送工作，预算编制中，特别注意对预算编制准确性的把握，并严格按照要求进行预算执行调整。按时完成待批复提前细化。</w:t>
      </w:r>
      <w:r>
        <w:rPr>
          <w:rFonts w:ascii="Times New Roman" w:eastAsia="仿宋_GB2312" w:cs="Times New Roman" w:hAnsi="Times New Roman"/>
          <w:color w:val="000000"/>
          <w:kern w:val="0"/>
          <w:sz w:val="32"/>
          <w:szCs w:val="32"/>
          <w:lang w:val="zh-CN"/>
        </w:rPr>
        <w:t>部门预算在财政部门批复后及时填报预算公示报表报财政审核在政府信息公开网上公示。</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b/>
          <w:bCs/>
          <w:color w:val="000000"/>
          <w:kern w:val="0"/>
          <w:sz w:val="32"/>
          <w:szCs w:val="32"/>
          <w:shd w:val="clear" w:color="auto" w:fill="FFFFFF"/>
          <w:lang w:val="en-US" w:eastAsia="zh-CN"/>
          <w:highlight w:val="auto"/>
        </w:rPr>
        <w:t>3.</w:t>
      </w:r>
      <w:r>
        <w:rPr>
          <w:rFonts w:ascii="Times New Roman" w:eastAsia="仿宋_GB2312" w:cs="Times New Roman" w:hAnsi="Times New Roman"/>
          <w:b/>
          <w:bCs/>
          <w:color w:val="000000"/>
          <w:kern w:val="0"/>
          <w:sz w:val="32"/>
          <w:szCs w:val="32"/>
          <w:shd w:val="clear" w:color="auto" w:fill="FFFFFF"/>
          <w:lang w:val="zh-CN"/>
          <w:highlight w:val="auto"/>
        </w:rPr>
        <w:t>财务管理。</w:t>
      </w:r>
      <w:r>
        <w:rPr>
          <w:rFonts w:ascii="Times New Roman" w:eastAsia="仿宋_GB2312" w:cs="Times New Roman" w:hAnsi="Times New Roman"/>
          <w:color w:val="000000"/>
          <w:sz w:val="32"/>
          <w:szCs w:val="32"/>
          <w:lang w:val="zh-CN"/>
        </w:rPr>
        <w:t>根据相关要求，单位使用预算资金基本符合相关的预算财务管理制度。我</w:t>
      </w:r>
      <w:r>
        <w:rPr>
          <w:rFonts w:ascii="Times New Roman" w:eastAsia="仿宋_GB2312" w:cs="Times New Roman" w:hAnsi="Times New Roman"/>
          <w:color w:val="000000"/>
          <w:sz w:val="32"/>
          <w:szCs w:val="32"/>
          <w:lang w:val="en-US" w:eastAsia="zh-CN"/>
        </w:rPr>
        <w:t>局</w:t>
      </w:r>
      <w:r>
        <w:rPr>
          <w:rFonts w:ascii="Times New Roman" w:eastAsia="仿宋_GB2312" w:cs="Times New Roman" w:hAnsi="Times New Roman"/>
          <w:color w:val="000000"/>
          <w:sz w:val="32"/>
          <w:szCs w:val="32"/>
          <w:lang w:val="zh-CN"/>
        </w:rPr>
        <w:t>在财政批复后</w:t>
      </w:r>
      <w:r>
        <w:rPr>
          <w:rFonts w:ascii="Times New Roman" w:eastAsia="仿宋_GB2312" w:cs="Times New Roman" w:hAnsi="Times New Roman"/>
          <w:color w:val="000000"/>
          <w:sz w:val="32"/>
          <w:szCs w:val="32"/>
        </w:rPr>
        <w:t>20日内在指定网站公开预决算信息。按照相关要求进行绩效自我评价，按要求及时上报，对发现的问题提出整改措施，并整改落实到位。</w:t>
      </w:r>
      <w:r>
        <w:rPr>
          <w:rFonts w:ascii="Times New Roman" w:eastAsia="仿宋_GB2312" w:cs="Times New Roman" w:hAnsi="Times New Roman"/>
          <w:color w:val="000000"/>
          <w:sz w:val="32"/>
          <w:szCs w:val="32"/>
          <w:lang w:val="zh-CN"/>
        </w:rPr>
        <w:t>绩效评价及依法接受财政监督情况等。</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eastAsia="仿宋_GB2312" w:cs="Times New Roman" w:hAnsi="Times New Roman"/>
          <w:color w:val="000000"/>
          <w:sz w:val="32"/>
          <w:szCs w:val="32"/>
          <w:lang w:val="zh-CN"/>
        </w:rPr>
      </w:pPr>
      <w:r>
        <w:rPr>
          <w:rFonts w:ascii="Times New Roman" w:eastAsia="仿宋_GB2312" w:cs="Times New Roman" w:hAnsi="Times New Roman"/>
          <w:b/>
          <w:bCs/>
          <w:color w:val="000000"/>
          <w:kern w:val="0"/>
          <w:sz w:val="32"/>
          <w:szCs w:val="32"/>
          <w:shd w:val="clear" w:color="auto" w:fill="FFFFFF"/>
          <w:lang w:val="en-US" w:eastAsia="zh-CN"/>
          <w:highlight w:val="auto"/>
        </w:rPr>
        <w:t>4.</w:t>
      </w:r>
      <w:r>
        <w:rPr>
          <w:rFonts w:ascii="Times New Roman" w:eastAsia="仿宋_GB2312" w:cs="Times New Roman" w:hAnsi="Times New Roman"/>
          <w:b/>
          <w:bCs/>
          <w:color w:val="000000"/>
          <w:kern w:val="0"/>
          <w:sz w:val="32"/>
          <w:szCs w:val="32"/>
          <w:shd w:val="clear" w:color="auto" w:fill="FFFFFF"/>
          <w:lang w:val="zh-CN"/>
          <w:highlight w:val="auto"/>
        </w:rPr>
        <w:t>资产管理。</w:t>
      </w:r>
      <w:r>
        <w:rPr>
          <w:rFonts w:ascii="Times New Roman" w:eastAsia="仿宋_GB2312" w:cs="Times New Roman" w:hAnsi="Times New Roman"/>
          <w:color w:val="000000"/>
          <w:sz w:val="32"/>
          <w:szCs w:val="32"/>
          <w:lang w:val="zh-CN"/>
        </w:rPr>
        <w:t>我</w:t>
      </w:r>
      <w:r>
        <w:rPr>
          <w:rFonts w:ascii="Times New Roman" w:eastAsia="仿宋_GB2312" w:cs="Times New Roman" w:hAnsi="Times New Roman"/>
          <w:color w:val="000000"/>
          <w:sz w:val="32"/>
          <w:szCs w:val="32"/>
          <w:lang w:val="en-US" w:eastAsia="zh-CN"/>
        </w:rPr>
        <w:t>局</w:t>
      </w:r>
      <w:r>
        <w:rPr>
          <w:rFonts w:ascii="Times New Roman" w:eastAsia="仿宋_GB2312" w:cs="Times New Roman" w:hAnsi="Times New Roman"/>
          <w:color w:val="000000"/>
          <w:sz w:val="32"/>
          <w:szCs w:val="32"/>
        </w:rPr>
        <w:t>202</w:t>
      </w:r>
      <w:r>
        <w:rPr>
          <w:rFonts w:cs="Times New Roman" w:hint="eastAsia"/>
          <w:color w:val="000000"/>
          <w:sz w:val="32"/>
          <w:szCs w:val="32"/>
          <w:lang w:val="en-US" w:eastAsia="zh-CN"/>
        </w:rPr>
        <w:t>4</w:t>
      </w:r>
      <w:r>
        <w:rPr>
          <w:rFonts w:ascii="Times New Roman" w:eastAsia="仿宋_GB2312" w:cs="Times New Roman" w:hAnsi="Times New Roman"/>
          <w:color w:val="000000"/>
          <w:sz w:val="32"/>
          <w:szCs w:val="32"/>
        </w:rPr>
        <w:t>年所有国有资产纳入</w:t>
      </w:r>
      <w:r>
        <w:rPr>
          <w:rFonts w:ascii="Times New Roman" w:eastAsia="仿宋_GB2312" w:cs="Times New Roman" w:hAnsi="Times New Roman"/>
          <w:color w:val="000000"/>
          <w:sz w:val="32"/>
          <w:szCs w:val="32"/>
          <w:lang w:val="zh-CN"/>
        </w:rPr>
        <w:t>资产管理系统，及时准确上报并做好资产的管理工作。</w:t>
      </w:r>
      <w:r>
        <w:rPr>
          <w:rFonts w:ascii="Times New Roman" w:eastAsia="仿宋_GB2312" w:cs="Times New Roman" w:hAnsi="Times New Roman"/>
          <w:color w:val="auto"/>
          <w:kern w:val="0"/>
          <w:sz w:val="32"/>
          <w:szCs w:val="32"/>
        </w:rPr>
        <w:t>截止202</w:t>
      </w:r>
      <w:r>
        <w:rPr>
          <w:rFonts w:cs="Times New Roman" w:hint="eastAsia"/>
          <w:color w:val="auto"/>
          <w:kern w:val="0"/>
          <w:sz w:val="32"/>
          <w:szCs w:val="32"/>
          <w:lang w:val="en-US" w:eastAsia="zh-CN"/>
        </w:rPr>
        <w:t>4</w:t>
      </w:r>
      <w:r>
        <w:rPr>
          <w:rFonts w:ascii="Times New Roman" w:eastAsia="仿宋_GB2312" w:cs="Times New Roman" w:hAnsi="Times New Roman"/>
          <w:color w:val="auto"/>
          <w:kern w:val="0"/>
          <w:sz w:val="32"/>
          <w:szCs w:val="32"/>
        </w:rPr>
        <w:t>年12月30日，年末总资产账面金额</w:t>
      </w:r>
      <w:r>
        <w:rPr>
          <w:rFonts w:cs="Times New Roman" w:hint="eastAsia"/>
          <w:color w:val="auto"/>
          <w:kern w:val="0"/>
          <w:sz w:val="32"/>
          <w:szCs w:val="32"/>
          <w:lang w:val="en-US" w:eastAsia="zh-CN"/>
        </w:rPr>
        <w:t>3879136.33</w:t>
      </w:r>
      <w:r>
        <w:rPr>
          <w:rFonts w:ascii="Times New Roman" w:eastAsia="仿宋_GB2312" w:cs="Times New Roman" w:hAnsi="Times New Roman"/>
          <w:color w:val="auto"/>
          <w:kern w:val="0"/>
          <w:sz w:val="32"/>
          <w:szCs w:val="32"/>
        </w:rPr>
        <w:t>元，固定资产账面数据和固定资产管理系统数据</w:t>
      </w:r>
      <w:r>
        <w:rPr>
          <w:rFonts w:ascii="Times New Roman" w:eastAsia="仿宋_GB2312" w:cs="Times New Roman" w:hAnsi="Times New Roman"/>
          <w:color w:val="000000"/>
          <w:kern w:val="0"/>
          <w:sz w:val="32"/>
          <w:szCs w:val="32"/>
        </w:rPr>
        <w:t>一致</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Times New Roman" w:eastAsia="仿宋_GB2312" w:cs="Times New Roman" w:hAnsi="Times New Roman"/>
          <w:color w:val="000000"/>
          <w:kern w:val="0"/>
          <w:sz w:val="32"/>
          <w:szCs w:val="32"/>
          <w:lang w:eastAsia="zh-CN"/>
        </w:rPr>
      </w:pPr>
      <w:r>
        <w:rPr>
          <w:rFonts w:ascii="Times New Roman" w:eastAsia="仿宋_GB2312" w:cs="Times New Roman" w:hAnsi="Times New Roman"/>
          <w:b/>
          <w:bCs/>
          <w:color w:val="000000"/>
          <w:kern w:val="0"/>
          <w:sz w:val="32"/>
          <w:szCs w:val="32"/>
          <w:shd w:val="clear" w:color="auto" w:fill="FFFFFF"/>
          <w:lang w:val="en-US" w:eastAsia="zh-CN"/>
          <w:highlight w:val="auto"/>
        </w:rPr>
        <w:t>5.</w:t>
      </w:r>
      <w:r>
        <w:rPr>
          <w:rFonts w:ascii="Times New Roman" w:eastAsia="仿宋_GB2312" w:cs="Times New Roman" w:hAnsi="Times New Roman"/>
          <w:b/>
          <w:bCs/>
          <w:color w:val="000000"/>
          <w:kern w:val="0"/>
          <w:sz w:val="32"/>
          <w:szCs w:val="32"/>
          <w:shd w:val="clear" w:color="auto" w:fill="FFFFFF"/>
          <w:lang w:val="zh-CN"/>
          <w:highlight w:val="auto"/>
        </w:rPr>
        <w:t>采购管理。</w:t>
      </w:r>
      <w:r>
        <w:rPr>
          <w:rFonts w:ascii="Times New Roman" w:eastAsia="仿宋_GB2312" w:cs="Times New Roman" w:hAnsi="Times New Roman"/>
          <w:color w:val="000000"/>
          <w:kern w:val="0"/>
          <w:sz w:val="32"/>
          <w:szCs w:val="32"/>
        </w:rPr>
        <w:t>进行政府采购的资产严格按采购程序采购并登记入账，零星采购严格按固定资产管理办法进行登记入账</w:t>
      </w:r>
      <w:r>
        <w:rPr>
          <w:rFonts w:ascii="Times New Roman" w:eastAsia="仿宋_GB2312" w:cs="Times New Roman" w:hAnsi="Times New Roman"/>
          <w:color w:val="000000"/>
          <w:kern w:val="0"/>
          <w:sz w:val="32"/>
          <w:szCs w:val="32"/>
          <w:lang w:eastAsia="zh-CN"/>
        </w:rPr>
        <w:t>，</w:t>
      </w:r>
      <w:r>
        <w:rPr>
          <w:rFonts w:ascii="Times New Roman" w:eastAsia="仿宋_GB2312" w:cs="Times New Roman" w:hAnsi="Times New Roman"/>
          <w:color w:val="000000"/>
          <w:kern w:val="0"/>
          <w:sz w:val="32"/>
          <w:szCs w:val="32"/>
        </w:rPr>
        <w:t>202</w:t>
      </w:r>
      <w:r>
        <w:rPr>
          <w:rFonts w:cs="Times New Roman" w:hint="eastAsia"/>
          <w:color w:val="000000"/>
          <w:kern w:val="0"/>
          <w:sz w:val="32"/>
          <w:szCs w:val="32"/>
          <w:lang w:val="en-US" w:eastAsia="zh-CN"/>
        </w:rPr>
        <w:t>4</w:t>
      </w:r>
      <w:r>
        <w:rPr>
          <w:rFonts w:ascii="Times New Roman" w:eastAsia="仿宋_GB2312" w:cs="Times New Roman" w:hAnsi="Times New Roman"/>
          <w:color w:val="000000"/>
          <w:kern w:val="0"/>
          <w:sz w:val="32"/>
          <w:szCs w:val="32"/>
        </w:rPr>
        <w:t>年</w:t>
      </w:r>
      <w:r>
        <w:rPr>
          <w:rFonts w:ascii="Times New Roman" w:eastAsia="仿宋_GB2312" w:cs="Times New Roman" w:hAnsi="Times New Roman"/>
          <w:color w:val="000000"/>
          <w:kern w:val="0"/>
          <w:sz w:val="32"/>
          <w:szCs w:val="32"/>
          <w:lang w:eastAsia="zh-CN"/>
        </w:rPr>
        <w:t>无</w:t>
      </w:r>
      <w:r>
        <w:rPr>
          <w:rFonts w:ascii="Times New Roman" w:eastAsia="仿宋_GB2312" w:cs="Times New Roman" w:hAnsi="Times New Roman"/>
          <w:color w:val="000000"/>
          <w:kern w:val="0"/>
          <w:sz w:val="32"/>
          <w:szCs w:val="32"/>
        </w:rPr>
        <w:t>政府采购</w:t>
      </w:r>
      <w:r>
        <w:rPr>
          <w:rFonts w:ascii="Times New Roman" w:eastAsia="仿宋_GB2312" w:cs="Times New Roman" w:hAnsi="Times New Roman"/>
          <w:color w:val="000000"/>
          <w:kern w:val="0"/>
          <w:sz w:val="32"/>
          <w:szCs w:val="32"/>
          <w:lang w:eastAsia="zh-CN"/>
        </w:rPr>
        <w:t>情况支出。</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Times New Roman" w:eastAsia="仿宋_GB2312" w:cs="Times New Roman" w:hAnsi="Times New Roman"/>
          <w:color w:val="000000"/>
          <w:kern w:val="0"/>
          <w:sz w:val="32"/>
          <w:szCs w:val="32"/>
          <w:shd w:val="clear" w:color="auto" w:fill="FFFFFF"/>
          <w:lang w:val="en-US" w:eastAsia="zh-CN"/>
          <w:highlight w:val="auto"/>
        </w:rPr>
      </w:pPr>
      <w:r>
        <w:rPr>
          <w:rFonts w:ascii="Times New Roman" w:eastAsia="仿宋_GB2312" w:cs="Times New Roman" w:hAnsi="Times New Roman"/>
          <w:b/>
          <w:bCs/>
          <w:color w:val="000000"/>
          <w:kern w:val="0"/>
          <w:sz w:val="32"/>
          <w:szCs w:val="32"/>
          <w:shd w:val="clear" w:color="auto" w:fill="FFFFFF"/>
          <w:lang w:val="zh-CN"/>
          <w:highlight w:val="auto"/>
        </w:rPr>
        <w:t>（二）部门预算项目绩效分析</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eastAsia="仿宋_GB2312" w:cs="Times New Roman" w:hAnsi="Times New Roman"/>
          <w:color w:val="000000"/>
          <w:kern w:val="0"/>
          <w:sz w:val="32"/>
          <w:szCs w:val="32"/>
          <w:shd w:val="clear" w:color="auto" w:fill="FFFFFF"/>
          <w:lang w:val="zh-CN" w:eastAsia="zh-CN"/>
          <w:highlight w:val="auto"/>
        </w:rPr>
      </w:pPr>
      <w:r>
        <w:rPr>
          <w:rFonts w:ascii="Times New Roman" w:eastAsia="仿宋_GB2312" w:cs="Times New Roman" w:hAnsi="Times New Roman"/>
          <w:color w:val="000000"/>
          <w:kern w:val="0"/>
          <w:sz w:val="32"/>
          <w:szCs w:val="32"/>
          <w:shd w:val="clear" w:color="auto" w:fill="FFFFFF"/>
          <w:lang w:val="en-US" w:eastAsia="zh-CN"/>
          <w:highlight w:val="auto"/>
        </w:rPr>
        <w:t>常年项目绩效分析。</w:t>
      </w:r>
      <w:r>
        <w:rPr>
          <w:rFonts w:ascii="Times New Roman" w:eastAsia="仿宋_GB2312" w:cs="Times New Roman" w:hAnsi="Times New Roman"/>
          <w:color w:val="000000"/>
          <w:kern w:val="0"/>
          <w:sz w:val="32"/>
          <w:szCs w:val="32"/>
          <w:shd w:val="clear" w:color="auto" w:fill="FFFFFF"/>
          <w:lang w:val="zh-CN" w:eastAsia="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0</w:t>
      </w:r>
      <w:r>
        <w:rPr>
          <w:rFonts w:ascii="Times New Roman" w:eastAsia="仿宋_GB2312" w:cs="Times New Roman" w:hAnsi="Times New Roman"/>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contextualSpacing/>
        <w:jc w:val="left"/>
        <w:textAlignment w:val="auto"/>
        <w:outlineLvl w:val="9"/>
        <w:rPr>
          <w:rFonts w:ascii="Times New Roman" w:eastAsia="仿宋_GB2312" w:cs="Times New Roman" w:hAnsi="Times New Roman"/>
          <w:color w:val="000000"/>
          <w:kern w:val="0"/>
          <w:sz w:val="32"/>
          <w:szCs w:val="32"/>
          <w:shd w:val="clear" w:color="auto" w:fill="FFFFFF"/>
          <w:lang w:val="zh-CN" w:eastAsia="zh-CN"/>
          <w:highlight w:val="auto"/>
        </w:rPr>
      </w:pPr>
      <w:r>
        <w:rPr>
          <w:rFonts w:ascii="Times New Roman" w:eastAsia="仿宋_GB2312" w:cs="Times New Roman" w:hAnsi="Times New Roman"/>
          <w:color w:val="000000"/>
          <w:kern w:val="0"/>
          <w:sz w:val="32"/>
          <w:szCs w:val="32"/>
          <w:shd w:val="clear" w:color="auto" w:fill="FFFFFF"/>
          <w:lang w:val="en-US" w:eastAsia="zh-CN"/>
          <w:highlight w:val="auto"/>
        </w:rPr>
        <w:t>阶段（一次性）项目绩效分析。</w:t>
      </w:r>
      <w:r>
        <w:rPr>
          <w:rFonts w:ascii="Times New Roman" w:eastAsia="仿宋_GB2312" w:cs="Times New Roman" w:hAnsi="Times New Roman"/>
          <w:color w:val="000000"/>
          <w:kern w:val="0"/>
          <w:sz w:val="32"/>
          <w:szCs w:val="32"/>
          <w:shd w:val="clear" w:color="auto" w:fill="FFFFFF"/>
          <w:lang w:val="zh-CN" w:eastAsia="zh-CN"/>
          <w:highlight w:val="auto"/>
        </w:rPr>
        <w:t>该类项目总数</w:t>
      </w: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eastAsia="仿宋_GB2312" w:cs="Times New Roman" w:hAnsi="Times New Roman"/>
          <w:color w:val="000000"/>
          <w:kern w:val="0"/>
          <w:sz w:val="32"/>
          <w:szCs w:val="32"/>
          <w:shd w:val="clear" w:color="auto" w:fill="FFFFFF"/>
          <w:lang w:val="zh-CN" w:eastAsia="zh-CN"/>
          <w:highlight w:val="auto"/>
        </w:rPr>
        <w:t>个，涉及预算总金额</w:t>
      </w:r>
      <w:r>
        <w:rPr>
          <w:rFonts w:cs="Times New Roman" w:hint="eastAsia"/>
          <w:color w:val="000000"/>
          <w:kern w:val="0"/>
          <w:sz w:val="32"/>
          <w:szCs w:val="32"/>
          <w:shd w:val="clear" w:color="auto" w:fill="FFFFFF"/>
          <w:lang w:val="en-US" w:eastAsia="zh-CN"/>
          <w:highlight w:val="auto"/>
        </w:rPr>
        <w:t>22.16</w:t>
      </w:r>
      <w:r>
        <w:rPr>
          <w:rFonts w:ascii="Times New Roman" w:eastAsia="仿宋_GB2312" w:cs="Times New Roman" w:hAnsi="Times New Roman"/>
          <w:color w:val="000000"/>
          <w:kern w:val="0"/>
          <w:sz w:val="32"/>
          <w:szCs w:val="32"/>
          <w:shd w:val="clear" w:color="auto" w:fill="FFFFFF"/>
          <w:lang w:val="zh-CN" w:eastAsia="zh-CN"/>
          <w:highlight w:val="auto"/>
        </w:rPr>
        <w:t>万元，</w:t>
      </w:r>
      <w:r>
        <w:rPr>
          <w:rFonts w:ascii="Times New Roman" w:eastAsia="仿宋_GB2312" w:cs="Times New Roman" w:hAnsi="Times New Roman"/>
          <w:color w:val="000000"/>
          <w:kern w:val="0"/>
          <w:sz w:val="32"/>
          <w:szCs w:val="32"/>
          <w:shd w:val="clear" w:color="auto" w:fill="FFFFFF"/>
          <w:lang w:val="zh-CN"/>
          <w:highlight w:val="auto"/>
        </w:rPr>
        <w:t>1</w:t>
      </w:r>
      <w:r>
        <w:rPr>
          <w:rFonts w:ascii="Times New Roman" w:eastAsia="仿宋_GB2312" w:cs="Times New Roman" w:hAnsi="Times New Roman"/>
          <w:color w:val="000000"/>
          <w:kern w:val="0"/>
          <w:sz w:val="32"/>
          <w:szCs w:val="32"/>
          <w:shd w:val="clear" w:color="auto" w:fill="FFFFFF"/>
          <w:lang w:val="zh-CN" w:eastAsia="zh-CN"/>
          <w:highlight w:val="auto"/>
        </w:rPr>
        <w:t>—</w:t>
      </w:r>
      <w:r>
        <w:rPr>
          <w:rFonts w:ascii="Times New Roman" w:eastAsia="仿宋_GB2312" w:cs="Times New Roman" w:hAnsi="Times New Roman"/>
          <w:color w:val="000000"/>
          <w:kern w:val="0"/>
          <w:sz w:val="32"/>
          <w:szCs w:val="32"/>
          <w:shd w:val="clear" w:color="auto" w:fill="FFFFFF"/>
          <w:lang w:val="zh-CN"/>
          <w:highlight w:val="auto"/>
        </w:rPr>
        <w:t>1</w:t>
      </w:r>
      <w:r>
        <w:rPr>
          <w:rFonts w:ascii="Times New Roman" w:eastAsia="仿宋_GB2312" w:cs="Times New Roman" w:hAnsi="Times New Roman"/>
          <w:color w:val="000000"/>
          <w:kern w:val="0"/>
          <w:sz w:val="32"/>
          <w:szCs w:val="32"/>
          <w:shd w:val="clear" w:color="auto" w:fill="FFFFFF"/>
          <w:lang w:val="en-US" w:eastAsia="zh-CN"/>
          <w:highlight w:val="auto"/>
        </w:rPr>
        <w:t>2</w:t>
      </w:r>
      <w:r>
        <w:rPr>
          <w:rFonts w:ascii="Times New Roman" w:eastAsia="仿宋_GB2312" w:cs="Times New Roman" w:hAnsi="Times New Roman"/>
          <w:color w:val="000000"/>
          <w:kern w:val="0"/>
          <w:sz w:val="32"/>
          <w:szCs w:val="32"/>
          <w:shd w:val="clear" w:color="auto" w:fill="FFFFFF"/>
          <w:lang w:val="zh-CN"/>
          <w:highlight w:val="auto"/>
        </w:rPr>
        <w:t>月预算执行总体进度为</w:t>
      </w:r>
      <w:r>
        <w:rPr>
          <w:rFonts w:ascii="Times New Roman" w:eastAsia="仿宋_GB2312" w:cs="Times New Roman" w:hAnsi="Times New Roman"/>
          <w:color w:val="000000"/>
          <w:kern w:val="0"/>
          <w:sz w:val="32"/>
          <w:szCs w:val="32"/>
          <w:shd w:val="clear" w:color="auto" w:fill="FFFFFF"/>
          <w:lang w:val="en-US" w:eastAsia="zh-CN"/>
          <w:highlight w:val="auto"/>
        </w:rPr>
        <w:t>100</w:t>
      </w:r>
      <w:r>
        <w:rPr>
          <w:rFonts w:ascii="Times New Roman" w:eastAsia="仿宋_GB2312" w:cs="Times New Roman" w:hAnsi="Times New Roman"/>
          <w:color w:val="000000"/>
          <w:kern w:val="0"/>
          <w:sz w:val="32"/>
          <w:szCs w:val="32"/>
          <w:shd w:val="clear" w:color="auto" w:fill="FFFFFF"/>
          <w:lang w:val="zh-CN"/>
          <w:highlight w:val="auto"/>
        </w:rPr>
        <w:t>%，其中：</w:t>
      </w:r>
      <w:r>
        <w:rPr>
          <w:rFonts w:ascii="Times New Roman" w:eastAsia="仿宋_GB2312" w:cs="Times New Roman" w:hAnsi="Times New Roman"/>
          <w:color w:val="000000"/>
          <w:kern w:val="0"/>
          <w:sz w:val="32"/>
          <w:szCs w:val="32"/>
          <w:shd w:val="clear" w:color="auto" w:fill="FFFFFF"/>
          <w:lang w:val="zh-CN" w:eastAsia="zh-CN"/>
          <w:highlight w:val="auto"/>
        </w:rPr>
        <w:t>预算结余率大于</w:t>
      </w:r>
      <w:r>
        <w:rPr>
          <w:rFonts w:ascii="Times New Roman" w:eastAsia="仿宋_GB2312" w:cs="Times New Roman" w:hAnsi="Times New Roman"/>
          <w:color w:val="000000"/>
          <w:kern w:val="0"/>
          <w:sz w:val="32"/>
          <w:szCs w:val="32"/>
          <w:shd w:val="clear" w:color="auto" w:fill="FFFFFF"/>
          <w:lang w:val="en-US" w:eastAsia="zh-CN"/>
          <w:highlight w:val="auto"/>
        </w:rPr>
        <w:t>10%</w:t>
      </w:r>
      <w:r>
        <w:rPr>
          <w:rFonts w:ascii="Times New Roman" w:eastAsia="仿宋_GB2312" w:cs="Times New Roman" w:hAnsi="Times New Roman"/>
          <w:color w:val="000000"/>
          <w:kern w:val="0"/>
          <w:sz w:val="32"/>
          <w:szCs w:val="32"/>
          <w:shd w:val="clear" w:color="auto" w:fill="FFFFFF"/>
          <w:lang w:val="zh-CN" w:eastAsia="zh-CN"/>
          <w:highlight w:val="auto"/>
        </w:rPr>
        <w:t>的项目共计</w:t>
      </w:r>
      <w:r>
        <w:rPr>
          <w:rFonts w:ascii="Times New Roman" w:eastAsia="仿宋_GB2312" w:cs="Times New Roman" w:hAnsi="Times New Roman"/>
          <w:color w:val="000000"/>
          <w:kern w:val="0"/>
          <w:sz w:val="32"/>
          <w:szCs w:val="32"/>
          <w:shd w:val="clear" w:color="auto" w:fill="FFFFFF"/>
          <w:lang w:val="en-US" w:eastAsia="zh-CN"/>
          <w:highlight w:val="auto"/>
        </w:rPr>
        <w:t>0</w:t>
      </w:r>
      <w:r>
        <w:rPr>
          <w:rFonts w:ascii="Times New Roman" w:eastAsia="仿宋_GB2312" w:cs="Times New Roman" w:hAnsi="Times New Roman"/>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sz w:val="32"/>
          <w:szCs w:val="32"/>
          <w:lang w:val="zh-CN"/>
        </w:rPr>
      </w:pP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eastAsia="仿宋_GB2312" w:cs="Times New Roman" w:hAnsi="Times New Roman"/>
          <w:color w:val="000000"/>
          <w:kern w:val="0"/>
          <w:sz w:val="32"/>
          <w:szCs w:val="32"/>
          <w:shd w:val="clear" w:color="auto" w:fill="FFFFFF"/>
          <w:lang w:val="zh-CN"/>
          <w:highlight w:val="auto"/>
        </w:rPr>
        <w:t>项目决策。</w:t>
      </w:r>
      <w:r>
        <w:rPr>
          <w:rFonts w:ascii="Times New Roman" w:eastAsia="仿宋_GB2312" w:cs="Times New Roman" w:hAnsi="Times New Roman"/>
          <w:color w:val="000000"/>
          <w:sz w:val="32"/>
          <w:szCs w:val="32"/>
        </w:rPr>
        <w:t>项目申报严格按照上级要求，明确绩效目标，控制支行成本，提高项目发挥作用。</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sz w:val="32"/>
          <w:szCs w:val="32"/>
          <w:lang w:val="zh-CN"/>
        </w:rPr>
      </w:pPr>
      <w:r>
        <w:rPr>
          <w:rFonts w:ascii="Times New Roman" w:eastAsia="仿宋_GB2312" w:cs="Times New Roman" w:hAnsi="Times New Roman"/>
          <w:color w:val="000000"/>
          <w:kern w:val="0"/>
          <w:sz w:val="32"/>
          <w:szCs w:val="32"/>
          <w:shd w:val="clear" w:color="auto" w:fill="FFFFFF"/>
          <w:lang w:val="en-US" w:eastAsia="zh-CN"/>
          <w:highlight w:val="auto"/>
        </w:rPr>
        <w:t>2.项目执行</w:t>
      </w:r>
      <w:r>
        <w:rPr>
          <w:rFonts w:ascii="Times New Roman" w:eastAsia="仿宋_GB2312" w:cs="Times New Roman" w:hAnsi="Times New Roman"/>
          <w:color w:val="000000"/>
          <w:kern w:val="0"/>
          <w:sz w:val="32"/>
          <w:szCs w:val="32"/>
          <w:shd w:val="clear" w:color="auto" w:fill="FFFFFF"/>
          <w:lang w:val="zh-CN"/>
          <w:highlight w:val="auto"/>
        </w:rPr>
        <w:t>。</w:t>
      </w:r>
      <w:r>
        <w:rPr>
          <w:rFonts w:ascii="Times New Roman" w:eastAsia="仿宋_GB2312" w:cs="Times New Roman" w:hAnsi="Times New Roman"/>
          <w:color w:val="000000"/>
          <w:sz w:val="32"/>
          <w:szCs w:val="32"/>
          <w:lang w:val="zh-CN"/>
        </w:rPr>
        <w:t>根据财政局统一要求编制了我</w:t>
      </w:r>
      <w:r>
        <w:rPr>
          <w:rFonts w:ascii="Times New Roman" w:eastAsia="仿宋_GB2312" w:cs="Times New Roman" w:hAnsi="Times New Roman"/>
          <w:color w:val="000000"/>
          <w:sz w:val="32"/>
          <w:szCs w:val="32"/>
          <w:lang w:val="en-US" w:eastAsia="zh-CN"/>
        </w:rPr>
        <w:t>局</w:t>
      </w:r>
      <w:r>
        <w:rPr>
          <w:rFonts w:ascii="Times New Roman" w:eastAsia="仿宋_GB2312" w:cs="Times New Roman" w:hAnsi="Times New Roman"/>
          <w:color w:val="000000"/>
          <w:sz w:val="32"/>
          <w:szCs w:val="32"/>
          <w:lang w:val="zh-CN"/>
        </w:rPr>
        <w:t>整体绩效目标报告及项目整体绩效目标表，并报县财政局。</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color w:val="000000"/>
          <w:kern w:val="0"/>
          <w:sz w:val="32"/>
          <w:szCs w:val="32"/>
          <w:shd w:val="clear" w:color="auto" w:fill="FFFFFF"/>
          <w:lang w:val="en-US" w:eastAsia="zh-CN" w:bidi="ar-SA"/>
          <w:highlight w:val="auto"/>
        </w:rPr>
        <w:t>3.</w:t>
      </w:r>
      <w:r>
        <w:rPr>
          <w:rFonts w:ascii="Times New Roman" w:eastAsia="仿宋_GB2312" w:cs="Times New Roman" w:hAnsi="Times New Roman"/>
          <w:color w:val="000000"/>
          <w:kern w:val="0"/>
          <w:sz w:val="32"/>
          <w:szCs w:val="32"/>
          <w:shd w:val="clear" w:color="auto" w:fill="FFFFFF"/>
          <w:lang w:val="zh-CN" w:eastAsia="zh-CN" w:bidi="ar-SA"/>
          <w:highlight w:val="auto"/>
        </w:rPr>
        <w:t>目标实现。</w:t>
      </w:r>
      <w:r>
        <w:rPr>
          <w:rFonts w:ascii="Times New Roman" w:eastAsia="仿宋_GB2312" w:cs="Times New Roman" w:hAnsi="Times New Roman"/>
          <w:sz w:val="32"/>
          <w:szCs w:val="32"/>
        </w:rPr>
        <w:t>根据预算绩效管理要求，我单位深入贯彻落实</w:t>
      </w:r>
      <w:r>
        <w:rPr>
          <w:rFonts w:ascii="Times New Roman" w:eastAsia="仿宋_GB2312" w:cs="Times New Roman" w:hAnsi="Times New Roman"/>
          <w:sz w:val="32"/>
          <w:szCs w:val="32"/>
          <w:lang w:val="en-US" w:eastAsia="zh-CN"/>
        </w:rPr>
        <w:t>二十</w:t>
      </w:r>
      <w:r>
        <w:rPr>
          <w:rFonts w:ascii="Times New Roman" w:eastAsia="仿宋_GB2312" w:cs="Times New Roman" w:hAnsi="Times New Roman"/>
          <w:sz w:val="32"/>
          <w:szCs w:val="32"/>
        </w:rPr>
        <w:t>大关于“全面实施绩效管理”的要求，努力提升本单位绩效预算管理业务水平。主动公开绩效结果，加大资金使用效率，提升政府管理水平。</w:t>
      </w:r>
      <w:r>
        <w:rPr>
          <w:rFonts w:ascii="Times New Roman" w:eastAsia="仿宋_GB2312" w:cs="Times New Roman" w:hAnsi="Times New Roman"/>
          <w:sz w:val="32"/>
          <w:szCs w:val="32"/>
          <w:lang w:val="en-US" w:eastAsia="zh-CN"/>
        </w:rPr>
        <w:t>每季度在单位公开栏向各股室、中队公开</w:t>
      </w:r>
      <w:r>
        <w:rPr>
          <w:rFonts w:ascii="Times New Roman" w:eastAsia="仿宋_GB2312" w:cs="Times New Roman" w:hAnsi="Times New Roman"/>
          <w:sz w:val="32"/>
          <w:szCs w:val="32"/>
        </w:rPr>
        <w:t>部门预算及项目支出进度。</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kern w:val="0"/>
          <w:sz w:val="32"/>
          <w:szCs w:val="32"/>
          <w:shd w:val="clear" w:color="auto" w:fill="FFFFFF"/>
          <w:lang w:val="en-US" w:eastAsia="zh-CN"/>
          <w:highlight w:val="auto"/>
        </w:rPr>
      </w:pPr>
      <w:r>
        <w:rPr>
          <w:rFonts w:ascii="Times New Roman" w:eastAsia="仿宋_GB2312" w:cs="Times New Roman" w:hAnsi="Times New Roman"/>
          <w:b/>
          <w:bCs/>
          <w:color w:val="000000"/>
          <w:kern w:val="0"/>
          <w:sz w:val="32"/>
          <w:szCs w:val="32"/>
          <w:shd w:val="clear" w:color="auto" w:fill="FFFFFF"/>
          <w:lang w:val="zh-CN"/>
          <w:highlight w:val="auto"/>
        </w:rPr>
        <w:t>（三）</w:t>
      </w:r>
      <w:r>
        <w:rPr>
          <w:rFonts w:ascii="Times New Roman" w:eastAsia="仿宋_GB2312" w:cs="Times New Roman" w:hAnsi="Times New Roman"/>
          <w:b/>
          <w:bCs/>
          <w:color w:val="000000"/>
          <w:kern w:val="0"/>
          <w:sz w:val="32"/>
          <w:szCs w:val="32"/>
          <w:shd w:val="clear" w:color="auto" w:fill="FFFFFF"/>
          <w:lang w:val="zh-CN" w:eastAsia="zh-CN"/>
          <w:highlight w:val="auto"/>
        </w:rPr>
        <w:t>重点领域</w:t>
      </w:r>
      <w:r>
        <w:rPr>
          <w:rFonts w:ascii="Times New Roman" w:eastAsia="仿宋_GB2312" w:cs="Times New Roman" w:hAnsi="Times New Roman"/>
          <w:b/>
          <w:bCs/>
          <w:color w:val="000000"/>
          <w:kern w:val="0"/>
          <w:sz w:val="32"/>
          <w:szCs w:val="32"/>
          <w:shd w:val="clear" w:color="auto" w:fill="FFFFFF"/>
          <w:lang w:val="zh-CN"/>
          <w:highlight w:val="auto"/>
        </w:rPr>
        <w:t>绩效分析</w:t>
      </w:r>
      <w:r>
        <w:rPr>
          <w:rFonts w:ascii="Times New Roman" w:eastAsia="仿宋_GB2312" w:cs="Times New Roman" w:hAnsi="Times New Roman"/>
          <w:b/>
          <w:bCs/>
          <w:color w:val="000000"/>
          <w:kern w:val="0"/>
          <w:sz w:val="32"/>
          <w:szCs w:val="32"/>
          <w:shd w:val="clear" w:color="auto" w:fill="FFFFFF"/>
          <w:lang w:val="zh-CN" w:eastAsia="zh-CN"/>
          <w:highlight w:val="auto"/>
        </w:rPr>
        <w:t>。</w:t>
      </w:r>
      <w:r>
        <w:rPr>
          <w:rFonts w:ascii="Times New Roman" w:eastAsia="仿宋_GB2312" w:cs="Times New Roman" w:hAnsi="Times New Roman"/>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val="0"/>
        <w:kinsoku/>
        <w:wordWrap/>
        <w:overflowPunct/>
        <w:topLinePunct w:val="0"/>
        <w:bidi w:val="0"/>
        <w:spacing w:line="576" w:lineRule="exact"/>
        <w:ind w:firstLineChars="200" w:firstLine="640"/>
        <w:textAlignment w:val="auto"/>
        <w:rPr>
          <w:rFonts w:ascii="Times New Roman" w:eastAsia="仿宋_GB2312" w:cs="Times New Roman" w:hAnsi="Times New Roman"/>
          <w:color w:val="000000"/>
          <w:kern w:val="0"/>
          <w:sz w:val="32"/>
          <w:szCs w:val="32"/>
          <w:shd w:val="clear" w:color="auto" w:fill="FFFFFF"/>
          <w:lang w:val="zh-CN"/>
          <w:highlight w:val="auto"/>
        </w:rPr>
      </w:pPr>
      <w:r>
        <w:rPr>
          <w:rFonts w:ascii="Times New Roman" w:eastAsia="仿宋_GB2312" w:cs="Times New Roman" w:hAnsi="Times New Roman"/>
          <w:b/>
          <w:bCs/>
          <w:sz w:val="32"/>
          <w:szCs w:val="32"/>
          <w:lang w:val="zh-CN"/>
        </w:rPr>
        <w:t>（四）绩效结果应用情况。</w:t>
      </w:r>
      <w:r>
        <w:rPr>
          <w:rFonts w:ascii="Times New Roman" w:eastAsia="仿宋_GB2312" w:cs="Times New Roman" w:hAnsi="Times New Roman"/>
          <w:sz w:val="32"/>
          <w:szCs w:val="32"/>
        </w:rPr>
        <w:t>根据预算绩效管理要求，我单位深入贯彻落实</w:t>
      </w:r>
      <w:r>
        <w:rPr>
          <w:rFonts w:ascii="Times New Roman" w:eastAsia="仿宋_GB2312" w:cs="Times New Roman" w:hAnsi="Times New Roman"/>
          <w:sz w:val="32"/>
          <w:szCs w:val="32"/>
          <w:lang w:val="en-US" w:eastAsia="zh-CN"/>
        </w:rPr>
        <w:t>二十</w:t>
      </w:r>
      <w:r>
        <w:rPr>
          <w:rFonts w:ascii="Times New Roman" w:eastAsia="仿宋_GB2312" w:cs="Times New Roman" w:hAnsi="Times New Roman"/>
          <w:sz w:val="32"/>
          <w:szCs w:val="32"/>
        </w:rPr>
        <w:t>大关于“全面实施绩效管理”的要求，努力提升本单位绩效预算管理业务水平。主动公开绩效结果，加大资金使用效率，提升政府管理水平。</w:t>
      </w:r>
      <w:r>
        <w:rPr>
          <w:rFonts w:ascii="Times New Roman" w:eastAsia="仿宋_GB2312" w:cs="Times New Roman" w:hAnsi="Times New Roman"/>
          <w:sz w:val="32"/>
          <w:szCs w:val="32"/>
          <w:lang w:val="en-US" w:eastAsia="zh-CN"/>
        </w:rPr>
        <w:t>每季度在单位公开栏向各股室、中队公开</w:t>
      </w:r>
      <w:r>
        <w:rPr>
          <w:rFonts w:ascii="Times New Roman" w:eastAsia="仿宋_GB2312" w:cs="Times New Roman" w:hAnsi="Times New Roman"/>
          <w:sz w:val="32"/>
          <w:szCs w:val="32"/>
        </w:rPr>
        <w:t>部门预算及项目支出进度。</w:t>
      </w:r>
    </w:p>
    <w:p>
      <w:pPr>
        <w:keepNext w:val="0"/>
        <w:keepLines w:val="0"/>
        <w:pageBreakBefore w:val="0"/>
        <w:widowControl w:val="0"/>
        <w:kinsoku/>
        <w:wordWrap/>
        <w:overflowPunct/>
        <w:topLinePunct w:val="0"/>
        <w:bidi w:val="0"/>
        <w:spacing w:afterAutospacing="0" w:line="576" w:lineRule="exact"/>
        <w:ind w:firstLineChars="100" w:firstLine="320"/>
        <w:textAlignment w:val="auto"/>
        <w:rPr>
          <w:rFonts w:ascii="Times New Roman" w:eastAsia="仿宋_GB2312" w:cs="Times New Roman" w:hAnsi="Times New Roman"/>
          <w:b/>
          <w:bCs/>
          <w:color w:val="000000"/>
          <w:kern w:val="0"/>
          <w:sz w:val="32"/>
          <w:szCs w:val="32"/>
          <w:lang w:val="en-US" w:eastAsia="zh-CN"/>
        </w:rPr>
      </w:pPr>
      <w:r>
        <w:rPr>
          <w:rFonts w:ascii="Times New Roman" w:eastAsia="仿宋_GB2312" w:cs="Times New Roman" w:hAnsi="Times New Roman"/>
          <w:b/>
          <w:bCs/>
          <w:color w:val="000000"/>
          <w:kern w:val="0"/>
          <w:sz w:val="32"/>
          <w:szCs w:val="32"/>
        </w:rPr>
        <w:t>四、评价结论及建议</w:t>
      </w:r>
    </w:p>
    <w:p>
      <w:pPr>
        <w:keepNext w:val="0"/>
        <w:keepLines w:val="0"/>
        <w:pageBreakBefore w:val="0"/>
        <w:widowControl w:val="0"/>
        <w:kinsoku/>
        <w:wordWrap/>
        <w:overflowPunct/>
        <w:topLinePunct w:val="0"/>
        <w:bidi w:val="0"/>
        <w:spacing w:afterAutospacing="0" w:line="576" w:lineRule="exact"/>
        <w:ind w:firstLineChars="200" w:firstLine="640"/>
        <w:textAlignment w:val="auto"/>
        <w:rPr>
          <w:rFonts w:ascii="Times New Roman" w:eastAsia="仿宋_GB2312" w:cs="Times New Roman" w:hAnsi="Times New Roman"/>
          <w:color w:val="000000"/>
          <w:kern w:val="0"/>
          <w:sz w:val="32"/>
          <w:szCs w:val="32"/>
          <w:lang w:val="en-US" w:eastAsia="zh-CN"/>
        </w:rPr>
      </w:pPr>
      <w:r>
        <w:rPr>
          <w:rFonts w:ascii="Times New Roman" w:eastAsia="仿宋" w:cs="Times New Roman" w:hAnsi="Times New Roman"/>
          <w:b/>
          <w:bCs/>
          <w:color w:val="000000"/>
          <w:sz w:val="32"/>
          <w:szCs w:val="32"/>
          <w:shd w:val="clear" w:color="auto" w:fill="FFFFFF"/>
          <w:lang w:val="zh-CN"/>
        </w:rPr>
        <w:t>（一）</w:t>
      </w:r>
      <w:r>
        <w:rPr>
          <w:rFonts w:ascii="Times New Roman" w:eastAsia="仿宋_GB2312" w:cs="Times New Roman" w:hAnsi="Times New Roman"/>
          <w:color w:val="000000"/>
          <w:kern w:val="0"/>
          <w:sz w:val="32"/>
          <w:szCs w:val="32"/>
        </w:rPr>
        <w:t>我局认真地完成了</w:t>
      </w:r>
      <w:r>
        <w:rPr>
          <w:rFonts w:ascii="Times New Roman" w:eastAsia="仿宋_GB2312" w:cs="Times New Roman" w:hAnsi="Times New Roman"/>
          <w:color w:val="000000"/>
          <w:kern w:val="0"/>
          <w:sz w:val="32"/>
          <w:szCs w:val="32"/>
          <w:lang w:val="en-US" w:eastAsia="zh-CN"/>
        </w:rPr>
        <w:t>202</w:t>
      </w:r>
      <w:r>
        <w:rPr>
          <w:rFonts w:cs="Times New Roman" w:hint="eastAsia"/>
          <w:color w:val="000000"/>
          <w:kern w:val="0"/>
          <w:sz w:val="32"/>
          <w:szCs w:val="32"/>
          <w:lang w:val="en-US" w:eastAsia="zh-CN"/>
        </w:rPr>
        <w:t>4</w:t>
      </w:r>
      <w:r>
        <w:rPr>
          <w:rFonts w:ascii="Times New Roman" w:eastAsia="仿宋_GB2312" w:cs="Times New Roman" w:hAnsi="Times New Roman"/>
          <w:color w:val="000000"/>
          <w:kern w:val="0"/>
          <w:sz w:val="32"/>
          <w:szCs w:val="32"/>
        </w:rPr>
        <w:t>年部门预算汇总工作，财务管理和会计基础工作日益完善。部门基本支出预算，保障了机关日常正常运转，认真履行部门职能职责，圆满完成了县委、县政府下达的各项业务目标任务。自评</w:t>
      </w:r>
      <w:r>
        <w:rPr>
          <w:rFonts w:ascii="Times New Roman" w:eastAsia="仿宋_GB2312" w:cs="Times New Roman" w:hAnsi="Times New Roman"/>
          <w:color w:val="000000"/>
          <w:kern w:val="0"/>
          <w:sz w:val="32"/>
          <w:szCs w:val="32"/>
          <w:lang w:val="en-US" w:eastAsia="zh-CN"/>
        </w:rPr>
        <w:t>95分</w:t>
      </w:r>
      <w:r>
        <w:rPr>
          <w:rFonts w:ascii="Times New Roman" w:eastAsia="仿宋_GB2312" w:cs="Times New Roman" w:hAnsi="Times New Roman"/>
          <w:color w:val="000000"/>
          <w:kern w:val="0"/>
          <w:sz w:val="32"/>
          <w:szCs w:val="32"/>
        </w:rPr>
        <w:t>。</w:t>
      </w:r>
      <w:r>
        <w:rPr>
          <w:rFonts w:ascii="Times New Roman" w:eastAsia="仿宋_GB2312" w:cs="Times New Roman" w:hAnsi="Times New Roman"/>
          <w:color w:val="000000"/>
          <w:kern w:val="0"/>
          <w:sz w:val="32"/>
          <w:szCs w:val="32"/>
          <w:lang w:eastAsia="zh-CN"/>
        </w:rPr>
        <w:t>（自评满分</w:t>
      </w:r>
      <w:r>
        <w:rPr>
          <w:rFonts w:ascii="Times New Roman" w:eastAsia="仿宋_GB2312" w:cs="Times New Roman" w:hAnsi="Times New Roman"/>
          <w:color w:val="000000"/>
          <w:kern w:val="0"/>
          <w:sz w:val="32"/>
          <w:szCs w:val="32"/>
          <w:lang w:val="en-US" w:eastAsia="zh-CN"/>
        </w:rPr>
        <w:t>100分）</w:t>
      </w:r>
    </w:p>
    <w:p>
      <w:pPr>
        <w:keepNext w:val="0"/>
        <w:keepLines w:val="0"/>
        <w:pageBreakBefore w:val="0"/>
        <w:widowControl/>
        <w:kinsoku/>
        <w:wordWrap/>
        <w:overflowPunct/>
        <w:topLinePunct w:val="0"/>
        <w:autoSpaceDE/>
        <w:autoSpaceDN/>
        <w:bidi w:val="0"/>
        <w:adjustRightInd w:val="0"/>
        <w:snapToGrid w:val="0"/>
        <w:spacing w:line="576" w:lineRule="exact"/>
        <w:ind w:firstLineChars="200" w:firstLine="640"/>
        <w:contextualSpacing/>
        <w:jc w:val="left"/>
        <w:textAlignment w:val="auto"/>
        <w:outlineLvl w:val="9"/>
        <w:rPr>
          <w:rFonts w:ascii="Times New Roman" w:eastAsia="仿宋_GB2312" w:cs="Times New Roman" w:hAnsi="Times New Roman"/>
          <w:color w:val="000000"/>
          <w:kern w:val="0"/>
          <w:sz w:val="32"/>
          <w:szCs w:val="32"/>
          <w:lang w:val="en-US" w:eastAsia="zh-CN"/>
        </w:rPr>
      </w:pPr>
      <w:r>
        <w:rPr>
          <w:rFonts w:ascii="Times New Roman" w:eastAsia="仿宋" w:cs="Times New Roman" w:hAnsi="Times New Roman"/>
          <w:b/>
          <w:bCs/>
          <w:color w:val="000000"/>
          <w:sz w:val="32"/>
          <w:szCs w:val="32"/>
          <w:shd w:val="clear" w:color="auto" w:fill="FFFFFF"/>
          <w:lang w:val="zh-CN"/>
        </w:rPr>
        <w:t>（二）存在问题。</w:t>
      </w:r>
      <w:r>
        <w:rPr>
          <w:rFonts w:ascii="Times New Roman" w:eastAsia="仿宋_GB2312" w:cs="Times New Roman" w:hAnsi="Times New Roman"/>
          <w:b/>
          <w:bCs/>
          <w:color w:val="000000"/>
          <w:kern w:val="0"/>
          <w:sz w:val="32"/>
          <w:szCs w:val="32"/>
        </w:rPr>
        <w:t>一是</w:t>
      </w:r>
      <w:r>
        <w:rPr>
          <w:rFonts w:ascii="Times New Roman" w:eastAsia="仿宋_GB2312" w:cs="Times New Roman" w:hAnsi="Times New Roman"/>
          <w:color w:val="000000"/>
          <w:kern w:val="0"/>
          <w:sz w:val="32"/>
          <w:szCs w:val="32"/>
        </w:rPr>
        <w:t>资金使用效益有待进一步提高。</w:t>
      </w:r>
      <w:r>
        <w:rPr>
          <w:rFonts w:ascii="Times New Roman" w:eastAsia="仿宋_GB2312" w:cs="Times New Roman" w:hAnsi="Times New Roman"/>
          <w:b/>
          <w:bCs/>
          <w:color w:val="000000"/>
          <w:kern w:val="0"/>
          <w:sz w:val="32"/>
          <w:szCs w:val="32"/>
        </w:rPr>
        <w:t>二是</w:t>
      </w:r>
      <w:r>
        <w:rPr>
          <w:rFonts w:ascii="Times New Roman" w:eastAsia="仿宋_GB2312" w:cs="Times New Roman" w:hAnsi="Times New Roman"/>
          <w:color w:val="000000"/>
          <w:kern w:val="0"/>
          <w:sz w:val="32"/>
          <w:szCs w:val="32"/>
        </w:rPr>
        <w:t>绩效目标设立不够明确、细化和量化。虽然设立了项目资金绩效目标，但目标不够明确、细化和量化。</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cs="Times New Roman" w:hAnsi="Times New Roman"/>
          <w:sz w:val="32"/>
          <w:szCs w:val="32"/>
          <w:lang w:val="en-US" w:eastAsia="zh-CN"/>
        </w:rPr>
      </w:pPr>
      <w:r>
        <w:rPr>
          <w:rFonts w:ascii="Times New Roman" w:eastAsia="仿宋" w:cs="Times New Roman" w:hAnsi="Times New Roman"/>
          <w:b/>
          <w:bCs/>
          <w:color w:val="000000"/>
          <w:sz w:val="32"/>
          <w:szCs w:val="32"/>
          <w:shd w:val="clear" w:color="auto" w:fill="FFFFFF"/>
          <w:lang w:val="en-US" w:eastAsia="zh-CN"/>
        </w:rPr>
        <w:t>（三）改进建议。</w:t>
      </w:r>
      <w:r>
        <w:rPr>
          <w:rFonts w:ascii="Times New Roman" w:cs="Times New Roman" w:hAnsi="Times New Roman"/>
          <w:b/>
          <w:bCs/>
          <w:sz w:val="32"/>
          <w:szCs w:val="32"/>
          <w:lang w:val="en-US" w:eastAsia="zh-CN"/>
        </w:rPr>
        <w:t>一是</w:t>
      </w:r>
      <w:r>
        <w:rPr>
          <w:rFonts w:ascii="Times New Roman" w:cs="Times New Roman" w:hAnsi="Times New Roman"/>
          <w:sz w:val="32"/>
          <w:szCs w:val="32"/>
          <w:lang w:val="en-US" w:eastAsia="zh-CN"/>
        </w:rPr>
        <w:t>遵循先有预算、后有支出的原则，加强财务管理和内部控制监督制度。严禁超预算和无预算安排支出，严格开支范围和标准，严格支出报销审核，不报销任何超范围、超标准的费用。</w:t>
      </w:r>
      <w:r>
        <w:rPr>
          <w:rFonts w:ascii="Times New Roman" w:cs="Times New Roman" w:hAnsi="Times New Roman"/>
          <w:b/>
          <w:bCs/>
          <w:sz w:val="32"/>
          <w:szCs w:val="32"/>
          <w:lang w:val="en-US" w:eastAsia="zh-CN"/>
        </w:rPr>
        <w:t>二是</w:t>
      </w:r>
      <w:r>
        <w:rPr>
          <w:rFonts w:ascii="Times New Roman" w:cs="Times New Roman" w:hAnsi="Times New Roman"/>
          <w:sz w:val="32"/>
          <w:szCs w:val="32"/>
          <w:lang w:val="en-US" w:eastAsia="zh-CN"/>
        </w:rPr>
        <w:t>不断加强新《预算法》、《行政单位会计制度》等学习培训，规范部门预算收支核算，制定和完善基本支出、项目支出等各项支出标准，严格按项目和进度执行预算，增强预算的约束力和严肃性。</w:t>
      </w:r>
    </w:p>
    <w:p>
      <w:pPr>
        <w:pStyle w:val="21"/>
        <w:rPr>
          <w:rFonts w:ascii="Times New Roman" w:eastAsia="仿宋_GB2312" w:cs="Times New Roman" w:hAnsi="Times New Roman" w:hint="eastAsia"/>
          <w:b/>
          <w:bCs/>
          <w:color w:val="000000"/>
          <w:kern w:val="0"/>
          <w:sz w:val="32"/>
          <w:szCs w:val="32"/>
          <w:lang w:val="en-US" w:eastAsia="zh-CN" w:bidi="ar-SA"/>
        </w:rPr>
      </w:pPr>
      <w:r>
        <w:rPr>
          <w:rFonts w:ascii="Times New Roman" w:eastAsia="仿宋_GB2312" w:cs="Times New Roman" w:hAnsi="Times New Roman" w:hint="eastAsia"/>
          <w:b/>
          <w:bCs/>
          <w:color w:val="000000"/>
          <w:kern w:val="0"/>
          <w:sz w:val="32"/>
          <w:szCs w:val="32"/>
          <w:lang w:val="en-US" w:eastAsia="zh-CN" w:bidi="ar-SA"/>
        </w:rPr>
        <w:t>二、绩效自评表</w:t>
      </w: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hint="eastAsia"/>
          <w:kern w:val="2"/>
          <w:sz w:val="32"/>
          <w:szCs w:val="24"/>
          <w:lang w:val="en-US" w:eastAsia="zh-CN" w:bidi="ar-SA"/>
          <w:highlight w:val="auto"/>
        </w:rPr>
      </w:pP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备注</w:t>
            </w:r>
          </w:p>
        </w:tc>
      </w:tr>
      <w:tr>
        <w:trPr>
          <w:trHeight w:val="23"/>
        </w:trPr>
        <w:tc>
          <w:tcPr>
            <w:tcW w:w="1004"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w:t>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6" w:type="dxa"/>
            <w:vMerge/>
            <w:tcBorders>
              <w:top w:val="nil"/>
              <w:left w:val="single" w:sz="4" w:space="0" w:color="000000"/>
              <w:bottom w:val="single" w:sz="4" w:space="0" w:color="000000"/>
              <w:right w:val="single" w:sz="4" w:space="0" w:color="000000"/>
            </w:tcBorders>
            <w:shd w:val="clear" w:color="auto" w:fill="auto"/>
            <w:noWrap/>
            <w:vAlign w:val="center"/>
          </w:tcPr>
          <w:p/>
        </w:tc>
        <w:tc>
          <w:tcPr>
            <w:tcW w:w="478" w:type="dxa"/>
            <w:vMerge/>
            <w:tcBorders>
              <w:top w:val="nil"/>
              <w:left w:val="single" w:sz="4" w:space="0" w:color="000000"/>
              <w:bottom w:val="single" w:sz="4" w:space="0" w:color="000000"/>
              <w:right w:val="single" w:sz="4" w:space="0" w:color="000000"/>
            </w:tcBorders>
            <w:shd w:val="clear" w:color="auto" w:fill="auto"/>
            <w:noWrap/>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履职效能</w:t>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市场履职效果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nil"/>
              <w:left w:val="single" w:sz="4" w:space="0" w:color="000000"/>
              <w:bottom w:val="nil"/>
              <w:right w:val="single" w:sz="4" w:space="0" w:color="000000"/>
            </w:tcBorders>
            <w:shd w:val="clear" w:color="auto" w:fill="auto"/>
            <w:noWrap/>
            <w:vAlign w:val="center"/>
          </w:tcPr>
          <w:p/>
        </w:tc>
        <w:tc>
          <w:tcPr>
            <w:tcW w:w="1462" w:type="dxa"/>
            <w:vMerge/>
            <w:tcBorders>
              <w:top w:val="nil"/>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交通履职效果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nil"/>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nil"/>
              <w:left w:val="single" w:sz="4" w:space="0" w:color="000000"/>
              <w:bottom w:val="nil"/>
              <w:right w:val="single" w:sz="4" w:space="0" w:color="000000"/>
            </w:tcBorders>
            <w:shd w:val="clear" w:color="auto" w:fill="auto"/>
            <w:noWrap/>
            <w:vAlign w:val="center"/>
          </w:tcPr>
          <w:p/>
        </w:tc>
        <w:tc>
          <w:tcPr>
            <w:tcW w:w="1462" w:type="dxa"/>
            <w:vMerge/>
            <w:tcBorders>
              <w:top w:val="nil"/>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城市履职效果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387"/>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预算管理</w:t>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财务管理</w:t>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采购管理</w:t>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项目绩效</w:t>
              <w:br/>
              <w:t>（35分）</w:t>
            </w: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项目决策</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项目执行</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目标实现</w:t>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扣分项</w:t>
              <w:br/>
              <w:t>（10分）</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bl>
    <w:p>
      <w:pPr>
        <w:rPr>
          <w:lang w:val="en-US" w:eastAsia="zh-CN"/>
        </w:rPr>
      </w:pPr>
    </w:p>
    <w:p>
      <w:pPr>
        <w:rPr>
          <w:lang w:val="en-US" w:eastAsia="zh-CN"/>
        </w:rPr>
      </w:pPr>
    </w:p>
    <w:p>
      <w:pPr>
        <w:pStyle w:val="18"/>
        <w:tabs>
          <w:tab w:val="clear" w:pos="8296"/>
          <w:tab w:val="right" w:leader="dot" w:pos="8306"/>
        </w:tabs>
        <w:rPr>
          <w:rFonts w:ascii="Times New Roman" w:eastAsia="宋体" w:hAnsi="Times New Roman"/>
          <w:sz w:val="32"/>
          <w:szCs w:val="32"/>
        </w:rPr>
      </w:pPr>
      <w:r>
        <w:rPr>
          <w:rFonts w:ascii="Times New Roman" w:eastAsia="宋体" w:hAnsi="Times New Roman"/>
          <w:sz w:val="32"/>
          <w:szCs w:val="32"/>
        </w:rPr>
        <w:fldChar w:fldCharType="begin"/>
      </w:r>
      <w:r>
        <w:rPr>
          <w:rFonts w:ascii="Times New Roman" w:eastAsia="宋体" w:hAnsi="Times New Roman"/>
          <w:sz w:val="32"/>
          <w:szCs w:val="32"/>
        </w:rPr>
        <w:instrText xml:space="preserve"> HYPERLINK \l _Toc23732 </w:instrText>
      </w:r>
      <w:r>
        <w:rPr>
          <w:rFonts w:ascii="Times New Roman" w:eastAsia="宋体" w:hAnsi="Times New Roman"/>
          <w:sz w:val="32"/>
          <w:szCs w:val="32"/>
        </w:rPr>
        <w:fldChar w:fldCharType="separate"/>
      </w:r>
      <w:r>
        <w:rPr>
          <w:rFonts w:ascii="Times New Roman" w:eastAsia="宋体" w:hAnsi="Times New Roman"/>
          <w:sz w:val="32"/>
          <w:szCs w:val="32"/>
        </w:rPr>
        <w:t>第五部分 附表</w:t>
      </w:r>
      <w:r>
        <w:rPr>
          <w:rFonts w:ascii="Times New Roman" w:eastAsia="宋体" w:hAnsi="Times New Roman"/>
          <w:sz w:val="32"/>
          <w:szCs w:val="32"/>
        </w:rPr>
        <w:fldChar w:fldCharType="end"/>
      </w:r>
    </w:p>
    <w:p>
      <w:pPr>
        <w:pStyle w:val="19"/>
        <w:tabs>
          <w:tab w:val="right" w:leader="dot" w:pos="8296"/>
        </w:tabs>
        <w:adjustRightInd w:val="0"/>
        <w:snapToGrid w:val="0"/>
        <w:spacing w:line="440" w:lineRule="exact"/>
        <w:jc w:val="left"/>
        <w:rPr>
          <w:sz w:val="32"/>
          <w:szCs w:val="32"/>
          <w:lang w:bidi="ar-SA"/>
        </w:rPr>
      </w:pPr>
      <w:r>
        <w:rPr>
          <w:sz w:val="32"/>
          <w:szCs w:val="32"/>
          <w:lang w:bidi="ar-SA"/>
        </w:rPr>
        <w:t>一、收入支出决算总表</w:t>
      </w:r>
    </w:p>
    <w:p>
      <w:pPr>
        <w:pStyle w:val="19"/>
        <w:tabs>
          <w:tab w:val="right" w:leader="dot" w:pos="8296"/>
        </w:tabs>
        <w:adjustRightInd w:val="0"/>
        <w:snapToGrid w:val="0"/>
        <w:spacing w:line="440" w:lineRule="exact"/>
        <w:jc w:val="left"/>
        <w:rPr>
          <w:sz w:val="32"/>
          <w:szCs w:val="32"/>
          <w:lang w:bidi="ar-SA"/>
        </w:rPr>
      </w:pPr>
      <w:r>
        <w:rPr>
          <w:sz w:val="32"/>
          <w:szCs w:val="32"/>
          <w:lang w:bidi="ar-SA"/>
        </w:rPr>
        <w:t>二、收入决算表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三、支出决算表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四、财政拨款收入支出决算总表</w:t>
      </w:r>
      <w:bookmarkStart w:id="106" w:name="_GoBack"/>
      <w:bookmarkEnd w:id="106"/>
    </w:p>
    <w:p>
      <w:pPr>
        <w:pStyle w:val="19"/>
        <w:tabs>
          <w:tab w:val="right" w:leader="dot" w:pos="8296"/>
        </w:tabs>
        <w:adjustRightInd w:val="0"/>
        <w:snapToGrid w:val="0"/>
        <w:spacing w:line="440" w:lineRule="exact"/>
        <w:jc w:val="left"/>
        <w:rPr>
          <w:sz w:val="32"/>
          <w:szCs w:val="32"/>
          <w:lang w:bidi="ar-SA"/>
        </w:rPr>
      </w:pPr>
      <w:r>
        <w:rPr>
          <w:sz w:val="32"/>
          <w:szCs w:val="32"/>
          <w:lang w:bidi="ar-SA"/>
        </w:rPr>
        <w:t>五、财政拨款支出决算明细表</w:t>
      </w:r>
    </w:p>
    <w:p>
      <w:pPr>
        <w:pStyle w:val="19"/>
        <w:tabs>
          <w:tab w:val="right" w:leader="dot" w:pos="8296"/>
        </w:tabs>
        <w:adjustRightInd w:val="0"/>
        <w:snapToGrid w:val="0"/>
        <w:spacing w:line="440" w:lineRule="exact"/>
        <w:jc w:val="left"/>
        <w:rPr>
          <w:sz w:val="32"/>
          <w:szCs w:val="32"/>
          <w:lang w:bidi="ar-SA"/>
        </w:rPr>
      </w:pPr>
      <w:r>
        <w:rPr>
          <w:sz w:val="32"/>
          <w:szCs w:val="32"/>
          <w:lang w:bidi="ar-SA"/>
        </w:rPr>
        <w:t>六、一般公共预算财政拨款支出决算表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七、一般公共预算财政拨款支出决算明细表</w:t>
      </w:r>
    </w:p>
    <w:p>
      <w:pPr>
        <w:pStyle w:val="19"/>
        <w:tabs>
          <w:tab w:val="right" w:leader="dot" w:pos="8296"/>
        </w:tabs>
        <w:adjustRightInd w:val="0"/>
        <w:snapToGrid w:val="0"/>
        <w:spacing w:line="440" w:lineRule="exact"/>
        <w:jc w:val="left"/>
        <w:rPr>
          <w:sz w:val="32"/>
          <w:szCs w:val="32"/>
          <w:lang w:bidi="ar-SA"/>
        </w:rPr>
      </w:pPr>
      <w:r>
        <w:rPr>
          <w:sz w:val="32"/>
          <w:szCs w:val="32"/>
          <w:lang w:bidi="ar-SA"/>
        </w:rPr>
        <w:t>八、一般公共预算财政拨款基本支出决算明细表</w:t>
      </w:r>
    </w:p>
    <w:p>
      <w:pPr>
        <w:pStyle w:val="19"/>
        <w:tabs>
          <w:tab w:val="right" w:leader="dot" w:pos="8296"/>
        </w:tabs>
        <w:adjustRightInd w:val="0"/>
        <w:snapToGrid w:val="0"/>
        <w:spacing w:line="440" w:lineRule="exact"/>
        <w:jc w:val="left"/>
        <w:rPr>
          <w:sz w:val="32"/>
          <w:szCs w:val="32"/>
          <w:lang w:bidi="ar-SA"/>
        </w:rPr>
      </w:pPr>
      <w:r>
        <w:rPr>
          <w:sz w:val="32"/>
          <w:szCs w:val="32"/>
          <w:lang w:bidi="ar-SA"/>
        </w:rPr>
        <w:t>九、一般公共预算财政拨款项目支出决算表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十、政府性基金预算财政拨款收入支出决算表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十一、国有资本经营预算财政拨款收入支出决算表</w:t>
      </w:r>
    </w:p>
    <w:p>
      <w:pPr>
        <w:pStyle w:val="19"/>
        <w:tabs>
          <w:tab w:val="right" w:leader="dot" w:pos="8296"/>
        </w:tabs>
        <w:adjustRightInd w:val="0"/>
        <w:snapToGrid w:val="0"/>
        <w:spacing w:line="440" w:lineRule="exact"/>
        <w:jc w:val="left"/>
        <w:rPr>
          <w:sz w:val="32"/>
          <w:szCs w:val="32"/>
          <w:lang w:bidi="ar-SA"/>
        </w:rPr>
      </w:pPr>
      <w:r>
        <w:rPr>
          <w:sz w:val="32"/>
          <w:szCs w:val="32"/>
          <w:lang w:bidi="ar-SA"/>
        </w:rPr>
        <w:t>十二、国有资本经营预算财政拨款支出决算表</w:t>
      </w:r>
    </w:p>
    <w:p>
      <w:pPr>
        <w:pStyle w:val="19"/>
        <w:tabs>
          <w:tab w:val="right" w:leader="dot" w:pos="8296"/>
        </w:tabs>
        <w:adjustRightInd w:val="0"/>
        <w:snapToGrid w:val="0"/>
        <w:spacing w:line="440" w:lineRule="exact"/>
        <w:jc w:val="left"/>
        <w:rPr>
          <w:sz w:val="32"/>
          <w:szCs w:val="32"/>
        </w:rPr>
      </w:pPr>
      <w:r>
        <w:rPr>
          <w:sz w:val="32"/>
          <w:szCs w:val="32"/>
          <w:lang w:bidi="ar-SA"/>
        </w:rPr>
        <w:t>十三、财政拨款“三公”经费支出决算表</w:t>
      </w:r>
    </w:p>
    <w:p>
      <w:pPr>
        <w:pStyle w:val="15"/>
        <w:rPr>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3000509000000000000"/>
    <w:charset w:val="86"/>
    <w:family w:val="auto"/>
    <w:pitch w:val="variable"/>
    <w:sig w:usb0="00000001" w:usb1="080E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方正大标宋_GBK">
    <w:panose1 w:val="03000509000000000000"/>
    <w:charset w:val="86"/>
    <w:family w:val="auto"/>
    <w:pitch w:val="variable"/>
    <w:sig w:usb0="00000001" w:usb1="080E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Times New Roman">
    <w:altName w:val="AR PL UKai CN"/>
    <w:panose1 w:val="02020603050405020304"/>
    <w:charset w:val="86"/>
    <w:family w:val="auto"/>
    <w:pitch w:val="variable"/>
    <w:sig w:usb0="E0002AFF" w:usb1="C0007841" w:usb2="00000009" w:usb3="00000000" w:csb0="400001FF" w:csb1="FFFF0000"/>
  </w:font>
  <w:font w:name="仿宋_GB2312">
    <w:panose1 w:val="02010609030101010101"/>
    <w:charset w:val="86"/>
    <w:family w:val="auto"/>
    <w:pitch w:val="variable"/>
    <w:sig w:usb0="00000001" w:usb1="080E0000" w:usb2="00000000" w:usb3="00000000" w:csb0="00040000" w:csb1="00000000"/>
  </w:font>
  <w:font w:name="仿宋_GB2312仿宋_GB2312">
    <w:altName w:val="AR PL UKai CN"/>
    <w:panose1 w:val="00000000000000000000"/>
    <w:charset w:val="86"/>
    <w:family w:val="roman"/>
    <w:pitch w:val="variable"/>
    <w:sig w:usb0="00000000" w:usb1="00000000" w:usb2="00000000" w:usb3="00000000" w:csb0="00000000" w:csb1="00000000"/>
  </w:font>
  <w:font w:name="楷体_GB2312">
    <w:panose1 w:val="02010609030101010101"/>
    <w:charset w:val="86"/>
    <w:family w:val="auto"/>
    <w:pitch w:val="variable"/>
    <w:sig w:usb0="00000001" w:usb1="080E0000" w:usb2="00000000" w:usb3="00000000" w:csb0="00040000" w:csb1="00000000"/>
  </w:font>
  <w:font w:name="Calibri Light">
    <w:altName w:val="DejaVu Sans"/>
    <w:panose1 w:val="020F0302020204030204"/>
    <w:charset w:val="00"/>
    <w:family w:val="auto"/>
    <w:pitch w:val="variable"/>
    <w:sig w:usb0="A00002EF" w:usb1="4000207B" w:usb2="00000000"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7E67E24"/>
    <w:multiLevelType w:val="singleLevel"/>
    <w:tmpl w:val="37E67E24"/>
    <w:lvl w:ilvl="0">
      <w:start w:val="1"/>
      <w:numFmt w:val="decimal"/>
      <w:lvlRestart w:val="0"/>
      <w:suff w:val="space"/>
      <w:lvlText w:val="%1."/>
      <w:lvlJc w:val="left"/>
      <w:pPr>
        <w:tabs>
          <w:tab w:val="num" w:pos="0"/>
        </w:tabs>
        <w:ind w:left="0" w:hanging="0"/>
      </w:pPr>
    </w:lvl>
  </w:abstractNum>
  <w:abstractNum w:abstractNumId="1">
    <w:nsid w:val="EBC0561E"/>
    <w:multiLevelType w:val="singleLevel"/>
    <w:tmpl w:val="EBC0561E"/>
    <w:lvl w:ilvl="0">
      <w:start w:val="1"/>
      <w:numFmt w:val="decimal"/>
      <w:lvlRestart w:val="0"/>
      <w:suff w:val="space"/>
      <w:lvlText w:val="%1."/>
      <w:lvlJc w:val="left"/>
      <w:pPr>
        <w:tabs>
          <w:tab w:val="num" w:pos="0"/>
        </w:tabs>
        <w:ind w:left="0" w:hanging="0"/>
      </w:pPr>
    </w:lvl>
  </w:abstractNum>
  <w:abstractNum w:abstractNumId="2">
    <w:nsid w:val="18E2451F"/>
    <w:multiLevelType w:val="singleLevel"/>
    <w:tmpl w:val="18E2451F"/>
    <w:lvl w:ilvl="0">
      <w:start w:val="1"/>
      <w:numFmt w:val="decimal"/>
      <w:lvlRestart w:val="0"/>
      <w:lvlText w:val="%1."/>
      <w:lvlJc w:val="left"/>
      <w:pPr>
        <w:tabs>
          <w:tab w:val="num" w:pos="0"/>
        </w:tabs>
        <w:ind w:left="0" w:hanging="0"/>
      </w:pPr>
    </w:lvl>
  </w:abstractNum>
  <w:abstractNum w:abstractNumId="3">
    <w:nsid w:val="C847CFF8"/>
    <w:multiLevelType w:val="singleLevel"/>
    <w:tmpl w:val="C847CFF8"/>
    <w:lvl w:ilvl="0">
      <w:start w:val="4"/>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libri Light" w:eastAsia="宋体" w:cs="Times New Roman" w:hAnsi="Calibri Light"/>
      <w:b/>
      <w:bCs/>
      <w:sz w:val="32"/>
      <w:szCs w:val="32"/>
    </w:rPr>
  </w:style>
  <w:style w:type="character" w:customStyle="1" w:styleId="2Char">
    <w:name w:val="heading 2 Char"/>
    <w:basedOn w:val="10"/>
    <w:link w:val="2"/>
    <w:rPr>
      <w:rFonts w:ascii="Calibri Light" w:eastAsia="宋体" w:cs="Times New Roman" w:hAnsi="Calibri Light"/>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toc 1"/>
    <w:basedOn w:val="0"/>
    <w:next w:val="0"/>
    <w:pPr>
      <w:tabs>
        <w:tab w:val="right" w:leader="dot" w:pos="8296"/>
      </w:tabs>
      <w:spacing w:before="93"/>
      <w:jc w:val="center"/>
    </w:pPr>
    <w:rPr>
      <w:rFonts w:ascii="仿宋" w:eastAsia="仿宋"/>
      <w:sz w:val="28"/>
      <w:szCs w:val="28"/>
    </w:rPr>
  </w:style>
  <w:style w:type="paragraph" w:styleId="19">
    <w:name w:val="toc 2"/>
    <w:basedOn w:val="0"/>
    <w:next w:val="0"/>
    <w:pPr>
      <w:tabs>
        <w:tab w:val="right" w:leader="dot" w:pos="8296"/>
      </w:tabs>
      <w:ind w:leftChars="200" w:left="200"/>
    </w:pPr>
  </w:style>
  <w:style w:type="character" w:styleId="20">
    <w:name w:val="Strong"/>
    <w:basedOn w:val="10"/>
    <w:rPr>
      <w:b/>
    </w:rPr>
  </w:style>
  <w:style w:type="paragraph" w:customStyle="1" w:styleId="21">
    <w:name w:val="标题 5（有编号）（绿盟科技）"/>
    <w:next w:val="0"/>
    <w:pPr>
      <w:keepNext/>
      <w:keepLines/>
      <w:widowControl w:val="0"/>
      <w:spacing w:before="280" w:after="156" w:line="377" w:lineRule="auto"/>
      <w:outlineLvl w:val="4"/>
    </w:pPr>
    <w:rPr>
      <w:rFonts w:ascii="Arial" w:eastAsia="黑体" w:cs="Times New Roman" w:hAnsi="Arial"/>
      <w:b/>
      <w:kern w:val="2"/>
      <w:sz w:val="24"/>
      <w:szCs w:val="28"/>
      <w:lang w:val="en-US" w:eastAsia="zh-CN" w:bidi="ar-SA"/>
    </w:rPr>
  </w:style>
  <w:style w:type="paragraph" w:customStyle="1" w:styleId="22">
    <w:name w:val="普通(网站) Char"/>
    <w:basedOn w:val="0"/>
    <w:autoRedefine/>
    <w:pPr>
      <w:spacing w:before="0" w:beforeAutospacing="1" w:after="0" w:afterAutospacing="1"/>
      <w:ind w:left="0" w:right="0"/>
      <w:jc w:val="left"/>
    </w:pPr>
    <w:rPr>
      <w:rFonts w:ascii="宋体" w:eastAsia="宋体" w:cs="宋体"/>
      <w:kern w:val="0"/>
      <w:sz w:val="24"/>
      <w:szCs w:val="24"/>
      <w:lang w:val="en-US" w:eastAsia="zh-CN"/>
    </w:rPr>
  </w:style>
  <w:style w:type="paragraph" w:customStyle="1" w:styleId="23">
    <w:name w:val="table of figures"/>
    <w:basedOn w:val="0"/>
    <w:autoRedefine/>
    <w:next w:val="0"/>
    <w:pPr>
      <w:spacing w:before="0" w:beforeAutospacing="0" w:after="0" w:afterAutospacing="0"/>
      <w:ind w:leftChars="200" w:left="400" w:right="0" w:hangingChars="200" w:hanging="200"/>
      <w:jc w:val="left"/>
    </w:pPr>
    <w:rPr>
      <w:rFonts w:ascii="宋体" w:eastAsia="宋体" w:cs="宋体"/>
      <w:kern w:val="0"/>
      <w:sz w:val="24"/>
      <w:szCs w:val="24"/>
      <w:lang w:val="en-US" w:eastAsia="zh-CN"/>
    </w:rPr>
  </w:style>
  <w:style w:type="paragraph" w:customStyle="1" w:styleId="24">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chart" Target="charts/chart1.xml"/><Relationship Id="rId3" Type="http://schemas.openxmlformats.org/officeDocument/2006/relationships/chart" Target="charts/chart2.xml"/><Relationship Id="rId4" Type="http://schemas.openxmlformats.org/officeDocument/2006/relationships/chart" Target="charts/chart3.xml"/><Relationship Id="rId5" Type="http://schemas.openxmlformats.org/officeDocument/2006/relationships/chart" Target="charts/chart4.xml"/><Relationship Id="rId6" Type="http://schemas.openxmlformats.org/officeDocument/2006/relationships/chart" Target="charts/chart5.xml"/><Relationship Id="rId7" Type="http://schemas.openxmlformats.org/officeDocument/2006/relationships/chart" Target="charts/chart6.xml"/><Relationship Id="rId8" Type="http://schemas.openxmlformats.org/officeDocument/2006/relationships/chart" Target="charts/chart7.xml"/><Relationship Id="rId9" Type="http://schemas.openxmlformats.org/officeDocument/2006/relationships/styles" Target="styles.xml"/><Relationship Id="rId10" Type="http://schemas.openxmlformats.org/officeDocument/2006/relationships/numbering" Target="numbering.xml"/><Relationship Id="rId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8995"/>
          <c:y val="0.2254422"/>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2023年</c:v>
                </c:pt>
                <c:pt idx="1">
                  <c:v>2024年</c:v>
                </c:pt>
              </c:strCache>
            </c:strRef>
          </c:cat>
          <c:val>
            <c:numRef>
              <c:f>'Sheet1'!$B$2:$B$3</c:f>
              <c:numCache>
                <c:formatCode>General</c:formatCode>
                <c:ptCount val="2"/>
                <c:pt idx="0">
                  <c:v>1070.4</c:v>
                </c:pt>
                <c:pt idx="1">
                  <c:v>1139.65</c:v>
                </c:pt>
              </c:numCache>
            </c:numRef>
          </c:val>
        </c:ser>
        <c:ser>
          <c:idx val="1"/>
          <c:order val="1"/>
          <c:tx>
            <c:strRef>
              <c:f>'Sheet1'!$C$1</c:f>
              <c:strCache>
                <c:ptCount val="1"/>
                <c:pt idx="0">
                  <c:v>总支出</c:v>
                </c:pt>
              </c:strCache>
            </c:strRef>
          </c:tx>
          <c:spPr>
            <a:solidFill>
              <a:srgbClr val="C0504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2023年</c:v>
                </c:pt>
                <c:pt idx="1">
                  <c:v>2024年</c:v>
                </c:pt>
              </c:strCache>
            </c:strRef>
          </c:cat>
          <c:val>
            <c:numRef>
              <c:f>'Sheet1'!$C$2:$C$3</c:f>
              <c:numCache>
                <c:formatCode>General</c:formatCode>
                <c:ptCount val="2"/>
                <c:pt idx="0">
                  <c:v>1070.4</c:v>
                </c:pt>
                <c:pt idx="1">
                  <c:v>1139.65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manualLayout>
          <c:xMode val="edge"/>
          <c:yMode val="edge"/>
          <c:x val="0.4013125"/>
          <c:y val="0.88492745"/>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1139.65</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1139.65</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(3)'!$B$1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1117.49</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c:v>
                </c:pt>
              </c:strCache>
            </c:strRef>
          </c:cat>
          <c:val>
            <c:numRef>
              <c:f>'Sheet1 (3)'!$B$2:$B$3</c:f>
              <c:numCache>
                <c:formatCode>General</c:formatCode>
                <c:ptCount val="2"/>
                <c:pt idx="0">
                  <c:v>1117.49</c:v>
                </c:pt>
                <c:pt idx="1">
                  <c:v>22.16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2023年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1070.43</a:t>
                    </a:r>
                  </a:p>
                </c:rich>
              </c:tx>
              <c:showLegendKey val="0"/>
              <c:showVal val="1"/>
              <c:showCatName val="0"/>
              <c:showSerName val="0"/>
              <c:showPercent val="0"/>
              <c:showBubbleSize val="0"/>
            </c:dLbl>
            <c:dLbl>
              <c:idx val="1"/>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1070.4</a:t>
                    </a:r>
                    <a:r>
                      <a:rPr lang="zh-CN" sz="1000" b="0" i="0" u="none" strike="noStrike" baseline="0">
                        <a:solidFill>
                          <a:srgbClr val="000000"/>
                        </a:solidFill>
                        <a:latin typeface="AR PL UKai CN"/>
                        <a:ea typeface="AR PL UKai CN"/>
                        <a:cs typeface="Lucida Sans"/>
                      </a:rPr>
                      <a:t>3</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1070.4</c:v>
                </c:pt>
                <c:pt idx="1">
                  <c:v>1070.4</c:v>
                </c:pt>
              </c:numCache>
            </c:numRef>
          </c:val>
        </c:ser>
        <c:ser>
          <c:idx val="1"/>
          <c:order val="1"/>
          <c:tx>
            <c:strRef>
              <c:f>'Sheet1 (4)'!$A$3</c:f>
              <c:strCache>
                <c:ptCount val="1"/>
                <c:pt idx="0">
                  <c:v>2024年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1139.65</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1139.65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1127.4</c:v>
                </c:pt>
                <c:pt idx="1">
                  <c:v>1127.4</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dLblPos val="outEnd"/>
              <c:tx>
                <c:rich>
                  <a:bodyPr vert="horz"/>
                  <a:lstStyle/>
                  <a:p>
                    <a:pPr>
                      <a:defRPr sz="900" b="0" i="0" u="none" strike="noStrike" baseline="0">
                        <a:solidFill>
                          <a:srgbClr val="404040"/>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1070.4</a:t>
                    </a:r>
                    <a:r>
                      <a:rPr lang="zh-CN" sz="1000" b="0" i="0" u="none" strike="noStrike" baseline="0">
                        <a:solidFill>
                          <a:srgbClr val="000000"/>
                        </a:solidFill>
                        <a:latin typeface="AR PL UKai CN"/>
                        <a:ea typeface="AR PL UKai CN"/>
                        <a:cs typeface="Lucida Sans"/>
                      </a:rPr>
                      <a:t>3</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1139.65</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2023年</c:v>
                </c:pt>
                <c:pt idx="1">
                  <c:v>2024年</c:v>
                </c:pt>
              </c:strCache>
            </c:strRef>
          </c:cat>
          <c:val>
            <c:numRef>
              <c:f>'Sheet1 (5)'!$B$2:$B$3</c:f>
              <c:numCache>
                <c:formatCode>General</c:formatCode>
                <c:ptCount val="2"/>
                <c:pt idx="0">
                  <c:v>1070.4</c:v>
                </c:pt>
                <c:pt idx="1">
                  <c:v>1139.65</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404040"/>
                </a:solidFill>
                <a:latin typeface="AR PL UKai CN"/>
                <a:ea typeface="AR PL UKai CN"/>
                <a:cs typeface="Lucida Sans"/>
              </a:defRPr>
            </a:pPr>
            <a:r>
              <a:rPr lang="zh-CN"/>
              <a:t>一般公共预算财政拨款支出</a:t>
            </a:r>
          </a:p>
        </c:rich>
      </c:tx>
      <c:layout/>
      <c:overlay val="0"/>
      <c:spPr>
        <a:noFill/>
        <a:ln>
          <a:noFill/>
        </a:ln>
      </c:spPr>
    </c:title>
    <c:autoTitleDeleted val="0"/>
    <c:plotArea>
      <c:layout/>
      <c:pieChart>
        <c:varyColors val="1"/>
        <c:ser>
          <c:idx val="0"/>
          <c:order val="0"/>
          <c:tx>
            <c:strRef>
              <c:f>'Sheet1 (6)'!$B$1</c:f>
              <c:strCache>
                <c:ptCount val="1"/>
                <c:pt idx="0">
                  <c:v>一般公共预算财政拨款支出</c:v>
                </c:pt>
              </c:strCache>
            </c:strRef>
          </c:tx>
          <c:spPr>
            <a:ln>
              <a:noFill/>
            </a:ln>
          </c:spPr>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(6)'!$A$2:$A$5</c:f>
              <c:strCache>
                <c:ptCount val="4"/>
                <c:pt idx="0">
                  <c:v>文化和体育</c:v>
                </c:pt>
                <c:pt idx="1">
                  <c:v>社会保障与就业</c:v>
                </c:pt>
                <c:pt idx="2">
                  <c:v>卫生支出</c:v>
                </c:pt>
                <c:pt idx="3">
                  <c:v>住房保障</c:v>
                </c:pt>
              </c:strCache>
            </c:strRef>
          </c:cat>
          <c:val>
            <c:numRef>
              <c:f>'Sheet1 (6)'!$B$2:$B$5</c:f>
              <c:numCache>
                <c:formatCode>General</c:formatCode>
                <c:ptCount val="4"/>
                <c:pt idx="0">
                  <c:v>809.85</c:v>
                </c:pt>
                <c:pt idx="1">
                  <c:v>137.82</c:v>
                </c:pt>
                <c:pt idx="2">
                  <c:v>52.31</c:v>
                </c:pt>
                <c:pt idx="3">
                  <c:v>70.45</c:v>
                </c:pt>
              </c:numCache>
            </c:numRef>
          </c:val>
        </c:ser>
        <c:firstSliceAng val="0"/>
      </c:pieChart>
      <c:spPr>
        <a:noFill/>
        <a:ln>
          <a:noFill/>
        </a:ln>
      </c:spPr>
    </c:plotArea>
    <c:legend>
      <c:legendPos val="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002002805"/>
                  <c:y val="-0.12732723"/>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19.72</a:t>
                    </a:r>
                  </a:p>
                </c:rich>
              </c:tx>
              <c:showLegendKey val="0"/>
              <c:showVal val="1"/>
              <c:showCatName val="0"/>
              <c:showSerName val="0"/>
              <c:showPercent val="0"/>
              <c:showBubbleSize val="0"/>
            </c:dLbl>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107.58</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TotalTime>
  <Application>Yozo_Office27021597764231179</Application>
  <Pages>28</Pages>
  <Words>10403</Words>
  <Characters>11204</Characters>
  <Lines>696</Lines>
  <Paragraphs>311</Paragraphs>
  <CharactersWithSpaces>11291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郑美丽</dc:creator>
  <cp:lastModifiedBy>user</cp:lastModifiedBy>
  <cp:revision>1</cp:revision>
  <dcterms:created xsi:type="dcterms:W3CDTF">2025-02-12T01:44:00Z</dcterms:created>
  <dcterms:modified xsi:type="dcterms:W3CDTF">2025-08-29T03:22:34Z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34E475A86B554D318E9529426A1D2FDE_11</vt:lpwstr>
  </property>
  <property fmtid="{D5CDD505-2E9C-101B-9397-08002B2CF9AE}" pid="4" name="KSOTemplateDocerSaveRecord">
    <vt:lpwstr>eyJoZGlkIjoiOThkM2UyYWRmOWJhMmZmNDNkNmNmZjAwNzFmY2MyMWYiLCJ1c2VySWQiOiIzNjM2MjE3NTMifQ==</vt:lpwstr>
  </property>
</Properties>
</file>