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75CD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综合行政执法局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65B7B80A">
      <w:pPr>
        <w:pStyle w:val="2"/>
        <w:jc w:val="left"/>
      </w:pPr>
    </w:p>
    <w:p w14:paraId="5383898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2025年，我单位部门预算1195.73万元 ，均严格按绩效管理要求实现项目绩效目标管理，其中重点项目预算0个，现将情况说明如下：</w:t>
      </w:r>
    </w:p>
    <w:p w14:paraId="170FD2B4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3B8D5A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125E51EF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E2E6BD8"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部门整体支出预算1195.73万元。年度总体工作目标，2025年主要工作任务是加强文化市场、市场监督管理、城市管理、农业方面、交通运政几方面的安全生产检查。综合管理方面做好统筹安排工作及办公室后勤保障工作，政策法规方面加强案件办理的合规性合法性。确保各领域运行秩序。年度绩效指标设置情况：细化指标2个，包括产出指标、效益指标。</w:t>
      </w:r>
    </w:p>
    <w:p w14:paraId="42ED1CF3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E7B9D0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A3AD61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本单位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无重点项目。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14A7A05"/>
    <w:rsid w:val="01FF0067"/>
    <w:rsid w:val="1C024584"/>
    <w:rsid w:val="2A9155CA"/>
    <w:rsid w:val="2F166AFD"/>
    <w:rsid w:val="2F397E65"/>
    <w:rsid w:val="452073AD"/>
    <w:rsid w:val="5D942597"/>
    <w:rsid w:val="6BCE4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336</Words>
  <Characters>352</Characters>
  <Lines>23</Lines>
  <Paragraphs>15</Paragraphs>
  <TotalTime>0</TotalTime>
  <ScaleCrop>false</ScaleCrop>
  <LinksUpToDate>false</LinksUpToDate>
  <CharactersWithSpaces>353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郑美丽</cp:lastModifiedBy>
  <dcterms:modified xsi:type="dcterms:W3CDTF">2025-02-24T03:49:02Z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eyJoZGlkIjoiOThkM2UyYWRmOWJhMmZmNDNkNmNmZjAwNzFmY2MyMWYiLCJ1c2VySWQiOiIzNjM2MjE3NTMifQ==</vt:lpwstr>
  </property>
  <property fmtid="{D5CDD505-2E9C-101B-9397-08002B2CF9AE}" pid="4" name="ICV">
    <vt:lpwstr>7D00F03A84E14501AB9BCC98C2C9C198_12</vt:lpwstr>
  </property>
</Properties>
</file>