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lang w:val="en-US" w:eastAsia="zh-CN"/>
        </w:rPr>
        <w:t>金川县202</w:t>
      </w:r>
      <w:r>
        <w:rPr>
          <w:rFonts w:ascii="Times New Roman" w:eastAsia="方正小标宋_GBK" w:cs="Times New Roman" w:hAnsi="Times New Roman" w:hint="eastAsia"/>
          <w:sz w:val="44"/>
          <w:szCs w:val="44"/>
          <w:lang w:val="en-US" w:eastAsia="zh-CN"/>
        </w:rPr>
        <w:t>6</w:t>
      </w:r>
      <w:r>
        <w:rPr>
          <w:rFonts w:ascii="Times New Roman" w:eastAsia="方正小标宋_GBK" w:cs="Times New Roman" w:hAnsi="Times New Roman"/>
          <w:sz w:val="44"/>
          <w:szCs w:val="44"/>
          <w:lang w:val="en-US" w:eastAsia="zh-CN"/>
        </w:rPr>
        <w:t>年</w:t>
      </w:r>
      <w:r>
        <w:rPr>
          <w:rFonts w:ascii="Times New Roman" w:eastAsia="方正小标宋_GBK" w:cs="Times New Roman" w:hAnsi="Times New Roman" w:hint="eastAsia"/>
          <w:sz w:val="44"/>
          <w:szCs w:val="44"/>
          <w:lang w:val="en-US" w:eastAsia="zh-CN"/>
        </w:rPr>
        <w:t>退役军人事务局</w:t>
      </w:r>
      <w:r>
        <w:rPr>
          <w:rFonts w:ascii="Times New Roman" w:eastAsia="方正小标宋_GBK" w:cs="Times New Roman" w:hAnsi="Times New Roman"/>
          <w:sz w:val="44"/>
          <w:szCs w:val="44"/>
        </w:rPr>
        <w:t>预算绩效</w:t>
      </w:r>
    </w:p>
    <w:p>
      <w:pPr>
        <w:spacing w:line="560" w:lineRule="exact"/>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目标情况说明</w:t>
      </w:r>
    </w:p>
    <w:p>
      <w:pPr>
        <w:pStyle w:val="15"/>
      </w:pPr>
      <w:bookmarkStart w:id="0" w:name="_GoBack"/>
      <w:bookmarkEnd w:id="0"/>
    </w:p>
    <w:p>
      <w:pPr>
        <w:pStyle w:val="17"/>
        <w:tabs>
          <w:tab w:val="center" w:pos="4153"/>
          <w:tab w:val="right" w:pos="8306"/>
        </w:tabs>
        <w:jc w:val="left"/>
      </w:pP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2026年，我单位部门预算527.45万元 ，均严格按绩效管理要求实现项目绩效目标管理，其中重点项目预算8个，现将情况说明如下：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完成了2026年本级部门预算整体绩效目标申报和8个重点项目预算绩效目标申报，并编报8个重点项目预算事前绩效评估报告。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一是按照《四川省退役军人事务约谈暂行办法》建立约谈机制，对领导小组成员单位、乡镇不重视退役军人事务、有关政策执行不力、引发退役军人不良情况进行约谈。二是服从县委、县政府整体安排，积极投身我县十四五农业农村工作之中，为我县乡村振兴工作服好务，不断开拓创新。三是抓好收支预算执行。编好收支预算，依法组织收入，加强支出管理。四是强化财政管理监督。加快法治财政建设，强化财政基础管理，严肃财经纪律。九是推进从严管党治党。加强干部队伍建设，加强党风廉政建设，加强系统党的建设。</w:t>
      </w:r>
    </w:p>
    <w:p>
      <w:pP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五是扩宽弘扬英烈精神的宣传教育。大力宣传和弘扬英烈精神，让革命精神融入血液，让红色基因代代相传，加强其对清明、“七一”“八一”“9.30”公祭、春节等爱国主义教育基地的作用发挥。六是提高烈士褒扬工作的后勤保障。将烈士褒扬工作落实情况纳入地方党政领导班子综合考评内容，加强经费保障，拓宽资金筹集渠道，将烈士纪念设施保障管理经费纳入财政预算。结合烈属优待证制发，推动烈属身份和优待信息与人口基础数据库、社保信息等实现信息共享，扩大烈属优待证应用领域。七是充分挖掘我县丰富的红色文化资源，发挥爱国主义教育基地、国防教育基地的作用，广泛开展双拥工作进企业、进乡村、进机关、进学校、进连队活动。八是县乡村三级联动，深入退役军人群体积极开展矛盾纠纷排查工作，按照“排查得早、发现得了、控制得住、解决得好”的工作原则，建立台账，及时化解。</w:t>
      </w:r>
    </w:p>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pStyle w:val="16"/>
        <w:spacing w:line="600" w:lineRule="exact"/>
        <w:ind w:firstLineChars="200" w:firstLine="640"/>
        <w:jc w:val="both"/>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重点项目1：</w:t>
      </w:r>
      <w:r>
        <w:rPr>
          <w:rFonts w:ascii="仿宋_GB2312" w:eastAsia="仿宋_GB2312" w:cs="仿宋_GB2312" w:hint="eastAsia"/>
          <w:sz w:val="32"/>
          <w:szCs w:val="32"/>
          <w:lang w:val="en-US" w:eastAsia="zh-CN"/>
        </w:rPr>
        <w:t>大学生入伍奖励金补助项目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有助于提高入伍积极性，增强当兵光荣的荣誉感，进一步增进全民国防观念和拥军优属意识。</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026年大学生入伍奖励金补助项目共计细化指标7个绩效指标，其中设置了三个产出指标、一个效益指标、一个满意度指标、二个成本指标，绩效目标和绩效指标量化可考核。该项目与我单位发挥党和政府密切联系拥军优属的长期目标相一致。</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重点项目2：</w:t>
      </w:r>
      <w:r>
        <w:rPr>
          <w:rFonts w:ascii="仿宋_GB2312" w:eastAsia="仿宋_GB2312" w:cs="仿宋_GB2312" w:hint="eastAsia"/>
          <w:sz w:val="32"/>
          <w:szCs w:val="32"/>
          <w:lang w:val="en-US" w:eastAsia="zh-CN"/>
        </w:rPr>
        <w:t>军队转业干部公务员医疗补助项目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积极完成军转干部医疗及公务员医疗保险的缴纳任务，保障军转干部的利益。</w:t>
      </w:r>
      <w:r>
        <w:rPr>
          <w:rFonts w:ascii="仿宋_GB2312" w:eastAsia="仿宋_GB2312" w:cs="仿宋_GB2312" w:hint="eastAsia"/>
          <w:sz w:val="32"/>
          <w:szCs w:val="32"/>
        </w:rPr>
        <w:t xml:space="preserve">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026年军队转业干部公务员医疗补助经费用于缴纳军转干部公务员医疗保险，有效保障医疗支出。共计设置7个绩效指标，其中设置了三个产出指标、两个效益指标、一个满意度指标、一个成本指标，绩效目标和绩效指标量化考核。绩效指标可量化，与总体目标相匹配，能实现预期目标。</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重点项目3：</w:t>
      </w:r>
      <w:r>
        <w:rPr>
          <w:rFonts w:ascii="仿宋_GB2312" w:eastAsia="仿宋_GB2312" w:cs="仿宋_GB2312" w:hint="eastAsia"/>
          <w:sz w:val="32"/>
          <w:szCs w:val="32"/>
          <w:lang w:val="en-US" w:eastAsia="zh-CN"/>
        </w:rPr>
        <w:t>军队转业干部医疗补助项目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积极完成军转干部医疗及公务员医疗保险的缴纳任务，保障军转干部的利益。</w:t>
      </w:r>
      <w:r>
        <w:rPr>
          <w:rFonts w:ascii="仿宋_GB2312" w:eastAsia="仿宋_GB2312" w:cs="仿宋_GB2312" w:hint="eastAsia"/>
          <w:sz w:val="32"/>
          <w:szCs w:val="32"/>
        </w:rPr>
        <w:t xml:space="preserve">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026年军队转业干部医疗补助经费项目共计设置7个绩效指标，其中设置了三个产出指标、两个效益指标、一个满意度指标、一个成本指标，绩效目标和绩效指标量化考核。</w:t>
      </w:r>
    </w:p>
    <w:p>
      <w:pPr>
        <w:snapToGrid w:val="0"/>
        <w:spacing w:line="60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重点项目4：</w:t>
      </w:r>
      <w:r>
        <w:rPr>
          <w:rFonts w:ascii="仿宋_GB2312" w:eastAsia="仿宋_GB2312" w:hint="eastAsia"/>
          <w:sz w:val="32"/>
          <w:szCs w:val="32"/>
          <w:lang w:val="en-US" w:eastAsia="zh-CN"/>
        </w:rPr>
        <w:t>伤残抚恤补助项目</w:t>
      </w:r>
    </w:p>
    <w:p>
      <w:pPr>
        <w:ind w:firstLineChars="200" w:firstLine="640"/>
        <w:rPr>
          <w:rFonts w:ascii="仿宋_GB2312" w:eastAsia="仿宋_GB2312" w:cs="仿宋_GB2312"/>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切实解决伤残退役军人存在的困难，减轻了家庭困难，提高了收入保障，不同程度缓解了社会压力，促进国家稳定。也为退役军人群体送去了党和国家的温暖，营造了拥军爱军浓厚氛围，让开展退役军人工作成为全社会最尊崇的职业打下了坚实基础。</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2026年伤残抚恤补助项目共计设置7个绩效指标，其中设置了三个产出指标、两个效益指标、一个满意度指标、一个成本指标，绩效目标和绩效指标量化考核。与我单位发挥党和政府密切联系优抚褒扬的长期目标相一致。</w:t>
      </w:r>
    </w:p>
    <w:p>
      <w:pPr>
        <w:snapToGrid w:val="0"/>
        <w:spacing w:line="600" w:lineRule="exact"/>
        <w:ind w:leftChars="352" w:left="2979" w:hangingChars="700" w:hanging="22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重点项目5：</w:t>
      </w:r>
      <w:r>
        <w:rPr>
          <w:rFonts w:ascii="仿宋_GB2312" w:eastAsia="仿宋_GB2312" w:hint="eastAsia"/>
          <w:sz w:val="32"/>
          <w:szCs w:val="32"/>
          <w:lang w:val="en-US" w:eastAsia="zh-CN"/>
        </w:rPr>
        <w:t>退役士兵安置补助项目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切实解决了退役军人存在的资金困难，减轻了家庭困难，提高了收入保障，不同程度缓解了社会压力，促进国家稳定。</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2026年退役士兵安置补助经费项目共计设置7个绩效指标，其中设置了三个产出指标、一个效益指标、一个满意度指标、两个成本指标，绩效目标和绩效指标量化考核。与我单位发挥党和政府密切联系退役士兵安置的长期目标相一致。</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重点项目6：</w:t>
      </w:r>
      <w:r>
        <w:rPr>
          <w:rFonts w:ascii="仿宋_GB2312" w:eastAsia="仿宋_GB2312" w:hint="eastAsia"/>
          <w:sz w:val="32"/>
          <w:szCs w:val="32"/>
          <w:lang w:val="en-US" w:eastAsia="zh-CN"/>
        </w:rPr>
        <w:t>义务兵优待金补助项目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义务兵优待金项目的开展有助于提高入伍积极性，增强当兵光荣的荣誉感，进一步增进全民国防观念和拥军优属意识。</w:t>
      </w:r>
      <w:r>
        <w:rPr>
          <w:rFonts w:ascii="仿宋_GB2312" w:eastAsia="仿宋_GB2312" w:cs="仿宋_GB2312" w:hint="eastAsia"/>
          <w:sz w:val="32"/>
          <w:szCs w:val="32"/>
        </w:rPr>
        <w:t xml:space="preserve"> </w:t>
      </w:r>
    </w:p>
    <w:p>
      <w:pPr>
        <w:snapToGrid w:val="0"/>
        <w:spacing w:line="600" w:lineRule="exact"/>
        <w:ind w:firstLineChars="200" w:firstLine="640"/>
        <w:rPr>
          <w:rFonts w:hint="eastAsia"/>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2026年义务兵优待金补助项目共计设置7个绩效指标，其中设置了三个产出指标、两个效益指标、一个满意度指标、一个成本指标，绩效目标和绩效指标量化可考核。</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重点项目7：</w:t>
      </w:r>
      <w:r>
        <w:rPr>
          <w:rFonts w:ascii="仿宋_GB2312" w:eastAsia="仿宋_GB2312" w:hint="eastAsia"/>
          <w:sz w:val="32"/>
          <w:szCs w:val="32"/>
          <w:lang w:val="en-US" w:eastAsia="zh-CN"/>
        </w:rPr>
        <w:t>优抚定补、在乡复员军人补助项目</w:t>
      </w:r>
    </w:p>
    <w:p>
      <w:pPr>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 xml:space="preserve">通过发放优抚对象抚恤补助资金，使优抚对象等人员基本生活得到有效保障。 </w:t>
      </w:r>
    </w:p>
    <w:p>
      <w:pPr>
        <w:snapToGrid w:val="0"/>
        <w:spacing w:line="60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cs="Times New Roman" w:hint="eastAsia"/>
          <w:sz w:val="32"/>
          <w:szCs w:val="32"/>
          <w:lang w:val="en-US" w:eastAsia="zh-CN"/>
        </w:rPr>
        <w:t>2</w:t>
      </w:r>
      <w:r>
        <w:rPr>
          <w:rFonts w:ascii="仿宋_GB2312" w:eastAsia="仿宋_GB2312" w:hint="eastAsia"/>
          <w:sz w:val="32"/>
          <w:szCs w:val="32"/>
          <w:lang w:val="en-US" w:eastAsia="zh-CN"/>
        </w:rPr>
        <w:t>026年优抚定补、在乡复员军人补助项目共计设置12个绩效指标，其中设置了三个产出指标、一个效益指标、一个满意度指标、七个成本指标，绩效目标和绩效指标量化可考核。</w:t>
      </w:r>
    </w:p>
    <w:p>
      <w:pPr>
        <w:snapToGrid w:val="0"/>
        <w:spacing w:line="600" w:lineRule="exact"/>
        <w:ind w:leftChars="352" w:left="2979" w:hangingChars="700" w:hanging="22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重点项目8：</w:t>
      </w:r>
      <w:r>
        <w:rPr>
          <w:rFonts w:ascii="仿宋_GB2312" w:eastAsia="仿宋_GB2312" w:hint="eastAsia"/>
          <w:sz w:val="32"/>
          <w:szCs w:val="32"/>
          <w:lang w:val="en-US" w:eastAsia="zh-CN"/>
        </w:rPr>
        <w:t>在乡重点优抚对象医疗保险补助项目</w:t>
      </w:r>
    </w:p>
    <w:p>
      <w:pPr>
        <w:spacing w:line="56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项目年度绩效目标：</w:t>
      </w:r>
      <w:r>
        <w:rPr>
          <w:rFonts w:ascii="仿宋_GB2312" w:eastAsia="仿宋_GB2312" w:hint="eastAsia"/>
          <w:sz w:val="32"/>
          <w:szCs w:val="32"/>
          <w:lang w:val="en-US" w:eastAsia="zh-CN"/>
        </w:rPr>
        <w:t>为确保重点优抚对象的医疗救助工作有序开展，切实帮助困难优抚对象解决就医看病的实际困难，加强医疗保险经办能力、优化健康扶贫政策。</w:t>
      </w:r>
    </w:p>
    <w:p>
      <w:pPr>
        <w:spacing w:line="560" w:lineRule="exact"/>
        <w:ind w:firstLineChars="200" w:firstLine="640"/>
        <w:rPr>
          <w:rFonts w:ascii="仿宋_GB2312" w:eastAsia="仿宋_GB2312" w:hint="eastAsia"/>
          <w:sz w:val="32"/>
          <w:szCs w:val="32"/>
          <w:lang w:val="en-US" w:eastAsia="zh-CN"/>
        </w:rPr>
      </w:pPr>
      <w:r>
        <w:rPr>
          <w:rFonts w:ascii="仿宋_GB2312" w:eastAsia="仿宋_GB2312" w:cs="仿宋_GB2312" w:hint="eastAsia"/>
          <w:b/>
          <w:bCs/>
          <w:sz w:val="32"/>
          <w:szCs w:val="32"/>
          <w:lang w:val="en-US" w:eastAsia="zh-CN"/>
        </w:rPr>
        <w:t>绩效指标设置情况：</w:t>
      </w:r>
      <w:r>
        <w:rPr>
          <w:rFonts w:ascii="仿宋_GB2312" w:eastAsia="仿宋_GB2312" w:hint="eastAsia"/>
          <w:sz w:val="32"/>
          <w:szCs w:val="32"/>
          <w:lang w:val="en-US" w:eastAsia="zh-CN"/>
        </w:rPr>
        <w:t>2026年在乡重点优抚对象医疗保险补助项目共计设置7个绩效指标，其中设置了三个产出指标、一个效益指标、一个满意度指标、二个成本指标，绩效目标和绩效指标量化考核。</w:t>
      </w:r>
    </w:p>
    <w:p>
      <w:pPr>
        <w:pStyle w:val="15"/>
        <w:rPr>
          <w:rFonts w:ascii="仿宋_GB2312" w:eastAsia="仿宋_GB2312" w:hint="eastAsia"/>
          <w:sz w:val="32"/>
          <w:szCs w:val="32"/>
          <w:lang w:val="en-US" w:eastAsia="zh-CN"/>
        </w:rPr>
      </w:pPr>
    </w:p>
    <w:p>
      <w:pPr>
        <w:rPr>
          <w:rFonts w:ascii="仿宋_GB2312" w:eastAsia="仿宋_GB2312" w:hint="eastAsia"/>
          <w:sz w:val="32"/>
          <w:szCs w:val="32"/>
          <w:lang w:val="en-US" w:eastAsia="zh-CN"/>
        </w:rPr>
      </w:pPr>
    </w:p>
    <w:p>
      <w:pPr>
        <w:pStyle w:val="15"/>
        <w:rPr>
          <w:rFonts w:ascii="仿宋_GB2312" w:eastAsia="仿宋_GB2312" w:hint="eastAsia"/>
          <w:sz w:val="32"/>
          <w:szCs w:val="32"/>
          <w:lang w:val="en-US" w:eastAsia="zh-CN"/>
        </w:rPr>
      </w:pPr>
    </w:p>
    <w:p>
      <w:pP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金川县退役军人事务局</w:t>
      </w:r>
    </w:p>
    <w:p>
      <w:pPr>
        <w:pStyle w:val="15"/>
        <w:rPr>
          <w:lang w:val="en-US" w:eastAsia="zh-CN"/>
        </w:rPr>
      </w:pPr>
      <w:r>
        <w:rPr>
          <w:rFonts w:ascii="仿宋_GB2312" w:eastAsia="仿宋_GB2312" w:cs="仿宋_GB2312" w:hint="eastAsia"/>
          <w:sz w:val="32"/>
          <w:szCs w:val="32"/>
          <w:lang w:val="en-US" w:eastAsia="zh-CN"/>
        </w:rPr>
        <w:t xml:space="preserve">                                2026年2月9日</w:t>
      </w:r>
    </w:p>
    <w:p>
      <w:pPr>
        <w:rPr>
          <w:rFonts w:hint="eastAsia"/>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1"/>
    <w:family w:val="auto"/>
    <w:pitch w:val="variable"/>
    <w:sig w:usb0="E0002EFF" w:usb1="C000785B" w:usb2="00000009" w:usb3="00000000" w:csb0="400001FF" w:csb1="FFFF0000"/>
  </w:font>
  <w:font w:name="方正小标宋_GBK">
    <w:panose1 w:val="02000000000000000000"/>
    <w:charset w:val="86"/>
    <w:family w:val="auto"/>
    <w:pitch w:val="variable"/>
    <w:sig w:usb0="00000000" w:usb1="00000000" w:usb2="00000000" w:usb3="00000000" w:csb0="00000000"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0"/>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after="120"/>
    </w:pPr>
  </w:style>
  <w:style w:type="paragraph" w:styleId="17">
    <w:name w:val="footer"/>
    <w:basedOn w:val="0"/>
    <w:pPr>
      <w:tabs>
        <w:tab w:val="center" w:pos="4153"/>
        <w:tab w:val="right" w:pos="8306"/>
      </w:tabs>
      <w:snapToGrid w:val="0"/>
      <w:jc w:val="left"/>
    </w:pPr>
    <w:rPr>
      <w:sz w:val="18"/>
    </w:rPr>
  </w:style>
  <w:style w:type="paragraph" w:styleId="18">
    <w:name w:val="Normal (Web)"/>
    <w:basedOn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5</Pages>
  <Words>2218</Words>
  <Characters>2263</Characters>
  <Lines>108</Lines>
  <Paragraphs>35</Paragraphs>
  <CharactersWithSpaces>2332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dcterms:created xsi:type="dcterms:W3CDTF">2023-02-06T06:46:00Z</dcterms:created>
  <dcterms:modified xsi:type="dcterms:W3CDTF">2026-03-19T03:52:20Z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2052-11.1.0.10577</vt:lpwstr>
  </property>
  <property fmtid="{D5CDD505-2E9C-101B-9397-08002B2CF9AE}" pid="3" name="ICV">
    <vt:lpwstr>40A1D517D1084AB89CC19A23AC99D370</vt:lpwstr>
  </property>
  <property fmtid="{D5CDD505-2E9C-101B-9397-08002B2CF9AE}" pid="4" name="KSOTemplateDocerSaveRecord">
    <vt:lpwstr>eyJoZGlkIjoiZmRlOTBhY2VkY2I4MjQ4ZWRlNGU2YTExNWYzZWRiMWUiLCJ1c2VySWQiOiIxMjkzMjc3NTA2In0=</vt:lpwstr>
  </property>
</Properties>
</file>