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560" w:lineRule="exact"/>
        <w:jc w:val="center"/>
        <w:rPr>
          <w:rFonts w:ascii="方正小标宋_GBK" w:eastAsia="方正小标宋_GBK" w:cs="方正小标宋_GBK" w:hint="eastAsia"/>
          <w:sz w:val="44"/>
          <w:szCs w:val="44"/>
          <w:lang w:val="en-US" w:eastAsia="zh-CN"/>
        </w:rPr>
      </w:pPr>
      <w:r>
        <w:rPr>
          <w:rFonts w:ascii="方正小标宋_GBK" w:eastAsia="方正小标宋_GBK" w:cs="方正小标宋_GBK"/>
          <w:sz w:val="44"/>
          <w:szCs w:val="44"/>
          <w:lang w:val="en-US" w:eastAsia="zh-CN"/>
        </w:rPr>
        <w:t>金川县</w:t>
      </w:r>
      <w:r>
        <w:rPr>
          <w:rFonts w:ascii="方正小标宋_GBK" w:eastAsia="方正小标宋_GBK" w:cs="方正小标宋_GBK" w:hint="eastAsia"/>
          <w:sz w:val="44"/>
          <w:szCs w:val="44"/>
          <w:lang w:val="en-US" w:eastAsia="zh-CN"/>
        </w:rPr>
        <w:t>2024年退役军人事务局</w:t>
      </w:r>
    </w:p>
    <w:p>
      <w:pPr>
        <w:spacing w:line="560" w:lineRule="exact"/>
        <w:jc w:val="center"/>
        <w:rPr>
          <w:rFonts w:ascii="方正小标宋_GBK" w:eastAsia="方正小标宋_GBK" w:cs="方正小标宋_GBK"/>
          <w:sz w:val="44"/>
          <w:szCs w:val="44"/>
          <w:lang w:eastAsia="zh-CN"/>
        </w:rPr>
      </w:pPr>
      <w:r>
        <w:rPr>
          <w:rFonts w:ascii="方正小标宋_GBK" w:eastAsia="方正小标宋_GBK" w:cs="方正小标宋_GBK" w:hint="eastAsia"/>
          <w:sz w:val="44"/>
          <w:szCs w:val="44"/>
        </w:rPr>
        <w:t>预算绩效目标情况说明</w:t>
      </w:r>
    </w:p>
    <w:p>
      <w:pPr>
        <w:pStyle w:val="17"/>
        <w:tabs>
          <w:tab w:val="center" w:pos="4153"/>
          <w:tab w:val="right" w:pos="8306"/>
        </w:tabs>
        <w:jc w:val="left"/>
      </w:pPr>
    </w:p>
    <w:p>
      <w:pPr>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2024年，我单位部门预算549.09万元 ，均严格按绩效管理要求实现项目绩效目标管理，其中重点项目预算8个，现将情况说明如下：</w:t>
      </w:r>
    </w:p>
    <w:p>
      <w:pPr>
        <w:ind w:firstLineChars="200" w:firstLine="640"/>
        <w:rPr>
          <w:rFonts w:ascii="黑体" w:eastAsia="黑体" w:cs="黑体" w:hint="eastAsia"/>
          <w:sz w:val="32"/>
          <w:szCs w:val="32"/>
          <w:lang w:val="en-US" w:eastAsia="zh-CN"/>
        </w:rPr>
      </w:pPr>
      <w:r>
        <w:rPr>
          <w:rFonts w:ascii="黑体" w:eastAsia="黑体" w:cs="黑体" w:hint="eastAsia"/>
          <w:sz w:val="32"/>
          <w:szCs w:val="32"/>
          <w:lang w:val="en-US" w:eastAsia="zh-CN"/>
        </w:rPr>
        <w:t>一、单位预算绩效管理工作开展情况。</w:t>
      </w:r>
    </w:p>
    <w:p>
      <w:pPr>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 xml:space="preserve"> 完成了2024年本级部门预算整体绩效目标申报和8个重点项目预算绩效目标申报，并编报8个重点项目预算事前绩效评估报告。</w:t>
      </w:r>
    </w:p>
    <w:p>
      <w:pPr>
        <w:numPr>
          <w:ilvl w:val="0"/>
          <w:numId w:val="1"/>
        </w:numPr>
        <w:ind w:left="0" w:firstLineChars="200" w:firstLine="640"/>
        <w:rPr>
          <w:rFonts w:ascii="黑体" w:eastAsia="黑体" w:cs="黑体" w:hint="eastAsia"/>
          <w:sz w:val="32"/>
          <w:szCs w:val="32"/>
          <w:lang w:val="en-US" w:eastAsia="zh-CN"/>
        </w:rPr>
      </w:pPr>
      <w:r>
        <w:rPr>
          <w:rFonts w:ascii="黑体" w:eastAsia="黑体" w:cs="黑体" w:hint="eastAsia"/>
          <w:sz w:val="32"/>
          <w:szCs w:val="32"/>
          <w:lang w:val="en-US" w:eastAsia="zh-CN"/>
        </w:rPr>
        <w:t>单位整体绩效目标。</w:t>
      </w:r>
    </w:p>
    <w:p>
      <w:pPr>
        <w:ind w:left="0"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一是按照《四川省退役军人事务约谈暂行办法》建立约谈机制，对领导小组成员单位、乡镇不重视退役军人事务、有关政策执行不力、引发退役军人不良情况的进行约谈。二是服从县委县政府整体安排，积极投身我县“十四五”农业农村工作之中，为我县乡村振兴工作服好务，不断开拓创新。三是抓好收支预算执行。编好收支预算，依法组织收入，加强支出管理。四是强化财政管理监督。加快法治财政建设，强化财政基础管理，严肃财经纪律。九是推进从严管党治党。加强干部队伍建设，加强党风廉政建设，加强系统党的建设。</w:t>
      </w:r>
    </w:p>
    <w:p>
      <w:pPr>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五是扩宽弘扬英烈精神的宣传教育。大力宣传和弘扬英烈精神，让革命精神融入血液，让红色基因代代相传，加强其对清明、“七一”、“八一”“9.30”公祭、春节等爱国主义教育基地的作用发挥。六是提高烈士褒扬工作的后勤保障。将烈士褒扬工作落实情况纳入地方党政领导班子综合考评内容，加强经费保障，拓宽资金筹聚渠道，将烈士纪念设施保障管理经费纳入财政预算。结合烈属优待证制发，推动烈属身份和优待信息与人口基础数据库、社保信息等实现信息共享，扩大烈属优待证应用领域。七是充分挖掘我县丰富的红色文化资源，发挥爱国主义教育基地、国防教育基地的作用，广泛开展双拥工作进企业、进乡村、进机关、进学校、进连队活动。八是县乡村三级联动，深入退役军人群体积极开展矛盾纠纷排查工作，按照“排查得早、发现得了、控制得住、解决得好”的工作原则，建立台账，及时化解。</w:t>
      </w:r>
    </w:p>
    <w:p>
      <w:pPr>
        <w:ind w:left="0" w:firstLineChars="200" w:firstLine="640"/>
        <w:rPr>
          <w:rFonts w:ascii="黑体" w:eastAsia="黑体" w:cs="黑体" w:hint="eastAsia"/>
          <w:sz w:val="32"/>
          <w:szCs w:val="32"/>
          <w:lang w:val="en-US" w:eastAsia="zh-CN"/>
        </w:rPr>
      </w:pPr>
      <w:r>
        <w:rPr>
          <w:rFonts w:ascii="黑体" w:eastAsia="黑体" w:cs="黑体" w:hint="eastAsia"/>
          <w:sz w:val="32"/>
          <w:szCs w:val="32"/>
          <w:lang w:val="en-US" w:eastAsia="zh-CN"/>
        </w:rPr>
        <w:t>三、重点项目绩效目标。</w:t>
      </w:r>
    </w:p>
    <w:p>
      <w:pPr>
        <w:pStyle w:val="16"/>
        <w:spacing w:line="600" w:lineRule="exac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b/>
          <w:bCs/>
          <w:sz w:val="32"/>
          <w:szCs w:val="32"/>
          <w:lang w:val="en-US" w:eastAsia="zh-CN"/>
        </w:rPr>
        <w:t>重点项目1：</w:t>
      </w:r>
      <w:r>
        <w:rPr>
          <w:rFonts w:ascii="仿宋_GB2312" w:eastAsia="仿宋_GB2312" w:cs="仿宋_GB2312" w:hint="eastAsia"/>
          <w:sz w:val="32"/>
          <w:szCs w:val="32"/>
          <w:lang w:val="en-US" w:eastAsia="zh-CN"/>
        </w:rPr>
        <w:t>大学生入伍奖励金补助项目</w:t>
      </w:r>
    </w:p>
    <w:p>
      <w:pPr>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b/>
          <w:bCs/>
          <w:sz w:val="32"/>
          <w:szCs w:val="32"/>
          <w:lang w:val="en-US" w:eastAsia="zh-CN"/>
        </w:rPr>
        <w:t>项目年度绩效目标：</w:t>
      </w:r>
      <w:r>
        <w:rPr>
          <w:rFonts w:ascii="仿宋_GB2312" w:eastAsia="仿宋_GB2312" w:hint="eastAsia"/>
          <w:sz w:val="32"/>
          <w:szCs w:val="32"/>
          <w:lang w:val="en-US" w:eastAsia="zh-CN"/>
        </w:rPr>
        <w:t>有助于提高入伍积极性，增强当兵光荣的荣誉感，进一步增进全民国防观念和拥军优属意识。</w:t>
      </w:r>
    </w:p>
    <w:p>
      <w:pPr>
        <w:snapToGrid w:val="0"/>
        <w:spacing w:line="600" w:lineRule="exact"/>
        <w:ind w:firstLineChars="200" w:firstLine="640"/>
        <w:rPr>
          <w:rFonts w:ascii="仿宋_GB2312" w:eastAsia="仿宋_GB2312" w:hint="eastAsia"/>
          <w:sz w:val="32"/>
          <w:szCs w:val="32"/>
          <w:lang w:val="en-US" w:eastAsia="zh-CN"/>
        </w:rPr>
      </w:pPr>
      <w:r>
        <w:rPr>
          <w:rFonts w:ascii="仿宋_GB2312" w:eastAsia="仿宋_GB2312" w:cs="仿宋_GB2312" w:hint="eastAsia"/>
          <w:b/>
          <w:bCs/>
          <w:sz w:val="32"/>
          <w:szCs w:val="32"/>
          <w:lang w:val="en-US" w:eastAsia="zh-CN"/>
        </w:rPr>
        <w:t>绩效指标设置情况：</w:t>
      </w:r>
      <w:r>
        <w:rPr>
          <w:rFonts w:ascii="仿宋_GB2312" w:eastAsia="仿宋_GB2312" w:cs="Times New Roman" w:hint="eastAsia"/>
          <w:sz w:val="32"/>
          <w:szCs w:val="32"/>
          <w:lang w:val="en-US" w:eastAsia="zh-CN"/>
        </w:rPr>
        <w:t>2</w:t>
      </w:r>
      <w:r>
        <w:rPr>
          <w:rFonts w:ascii="仿宋_GB2312" w:eastAsia="仿宋_GB2312" w:hint="eastAsia"/>
          <w:sz w:val="32"/>
          <w:szCs w:val="32"/>
          <w:lang w:val="en-US" w:eastAsia="zh-CN"/>
        </w:rPr>
        <w:t>024年大学生入伍奖励金补助项目共计细化7个绩效指标，其中设置了三个产出指标、一个效益指标、一个满意度指标、二个成本指标，绩效目标和绩效指标量化可考核。该项目与我单位发挥党和政府密切联系拥军优属的长期目标相一致。</w:t>
      </w:r>
    </w:p>
    <w:p>
      <w:pPr>
        <w:snapToGrid w:val="0"/>
        <w:spacing w:line="60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b/>
          <w:bCs/>
          <w:sz w:val="32"/>
          <w:szCs w:val="32"/>
          <w:lang w:val="en-US" w:eastAsia="zh-CN"/>
        </w:rPr>
        <w:t>重点项目2：</w:t>
      </w:r>
      <w:r>
        <w:rPr>
          <w:rFonts w:ascii="仿宋_GB2312" w:eastAsia="仿宋_GB2312" w:cs="仿宋_GB2312" w:hint="eastAsia"/>
          <w:sz w:val="32"/>
          <w:szCs w:val="32"/>
          <w:lang w:val="en-US" w:eastAsia="zh-CN"/>
        </w:rPr>
        <w:t>军队转业干部公务员医疗补助项目</w:t>
      </w:r>
    </w:p>
    <w:p>
      <w:pPr>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b/>
          <w:bCs/>
          <w:sz w:val="32"/>
          <w:szCs w:val="32"/>
          <w:lang w:val="en-US" w:eastAsia="zh-CN"/>
        </w:rPr>
        <w:t>项目年度绩效目标：</w:t>
      </w:r>
      <w:r>
        <w:rPr>
          <w:rFonts w:ascii="仿宋_GB2312" w:eastAsia="仿宋_GB2312" w:hint="eastAsia"/>
          <w:sz w:val="32"/>
          <w:szCs w:val="32"/>
          <w:lang w:val="en-US" w:eastAsia="zh-CN"/>
        </w:rPr>
        <w:t>积极完成军转干部医疗及公务员医疗保险的缴纳任务，保障军转干部的利益。</w:t>
      </w:r>
      <w:r>
        <w:rPr>
          <w:rFonts w:ascii="仿宋_GB2312" w:eastAsia="仿宋_GB2312" w:cs="仿宋_GB2312" w:hint="eastAsia"/>
          <w:sz w:val="32"/>
          <w:szCs w:val="32"/>
        </w:rPr>
        <w:t xml:space="preserve">  </w:t>
      </w:r>
    </w:p>
    <w:p>
      <w:pPr>
        <w:snapToGrid w:val="0"/>
        <w:spacing w:line="600" w:lineRule="exact"/>
        <w:ind w:firstLineChars="200" w:firstLine="640"/>
        <w:rPr>
          <w:rFonts w:ascii="仿宋_GB2312" w:eastAsia="仿宋_GB2312" w:hint="eastAsia"/>
          <w:sz w:val="32"/>
          <w:szCs w:val="32"/>
          <w:lang w:val="en-US" w:eastAsia="zh-CN"/>
        </w:rPr>
      </w:pPr>
      <w:r>
        <w:rPr>
          <w:rFonts w:ascii="仿宋_GB2312" w:eastAsia="仿宋_GB2312" w:cs="仿宋_GB2312" w:hint="eastAsia"/>
          <w:b/>
          <w:bCs/>
          <w:sz w:val="32"/>
          <w:szCs w:val="32"/>
          <w:lang w:val="en-US" w:eastAsia="zh-CN"/>
        </w:rPr>
        <w:t>绩效指标设置情况：</w:t>
      </w:r>
      <w:r>
        <w:rPr>
          <w:rFonts w:ascii="仿宋_GB2312" w:eastAsia="仿宋_GB2312" w:cs="Times New Roman" w:hint="eastAsia"/>
          <w:sz w:val="32"/>
          <w:szCs w:val="32"/>
          <w:lang w:val="en-US" w:eastAsia="zh-CN"/>
        </w:rPr>
        <w:t>2</w:t>
      </w:r>
      <w:r>
        <w:rPr>
          <w:rFonts w:ascii="仿宋_GB2312" w:eastAsia="仿宋_GB2312" w:hint="eastAsia"/>
          <w:sz w:val="32"/>
          <w:szCs w:val="32"/>
          <w:lang w:val="en-US" w:eastAsia="zh-CN"/>
        </w:rPr>
        <w:t>024年军队转业干部公务员医疗补助经费用于缴纳军转干部公务员医疗保险，有效保障医疗支出。共计设置7个绩效指标，其中设置了三个产出指标、二个效益指标、一个满意度指标、一个成本指标，绩效目标和绩效指标量化可考核。绩效指标可量化，与总体目标相匹配，能实现预期目标。</w:t>
      </w:r>
    </w:p>
    <w:p>
      <w:pPr>
        <w:snapToGrid w:val="0"/>
        <w:spacing w:line="60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b/>
          <w:bCs/>
          <w:sz w:val="32"/>
          <w:szCs w:val="32"/>
          <w:lang w:val="en-US" w:eastAsia="zh-CN"/>
        </w:rPr>
        <w:t>重点项目3：</w:t>
      </w:r>
      <w:r>
        <w:rPr>
          <w:rFonts w:ascii="仿宋_GB2312" w:eastAsia="仿宋_GB2312" w:cs="仿宋_GB2312" w:hint="eastAsia"/>
          <w:sz w:val="32"/>
          <w:szCs w:val="32"/>
          <w:lang w:val="en-US" w:eastAsia="zh-CN"/>
        </w:rPr>
        <w:t>军队转业干部医疗补助项目</w:t>
      </w:r>
    </w:p>
    <w:p>
      <w:pPr>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b/>
          <w:bCs/>
          <w:sz w:val="32"/>
          <w:szCs w:val="32"/>
          <w:lang w:val="en-US" w:eastAsia="zh-CN"/>
        </w:rPr>
        <w:t>项目年度绩效目标：</w:t>
      </w:r>
      <w:r>
        <w:rPr>
          <w:rFonts w:ascii="仿宋_GB2312" w:eastAsia="仿宋_GB2312" w:hint="eastAsia"/>
          <w:sz w:val="32"/>
          <w:szCs w:val="32"/>
          <w:lang w:val="en-US" w:eastAsia="zh-CN"/>
        </w:rPr>
        <w:t>积极完成军转干部医疗及公务员医疗保险的缴纳任务，保障军转干部的利益。</w:t>
      </w:r>
      <w:r>
        <w:rPr>
          <w:rFonts w:ascii="仿宋_GB2312" w:eastAsia="仿宋_GB2312" w:cs="仿宋_GB2312" w:hint="eastAsia"/>
          <w:sz w:val="32"/>
          <w:szCs w:val="32"/>
        </w:rPr>
        <w:t xml:space="preserve"> </w:t>
      </w:r>
    </w:p>
    <w:p>
      <w:pPr>
        <w:snapToGrid w:val="0"/>
        <w:spacing w:line="600" w:lineRule="exact"/>
        <w:ind w:firstLineChars="200" w:firstLine="640"/>
        <w:rPr>
          <w:rFonts w:ascii="仿宋_GB2312" w:eastAsia="仿宋_GB2312" w:hint="eastAsia"/>
          <w:sz w:val="32"/>
          <w:szCs w:val="32"/>
          <w:lang w:val="en-US" w:eastAsia="zh-CN"/>
        </w:rPr>
      </w:pPr>
      <w:r>
        <w:rPr>
          <w:rFonts w:ascii="仿宋_GB2312" w:eastAsia="仿宋_GB2312" w:cs="仿宋_GB2312" w:hint="eastAsia"/>
          <w:b/>
          <w:bCs/>
          <w:sz w:val="32"/>
          <w:szCs w:val="32"/>
          <w:lang w:val="en-US" w:eastAsia="zh-CN"/>
        </w:rPr>
        <w:t>绩效指标设置情况：</w:t>
      </w:r>
      <w:r>
        <w:rPr>
          <w:rFonts w:ascii="仿宋_GB2312" w:eastAsia="仿宋_GB2312" w:cs="Times New Roman" w:hint="eastAsia"/>
          <w:sz w:val="32"/>
          <w:szCs w:val="32"/>
          <w:lang w:val="en-US" w:eastAsia="zh-CN"/>
        </w:rPr>
        <w:t>2</w:t>
      </w:r>
      <w:r>
        <w:rPr>
          <w:rFonts w:ascii="仿宋_GB2312" w:eastAsia="仿宋_GB2312" w:hint="eastAsia"/>
          <w:sz w:val="32"/>
          <w:szCs w:val="32"/>
          <w:lang w:val="en-US" w:eastAsia="zh-CN"/>
        </w:rPr>
        <w:t>024年军队转业干部医疗补助经费项目共计设置7个绩效指标，其中设置了三个产出指标、二个效益指标、一个满意度指标、一个成本指标，绩效目标和绩效指标量化可考核。</w:t>
      </w:r>
    </w:p>
    <w:p>
      <w:pPr>
        <w:snapToGrid w:val="0"/>
        <w:spacing w:line="60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b/>
          <w:bCs/>
          <w:sz w:val="32"/>
          <w:szCs w:val="32"/>
          <w:lang w:val="en-US" w:eastAsia="zh-CN"/>
        </w:rPr>
        <w:t>重点项目4：</w:t>
      </w:r>
      <w:r>
        <w:rPr>
          <w:rFonts w:ascii="仿宋_GB2312" w:eastAsia="仿宋_GB2312" w:hint="eastAsia"/>
          <w:sz w:val="32"/>
          <w:szCs w:val="32"/>
          <w:lang w:val="en-US" w:eastAsia="zh-CN"/>
        </w:rPr>
        <w:t>伤残抚恤补助项目</w:t>
      </w:r>
    </w:p>
    <w:p>
      <w:pPr>
        <w:ind w:firstLineChars="200" w:firstLine="640"/>
        <w:rPr>
          <w:rFonts w:ascii="仿宋_GB2312" w:eastAsia="仿宋_GB2312" w:cs="仿宋_GB2312"/>
          <w:sz w:val="32"/>
          <w:szCs w:val="32"/>
          <w:lang w:val="en-US" w:eastAsia="zh-CN"/>
        </w:rPr>
      </w:pPr>
      <w:r>
        <w:rPr>
          <w:rFonts w:ascii="仿宋_GB2312" w:eastAsia="仿宋_GB2312" w:cs="仿宋_GB2312" w:hint="eastAsia"/>
          <w:b/>
          <w:bCs/>
          <w:sz w:val="32"/>
          <w:szCs w:val="32"/>
          <w:lang w:val="en-US" w:eastAsia="zh-CN"/>
        </w:rPr>
        <w:t>项目年度绩效目标：</w:t>
      </w:r>
      <w:r>
        <w:rPr>
          <w:rFonts w:ascii="仿宋_GB2312" w:eastAsia="仿宋_GB2312" w:hint="eastAsia"/>
          <w:sz w:val="32"/>
          <w:szCs w:val="32"/>
          <w:lang w:val="en-US" w:eastAsia="zh-CN"/>
        </w:rPr>
        <w:t>切实解决伤残退役军人存在的困难，减轻了家庭困难，提高了收入保障，不同程度缓解了社会压力，促进国家稳定。也为退役军人群体送去了党和国家的温暖，营造了拥军爱军浓厚氛围，让开展退役军人工作成为全社会最尊崇的职业打下了坚实基础。</w:t>
      </w:r>
    </w:p>
    <w:p>
      <w:pPr>
        <w:snapToGrid w:val="0"/>
        <w:spacing w:line="600" w:lineRule="exact"/>
        <w:ind w:firstLineChars="200" w:firstLine="640"/>
        <w:rPr>
          <w:rFonts w:ascii="仿宋_GB2312" w:eastAsia="仿宋_GB2312" w:hint="eastAsia"/>
          <w:sz w:val="32"/>
          <w:szCs w:val="32"/>
          <w:lang w:val="en-US" w:eastAsia="zh-CN"/>
        </w:rPr>
      </w:pPr>
      <w:r>
        <w:rPr>
          <w:rFonts w:ascii="仿宋_GB2312" w:eastAsia="仿宋_GB2312" w:cs="仿宋_GB2312" w:hint="eastAsia"/>
          <w:b/>
          <w:bCs/>
          <w:sz w:val="32"/>
          <w:szCs w:val="32"/>
          <w:lang w:val="en-US" w:eastAsia="zh-CN"/>
        </w:rPr>
        <w:t>绩效指标设置情况：</w:t>
      </w:r>
      <w:r>
        <w:rPr>
          <w:rFonts w:ascii="仿宋_GB2312" w:eastAsia="仿宋_GB2312" w:hint="eastAsia"/>
          <w:sz w:val="32"/>
          <w:szCs w:val="32"/>
          <w:lang w:val="en-US" w:eastAsia="zh-CN"/>
        </w:rPr>
        <w:t>2024年伤残抚恤补助项目共计设置7个绩效指标，其中设置了三个产出指标、二个效益指标、一个满意度指标、一个成本指标，绩效目标和绩效指标量化可考核。与我单位发挥党和政府密切联系优抚褒扬的长期目标相一致。</w:t>
      </w:r>
    </w:p>
    <w:p>
      <w:pPr>
        <w:snapToGrid w:val="0"/>
        <w:spacing w:line="600" w:lineRule="exact"/>
        <w:ind w:leftChars="200" w:left="2980" w:hangingChars="800" w:hanging="2560"/>
        <w:rPr>
          <w:rFonts w:ascii="仿宋_GB2312" w:eastAsia="仿宋_GB2312" w:hint="eastAsia"/>
          <w:sz w:val="32"/>
          <w:szCs w:val="32"/>
          <w:lang w:val="en-US" w:eastAsia="zh-CN"/>
        </w:rPr>
      </w:pPr>
      <w:r>
        <w:rPr>
          <w:rFonts w:ascii="仿宋_GB2312" w:eastAsia="仿宋_GB2312" w:cs="仿宋_GB2312" w:hint="eastAsia"/>
          <w:b/>
          <w:bCs/>
          <w:sz w:val="32"/>
          <w:szCs w:val="32"/>
          <w:lang w:val="en-US" w:eastAsia="zh-CN"/>
        </w:rPr>
        <w:t>重点项目5：</w:t>
      </w:r>
      <w:r>
        <w:rPr>
          <w:rFonts w:ascii="仿宋_GB2312" w:eastAsia="仿宋_GB2312" w:hint="eastAsia"/>
          <w:sz w:val="32"/>
          <w:szCs w:val="32"/>
          <w:lang w:val="en-US" w:eastAsia="zh-CN"/>
        </w:rPr>
        <w:t>退役士兵安置补助项目</w:t>
      </w:r>
    </w:p>
    <w:p>
      <w:pPr>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b/>
          <w:bCs/>
          <w:sz w:val="32"/>
          <w:szCs w:val="32"/>
          <w:lang w:val="en-US" w:eastAsia="zh-CN"/>
        </w:rPr>
        <w:t>项目年度绩效目标：</w:t>
      </w:r>
      <w:r>
        <w:rPr>
          <w:rFonts w:ascii="仿宋_GB2312" w:eastAsia="仿宋_GB2312" w:hint="eastAsia"/>
          <w:sz w:val="32"/>
          <w:szCs w:val="32"/>
          <w:lang w:val="en-US" w:eastAsia="zh-CN"/>
        </w:rPr>
        <w:t>切实解决了退役军人存在的资金困难，减轻了家庭困难，提高了收入保障，不同程度缓解了社会压力，促进国家稳定。</w:t>
      </w:r>
    </w:p>
    <w:p>
      <w:pPr>
        <w:snapToGrid w:val="0"/>
        <w:spacing w:line="600" w:lineRule="exact"/>
        <w:ind w:firstLineChars="200" w:firstLine="640"/>
        <w:rPr>
          <w:rFonts w:ascii="仿宋_GB2312" w:eastAsia="仿宋_GB2312" w:hint="eastAsia"/>
          <w:sz w:val="32"/>
          <w:szCs w:val="32"/>
          <w:lang w:val="en-US" w:eastAsia="zh-CN"/>
        </w:rPr>
      </w:pPr>
      <w:r>
        <w:rPr>
          <w:rFonts w:ascii="仿宋_GB2312" w:eastAsia="仿宋_GB2312" w:cs="仿宋_GB2312" w:hint="eastAsia"/>
          <w:b/>
          <w:bCs/>
          <w:sz w:val="32"/>
          <w:szCs w:val="32"/>
          <w:lang w:val="en-US" w:eastAsia="zh-CN"/>
        </w:rPr>
        <w:t>绩效指标设置情况：</w:t>
      </w:r>
      <w:r>
        <w:rPr>
          <w:rFonts w:ascii="仿宋_GB2312" w:eastAsia="仿宋_GB2312" w:hint="eastAsia"/>
          <w:sz w:val="32"/>
          <w:szCs w:val="32"/>
          <w:lang w:val="en-US" w:eastAsia="zh-CN"/>
        </w:rPr>
        <w:t>2024年退役士兵安置补助经费项目共计设置7个绩效指标，其中设置了三个产出指标、一个效益指标、一个满意度指标、二个成本指标，绩效目标和绩效指标量化可考核。与我单位发挥党和政府密切联系退役士兵安置的长期目标相一致。</w:t>
      </w:r>
    </w:p>
    <w:p>
      <w:pPr>
        <w:snapToGrid w:val="0"/>
        <w:spacing w:line="600" w:lineRule="exact"/>
        <w:ind w:firstLineChars="200" w:firstLine="640"/>
        <w:rPr>
          <w:rFonts w:ascii="仿宋_GB2312" w:eastAsia="仿宋_GB2312" w:hint="eastAsia"/>
          <w:sz w:val="32"/>
          <w:szCs w:val="32"/>
          <w:lang w:val="en-US" w:eastAsia="zh-CN"/>
        </w:rPr>
      </w:pPr>
      <w:r>
        <w:rPr>
          <w:rFonts w:ascii="仿宋_GB2312" w:eastAsia="仿宋_GB2312" w:cs="仿宋_GB2312" w:hint="eastAsia"/>
          <w:b/>
          <w:bCs/>
          <w:sz w:val="32"/>
          <w:szCs w:val="32"/>
          <w:lang w:val="en-US" w:eastAsia="zh-CN"/>
        </w:rPr>
        <w:t>重点项目6：</w:t>
      </w:r>
      <w:r>
        <w:rPr>
          <w:rFonts w:ascii="仿宋_GB2312" w:eastAsia="仿宋_GB2312" w:hint="eastAsia"/>
          <w:sz w:val="32"/>
          <w:szCs w:val="32"/>
          <w:lang w:val="en-US" w:eastAsia="zh-CN"/>
        </w:rPr>
        <w:t>义务兵优待金补助项目</w:t>
      </w:r>
    </w:p>
    <w:p>
      <w:pPr>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b/>
          <w:bCs/>
          <w:sz w:val="32"/>
          <w:szCs w:val="32"/>
          <w:lang w:val="en-US" w:eastAsia="zh-CN"/>
        </w:rPr>
        <w:t>项目年度绩效目标：</w:t>
      </w:r>
      <w:r>
        <w:rPr>
          <w:rFonts w:ascii="仿宋_GB2312" w:eastAsia="仿宋_GB2312" w:hint="eastAsia"/>
          <w:sz w:val="32"/>
          <w:szCs w:val="32"/>
          <w:lang w:val="en-US" w:eastAsia="zh-CN"/>
        </w:rPr>
        <w:t>义务兵优待金项目的开展有助于提高入伍积极性，增强当兵光荣的荣誉感，进一步增进全民国防观念和拥军优属意识。</w:t>
      </w:r>
      <w:r>
        <w:rPr>
          <w:rFonts w:ascii="仿宋_GB2312" w:eastAsia="仿宋_GB2312" w:cs="仿宋_GB2312" w:hint="eastAsia"/>
          <w:sz w:val="32"/>
          <w:szCs w:val="32"/>
        </w:rPr>
        <w:t xml:space="preserve"> </w:t>
      </w:r>
    </w:p>
    <w:p>
      <w:pPr>
        <w:snapToGrid w:val="0"/>
        <w:spacing w:line="600" w:lineRule="exact"/>
        <w:ind w:firstLineChars="200" w:firstLine="640"/>
        <w:rPr>
          <w:rFonts w:hint="eastAsia"/>
          <w:lang w:val="en-US" w:eastAsia="zh-CN"/>
        </w:rPr>
      </w:pPr>
      <w:r>
        <w:rPr>
          <w:rFonts w:ascii="仿宋_GB2312" w:eastAsia="仿宋_GB2312" w:cs="仿宋_GB2312" w:hint="eastAsia"/>
          <w:b/>
          <w:bCs/>
          <w:sz w:val="32"/>
          <w:szCs w:val="32"/>
          <w:lang w:val="en-US" w:eastAsia="zh-CN"/>
        </w:rPr>
        <w:t>绩效指标设置情况：</w:t>
      </w:r>
      <w:r>
        <w:rPr>
          <w:rFonts w:ascii="仿宋_GB2312" w:eastAsia="仿宋_GB2312" w:hint="eastAsia"/>
          <w:sz w:val="32"/>
          <w:szCs w:val="32"/>
          <w:lang w:val="en-US" w:eastAsia="zh-CN"/>
        </w:rPr>
        <w:t>2024年义务兵优待金补助项目共计设置7个绩效指标，其中设置了三个产出指标、二个效益指标、一个满意度指标、一个成本指标，绩效目标和绩效指标量化可考核。</w:t>
      </w:r>
    </w:p>
    <w:p>
      <w:pPr>
        <w:snapToGrid w:val="0"/>
        <w:spacing w:line="600" w:lineRule="exact"/>
        <w:ind w:firstLineChars="200" w:firstLine="640"/>
        <w:rPr>
          <w:rFonts w:ascii="仿宋_GB2312" w:eastAsia="仿宋_GB2312" w:hint="eastAsia"/>
          <w:sz w:val="32"/>
          <w:szCs w:val="32"/>
          <w:lang w:val="en-US" w:eastAsia="zh-CN"/>
        </w:rPr>
      </w:pPr>
      <w:r>
        <w:rPr>
          <w:rFonts w:ascii="仿宋_GB2312" w:eastAsia="仿宋_GB2312" w:cs="仿宋_GB2312" w:hint="eastAsia"/>
          <w:b/>
          <w:bCs/>
          <w:sz w:val="32"/>
          <w:szCs w:val="32"/>
          <w:lang w:val="en-US" w:eastAsia="zh-CN"/>
        </w:rPr>
        <w:t>重点项目7：</w:t>
      </w:r>
      <w:r>
        <w:rPr>
          <w:rFonts w:ascii="仿宋_GB2312" w:eastAsia="仿宋_GB2312" w:hint="eastAsia"/>
          <w:sz w:val="32"/>
          <w:szCs w:val="32"/>
          <w:lang w:val="en-US" w:eastAsia="zh-CN"/>
        </w:rPr>
        <w:t>优抚定补、在乡复员军人补助项目</w:t>
      </w:r>
    </w:p>
    <w:p>
      <w:pPr>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b/>
          <w:bCs/>
          <w:sz w:val="32"/>
          <w:szCs w:val="32"/>
          <w:lang w:val="en-US" w:eastAsia="zh-CN"/>
        </w:rPr>
        <w:t>项目年度绩效目标：</w:t>
      </w:r>
      <w:r>
        <w:rPr>
          <w:rFonts w:ascii="仿宋_GB2312" w:eastAsia="仿宋_GB2312" w:hint="eastAsia"/>
          <w:sz w:val="32"/>
          <w:szCs w:val="32"/>
          <w:lang w:val="en-US" w:eastAsia="zh-CN"/>
        </w:rPr>
        <w:t xml:space="preserve">通过发放优抚对象抚恤补助资金，使优抚对象等人员基本生活得到有效保障。 </w:t>
      </w:r>
    </w:p>
    <w:p>
      <w:pPr>
        <w:snapToGrid w:val="0"/>
        <w:spacing w:line="600" w:lineRule="exact"/>
        <w:ind w:firstLineChars="200" w:firstLine="640"/>
        <w:rPr>
          <w:rFonts w:ascii="仿宋_GB2312" w:eastAsia="仿宋_GB2312" w:hint="eastAsia"/>
          <w:sz w:val="32"/>
          <w:szCs w:val="32"/>
          <w:lang w:val="en-US" w:eastAsia="zh-CN"/>
        </w:rPr>
      </w:pPr>
      <w:r>
        <w:rPr>
          <w:rFonts w:ascii="仿宋_GB2312" w:eastAsia="仿宋_GB2312" w:cs="仿宋_GB2312" w:hint="eastAsia"/>
          <w:b/>
          <w:bCs/>
          <w:sz w:val="32"/>
          <w:szCs w:val="32"/>
          <w:lang w:val="en-US" w:eastAsia="zh-CN"/>
        </w:rPr>
        <w:t>绩效指标设置情况：</w:t>
      </w:r>
      <w:r>
        <w:rPr>
          <w:rFonts w:ascii="仿宋_GB2312" w:eastAsia="仿宋_GB2312" w:cs="Times New Roman" w:hint="eastAsia"/>
          <w:sz w:val="32"/>
          <w:szCs w:val="32"/>
          <w:lang w:val="en-US" w:eastAsia="zh-CN"/>
        </w:rPr>
        <w:t>2</w:t>
      </w:r>
      <w:r>
        <w:rPr>
          <w:rFonts w:ascii="仿宋_GB2312" w:eastAsia="仿宋_GB2312" w:hint="eastAsia"/>
          <w:sz w:val="32"/>
          <w:szCs w:val="32"/>
          <w:lang w:val="en-US" w:eastAsia="zh-CN"/>
        </w:rPr>
        <w:t>024年优抚定补、在乡复员军人补助项目共计设置12个绩效指标，其中设置了三个产出指标、一个效益指标、一个满意度指标、七个成本指标，绩效目标和绩效指标量化可考核。</w:t>
      </w:r>
    </w:p>
    <w:p>
      <w:pPr>
        <w:snapToGrid w:val="0"/>
        <w:spacing w:line="600" w:lineRule="exact"/>
        <w:ind w:leftChars="200" w:left="2980" w:hangingChars="800" w:hanging="2560"/>
        <w:rPr>
          <w:rFonts w:ascii="仿宋_GB2312" w:eastAsia="仿宋_GB2312" w:hint="eastAsia"/>
          <w:sz w:val="32"/>
          <w:szCs w:val="32"/>
          <w:lang w:val="en-US" w:eastAsia="zh-CN"/>
        </w:rPr>
      </w:pPr>
      <w:r>
        <w:rPr>
          <w:rFonts w:ascii="仿宋_GB2312" w:eastAsia="仿宋_GB2312" w:cs="仿宋_GB2312" w:hint="eastAsia"/>
          <w:b/>
          <w:bCs/>
          <w:sz w:val="32"/>
          <w:szCs w:val="32"/>
          <w:lang w:val="en-US" w:eastAsia="zh-CN"/>
        </w:rPr>
        <w:t>重点项目8：</w:t>
      </w:r>
      <w:r>
        <w:rPr>
          <w:rFonts w:ascii="仿宋_GB2312" w:eastAsia="仿宋_GB2312" w:hint="eastAsia"/>
          <w:sz w:val="32"/>
          <w:szCs w:val="32"/>
          <w:lang w:val="en-US" w:eastAsia="zh-CN"/>
        </w:rPr>
        <w:t>在乡重点优抚对象医疗保险补助项目</w:t>
      </w:r>
    </w:p>
    <w:p>
      <w:pPr>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b/>
          <w:bCs/>
          <w:sz w:val="32"/>
          <w:szCs w:val="32"/>
          <w:lang w:val="en-US" w:eastAsia="zh-CN"/>
        </w:rPr>
        <w:t>项目年度绩效目标：</w:t>
      </w:r>
      <w:r>
        <w:rPr>
          <w:rFonts w:ascii="仿宋_GB2312" w:eastAsia="仿宋_GB2312" w:hint="eastAsia"/>
          <w:sz w:val="32"/>
          <w:szCs w:val="32"/>
          <w:lang w:val="en-US" w:eastAsia="zh-CN"/>
        </w:rPr>
        <w:t>为确保重点优抚对象的医疗救助工作有序开展，切实帮助困难优抚对象解决就医看病的实际困难，加强医疗保险经办能力、优化健康扶贫政策。</w:t>
      </w:r>
      <w:r>
        <w:rPr>
          <w:rFonts w:ascii="仿宋_GB2312" w:eastAsia="仿宋_GB2312" w:cs="仿宋_GB2312" w:hint="eastAsia"/>
          <w:sz w:val="32"/>
          <w:szCs w:val="32"/>
        </w:rPr>
        <w:t xml:space="preserve"> </w:t>
      </w:r>
    </w:p>
    <w:p>
      <w:pPr>
        <w:snapToGrid w:val="0"/>
        <w:spacing w:line="600" w:lineRule="exact"/>
        <w:ind w:firstLineChars="200" w:firstLine="640"/>
        <w:rPr>
          <w:rFonts w:ascii="仿宋_GB2312" w:eastAsia="仿宋_GB2312" w:hint="eastAsia"/>
          <w:sz w:val="32"/>
          <w:szCs w:val="32"/>
          <w:lang w:val="en-US" w:eastAsia="zh-CN"/>
        </w:rPr>
      </w:pPr>
      <w:r>
        <w:rPr>
          <w:rFonts w:ascii="仿宋_GB2312" w:eastAsia="仿宋_GB2312" w:cs="仿宋_GB2312" w:hint="eastAsia"/>
          <w:b/>
          <w:bCs/>
          <w:sz w:val="32"/>
          <w:szCs w:val="32"/>
          <w:lang w:val="en-US" w:eastAsia="zh-CN"/>
        </w:rPr>
        <w:t>绩效指标设置情况：</w:t>
      </w:r>
      <w:r>
        <w:rPr>
          <w:rFonts w:ascii="仿宋_GB2312" w:eastAsia="仿宋_GB2312" w:hint="eastAsia"/>
          <w:sz w:val="32"/>
          <w:szCs w:val="32"/>
          <w:lang w:val="en-US" w:eastAsia="zh-CN"/>
        </w:rPr>
        <w:t>2024年在乡重点优抚对象医疗保险补助项目共计设置7个绩效指标，其中设置了三个产出指标、一个效益指标、一个满意度指标、二个成本指标，绩效目标和绩效指标量化可考核。</w:t>
      </w:r>
    </w:p>
    <w:p>
      <w:pPr>
        <w:spacing w:line="560" w:lineRule="exact"/>
        <w:ind w:firstLineChars="200" w:firstLine="640"/>
        <w:rPr>
          <w:rFonts w:ascii="仿宋_GB2312" w:eastAsia="仿宋_GB2312" w:cs="仿宋_GB2312" w:hint="eastAsia"/>
          <w:sz w:val="32"/>
          <w:szCs w:val="32"/>
          <w:lang w:val="en-US" w:eastAsia="zh-CN"/>
        </w:rPr>
      </w:pPr>
    </w:p>
    <w:p>
      <w:pPr>
        <w:pStyle w:val="15"/>
        <w:rPr>
          <w:rFonts w:ascii="仿宋_GB2312" w:eastAsia="仿宋_GB2312" w:cs="仿宋_GB2312" w:hint="eastAsia"/>
          <w:sz w:val="32"/>
          <w:szCs w:val="32"/>
          <w:lang w:val="en-US" w:eastAsia="zh-CN"/>
        </w:rPr>
      </w:pPr>
    </w:p>
    <w:p>
      <w:pPr>
        <w:rPr>
          <w:rFonts w:ascii="仿宋_GB2312" w:eastAsia="仿宋_GB2312" w:cs="仿宋_GB2312" w:hint="eastAsia"/>
          <w:sz w:val="32"/>
          <w:szCs w:val="32"/>
          <w:lang w:val="en-US" w:eastAsia="zh-CN"/>
        </w:rPr>
      </w:pPr>
    </w:p>
    <w:p>
      <w:pPr>
        <w:pStyle w:val="15"/>
        <w:rPr>
          <w:rFonts w:ascii="仿宋_GB2312" w:eastAsia="仿宋_GB2312" w:cs="仿宋_GB2312" w:hint="eastAsia"/>
          <w:sz w:val="32"/>
          <w:szCs w:val="32"/>
          <w:lang w:val="en-US" w:eastAsia="zh-CN"/>
        </w:rPr>
      </w:pPr>
    </w:p>
    <w:p>
      <w:pPr>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 xml:space="preserve">                               金川县退役军人事务局</w:t>
      </w:r>
    </w:p>
    <w:p>
      <w:pPr>
        <w:pStyle w:val="15"/>
        <w:rPr>
          <w:lang w:val="en-US" w:eastAsia="zh-CN"/>
        </w:rPr>
      </w:pPr>
      <w:r>
        <w:rPr>
          <w:rFonts w:ascii="仿宋_GB2312" w:eastAsia="仿宋_GB2312" w:cs="仿宋_GB2312" w:hint="eastAsia"/>
          <w:sz w:val="32"/>
          <w:szCs w:val="32"/>
          <w:lang w:val="en-US" w:eastAsia="zh-CN"/>
        </w:rPr>
        <w:t xml:space="preserve">                                2024年2月19日</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panose1 w:val="02000000000000000000"/>
    <w:charset w:val="86"/>
    <w:family w:val="auto"/>
    <w:pitch w:val="variable"/>
    <w:sig w:usb0="A00002BF" w:usb1="38CF7CFA" w:usb2="00082016" w:usb3="00000000" w:csb0="00040001" w:csb1="00000000"/>
  </w:font>
  <w:font w:name="仿宋_GB2312">
    <w:altName w:val="仿宋"/>
    <w:panose1 w:val="02010609030101010101"/>
    <w:charset w:val="86"/>
    <w:family w:val="auto"/>
    <w:pitch w:val="variable"/>
    <w:sig w:usb0="00000000" w:usb1="00000000" w:usb2="00000000" w:usb3="00000000" w:csb0="00040000" w:csb1="00000000"/>
  </w:font>
  <w:font w:name="黑体">
    <w:panose1 w:val="02010609060101010101"/>
    <w:charset w:val="86"/>
    <w:family w:val="auto"/>
    <w:pitch w:val="variable"/>
    <w:sig w:usb0="800002BF" w:usb1="38CF7CFA" w:usb2="00000016" w:usb3="00000000" w:csb0="00040001" w:csb1="00000000"/>
  </w:font>
  <w:font w:name="Times New Roman">
    <w:panose1 w:val="02020603050405020304"/>
    <w:charset w:val="01"/>
    <w:family w:val="auto"/>
    <w:pitch w:val="variable"/>
    <w:sig w:usb0="E0002AFF" w:usb1="C0007841" w:usb2="00000009" w:usb3="00000000" w:csb0="400001FF" w:csb1="FFFF0000"/>
  </w:font>
  <w:font w:name="宋体">
    <w:panose1 w:val="02010600030101010101"/>
    <w:charset w:val="80"/>
    <w:family w:val="auto"/>
    <w:pitch w:val="variable"/>
    <w:sig w:usb0="00000003" w:usb1="288F0000" w:usb2="00000006" w:usb3="00000000" w:csb0="00040001" w:csb1="00000000"/>
  </w:font>
  <w:font w:name="Calibri">
    <w:panose1 w:val="020F0502020204030204"/>
    <w:charset w:val="00"/>
    <w:family w:val="swiss"/>
    <w:pitch w:val="variable"/>
    <w:sig w:usb0="E00002FF" w:usb1="4000ACFF" w:usb2="00000001" w:usb3="00000000" w:csb0="2000019F" w:csb1="00000000"/>
  </w:font>
  <w:font w:name="Arial">
    <w:panose1 w:val="020B0604020202020204"/>
    <w:charset w:val="01"/>
    <w:family w:val="swiss"/>
    <w:pitch w:val="variable"/>
    <w:sig w:usb0="E0002AFF" w:usb1="C0007843" w:usb2="00000009" w:usb3="00000000" w:csb0="400001FF" w:csb1="FFFF0000"/>
  </w:font>
  <w:font w:name="Luxi Sans">
    <w:altName w:val="Segoe Print"/>
    <w:panose1 w:val="00000000000000000000"/>
    <w:charset w:val="00"/>
    <w:family w:val="auto"/>
    <w:pitch w:val="variable"/>
    <w:sig w:usb0="00000000" w:usb1="00000000" w:usb2="00000000" w:usb3="00000000" w:csb0="00000000"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E5FD0A63"/>
    <w:multiLevelType w:val="singleLevel"/>
    <w:tmpl w:val="E5FD0A63"/>
    <w:lvl w:ilvl="0">
      <w:start w:val="2"/>
      <w:numFmt w:val="chineseCounting"/>
      <w:lvlRestart w:val="0"/>
      <w:suff w:val="nothing"/>
      <w:lvlText w:val="%1、"/>
      <w:lvlJc w:val="left"/>
      <w:pPr>
        <w:ind w:left="0" w:hanging="0"/>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ZmRlOTBhY2VkY2I4MjQ4ZWRlNGU2YTExNWYzZWRiMWU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autoRedefine/>
    <w:next w:val="15"/>
    <w:pPr>
      <w:widowControl w:val="0"/>
      <w:jc w:val="both"/>
    </w:pPr>
    <w:rPr>
      <w:rFonts w:ascii="Calibri" w:eastAsia="宋体" w:cs="Arial" w:hAnsi="Calibri"/>
      <w:kern w:val="2"/>
      <w:sz w:val="21"/>
      <w:szCs w:val="24"/>
      <w:lang w:val="en-US" w:eastAsia="zh-CN" w:bidi="ar-SA"/>
    </w:rPr>
  </w:style>
  <w:style w:type="paragraph" w:styleId="1">
    <w:name w:val="heading 1"/>
    <w:basedOn w:val="0"/>
    <w:autoRedefine/>
    <w:next w:val="0"/>
    <w:pPr>
      <w:keepNext/>
      <w:keepLines/>
      <w:widowControl w:val="0"/>
      <w:spacing w:before="340" w:after="330" w:line="578" w:lineRule="auto"/>
      <w:outlineLvl w:val="0"/>
    </w:pPr>
    <w:rPr>
      <w:b/>
      <w:bCs/>
      <w:kern w:val="44"/>
      <w:sz w:val="44"/>
    </w:rPr>
  </w:style>
  <w:style w:type="paragraph" w:styleId="2">
    <w:name w:val="heading 2"/>
    <w:basedOn w:val="0"/>
    <w:autoRedefine/>
    <w:next w:val="0"/>
    <w:pPr>
      <w:keepNext/>
      <w:keepLines/>
      <w:widowControl w:val="0"/>
      <w:spacing w:before="260" w:after="260" w:line="415" w:lineRule="auto"/>
      <w:outlineLvl w:val="1"/>
    </w:pPr>
    <w:rPr>
      <w:rFonts w:ascii="Luxi Sans" w:eastAsia="黑体" w:hAnsi="Luxi Sans"/>
      <w:b/>
      <w:sz w:val="32"/>
    </w:rPr>
  </w:style>
  <w:style w:type="paragraph" w:styleId="3">
    <w:name w:val="heading 3"/>
    <w:basedOn w:val="0"/>
    <w:autoRedefine/>
    <w:next w:val="0"/>
    <w:pPr>
      <w:keepNext/>
      <w:keepLines/>
      <w:widowControl w:val="0"/>
      <w:spacing w:before="260" w:after="260" w:line="415" w:lineRule="auto"/>
      <w:outlineLvl w:val="2"/>
    </w:pPr>
    <w:rPr>
      <w:b/>
      <w:sz w:val="32"/>
    </w:rPr>
  </w:style>
  <w:style w:type="character" w:default="1" w:styleId="10">
    <w:name w:val="Default Paragraph Font"/>
    <w:autoRedefine/>
  </w:style>
  <w:style w:type="paragraph" w:styleId="15">
    <w:name w:val="table of figures"/>
    <w:basedOn w:val="0"/>
    <w:next w:val="0"/>
    <w:pPr>
      <w:ind w:leftChars="200" w:left="400" w:hangingChars="200" w:hanging="200"/>
    </w:pPr>
  </w:style>
  <w:style w:type="paragraph" w:styleId="16">
    <w:name w:val="Body Text"/>
    <w:basedOn w:val="0"/>
    <w:pPr>
      <w:spacing w:after="120"/>
    </w:pPr>
  </w:style>
  <w:style w:type="paragraph" w:styleId="17">
    <w:name w:val="footer"/>
    <w:basedOn w:val="0"/>
    <w:autoRedefine/>
    <w:pPr>
      <w:tabs>
        <w:tab w:val="center" w:pos="4153"/>
        <w:tab w:val="right" w:pos="8306"/>
      </w:tabs>
      <w:snapToGrid w:val="0"/>
      <w:jc w:val="left"/>
    </w:pPr>
    <w:rPr>
      <w:sz w:val="18"/>
    </w:rPr>
  </w:style>
  <w:style w:type="paragraph" w:styleId="18">
    <w:name w:val="Normal (Web)"/>
    <w:basedOn w:val="0"/>
    <w:pPr>
      <w:spacing w:before="0" w:beforeAutospacing="1" w:after="0" w:afterAutospacing="1"/>
      <w:ind w:left="0" w:right="0"/>
      <w:jc w:val="left"/>
    </w:pPr>
    <w:rPr>
      <w:kern w:val="0"/>
      <w:sz w:val="24"/>
      <w:lang w:val="en-US" w:eastAsia="zh-C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10</TotalTime>
  <Application>Yozo_Office27021597764231179</Application>
  <Pages>5</Pages>
  <Words>2226</Words>
  <Characters>2272</Characters>
  <Lines>108</Lines>
  <Paragraphs>35</Paragraphs>
  <CharactersWithSpaces>2343</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Administrator</cp:lastModifiedBy>
  <cp:revision>1</cp:revision>
  <dcterms:created xsi:type="dcterms:W3CDTF">2023-02-06T06:46:00Z</dcterms:created>
  <dcterms:modified xsi:type="dcterms:W3CDTF">2024-03-15T02:16:46Z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2052-12.1.0.16250</vt:lpwstr>
  </property>
  <property fmtid="{D5CDD505-2E9C-101B-9397-08002B2CF9AE}" pid="3" name="ICV">
    <vt:lpwstr>0FAD9A1A7FCE4285BC36BF191DD6BD04_12</vt:lpwstr>
  </property>
</Properties>
</file>