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Times New Roman" w:eastAsia="方正小标宋简体" w:cs="Times New Roman" w:hAnsi="Times New Roman"/>
          <w:sz w:val="72"/>
          <w:szCs w:val="72"/>
        </w:rPr>
      </w:pPr>
      <w:bookmarkStart w:id="0" w:name="_Toc15377425"/>
      <w:bookmarkStart w:id="1" w:name="_Toc15396597"/>
      <w:bookmarkStart w:id="2" w:name="_Toc15378441"/>
      <w:bookmarkStart w:id="3" w:name="_Toc15396475"/>
      <w:bookmarkStart w:id="4" w:name="_Toc15377193"/>
      <w:bookmarkStart w:id="5" w:name="_Toc15306267"/>
    </w:p>
    <w:p>
      <w:pPr>
        <w:spacing w:line="600" w:lineRule="exact"/>
        <w:jc w:val="center"/>
        <w:outlineLvl w:val="0"/>
        <w:rPr>
          <w:rFonts w:ascii="Times New Roman" w:eastAsia="方正小标宋简体" w:cs="Times New Roman" w:hAnsi="Times New Roman"/>
          <w:sz w:val="72"/>
          <w:szCs w:val="72"/>
        </w:rPr>
      </w:pPr>
    </w:p>
    <w:p>
      <w:pPr>
        <w:spacing w:line="600" w:lineRule="exact"/>
        <w:jc w:val="center"/>
        <w:outlineLvl w:val="0"/>
        <w:rPr>
          <w:rFonts w:ascii="Times New Roman" w:eastAsia="方正小标宋简体" w:cs="Times New Roman" w:hAnsi="Times New Roman"/>
          <w:sz w:val="72"/>
          <w:szCs w:val="72"/>
        </w:rPr>
      </w:pPr>
    </w:p>
    <w:p>
      <w:pPr>
        <w:spacing w:line="600" w:lineRule="exact"/>
        <w:jc w:val="center"/>
        <w:outlineLvl w:val="0"/>
        <w:rPr>
          <w:rFonts w:ascii="Times New Roman" w:eastAsia="方正小标宋简体" w:cs="Times New Roman" w:hAnsi="Times New Roman"/>
          <w:sz w:val="72"/>
          <w:szCs w:val="72"/>
        </w:rPr>
      </w:pPr>
    </w:p>
    <w:p>
      <w:pPr>
        <w:adjustRightInd w:val="0"/>
        <w:snapToGrid w:val="0"/>
        <w:spacing w:line="360" w:lineRule="auto"/>
        <w:jc w:val="center"/>
        <w:outlineLvl w:val="0"/>
        <w:rPr>
          <w:rFonts w:ascii="Times New Roman" w:eastAsia="方正小标宋简体" w:cs="Times New Roman" w:hAnsi="Times New Roman"/>
          <w:sz w:val="72"/>
          <w:szCs w:val="72"/>
        </w:rPr>
      </w:pPr>
      <w:bookmarkStart w:id="6" w:name="_Toc26843601"/>
      <w:r>
        <w:rPr>
          <w:rFonts w:ascii="Times New Roman" w:eastAsia="方正小标宋简体" w:cs="Times New Roman" w:hAnsi="Times New Roman"/>
          <w:sz w:val="72"/>
          <w:szCs w:val="72"/>
        </w:rPr>
        <w:t>202</w:t>
      </w:r>
      <w:r>
        <w:rPr>
          <w:rFonts w:eastAsia="方正小标宋简体" w:cs="Times New Roman" w:hint="eastAsia"/>
          <w:sz w:val="72"/>
          <w:szCs w:val="72"/>
          <w:lang w:val="en-US" w:eastAsia="zh-CN"/>
        </w:rPr>
        <w:t>2</w:t>
      </w:r>
      <w:r>
        <w:rPr>
          <w:rFonts w:ascii="Times New Roman" w:eastAsia="方正小标宋简体" w:cs="Times New Roman" w:hAnsi="Times New Roman"/>
          <w:sz w:val="72"/>
          <w:szCs w:val="72"/>
        </w:rPr>
        <w:t>年度</w:t>
      </w:r>
      <w:bookmarkEnd w:id="0"/>
      <w:bookmarkEnd w:id="1"/>
      <w:bookmarkEnd w:id="2"/>
      <w:bookmarkEnd w:id="3"/>
      <w:bookmarkEnd w:id="4"/>
      <w:bookmarkEnd w:id="6"/>
    </w:p>
    <w:p>
      <w:pPr>
        <w:adjustRightInd w:val="0"/>
        <w:snapToGrid w:val="0"/>
        <w:spacing w:line="360" w:lineRule="auto"/>
        <w:jc w:val="center"/>
        <w:outlineLvl w:val="0"/>
        <w:rPr>
          <w:rFonts w:eastAsia="方正小标宋简体" w:cs="Times New Roman" w:hint="eastAsia"/>
          <w:sz w:val="72"/>
          <w:szCs w:val="72"/>
          <w:lang w:eastAsia="zh-CN"/>
        </w:rPr>
      </w:pPr>
      <w:bookmarkStart w:id="7" w:name="_Toc15377194"/>
      <w:bookmarkStart w:id="8" w:name="_Toc15396476"/>
      <w:bookmarkStart w:id="9" w:name="_Toc26843603"/>
      <w:bookmarkStart w:id="10" w:name="_Toc15378442"/>
      <w:bookmarkStart w:id="11" w:name="_Toc15396598"/>
      <w:bookmarkStart w:id="12" w:name="_Toc15306268"/>
      <w:bookmarkStart w:id="13" w:name="_Toc15377426"/>
      <w:bookmarkEnd w:id="5"/>
      <w:r>
        <w:rPr>
          <w:rFonts w:eastAsia="方正小标宋简体" w:cs="Times New Roman" w:hint="eastAsia"/>
          <w:sz w:val="72"/>
          <w:szCs w:val="72"/>
          <w:lang w:eastAsia="zh-CN"/>
        </w:rPr>
        <w:t>金川县退役军人事务局</w:t>
      </w:r>
    </w:p>
    <w:p>
      <w:pPr>
        <w:adjustRightInd w:val="0"/>
        <w:snapToGrid w:val="0"/>
        <w:spacing w:line="360" w:lineRule="auto"/>
        <w:jc w:val="center"/>
        <w:outlineLvl w:val="0"/>
        <w:rPr>
          <w:rFonts w:ascii="Times New Roman" w:eastAsia="方正小标宋简体" w:cs="Times New Roman" w:hAnsi="Times New Roman"/>
          <w:sz w:val="72"/>
          <w:szCs w:val="72"/>
        </w:rPr>
      </w:pPr>
      <w:r>
        <w:rPr>
          <w:rFonts w:ascii="Times New Roman" w:eastAsia="方正小标宋简体" w:cs="Times New Roman" w:hAnsi="Times New Roman"/>
          <w:sz w:val="72"/>
          <w:szCs w:val="72"/>
        </w:rPr>
        <w:t>部门决算</w:t>
      </w:r>
      <w:bookmarkEnd w:id="7"/>
      <w:bookmarkEnd w:id="8"/>
      <w:bookmarkEnd w:id="9"/>
      <w:bookmarkEnd w:id="10"/>
      <w:bookmarkEnd w:id="11"/>
      <w:bookmarkEnd w:id="12"/>
      <w:bookmarkEnd w:id="13"/>
    </w:p>
    <w:p>
      <w:pPr>
        <w:pStyle w:val="16"/>
        <w:spacing w:beforeLines="0" w:before="93"/>
        <w:rPr>
          <w:rFonts w:ascii="Times New Roman" w:eastAsia="方正小标宋简体" w:cs="Times New Roman" w:hAnsi="Times New Roman"/>
          <w:sz w:val="52"/>
          <w:szCs w:val="52"/>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widowControl/>
        <w:jc w:val="center"/>
        <w:rPr>
          <w:rFonts w:ascii="Times New Roman" w:eastAsia="黑体" w:cs="Times New Roman" w:hAnsi="Times New Roman"/>
          <w:sz w:val="48"/>
          <w:szCs w:val="48"/>
        </w:rPr>
      </w:pPr>
      <w:r>
        <w:rPr>
          <w:rFonts w:ascii="Times New Roman" w:eastAsia="仿宋_GB2312" w:cs="Times New Roman" w:hAnsi="Times New Roman"/>
          <w:sz w:val="32"/>
          <w:szCs w:val="32"/>
        </w:rPr>
        <w:t>已经保密审查、内容审定，同意对外公开</w:t>
      </w:r>
      <w:r>
        <w:rPr>
          <w:rFonts w:ascii="Times New Roman" w:eastAsia="方正小标宋简体" w:cs="Times New Roman" w:hAnsi="Times New Roman"/>
          <w:sz w:val="36"/>
          <w:szCs w:val="36"/>
        </w:rPr>
        <w:br w:type="page"/>
      </w:r>
      <w:r>
        <w:rPr>
          <w:rFonts w:ascii="Times New Roman" w:eastAsia="黑体" w:cs="Times New Roman" w:hAnsi="Times New Roman"/>
          <w:sz w:val="48"/>
          <w:szCs w:val="48"/>
        </w:rPr>
        <w:t>目录</w:t>
      </w:r>
    </w:p>
    <w:p>
      <w:pPr>
        <w:widowControl/>
        <w:jc w:val="center"/>
        <w:rPr>
          <w:rFonts w:ascii="Times New Roman" w:eastAsia="黑体" w:cs="Times New Roman" w:hAnsi="Times New Roman"/>
          <w:sz w:val="28"/>
          <w:szCs w:val="28"/>
        </w:rPr>
      </w:pPr>
    </w:p>
    <w:p>
      <w:pPr>
        <w:pStyle w:val="23"/>
        <w:tabs>
          <w:tab w:val="right" w:leader="dot" w:pos="8296"/>
        </w:tabs>
        <w:rPr>
          <w:rFonts w:ascii="Times New Roman" w:cs="Times New Roman" w:hAnsi="Times New Roman"/>
        </w:rPr>
      </w:pPr>
      <w:r>
        <w:rPr>
          <w:rFonts w:ascii="Times New Roman" w:cs="Times New Roman" w:hAnsi="Times New Roman"/>
        </w:rPr>
        <w:t>公开时间：202</w:t>
      </w:r>
      <w:r>
        <w:rPr>
          <w:rFonts w:ascii="Times New Roman" w:cs="Times New Roman" w:hAnsi="Times New Roman" w:hint="eastAsia"/>
          <w:lang w:val="en-US" w:eastAsia="zh-CN"/>
        </w:rPr>
        <w:t>3</w:t>
      </w:r>
      <w:r>
        <w:rPr>
          <w:rFonts w:ascii="Times New Roman" w:cs="Times New Roman" w:hAnsi="Times New Roman"/>
        </w:rPr>
        <w:t>年</w:t>
      </w:r>
      <w:r>
        <w:rPr>
          <w:rFonts w:ascii="Times New Roman" w:cs="Times New Roman" w:hAnsi="Times New Roman" w:hint="eastAsia"/>
          <w:lang w:val="en-US" w:eastAsia="zh-CN"/>
        </w:rPr>
        <w:t>8</w:t>
      </w:r>
      <w:r>
        <w:rPr>
          <w:rFonts w:ascii="Times New Roman" w:cs="Times New Roman" w:hAnsi="Times New Roman"/>
        </w:rPr>
        <w:t>月2</w:t>
      </w:r>
      <w:r>
        <w:rPr>
          <w:rFonts w:ascii="Times New Roman" w:cs="Times New Roman" w:hAnsi="Times New Roman" w:hint="eastAsia"/>
          <w:lang w:val="en-US" w:eastAsia="zh-CN"/>
        </w:rPr>
        <w:t>5</w:t>
      </w:r>
      <w:r>
        <w:rPr>
          <w:rFonts w:ascii="Times New Roman" w:cs="Times New Roman" w:hAnsi="Times New Roman"/>
        </w:rPr>
        <w:t>日</w:t>
      </w:r>
    </w:p>
    <w:p>
      <w:pPr>
        <w:pStyle w:val="23"/>
        <w:tabs>
          <w:tab w:val="right" w:leader="dot" w:pos="8296"/>
        </w:tabs>
        <w:rPr>
          <w:rFonts w:ascii="Times New Roman" w:eastAsia="宋体" w:cs="Times New Roman" w:hAnsi="Times New Roman"/>
          <w:kern w:val="2"/>
          <w:sz w:val="24"/>
          <w:szCs w:val="24"/>
          <w:lang w:val="en-US"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 xml:space="preserve"> TOC \o "1-2" \h \u </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"_Toc26843604"</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第一部分 部门概况</w:t>
        <w:tab/>
      </w: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PageRef _Toc26843604 \h</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4</w:t>
      </w:r>
      <w:r>
        <w:rPr>
          <w:rFonts w:ascii="Times New Roman" w:eastAsia="宋体" w:cs="Times New Roman" w:hAnsi="Times New Roman"/>
          <w:kern w:val="2"/>
          <w:sz w:val="24"/>
          <w:szCs w:val="24"/>
          <w:lang w:val="en-US" w:eastAsia="zh-CN" w:bidi="ar-SA"/>
        </w:rPr>
        <w:fldChar w:fldCharType="end"/>
      </w:r>
      <w:r>
        <w:rPr>
          <w:rFonts w:ascii="Times New Roman" w:eastAsia="宋体" w:cs="Times New Roman" w:hAnsi="Times New Roman"/>
          <w:kern w:val="2"/>
          <w:sz w:val="24"/>
          <w:szCs w:val="24"/>
          <w:lang w:val="en-US" w:eastAsia="zh-CN" w:bidi="ar-SA"/>
        </w:rPr>
        <w:fldChar w:fldCharType="end"/>
      </w:r>
    </w:p>
    <w:p>
      <w:pPr>
        <w:pStyle w:val="25"/>
        <w:tabs>
          <w:tab w:val="right" w:leader="dot" w:pos="8296"/>
        </w:tabs>
        <w:adjustRightInd w:val="0"/>
        <w:snapToGrid w:val="0"/>
        <w:spacing w:line="440" w:lineRule="exact"/>
        <w:jc w:val="left"/>
        <w:rPr>
          <w:rFonts w:ascii="Times New Roman" w:eastAsia="宋体" w:cs="Times New Roman" w:hAnsi="Times New Roman"/>
          <w:kern w:val="2"/>
          <w:sz w:val="24"/>
          <w:szCs w:val="24"/>
          <w:lang w:val="en-US"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"_Toc26843605"</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一、基本职能及主要工作</w:t>
        <w:tab/>
      </w: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PageRef _Toc26843605 \h</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4</w:t>
      </w:r>
      <w:r>
        <w:rPr>
          <w:rFonts w:ascii="Times New Roman" w:eastAsia="宋体" w:cs="Times New Roman" w:hAnsi="Times New Roman"/>
          <w:kern w:val="2"/>
          <w:sz w:val="24"/>
          <w:szCs w:val="24"/>
          <w:lang w:val="en-US" w:eastAsia="zh-CN" w:bidi="ar-SA"/>
        </w:rPr>
        <w:fldChar w:fldCharType="end"/>
      </w:r>
      <w:r>
        <w:rPr>
          <w:rFonts w:ascii="Times New Roman" w:eastAsia="宋体" w:cs="Times New Roman" w:hAnsi="Times New Roman"/>
          <w:kern w:val="2"/>
          <w:sz w:val="24"/>
          <w:szCs w:val="24"/>
          <w:lang w:val="en-US" w:eastAsia="zh-CN" w:bidi="ar-SA"/>
        </w:rPr>
        <w:fldChar w:fldCharType="end"/>
      </w:r>
    </w:p>
    <w:p>
      <w:pPr>
        <w:pStyle w:val="25"/>
        <w:tabs>
          <w:tab w:val="right" w:leader="dot" w:pos="8296"/>
        </w:tabs>
        <w:adjustRightInd w:val="0"/>
        <w:snapToGrid w:val="0"/>
        <w:spacing w:line="440" w:lineRule="exact"/>
        <w:jc w:val="left"/>
        <w:rPr>
          <w:rFonts w:ascii="Times New Roman" w:eastAsia="宋体" w:cs="Times New Roman" w:hAnsi="Times New Roman"/>
          <w:kern w:val="2"/>
          <w:sz w:val="24"/>
          <w:szCs w:val="24"/>
          <w:lang w:val="en-US"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"_Toc26843606"</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二、机构设置</w:t>
        <w:tab/>
      </w:r>
      <w:r>
        <w:rPr>
          <w:rFonts w:ascii="Times New Roman" w:eastAsia="宋体" w:cs="Times New Roman" w:hAnsi="Times New Roman" w:hint="eastAsia"/>
          <w:kern w:val="2"/>
          <w:sz w:val="24"/>
          <w:szCs w:val="24"/>
          <w:lang w:val="en-US" w:eastAsia="zh-CN" w:bidi="ar-SA"/>
        </w:rPr>
        <w:t>8</w:t>
      </w:r>
      <w:r>
        <w:rPr>
          <w:rFonts w:ascii="Times New Roman" w:eastAsia="宋体" w:cs="Times New Roman" w:hAnsi="Times New Roman"/>
          <w:kern w:val="2"/>
          <w:sz w:val="24"/>
          <w:szCs w:val="24"/>
          <w:lang w:val="en-US" w:eastAsia="zh-CN" w:bidi="ar-SA"/>
        </w:rPr>
        <w:fldChar w:fldCharType="end"/>
      </w:r>
    </w:p>
    <w:p>
      <w:pPr>
        <w:pStyle w:val="23"/>
        <w:tabs>
          <w:tab w:val="right" w:leader="dot" w:pos="8296"/>
        </w:tabs>
        <w:adjustRightInd w:val="0"/>
        <w:snapToGrid w:val="0"/>
        <w:spacing w:before="0" w:line="440" w:lineRule="exact"/>
        <w:jc w:val="left"/>
        <w:rPr>
          <w:rFonts w:ascii="Times New Roman" w:eastAsia="宋体" w:cs="Times New Roman" w:hAnsi="Times New Roman"/>
          <w:kern w:val="2"/>
          <w:sz w:val="24"/>
          <w:szCs w:val="24"/>
          <w:lang w:val="en-US"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"_Toc26843607"</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第二部分 2021年度部门决算情况说明</w:t>
        <w:tab/>
      </w:r>
      <w:r>
        <w:rPr>
          <w:rFonts w:ascii="Times New Roman" w:eastAsia="宋体" w:cs="Times New Roman" w:hAnsi="Times New Roman" w:hint="eastAsia"/>
          <w:kern w:val="2"/>
          <w:sz w:val="24"/>
          <w:szCs w:val="24"/>
          <w:lang w:val="en-US" w:eastAsia="zh-CN" w:bidi="ar-SA"/>
        </w:rPr>
        <w:t>9</w:t>
      </w:r>
      <w:r>
        <w:rPr>
          <w:rFonts w:ascii="Times New Roman" w:eastAsia="宋体" w:cs="Times New Roman" w:hAnsi="Times New Roman"/>
          <w:kern w:val="2"/>
          <w:sz w:val="24"/>
          <w:szCs w:val="24"/>
          <w:lang w:val="en-US" w:eastAsia="zh-CN" w:bidi="ar-SA"/>
        </w:rPr>
        <w:fldChar w:fldCharType="end"/>
      </w:r>
    </w:p>
    <w:p>
      <w:pPr>
        <w:pStyle w:val="25"/>
        <w:tabs>
          <w:tab w:val="right" w:leader="dot" w:pos="8296"/>
        </w:tabs>
        <w:adjustRightInd w:val="0"/>
        <w:snapToGrid w:val="0"/>
        <w:spacing w:line="440" w:lineRule="exact"/>
        <w:jc w:val="left"/>
        <w:rPr>
          <w:rFonts w:ascii="Times New Roman" w:eastAsia="宋体" w:cs="Times New Roman" w:hAnsi="Times New Roman"/>
          <w:kern w:val="2"/>
          <w:sz w:val="24"/>
          <w:szCs w:val="24"/>
          <w:lang w:val="en-US"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"_Toc26843608"</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一、  收入支出决算总体情况说明</w:t>
        <w:tab/>
      </w:r>
      <w:r>
        <w:rPr>
          <w:rFonts w:ascii="Times New Roman" w:eastAsia="宋体" w:cs="Times New Roman" w:hAnsi="Times New Roman" w:hint="eastAsia"/>
          <w:kern w:val="2"/>
          <w:sz w:val="24"/>
          <w:szCs w:val="24"/>
          <w:lang w:val="en-US" w:eastAsia="zh-CN" w:bidi="ar-SA"/>
        </w:rPr>
        <w:t>9</w:t>
      </w:r>
      <w:r>
        <w:rPr>
          <w:rFonts w:ascii="Times New Roman" w:eastAsia="宋体" w:cs="Times New Roman" w:hAnsi="Times New Roman"/>
          <w:kern w:val="2"/>
          <w:sz w:val="24"/>
          <w:szCs w:val="24"/>
          <w:lang w:val="en-US" w:eastAsia="zh-CN" w:bidi="ar-SA"/>
        </w:rPr>
        <w:fldChar w:fldCharType="end"/>
      </w:r>
    </w:p>
    <w:p>
      <w:pPr>
        <w:pStyle w:val="25"/>
        <w:tabs>
          <w:tab w:val="right" w:leader="dot" w:pos="8296"/>
        </w:tabs>
        <w:adjustRightInd w:val="0"/>
        <w:snapToGrid w:val="0"/>
        <w:spacing w:line="440" w:lineRule="exact"/>
        <w:jc w:val="left"/>
        <w:rPr>
          <w:rFonts w:ascii="Times New Roman" w:eastAsia="宋体" w:cs="Times New Roman" w:hAnsi="Times New Roman"/>
          <w:kern w:val="2"/>
          <w:sz w:val="24"/>
          <w:szCs w:val="24"/>
          <w:lang w:val="en-US"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"_Toc26843609"</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二、  收入决算情况说明</w:t>
        <w:tab/>
      </w:r>
      <w:r>
        <w:rPr>
          <w:rFonts w:ascii="Times New Roman" w:eastAsia="宋体" w:cs="Times New Roman" w:hAnsi="Times New Roman" w:hint="eastAsia"/>
          <w:kern w:val="2"/>
          <w:sz w:val="24"/>
          <w:szCs w:val="24"/>
          <w:lang w:val="en-US" w:eastAsia="zh-CN" w:bidi="ar-SA"/>
        </w:rPr>
        <w:t>9</w:t>
      </w:r>
      <w:r>
        <w:rPr>
          <w:rFonts w:ascii="Times New Roman" w:eastAsia="宋体" w:cs="Times New Roman" w:hAnsi="Times New Roman"/>
          <w:kern w:val="2"/>
          <w:sz w:val="24"/>
          <w:szCs w:val="24"/>
          <w:lang w:val="en-US" w:eastAsia="zh-CN" w:bidi="ar-SA"/>
        </w:rPr>
        <w:fldChar w:fldCharType="end"/>
      </w:r>
    </w:p>
    <w:p>
      <w:pPr>
        <w:pStyle w:val="25"/>
        <w:tabs>
          <w:tab w:val="right" w:leader="dot" w:pos="8296"/>
        </w:tabs>
        <w:adjustRightInd w:val="0"/>
        <w:snapToGrid w:val="0"/>
        <w:spacing w:line="440" w:lineRule="exact"/>
        <w:jc w:val="left"/>
        <w:rPr>
          <w:rFonts w:ascii="Times New Roman" w:eastAsia="宋体" w:cs="Times New Roman" w:hAnsi="Times New Roman" w:hint="eastAsia"/>
          <w:kern w:val="2"/>
          <w:sz w:val="24"/>
          <w:szCs w:val="24"/>
          <w:lang w:val="en-US"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"_Toc26843612"</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三、  支出决算情况说明</w:t>
        <w:tab/>
      </w:r>
      <w:r>
        <w:rPr>
          <w:rFonts w:ascii="Times New Roman" w:eastAsia="宋体" w:cs="Times New Roman" w:hAnsi="Times New Roman" w:hint="eastAsia"/>
          <w:kern w:val="2"/>
          <w:sz w:val="24"/>
          <w:szCs w:val="24"/>
          <w:lang w:val="en-US" w:eastAsia="zh-CN" w:bidi="ar-SA"/>
        </w:rPr>
        <w:t>1</w:t>
      </w:r>
      <w:r>
        <w:rPr>
          <w:rFonts w:ascii="Times New Roman" w:eastAsia="宋体" w:cs="Times New Roman" w:hAnsi="Times New Roman"/>
          <w:kern w:val="2"/>
          <w:sz w:val="24"/>
          <w:szCs w:val="24"/>
          <w:lang w:val="en-US" w:eastAsia="zh-CN" w:bidi="ar-SA"/>
        </w:rPr>
        <w:fldChar w:fldCharType="end"/>
      </w:r>
      <w:r>
        <w:rPr>
          <w:rFonts w:ascii="Times New Roman" w:eastAsia="宋体" w:cs="Times New Roman" w:hAnsi="Times New Roman" w:hint="eastAsia"/>
          <w:kern w:val="2"/>
          <w:sz w:val="24"/>
          <w:szCs w:val="24"/>
          <w:lang w:val="en-US" w:eastAsia="zh-CN" w:bidi="ar-SA"/>
        </w:rPr>
        <w:t>0</w:t>
      </w:r>
    </w:p>
    <w:p>
      <w:pPr>
        <w:pStyle w:val="25"/>
        <w:tabs>
          <w:tab w:val="right" w:leader="dot" w:pos="8296"/>
        </w:tabs>
        <w:adjustRightInd w:val="0"/>
        <w:snapToGrid w:val="0"/>
        <w:spacing w:line="440" w:lineRule="exact"/>
        <w:jc w:val="left"/>
        <w:rPr>
          <w:rFonts w:ascii="Times New Roman" w:eastAsia="宋体" w:cs="Times New Roman" w:hAnsi="Times New Roman" w:hint="eastAsia"/>
          <w:kern w:val="2"/>
          <w:sz w:val="24"/>
          <w:szCs w:val="24"/>
          <w:lang w:val="en-US"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"_Toc26843615"</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四、财政拨款收入支出决算总体情况说明</w:t>
        <w:tab/>
      </w:r>
      <w:r>
        <w:rPr>
          <w:rFonts w:ascii="Times New Roman" w:eastAsia="宋体" w:cs="Times New Roman" w:hAnsi="Times New Roman" w:hint="eastAsia"/>
          <w:kern w:val="2"/>
          <w:sz w:val="24"/>
          <w:szCs w:val="24"/>
          <w:lang w:val="en-US" w:eastAsia="zh-CN" w:bidi="ar-SA"/>
        </w:rPr>
        <w:t>1</w:t>
      </w:r>
      <w:r>
        <w:rPr>
          <w:rFonts w:ascii="Times New Roman" w:eastAsia="宋体" w:cs="Times New Roman" w:hAnsi="Times New Roman"/>
          <w:kern w:val="2"/>
          <w:sz w:val="24"/>
          <w:szCs w:val="24"/>
          <w:lang w:val="en-US" w:eastAsia="zh-CN" w:bidi="ar-SA"/>
        </w:rPr>
        <w:fldChar w:fldCharType="end"/>
      </w:r>
      <w:r>
        <w:rPr>
          <w:rFonts w:ascii="Times New Roman" w:eastAsia="宋体" w:cs="Times New Roman" w:hAnsi="Times New Roman" w:hint="eastAsia"/>
          <w:kern w:val="2"/>
          <w:sz w:val="24"/>
          <w:szCs w:val="24"/>
          <w:lang w:val="en-US" w:eastAsia="zh-CN" w:bidi="ar-SA"/>
        </w:rPr>
        <w:t>1</w:t>
      </w:r>
    </w:p>
    <w:p>
      <w:pPr>
        <w:pStyle w:val="25"/>
        <w:tabs>
          <w:tab w:val="right" w:leader="dot" w:pos="8296"/>
        </w:tabs>
        <w:adjustRightInd w:val="0"/>
        <w:snapToGrid w:val="0"/>
        <w:spacing w:line="440" w:lineRule="exact"/>
        <w:jc w:val="left"/>
        <w:rPr>
          <w:rFonts w:ascii="Times New Roman" w:eastAsia="宋体" w:cs="Times New Roman" w:hAnsi="Times New Roman" w:hint="eastAsia"/>
          <w:kern w:val="2"/>
          <w:sz w:val="24"/>
          <w:szCs w:val="24"/>
          <w:lang w:val="en-US"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"_Toc26843616"</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五、一般公共预算财政拨款支出决算情况说明</w:t>
        <w:tab/>
      </w:r>
      <w:r>
        <w:rPr>
          <w:rFonts w:ascii="Times New Roman" w:eastAsia="宋体" w:cs="Times New Roman" w:hAnsi="Times New Roman" w:hint="eastAsia"/>
          <w:kern w:val="2"/>
          <w:sz w:val="24"/>
          <w:szCs w:val="24"/>
          <w:lang w:val="en-US" w:eastAsia="zh-CN" w:bidi="ar-SA"/>
        </w:rPr>
        <w:t>1</w:t>
      </w:r>
      <w:r>
        <w:rPr>
          <w:rFonts w:ascii="Times New Roman" w:eastAsia="宋体" w:cs="Times New Roman" w:hAnsi="Times New Roman"/>
          <w:kern w:val="2"/>
          <w:sz w:val="24"/>
          <w:szCs w:val="24"/>
          <w:lang w:val="en-US" w:eastAsia="zh-CN" w:bidi="ar-SA"/>
        </w:rPr>
        <w:fldChar w:fldCharType="end"/>
      </w:r>
      <w:r>
        <w:rPr>
          <w:rFonts w:ascii="Times New Roman" w:eastAsia="宋体" w:cs="Times New Roman" w:hAnsi="Times New Roman" w:hint="eastAsia"/>
          <w:kern w:val="2"/>
          <w:sz w:val="24"/>
          <w:szCs w:val="24"/>
          <w:lang w:val="en-US" w:eastAsia="zh-CN" w:bidi="ar-SA"/>
        </w:rPr>
        <w:t>1</w:t>
      </w:r>
    </w:p>
    <w:p>
      <w:pPr>
        <w:pStyle w:val="25"/>
        <w:tabs>
          <w:tab w:val="right" w:leader="dot" w:pos="8296"/>
        </w:tabs>
        <w:adjustRightInd w:val="0"/>
        <w:snapToGrid w:val="0"/>
        <w:spacing w:line="440" w:lineRule="exact"/>
        <w:jc w:val="left"/>
        <w:rPr>
          <w:rFonts w:ascii="Times New Roman" w:eastAsia="宋体" w:cs="Times New Roman" w:hAnsi="Times New Roman" w:hint="eastAsia"/>
          <w:kern w:val="2"/>
          <w:sz w:val="24"/>
          <w:szCs w:val="24"/>
          <w:lang w:val="en-US"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"_Toc26843617"</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六、一般公共预算财政拨款基本支出决算情况说明</w:t>
        <w:tab/>
      </w:r>
      <w:r>
        <w:rPr>
          <w:rFonts w:ascii="Times New Roman" w:eastAsia="宋体" w:cs="Times New Roman" w:hAnsi="Times New Roman" w:hint="eastAsia"/>
          <w:kern w:val="2"/>
          <w:sz w:val="24"/>
          <w:szCs w:val="24"/>
          <w:lang w:val="en-US" w:eastAsia="zh-CN" w:bidi="ar-SA"/>
        </w:rPr>
        <w:t>1</w:t>
      </w:r>
      <w:r>
        <w:rPr>
          <w:rFonts w:ascii="Times New Roman" w:eastAsia="宋体" w:cs="Times New Roman" w:hAnsi="Times New Roman"/>
          <w:kern w:val="2"/>
          <w:sz w:val="24"/>
          <w:szCs w:val="24"/>
          <w:lang w:val="en-US" w:eastAsia="zh-CN" w:bidi="ar-SA"/>
        </w:rPr>
        <w:fldChar w:fldCharType="end"/>
      </w:r>
      <w:r>
        <w:rPr>
          <w:rFonts w:ascii="Times New Roman" w:eastAsia="宋体" w:cs="Times New Roman" w:hAnsi="Times New Roman" w:hint="eastAsia"/>
          <w:kern w:val="2"/>
          <w:sz w:val="24"/>
          <w:szCs w:val="24"/>
          <w:lang w:val="en-US" w:eastAsia="zh-CN" w:bidi="ar-SA"/>
        </w:rPr>
        <w:t>4</w:t>
      </w:r>
    </w:p>
    <w:p>
      <w:pPr>
        <w:pStyle w:val="25"/>
        <w:tabs>
          <w:tab w:val="right" w:leader="dot" w:pos="8296"/>
        </w:tabs>
        <w:adjustRightInd w:val="0"/>
        <w:snapToGrid w:val="0"/>
        <w:spacing w:line="440" w:lineRule="exact"/>
        <w:jc w:val="left"/>
        <w:rPr>
          <w:rFonts w:ascii="Times New Roman" w:eastAsia="宋体" w:cs="Times New Roman" w:hAnsi="Times New Roman"/>
          <w:kern w:val="2"/>
          <w:sz w:val="24"/>
          <w:szCs w:val="24"/>
          <w:lang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"_Toc26843618"</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七、“三公”经费财政拨款支出决算情况说明</w:t>
        <w:tab/>
      </w:r>
      <w:r>
        <w:rPr>
          <w:rFonts w:ascii="Times New Roman" w:eastAsia="宋体" w:cs="Times New Roman" w:hAnsi="Times New Roman" w:hint="eastAsia"/>
          <w:kern w:val="2"/>
          <w:sz w:val="24"/>
          <w:szCs w:val="24"/>
          <w:lang w:val="en-US" w:eastAsia="zh-CN" w:bidi="ar-SA"/>
        </w:rPr>
        <w:t>1</w:t>
      </w:r>
      <w:r>
        <w:rPr>
          <w:rFonts w:ascii="Times New Roman" w:eastAsia="宋体" w:cs="Times New Roman" w:hAnsi="Times New Roman"/>
          <w:kern w:val="2"/>
          <w:sz w:val="24"/>
          <w:szCs w:val="24"/>
          <w:lang w:val="en-US" w:eastAsia="zh-CN" w:bidi="ar-SA"/>
        </w:rPr>
        <w:fldChar w:fldCharType="end"/>
      </w:r>
      <w:r>
        <w:rPr>
          <w:rFonts w:cs="Times New Roman"/>
          <w:kern w:val="2"/>
          <w:sz w:val="24"/>
          <w:szCs w:val="24"/>
          <w:lang w:eastAsia="zh-CN" w:bidi="ar-SA"/>
        </w:rPr>
        <w:t>6</w:t>
      </w:r>
    </w:p>
    <w:p>
      <w:pPr>
        <w:pStyle w:val="25"/>
        <w:tabs>
          <w:tab w:val="right" w:leader="dot" w:pos="8296"/>
        </w:tabs>
        <w:adjustRightInd w:val="0"/>
        <w:snapToGrid w:val="0"/>
        <w:spacing w:line="440" w:lineRule="exact"/>
        <w:jc w:val="left"/>
        <w:rPr>
          <w:rFonts w:ascii="Times New Roman" w:eastAsia="宋体" w:cs="Times New Roman" w:hAnsi="Times New Roman" w:hint="eastAsia"/>
          <w:kern w:val="2"/>
          <w:sz w:val="24"/>
          <w:szCs w:val="24"/>
          <w:lang w:val="en-US"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"_Toc26843619"</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八、政府性基金预算支出决算情况说明</w:t>
        <w:tab/>
      </w:r>
      <w:r>
        <w:rPr>
          <w:rFonts w:ascii="Times New Roman" w:eastAsia="宋体" w:cs="Times New Roman" w:hAnsi="Times New Roman" w:hint="eastAsia"/>
          <w:kern w:val="2"/>
          <w:sz w:val="24"/>
          <w:szCs w:val="24"/>
          <w:lang w:val="en-US" w:eastAsia="zh-CN" w:bidi="ar-SA"/>
        </w:rPr>
        <w:t>1</w:t>
      </w:r>
      <w:r>
        <w:rPr>
          <w:rFonts w:ascii="Times New Roman" w:eastAsia="宋体" w:cs="Times New Roman" w:hAnsi="Times New Roman"/>
          <w:kern w:val="2"/>
          <w:sz w:val="24"/>
          <w:szCs w:val="24"/>
          <w:lang w:val="en-US" w:eastAsia="zh-CN" w:bidi="ar-SA"/>
        </w:rPr>
        <w:fldChar w:fldCharType="end"/>
      </w:r>
      <w:r>
        <w:rPr>
          <w:rFonts w:ascii="Times New Roman" w:eastAsia="宋体" w:cs="Times New Roman" w:hAnsi="Times New Roman" w:hint="eastAsia"/>
          <w:kern w:val="2"/>
          <w:sz w:val="24"/>
          <w:szCs w:val="24"/>
          <w:lang w:val="en-US" w:eastAsia="zh-CN" w:bidi="ar-SA"/>
        </w:rPr>
        <w:t>8</w:t>
      </w:r>
    </w:p>
    <w:p>
      <w:pPr>
        <w:pStyle w:val="25"/>
        <w:tabs>
          <w:tab w:val="right" w:leader="dot" w:pos="8296"/>
        </w:tabs>
        <w:adjustRightInd w:val="0"/>
        <w:snapToGrid w:val="0"/>
        <w:spacing w:line="440" w:lineRule="exact"/>
        <w:jc w:val="left"/>
        <w:rPr>
          <w:rFonts w:ascii="Times New Roman" w:eastAsia="宋体" w:cs="Times New Roman" w:hAnsi="Times New Roman"/>
          <w:kern w:val="2"/>
          <w:sz w:val="24"/>
          <w:szCs w:val="24"/>
          <w:lang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"_Toc26843620"</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九、  国有资本经营预算支出决算情况说明</w:t>
        <w:tab/>
      </w:r>
      <w:r>
        <w:rPr>
          <w:rFonts w:ascii="Times New Roman" w:eastAsia="宋体" w:cs="Times New Roman" w:hAnsi="Times New Roman" w:hint="eastAsia"/>
          <w:kern w:val="2"/>
          <w:sz w:val="24"/>
          <w:szCs w:val="24"/>
          <w:lang w:val="en-US" w:eastAsia="zh-CN" w:bidi="ar-SA"/>
        </w:rPr>
        <w:t>1</w:t>
      </w:r>
      <w:r>
        <w:rPr>
          <w:rFonts w:ascii="Times New Roman" w:eastAsia="宋体" w:cs="Times New Roman" w:hAnsi="Times New Roman"/>
          <w:kern w:val="2"/>
          <w:sz w:val="24"/>
          <w:szCs w:val="24"/>
          <w:lang w:val="en-US" w:eastAsia="zh-CN" w:bidi="ar-SA"/>
        </w:rPr>
        <w:fldChar w:fldCharType="end"/>
      </w:r>
      <w:r>
        <w:rPr>
          <w:rFonts w:cs="Times New Roman"/>
          <w:kern w:val="2"/>
          <w:sz w:val="24"/>
          <w:szCs w:val="24"/>
          <w:lang w:eastAsia="zh-CN" w:bidi="ar-SA"/>
        </w:rPr>
        <w:t>8</w:t>
      </w:r>
    </w:p>
    <w:p>
      <w:pPr>
        <w:pStyle w:val="25"/>
        <w:tabs>
          <w:tab w:val="right" w:leader="dot" w:pos="8296"/>
        </w:tabs>
        <w:adjustRightInd w:val="0"/>
        <w:snapToGrid w:val="0"/>
        <w:spacing w:line="440" w:lineRule="exact"/>
        <w:jc w:val="left"/>
        <w:rPr>
          <w:rFonts w:ascii="Times New Roman" w:eastAsia="宋体" w:cs="Times New Roman" w:hAnsi="Times New Roman"/>
          <w:kern w:val="2"/>
          <w:sz w:val="24"/>
          <w:szCs w:val="24"/>
          <w:lang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"_Toc26843621"</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十、  其他重要事项的情况说明</w:t>
        <w:tab/>
      </w:r>
      <w:r>
        <w:rPr>
          <w:rFonts w:ascii="Times New Roman" w:eastAsia="宋体" w:cs="Times New Roman" w:hAnsi="Times New Roman" w:hint="eastAsia"/>
          <w:kern w:val="2"/>
          <w:sz w:val="24"/>
          <w:szCs w:val="24"/>
          <w:lang w:val="en-US" w:eastAsia="zh-CN" w:bidi="ar-SA"/>
        </w:rPr>
        <w:t>1</w:t>
      </w:r>
      <w:r>
        <w:rPr>
          <w:rFonts w:ascii="Times New Roman" w:eastAsia="宋体" w:cs="Times New Roman" w:hAnsi="Times New Roman"/>
          <w:kern w:val="2"/>
          <w:sz w:val="24"/>
          <w:szCs w:val="24"/>
          <w:lang w:val="en-US" w:eastAsia="zh-CN" w:bidi="ar-SA"/>
        </w:rPr>
        <w:fldChar w:fldCharType="end"/>
      </w:r>
      <w:r>
        <w:rPr>
          <w:rFonts w:cs="Times New Roman"/>
          <w:kern w:val="2"/>
          <w:sz w:val="24"/>
          <w:szCs w:val="24"/>
          <w:lang w:eastAsia="zh-CN" w:bidi="ar-SA"/>
        </w:rPr>
        <w:t>8</w:t>
      </w:r>
    </w:p>
    <w:p>
      <w:pPr>
        <w:pStyle w:val="23"/>
        <w:tabs>
          <w:tab w:val="right" w:leader="dot" w:pos="8296"/>
        </w:tabs>
        <w:adjustRightInd w:val="0"/>
        <w:snapToGrid w:val="0"/>
        <w:spacing w:before="0" w:line="440" w:lineRule="exact"/>
        <w:jc w:val="left"/>
        <w:rPr>
          <w:rFonts w:ascii="Times New Roman" w:eastAsia="宋体" w:cs="Times New Roman" w:hAnsi="Times New Roman"/>
          <w:kern w:val="2"/>
          <w:sz w:val="24"/>
          <w:szCs w:val="24"/>
          <w:lang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"_Toc26843622"</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第三部分  名词解释</w:t>
        <w:tab/>
      </w:r>
      <w:r>
        <w:rPr>
          <w:rFonts w:ascii="Times New Roman" w:eastAsia="宋体" w:cs="Times New Roman" w:hAnsi="Times New Roman" w:hint="eastAsia"/>
          <w:kern w:val="2"/>
          <w:sz w:val="24"/>
          <w:szCs w:val="24"/>
          <w:lang w:val="en-US" w:eastAsia="zh-CN" w:bidi="ar-SA"/>
        </w:rPr>
        <w:t>2</w:t>
      </w:r>
      <w:r>
        <w:rPr>
          <w:rFonts w:ascii="Times New Roman" w:eastAsia="宋体" w:cs="Times New Roman" w:hAnsi="Times New Roman"/>
          <w:kern w:val="2"/>
          <w:sz w:val="24"/>
          <w:szCs w:val="24"/>
          <w:lang w:val="en-US" w:eastAsia="zh-CN" w:bidi="ar-SA"/>
        </w:rPr>
        <w:fldChar w:fldCharType="end"/>
      </w:r>
      <w:r>
        <w:rPr>
          <w:rFonts w:ascii="Times New Roman" w:eastAsia="宋体" w:cs="Times New Roman" w:hAnsi="Times New Roman"/>
          <w:kern w:val="2"/>
          <w:sz w:val="24"/>
          <w:szCs w:val="24"/>
          <w:lang w:eastAsia="zh-CN" w:bidi="ar-SA"/>
        </w:rPr>
        <w:t>0</w:t>
      </w:r>
    </w:p>
    <w:p>
      <w:pPr>
        <w:pStyle w:val="23"/>
        <w:tabs>
          <w:tab w:val="right" w:leader="dot" w:pos="8296"/>
        </w:tabs>
        <w:adjustRightInd w:val="0"/>
        <w:snapToGrid w:val="0"/>
        <w:spacing w:before="0" w:line="440" w:lineRule="exact"/>
        <w:jc w:val="left"/>
        <w:rPr>
          <w:rFonts w:ascii="Times New Roman" w:eastAsia="宋体" w:cs="Times New Roman" w:hAnsi="Times New Roman"/>
          <w:kern w:val="2"/>
          <w:sz w:val="24"/>
          <w:szCs w:val="24"/>
          <w:lang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"_Toc26843623"</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第四部分 附件</w:t>
        <w:tab/>
      </w:r>
      <w:r>
        <w:rPr>
          <w:rFonts w:ascii="Times New Roman" w:eastAsia="宋体" w:cs="Times New Roman" w:hAnsi="Times New Roman" w:hint="eastAsia"/>
          <w:kern w:val="2"/>
          <w:sz w:val="24"/>
          <w:szCs w:val="24"/>
          <w:lang w:val="en-US" w:eastAsia="zh-CN" w:bidi="ar-SA"/>
        </w:rPr>
        <w:t>2</w:t>
      </w:r>
      <w:r>
        <w:rPr>
          <w:rFonts w:ascii="Times New Roman" w:eastAsia="宋体" w:cs="Times New Roman" w:hAnsi="Times New Roman"/>
          <w:kern w:val="2"/>
          <w:sz w:val="24"/>
          <w:szCs w:val="24"/>
          <w:lang w:val="en-US" w:eastAsia="zh-CN" w:bidi="ar-SA"/>
        </w:rPr>
        <w:fldChar w:fldCharType="end"/>
      </w:r>
      <w:r>
        <w:rPr>
          <w:rFonts w:ascii="Times New Roman" w:eastAsia="宋体" w:cs="Times New Roman" w:hAnsi="Times New Roman"/>
          <w:kern w:val="2"/>
          <w:sz w:val="24"/>
          <w:szCs w:val="24"/>
          <w:lang w:eastAsia="zh-CN" w:bidi="ar-SA"/>
        </w:rPr>
        <w:t>2</w:t>
      </w:r>
    </w:p>
    <w:p>
      <w:pPr>
        <w:pStyle w:val="23"/>
        <w:tabs>
          <w:tab w:val="right" w:leader="dot" w:pos="8296"/>
        </w:tabs>
        <w:adjustRightInd w:val="0"/>
        <w:snapToGrid w:val="0"/>
        <w:spacing w:before="0" w:line="440" w:lineRule="exact"/>
        <w:jc w:val="left"/>
        <w:rPr>
          <w:rFonts w:ascii="Times New Roman" w:eastAsia="宋体" w:cs="Times New Roman" w:hAnsi="Times New Roman"/>
          <w:kern w:val="2"/>
          <w:sz w:val="24"/>
          <w:szCs w:val="24"/>
          <w:lang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"_Toc26843625"</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第五部分 附表</w:t>
        <w:tab/>
      </w:r>
      <w:r>
        <w:rPr>
          <w:rFonts w:ascii="Times New Roman" w:eastAsia="宋体" w:cs="Times New Roman" w:hAnsi="Times New Roman" w:hint="eastAsia"/>
          <w:kern w:val="2"/>
          <w:sz w:val="24"/>
          <w:szCs w:val="24"/>
          <w:lang w:val="en-US" w:eastAsia="zh-CN" w:bidi="ar-SA"/>
        </w:rPr>
        <w:t>4</w:t>
      </w:r>
      <w:r>
        <w:rPr>
          <w:rFonts w:ascii="Times New Roman" w:eastAsia="宋体" w:cs="Times New Roman" w:hAnsi="Times New Roman"/>
          <w:kern w:val="2"/>
          <w:sz w:val="24"/>
          <w:szCs w:val="24"/>
          <w:lang w:val="en-US" w:eastAsia="zh-CN" w:bidi="ar-SA"/>
        </w:rPr>
        <w:fldChar w:fldCharType="end"/>
      </w:r>
      <w:r>
        <w:rPr>
          <w:rFonts w:ascii="Times New Roman" w:eastAsia="宋体" w:cs="Times New Roman" w:hAnsi="Times New Roman"/>
          <w:kern w:val="2"/>
          <w:sz w:val="24"/>
          <w:szCs w:val="24"/>
          <w:lang w:eastAsia="zh-CN" w:bidi="ar-SA"/>
        </w:rPr>
        <w:t>3</w:t>
      </w:r>
    </w:p>
    <w:p>
      <w:pPr>
        <w:pStyle w:val="25"/>
        <w:tabs>
          <w:tab w:val="right" w:leader="dot" w:pos="8296"/>
        </w:tabs>
        <w:adjustRightInd w:val="0"/>
        <w:snapToGrid w:val="0"/>
        <w:spacing w:line="440" w:lineRule="exact"/>
        <w:jc w:val="left"/>
        <w:rPr>
          <w:rFonts w:ascii="Times New Roman" w:eastAsia="宋体" w:cs="Times New Roman" w:hAnsi="Times New Roman"/>
          <w:kern w:val="2"/>
          <w:sz w:val="24"/>
          <w:szCs w:val="24"/>
          <w:lang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"_Toc26843626"</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一、收入支出决算总表</w:t>
        <w:tab/>
      </w:r>
      <w:r>
        <w:rPr>
          <w:rFonts w:ascii="Times New Roman" w:eastAsia="宋体" w:cs="Times New Roman" w:hAnsi="Times New Roman" w:hint="eastAsia"/>
          <w:kern w:val="2"/>
          <w:sz w:val="24"/>
          <w:szCs w:val="24"/>
          <w:lang w:val="en-US" w:eastAsia="zh-CN" w:bidi="ar-SA"/>
        </w:rPr>
        <w:t>4</w:t>
      </w:r>
      <w:r>
        <w:rPr>
          <w:rFonts w:ascii="Times New Roman" w:eastAsia="宋体" w:cs="Times New Roman" w:hAnsi="Times New Roman"/>
          <w:kern w:val="2"/>
          <w:sz w:val="24"/>
          <w:szCs w:val="24"/>
          <w:lang w:val="en-US" w:eastAsia="zh-CN" w:bidi="ar-SA"/>
        </w:rPr>
        <w:fldChar w:fldCharType="end"/>
      </w:r>
      <w:r>
        <w:rPr>
          <w:rFonts w:cs="Times New Roman"/>
          <w:kern w:val="2"/>
          <w:sz w:val="24"/>
          <w:szCs w:val="24"/>
          <w:lang w:eastAsia="zh-CN" w:bidi="ar-SA"/>
        </w:rPr>
        <w:t>3</w:t>
      </w:r>
    </w:p>
    <w:p>
      <w:pPr>
        <w:pStyle w:val="25"/>
        <w:tabs>
          <w:tab w:val="right" w:leader="dot" w:pos="8296"/>
        </w:tabs>
        <w:adjustRightInd w:val="0"/>
        <w:snapToGrid w:val="0"/>
        <w:spacing w:line="440" w:lineRule="exact"/>
        <w:jc w:val="left"/>
        <w:rPr>
          <w:rFonts w:ascii="Times New Roman" w:eastAsia="宋体" w:cs="Times New Roman" w:hAnsi="Times New Roman"/>
          <w:kern w:val="2"/>
          <w:sz w:val="24"/>
          <w:szCs w:val="24"/>
          <w:lang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"_Toc26843627"</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二、收入决算表</w:t>
        <w:tab/>
      </w:r>
      <w:r>
        <w:rPr>
          <w:rFonts w:ascii="Times New Roman" w:eastAsia="宋体" w:cs="Times New Roman" w:hAnsi="Times New Roman" w:hint="eastAsia"/>
          <w:kern w:val="2"/>
          <w:sz w:val="24"/>
          <w:szCs w:val="24"/>
          <w:lang w:val="en-US" w:eastAsia="zh-CN" w:bidi="ar-SA"/>
        </w:rPr>
        <w:t>4</w:t>
      </w:r>
      <w:r>
        <w:rPr>
          <w:rFonts w:ascii="Times New Roman" w:eastAsia="宋体" w:cs="Times New Roman" w:hAnsi="Times New Roman"/>
          <w:kern w:val="2"/>
          <w:sz w:val="24"/>
          <w:szCs w:val="24"/>
          <w:lang w:val="en-US" w:eastAsia="zh-CN" w:bidi="ar-SA"/>
        </w:rPr>
        <w:fldChar w:fldCharType="end"/>
      </w:r>
      <w:r>
        <w:rPr>
          <w:rFonts w:cs="Times New Roman"/>
          <w:kern w:val="2"/>
          <w:sz w:val="24"/>
          <w:szCs w:val="24"/>
          <w:lang w:eastAsia="zh-CN" w:bidi="ar-SA"/>
        </w:rPr>
        <w:t>3</w:t>
      </w:r>
    </w:p>
    <w:p>
      <w:pPr>
        <w:pStyle w:val="25"/>
        <w:tabs>
          <w:tab w:val="right" w:leader="dot" w:pos="8296"/>
        </w:tabs>
        <w:adjustRightInd w:val="0"/>
        <w:snapToGrid w:val="0"/>
        <w:spacing w:line="440" w:lineRule="exact"/>
        <w:jc w:val="left"/>
        <w:rPr>
          <w:rFonts w:ascii="Times New Roman" w:eastAsia="宋体" w:cs="Times New Roman" w:hAnsi="Times New Roman"/>
          <w:kern w:val="2"/>
          <w:sz w:val="24"/>
          <w:szCs w:val="24"/>
          <w:lang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"_Toc26843628"</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三、支出决算表</w:t>
        <w:tab/>
      </w:r>
      <w:r>
        <w:rPr>
          <w:rFonts w:ascii="Times New Roman" w:eastAsia="宋体" w:cs="Times New Roman" w:hAnsi="Times New Roman" w:hint="eastAsia"/>
          <w:kern w:val="2"/>
          <w:sz w:val="24"/>
          <w:szCs w:val="24"/>
          <w:lang w:val="en-US" w:eastAsia="zh-CN" w:bidi="ar-SA"/>
        </w:rPr>
        <w:t>4</w:t>
      </w:r>
      <w:r>
        <w:rPr>
          <w:rFonts w:ascii="Times New Roman" w:eastAsia="宋体" w:cs="Times New Roman" w:hAnsi="Times New Roman"/>
          <w:kern w:val="2"/>
          <w:sz w:val="24"/>
          <w:szCs w:val="24"/>
          <w:lang w:val="en-US" w:eastAsia="zh-CN" w:bidi="ar-SA"/>
        </w:rPr>
        <w:fldChar w:fldCharType="end"/>
      </w:r>
      <w:r>
        <w:rPr>
          <w:rFonts w:cs="Times New Roman"/>
          <w:kern w:val="2"/>
          <w:sz w:val="24"/>
          <w:szCs w:val="24"/>
          <w:lang w:eastAsia="zh-CN" w:bidi="ar-SA"/>
        </w:rPr>
        <w:t>3</w:t>
      </w:r>
    </w:p>
    <w:p>
      <w:pPr>
        <w:pStyle w:val="25"/>
        <w:tabs>
          <w:tab w:val="right" w:leader="dot" w:pos="8296"/>
        </w:tabs>
        <w:adjustRightInd w:val="0"/>
        <w:snapToGrid w:val="0"/>
        <w:spacing w:line="440" w:lineRule="exact"/>
        <w:jc w:val="left"/>
        <w:rPr>
          <w:rFonts w:ascii="Times New Roman" w:eastAsia="宋体" w:cs="Times New Roman" w:hAnsi="Times New Roman"/>
          <w:kern w:val="2"/>
          <w:sz w:val="24"/>
          <w:szCs w:val="24"/>
          <w:lang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"_Toc26843629"</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四、财政拨款收入支出决算总表</w:t>
        <w:tab/>
      </w:r>
      <w:r>
        <w:rPr>
          <w:rFonts w:ascii="Times New Roman" w:eastAsia="宋体" w:cs="Times New Roman" w:hAnsi="Times New Roman" w:hint="eastAsia"/>
          <w:kern w:val="2"/>
          <w:sz w:val="24"/>
          <w:szCs w:val="24"/>
          <w:lang w:val="en-US" w:eastAsia="zh-CN" w:bidi="ar-SA"/>
        </w:rPr>
        <w:t>4</w:t>
      </w:r>
      <w:r>
        <w:rPr>
          <w:rFonts w:ascii="Times New Roman" w:eastAsia="宋体" w:cs="Times New Roman" w:hAnsi="Times New Roman"/>
          <w:kern w:val="2"/>
          <w:sz w:val="24"/>
          <w:szCs w:val="24"/>
          <w:lang w:val="en-US" w:eastAsia="zh-CN" w:bidi="ar-SA"/>
        </w:rPr>
        <w:fldChar w:fldCharType="end"/>
      </w:r>
      <w:r>
        <w:rPr>
          <w:rFonts w:cs="Times New Roman"/>
          <w:kern w:val="2"/>
          <w:sz w:val="24"/>
          <w:szCs w:val="24"/>
          <w:lang w:eastAsia="zh-CN" w:bidi="ar-SA"/>
        </w:rPr>
        <w:t>3</w:t>
      </w:r>
    </w:p>
    <w:p>
      <w:pPr>
        <w:pStyle w:val="25"/>
        <w:tabs>
          <w:tab w:val="right" w:leader="dot" w:pos="8296"/>
        </w:tabs>
        <w:adjustRightInd w:val="0"/>
        <w:snapToGrid w:val="0"/>
        <w:spacing w:line="440" w:lineRule="exact"/>
        <w:jc w:val="left"/>
        <w:rPr>
          <w:rFonts w:ascii="Times New Roman" w:eastAsia="宋体" w:cs="Times New Roman" w:hAnsi="Times New Roman"/>
          <w:kern w:val="2"/>
          <w:sz w:val="24"/>
          <w:szCs w:val="24"/>
          <w:lang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"_Toc26843630"</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五、财政拨款支出决算明细表</w:t>
        <w:tab/>
      </w:r>
      <w:r>
        <w:rPr>
          <w:rFonts w:ascii="Times New Roman" w:eastAsia="宋体" w:cs="Times New Roman" w:hAnsi="Times New Roman" w:hint="eastAsia"/>
          <w:kern w:val="2"/>
          <w:sz w:val="24"/>
          <w:szCs w:val="24"/>
          <w:lang w:val="en-US" w:eastAsia="zh-CN" w:bidi="ar-SA"/>
        </w:rPr>
        <w:t>4</w:t>
      </w:r>
      <w:r>
        <w:rPr>
          <w:rFonts w:ascii="Times New Roman" w:eastAsia="宋体" w:cs="Times New Roman" w:hAnsi="Times New Roman"/>
          <w:kern w:val="2"/>
          <w:sz w:val="24"/>
          <w:szCs w:val="24"/>
          <w:lang w:val="en-US" w:eastAsia="zh-CN" w:bidi="ar-SA"/>
        </w:rPr>
        <w:fldChar w:fldCharType="end"/>
      </w:r>
      <w:r>
        <w:rPr>
          <w:rFonts w:cs="Times New Roman"/>
          <w:kern w:val="2"/>
          <w:sz w:val="24"/>
          <w:szCs w:val="24"/>
          <w:lang w:eastAsia="zh-CN" w:bidi="ar-SA"/>
        </w:rPr>
        <w:t>3</w:t>
      </w:r>
    </w:p>
    <w:p>
      <w:pPr>
        <w:pStyle w:val="25"/>
        <w:tabs>
          <w:tab w:val="right" w:leader="dot" w:pos="8296"/>
        </w:tabs>
        <w:adjustRightInd w:val="0"/>
        <w:snapToGrid w:val="0"/>
        <w:spacing w:line="440" w:lineRule="exact"/>
        <w:jc w:val="left"/>
        <w:rPr>
          <w:rFonts w:ascii="Times New Roman" w:eastAsia="宋体" w:cs="Times New Roman" w:hAnsi="Times New Roman"/>
          <w:kern w:val="2"/>
          <w:sz w:val="24"/>
          <w:szCs w:val="24"/>
          <w:lang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"_Toc26843631"</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六、一般公共预算财政拨款支出决算表</w:t>
        <w:tab/>
      </w:r>
      <w:r>
        <w:rPr>
          <w:rFonts w:ascii="Times New Roman" w:eastAsia="宋体" w:cs="Times New Roman" w:hAnsi="Times New Roman" w:hint="eastAsia"/>
          <w:kern w:val="2"/>
          <w:sz w:val="24"/>
          <w:szCs w:val="24"/>
          <w:lang w:val="en-US" w:eastAsia="zh-CN" w:bidi="ar-SA"/>
        </w:rPr>
        <w:t>4</w:t>
      </w:r>
      <w:r>
        <w:rPr>
          <w:rFonts w:ascii="Times New Roman" w:eastAsia="宋体" w:cs="Times New Roman" w:hAnsi="Times New Roman"/>
          <w:kern w:val="2"/>
          <w:sz w:val="24"/>
          <w:szCs w:val="24"/>
          <w:lang w:val="en-US" w:eastAsia="zh-CN" w:bidi="ar-SA"/>
        </w:rPr>
        <w:fldChar w:fldCharType="end"/>
      </w:r>
      <w:r>
        <w:rPr>
          <w:rFonts w:cs="Times New Roman"/>
          <w:kern w:val="2"/>
          <w:sz w:val="24"/>
          <w:szCs w:val="24"/>
          <w:lang w:eastAsia="zh-CN" w:bidi="ar-SA"/>
        </w:rPr>
        <w:t>3</w:t>
      </w:r>
    </w:p>
    <w:p>
      <w:pPr>
        <w:pStyle w:val="25"/>
        <w:tabs>
          <w:tab w:val="right" w:leader="dot" w:pos="8296"/>
        </w:tabs>
        <w:adjustRightInd w:val="0"/>
        <w:snapToGrid w:val="0"/>
        <w:spacing w:line="440" w:lineRule="exact"/>
        <w:jc w:val="left"/>
        <w:rPr>
          <w:rFonts w:ascii="Times New Roman" w:eastAsia="宋体" w:cs="Times New Roman" w:hAnsi="Times New Roman"/>
          <w:kern w:val="2"/>
          <w:sz w:val="24"/>
          <w:szCs w:val="24"/>
          <w:lang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"_Toc26843632"</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七、一般公共预算财政拨款支出决算明细表</w:t>
        <w:tab/>
      </w:r>
      <w:r>
        <w:rPr>
          <w:rFonts w:ascii="Times New Roman" w:eastAsia="宋体" w:cs="Times New Roman" w:hAnsi="Times New Roman" w:hint="eastAsia"/>
          <w:kern w:val="2"/>
          <w:sz w:val="24"/>
          <w:szCs w:val="24"/>
          <w:lang w:val="en-US" w:eastAsia="zh-CN" w:bidi="ar-SA"/>
        </w:rPr>
        <w:t>4</w:t>
      </w:r>
      <w:r>
        <w:rPr>
          <w:rFonts w:ascii="Times New Roman" w:eastAsia="宋体" w:cs="Times New Roman" w:hAnsi="Times New Roman"/>
          <w:kern w:val="2"/>
          <w:sz w:val="24"/>
          <w:szCs w:val="24"/>
          <w:lang w:val="en-US" w:eastAsia="zh-CN" w:bidi="ar-SA"/>
        </w:rPr>
        <w:fldChar w:fldCharType="end"/>
      </w:r>
      <w:r>
        <w:rPr>
          <w:rFonts w:cs="Times New Roman"/>
          <w:kern w:val="2"/>
          <w:sz w:val="24"/>
          <w:szCs w:val="24"/>
          <w:lang w:eastAsia="zh-CN" w:bidi="ar-SA"/>
        </w:rPr>
        <w:t>3</w:t>
      </w:r>
    </w:p>
    <w:p>
      <w:pPr>
        <w:pStyle w:val="25"/>
        <w:tabs>
          <w:tab w:val="right" w:leader="dot" w:pos="8296"/>
        </w:tabs>
        <w:adjustRightInd w:val="0"/>
        <w:snapToGrid w:val="0"/>
        <w:spacing w:line="440" w:lineRule="exact"/>
        <w:jc w:val="left"/>
        <w:rPr>
          <w:rFonts w:ascii="Times New Roman" w:eastAsia="宋体" w:cs="Times New Roman" w:hAnsi="Times New Roman"/>
          <w:kern w:val="2"/>
          <w:sz w:val="24"/>
          <w:szCs w:val="24"/>
          <w:lang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"_Toc26843633"</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八、一般公共预算财政拨款基本支出决算表</w:t>
        <w:tab/>
      </w:r>
      <w:r>
        <w:rPr>
          <w:rFonts w:ascii="Times New Roman" w:eastAsia="宋体" w:cs="Times New Roman" w:hAnsi="Times New Roman" w:hint="eastAsia"/>
          <w:kern w:val="2"/>
          <w:sz w:val="24"/>
          <w:szCs w:val="24"/>
          <w:lang w:val="en-US" w:eastAsia="zh-CN" w:bidi="ar-SA"/>
        </w:rPr>
        <w:t>4</w:t>
      </w:r>
      <w:r>
        <w:rPr>
          <w:rFonts w:ascii="Times New Roman" w:eastAsia="宋体" w:cs="Times New Roman" w:hAnsi="Times New Roman"/>
          <w:kern w:val="2"/>
          <w:sz w:val="24"/>
          <w:szCs w:val="24"/>
          <w:lang w:val="en-US" w:eastAsia="zh-CN" w:bidi="ar-SA"/>
        </w:rPr>
        <w:fldChar w:fldCharType="end"/>
      </w:r>
      <w:r>
        <w:rPr>
          <w:rFonts w:cs="Times New Roman"/>
          <w:kern w:val="2"/>
          <w:sz w:val="24"/>
          <w:szCs w:val="24"/>
          <w:lang w:eastAsia="zh-CN" w:bidi="ar-SA"/>
        </w:rPr>
        <w:t>3</w:t>
      </w:r>
    </w:p>
    <w:p>
      <w:pPr>
        <w:pStyle w:val="25"/>
        <w:tabs>
          <w:tab w:val="right" w:leader="dot" w:pos="8296"/>
        </w:tabs>
        <w:adjustRightInd w:val="0"/>
        <w:snapToGrid w:val="0"/>
        <w:spacing w:line="440" w:lineRule="exact"/>
        <w:jc w:val="left"/>
        <w:rPr>
          <w:rFonts w:ascii="Times New Roman" w:eastAsia="宋体" w:cs="Times New Roman" w:hAnsi="Times New Roman"/>
          <w:kern w:val="2"/>
          <w:sz w:val="24"/>
          <w:szCs w:val="24"/>
          <w:lang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"_Toc26843634"</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九、一般公共预算财政拨款项目支出决算表</w:t>
        <w:tab/>
      </w:r>
      <w:r>
        <w:rPr>
          <w:rFonts w:ascii="Times New Roman" w:eastAsia="宋体" w:cs="Times New Roman" w:hAnsi="Times New Roman" w:hint="eastAsia"/>
          <w:kern w:val="2"/>
          <w:sz w:val="24"/>
          <w:szCs w:val="24"/>
          <w:lang w:val="en-US" w:eastAsia="zh-CN" w:bidi="ar-SA"/>
        </w:rPr>
        <w:t>4</w:t>
      </w:r>
      <w:r>
        <w:rPr>
          <w:rFonts w:ascii="Times New Roman" w:eastAsia="宋体" w:cs="Times New Roman" w:hAnsi="Times New Roman"/>
          <w:kern w:val="2"/>
          <w:sz w:val="24"/>
          <w:szCs w:val="24"/>
          <w:lang w:val="en-US" w:eastAsia="zh-CN" w:bidi="ar-SA"/>
        </w:rPr>
        <w:fldChar w:fldCharType="end"/>
      </w:r>
      <w:r>
        <w:rPr>
          <w:rFonts w:cs="Times New Roman"/>
          <w:kern w:val="2"/>
          <w:sz w:val="24"/>
          <w:szCs w:val="24"/>
          <w:lang w:eastAsia="zh-CN" w:bidi="ar-SA"/>
        </w:rPr>
        <w:t>3</w:t>
      </w:r>
    </w:p>
    <w:p>
      <w:pPr>
        <w:pStyle w:val="25"/>
        <w:tabs>
          <w:tab w:val="right" w:leader="dot" w:pos="8296"/>
        </w:tabs>
        <w:adjustRightInd w:val="0"/>
        <w:snapToGrid w:val="0"/>
        <w:spacing w:line="440" w:lineRule="exact"/>
        <w:jc w:val="left"/>
        <w:rPr>
          <w:rFonts w:ascii="Times New Roman" w:eastAsia="宋体" w:cs="Times New Roman" w:hAnsi="Times New Roman"/>
          <w:kern w:val="2"/>
          <w:sz w:val="24"/>
          <w:szCs w:val="24"/>
          <w:lang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"_Toc26843636"</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十、政府性基金预算财政拨款收入支出决算表</w:t>
        <w:tab/>
      </w:r>
      <w:r>
        <w:rPr>
          <w:rFonts w:ascii="Times New Roman" w:eastAsia="宋体" w:cs="Times New Roman" w:hAnsi="Times New Roman" w:hint="eastAsia"/>
          <w:kern w:val="2"/>
          <w:sz w:val="24"/>
          <w:szCs w:val="24"/>
          <w:lang w:val="en-US" w:eastAsia="zh-CN" w:bidi="ar-SA"/>
        </w:rPr>
        <w:t>4</w:t>
      </w:r>
      <w:r>
        <w:rPr>
          <w:rFonts w:ascii="Times New Roman" w:eastAsia="宋体" w:cs="Times New Roman" w:hAnsi="Times New Roman"/>
          <w:kern w:val="2"/>
          <w:sz w:val="24"/>
          <w:szCs w:val="24"/>
          <w:lang w:val="en-US" w:eastAsia="zh-CN" w:bidi="ar-SA"/>
        </w:rPr>
        <w:fldChar w:fldCharType="end"/>
      </w:r>
      <w:r>
        <w:rPr>
          <w:rFonts w:cs="Times New Roman"/>
          <w:kern w:val="2"/>
          <w:sz w:val="24"/>
          <w:szCs w:val="24"/>
          <w:lang w:eastAsia="zh-CN" w:bidi="ar-SA"/>
        </w:rPr>
        <w:t>3</w:t>
      </w:r>
    </w:p>
    <w:p>
      <w:pPr>
        <w:pStyle w:val="25"/>
        <w:tabs>
          <w:tab w:val="right" w:leader="dot" w:pos="8296"/>
        </w:tabs>
        <w:adjustRightInd w:val="0"/>
        <w:snapToGrid w:val="0"/>
        <w:spacing w:line="440" w:lineRule="exact"/>
        <w:jc w:val="left"/>
        <w:rPr>
          <w:rFonts w:ascii="Times New Roman" w:eastAsia="宋体" w:cs="Times New Roman" w:hAnsi="Times New Roman"/>
          <w:kern w:val="2"/>
          <w:sz w:val="24"/>
          <w:szCs w:val="24"/>
          <w:lang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"_Toc26843637"</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十</w:t>
      </w:r>
      <w:r>
        <w:rPr>
          <w:rFonts w:ascii="Times New Roman" w:eastAsia="宋体" w:cs="Times New Roman" w:hAnsi="Times New Roman" w:hint="eastAsia"/>
          <w:kern w:val="2"/>
          <w:sz w:val="24"/>
          <w:szCs w:val="24"/>
          <w:lang w:val="en-US" w:eastAsia="zh-CN" w:bidi="ar-SA"/>
        </w:rPr>
        <w:t>一</w:t>
      </w:r>
      <w:r>
        <w:rPr>
          <w:rFonts w:ascii="Times New Roman" w:eastAsia="宋体" w:cs="Times New Roman" w:hAnsi="Times New Roman"/>
          <w:kern w:val="2"/>
          <w:sz w:val="24"/>
          <w:szCs w:val="24"/>
          <w:lang w:val="en-US" w:eastAsia="zh-CN" w:bidi="ar-SA"/>
        </w:rPr>
        <w:t>、财政拨款“三公”经费支出决算表</w:t>
        <w:tab/>
      </w:r>
      <w:r>
        <w:rPr>
          <w:rFonts w:ascii="Times New Roman" w:eastAsia="宋体" w:cs="Times New Roman" w:hAnsi="Times New Roman" w:hint="eastAsia"/>
          <w:kern w:val="2"/>
          <w:sz w:val="24"/>
          <w:szCs w:val="24"/>
          <w:lang w:val="en-US" w:eastAsia="zh-CN" w:bidi="ar-SA"/>
        </w:rPr>
        <w:t>4</w:t>
      </w:r>
      <w:r>
        <w:rPr>
          <w:rFonts w:ascii="Times New Roman" w:eastAsia="宋体" w:cs="Times New Roman" w:hAnsi="Times New Roman"/>
          <w:kern w:val="2"/>
          <w:sz w:val="24"/>
          <w:szCs w:val="24"/>
          <w:lang w:val="en-US" w:eastAsia="zh-CN" w:bidi="ar-SA"/>
        </w:rPr>
        <w:fldChar w:fldCharType="end"/>
      </w:r>
      <w:r>
        <w:rPr>
          <w:rFonts w:cs="Times New Roman"/>
          <w:kern w:val="2"/>
          <w:sz w:val="24"/>
          <w:szCs w:val="24"/>
          <w:lang w:eastAsia="zh-CN" w:bidi="ar-SA"/>
        </w:rPr>
        <w:t>3</w:t>
      </w:r>
    </w:p>
    <w:p>
      <w:pPr>
        <w:pStyle w:val="25"/>
        <w:tabs>
          <w:tab w:val="right" w:leader="dot" w:pos="8296"/>
        </w:tabs>
        <w:adjustRightInd w:val="0"/>
        <w:snapToGrid w:val="0"/>
        <w:spacing w:line="440" w:lineRule="exact"/>
        <w:jc w:val="left"/>
        <w:rPr>
          <w:rFonts w:ascii="Times New Roman" w:eastAsia="宋体" w:cs="Times New Roman" w:hAnsi="Times New Roman"/>
          <w:kern w:val="2"/>
          <w:sz w:val="24"/>
          <w:szCs w:val="24"/>
          <w:lang w:eastAsia="zh-CN" w:bidi="ar-SA"/>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"_Toc26843638"</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十</w:t>
      </w:r>
      <w:r>
        <w:rPr>
          <w:rFonts w:ascii="Times New Roman" w:eastAsia="宋体" w:cs="Times New Roman" w:hAnsi="Times New Roman" w:hint="eastAsia"/>
          <w:kern w:val="2"/>
          <w:sz w:val="24"/>
          <w:szCs w:val="24"/>
          <w:lang w:val="en-US" w:eastAsia="zh-CN" w:bidi="ar-SA"/>
        </w:rPr>
        <w:t>二</w:t>
      </w:r>
      <w:r>
        <w:rPr>
          <w:rFonts w:ascii="Times New Roman" w:eastAsia="宋体" w:cs="Times New Roman" w:hAnsi="Times New Roman"/>
          <w:kern w:val="2"/>
          <w:sz w:val="24"/>
          <w:szCs w:val="24"/>
          <w:lang w:val="en-US" w:eastAsia="zh-CN" w:bidi="ar-SA"/>
        </w:rPr>
        <w:t>、国有资本经营预算财政拨款收入支出决算表</w:t>
        <w:tab/>
      </w:r>
      <w:r>
        <w:rPr>
          <w:rFonts w:ascii="Times New Roman" w:eastAsia="宋体" w:cs="Times New Roman" w:hAnsi="Times New Roman" w:hint="eastAsia"/>
          <w:kern w:val="2"/>
          <w:sz w:val="24"/>
          <w:szCs w:val="24"/>
          <w:lang w:val="en-US" w:eastAsia="zh-CN" w:bidi="ar-SA"/>
        </w:rPr>
        <w:t>4</w:t>
      </w:r>
      <w:r>
        <w:rPr>
          <w:rFonts w:ascii="Times New Roman" w:eastAsia="宋体" w:cs="Times New Roman" w:hAnsi="Times New Roman"/>
          <w:kern w:val="2"/>
          <w:sz w:val="24"/>
          <w:szCs w:val="24"/>
          <w:lang w:val="en-US" w:eastAsia="zh-CN" w:bidi="ar-SA"/>
        </w:rPr>
        <w:fldChar w:fldCharType="end"/>
      </w:r>
      <w:r>
        <w:rPr>
          <w:rFonts w:cs="Times New Roman"/>
          <w:kern w:val="2"/>
          <w:sz w:val="24"/>
          <w:szCs w:val="24"/>
          <w:lang w:eastAsia="zh-CN" w:bidi="ar-SA"/>
        </w:rPr>
        <w:t>3</w:t>
      </w:r>
    </w:p>
    <w:p>
      <w:pPr>
        <w:pStyle w:val="25"/>
        <w:tabs>
          <w:tab w:val="right" w:leader="dot" w:pos="8296"/>
        </w:tabs>
        <w:adjustRightInd w:val="0"/>
        <w:snapToGrid w:val="0"/>
        <w:spacing w:line="440" w:lineRule="exact"/>
        <w:jc w:val="left"/>
        <w:rPr>
          <w:rFonts w:cs="Times New Roman"/>
          <w:lang w:eastAsia="zh-CN"/>
        </w:rPr>
      </w:pPr>
      <w:r>
        <w:rPr>
          <w:rFonts w:ascii="Times New Roman" w:eastAsia="宋体" w:cs="Times New Roman" w:hAnsi="Times New Roman"/>
          <w:kern w:val="2"/>
          <w:sz w:val="24"/>
          <w:szCs w:val="24"/>
          <w:lang w:val="en-US" w:eastAsia="zh-CN" w:bidi="ar-SA"/>
        </w:rPr>
        <w:fldChar w:fldCharType="begin"/>
      </w:r>
      <w:r>
        <w:rPr>
          <w:rFonts w:ascii="Times New Roman" w:eastAsia="宋体" w:cs="Times New Roman" w:hAnsi="Times New Roman"/>
          <w:kern w:val="2"/>
          <w:sz w:val="24"/>
          <w:szCs w:val="24"/>
          <w:lang w:val="en-US" w:eastAsia="zh-CN" w:bidi="ar-SA"/>
        </w:rPr>
        <w:instrText>Hyperlink \l "_Toc26843639"</w:instrText>
      </w:r>
      <w:r>
        <w:rPr>
          <w:rFonts w:ascii="Times New Roman" w:eastAsia="宋体" w:cs="Times New Roman" w:hAnsi="Times New Roman"/>
          <w:kern w:val="2"/>
          <w:sz w:val="24"/>
          <w:szCs w:val="24"/>
          <w:lang w:val="en-US" w:eastAsia="zh-CN" w:bidi="ar-SA"/>
        </w:rPr>
        <w:fldChar w:fldCharType="separate"/>
      </w:r>
      <w:r>
        <w:rPr>
          <w:rFonts w:ascii="Times New Roman" w:eastAsia="宋体" w:cs="Times New Roman" w:hAnsi="Times New Roman"/>
          <w:kern w:val="2"/>
          <w:sz w:val="24"/>
          <w:szCs w:val="24"/>
          <w:lang w:val="en-US" w:eastAsia="zh-CN" w:bidi="ar-SA"/>
        </w:rPr>
        <w:t>十</w:t>
      </w:r>
      <w:r>
        <w:rPr>
          <w:rFonts w:ascii="Times New Roman" w:eastAsia="宋体" w:cs="Times New Roman" w:hAnsi="Times New Roman" w:hint="eastAsia"/>
          <w:kern w:val="2"/>
          <w:sz w:val="24"/>
          <w:szCs w:val="24"/>
          <w:lang w:val="en-US" w:eastAsia="zh-CN" w:bidi="ar-SA"/>
        </w:rPr>
        <w:t>三</w:t>
      </w:r>
      <w:r>
        <w:rPr>
          <w:rFonts w:ascii="Times New Roman" w:eastAsia="宋体" w:cs="Times New Roman" w:hAnsi="Times New Roman"/>
          <w:kern w:val="2"/>
          <w:sz w:val="24"/>
          <w:szCs w:val="24"/>
          <w:lang w:val="en-US" w:eastAsia="zh-CN" w:bidi="ar-SA"/>
        </w:rPr>
        <w:t>、国有资本经营预算财政拨款支出决算表</w:t>
        <w:tab/>
      </w:r>
      <w:r>
        <w:rPr>
          <w:rFonts w:ascii="Times New Roman" w:eastAsia="宋体" w:cs="Times New Roman" w:hAnsi="Times New Roman" w:hint="eastAsia"/>
          <w:kern w:val="2"/>
          <w:sz w:val="24"/>
          <w:szCs w:val="24"/>
          <w:lang w:val="en-US" w:eastAsia="zh-CN" w:bidi="ar-SA"/>
        </w:rPr>
        <w:t>4</w:t>
      </w:r>
      <w:r>
        <w:rPr>
          <w:rFonts w:ascii="Times New Roman" w:eastAsia="宋体" w:cs="Times New Roman" w:hAnsi="Times New Roman"/>
          <w:kern w:val="2"/>
          <w:sz w:val="24"/>
          <w:szCs w:val="24"/>
          <w:lang w:val="en-US" w:eastAsia="zh-CN" w:bidi="ar-SA"/>
        </w:rPr>
        <w:fldChar w:fldCharType="end"/>
      </w:r>
      <w:r>
        <w:rPr>
          <w:rFonts w:ascii="Times New Roman" w:eastAsia="宋体" w:cs="Times New Roman" w:hAnsi="Times New Roman"/>
          <w:kern w:val="2"/>
          <w:sz w:val="24"/>
          <w:szCs w:val="24"/>
          <w:lang w:val="en-US" w:eastAsia="zh-CN" w:bidi="ar-SA"/>
        </w:rPr>
        <w:fldChar w:fldCharType="end"/>
      </w:r>
      <w:r>
        <w:rPr>
          <w:rFonts w:cs="Times New Roman"/>
          <w:kern w:val="2"/>
          <w:sz w:val="24"/>
          <w:szCs w:val="24"/>
          <w:lang w:eastAsia="zh-CN" w:bidi="ar-SA"/>
        </w:rPr>
        <w:t>3</w:t>
      </w:r>
    </w:p>
    <w:p>
      <w:pPr>
        <w:pStyle w:val="25"/>
        <w:tabs>
          <w:tab w:val="right" w:leader="dot" w:pos="8296"/>
        </w:tabs>
        <w:adjustRightInd w:val="0"/>
        <w:snapToGrid w:val="0"/>
        <w:spacing w:line="440" w:lineRule="exact"/>
        <w:ind w:leftChars="0" w:left="0" w:firstLineChars="200" w:firstLine="420"/>
        <w:jc w:val="left"/>
        <w:rPr>
          <w:rFonts w:ascii="Times New Roman" w:eastAsia="宋体" w:cs="Times New Roman" w:hAnsi="Times New Roman" w:hint="eastAsia"/>
          <w:sz w:val="24"/>
          <w:lang w:val="en-US" w:eastAsia="zh-CN"/>
        </w:rPr>
      </w:pPr>
      <w:r>
        <w:rPr>
          <w:rFonts w:cs="Times New Roman" w:hint="eastAsia"/>
          <w:lang w:val="en-US" w:eastAsia="zh-CN"/>
        </w:rPr>
        <w:t xml:space="preserve"> </w:t>
      </w:r>
    </w:p>
    <w:p>
      <w:pPr>
        <w:rPr>
          <w:lang w:val="en-US" w:eastAsia="zh-CN"/>
        </w:rPr>
      </w:pPr>
    </w:p>
    <w:p>
      <w:pPr>
        <w:widowControl/>
        <w:spacing w:line="440" w:lineRule="exact"/>
        <w:jc w:val="left"/>
        <w:rPr>
          <w:rFonts w:ascii="Times New Roman" w:eastAsia="仿宋" w:cs="Times New Roman" w:hAnsi="Times New Roman"/>
          <w:bCs/>
          <w:kern w:val="44"/>
          <w:sz w:val="24"/>
        </w:rPr>
      </w:pPr>
      <w:bookmarkStart w:id="14" w:name="_Toc15377196"/>
      <w:bookmarkStart w:id="15" w:name="_Toc15396599"/>
      <w:r>
        <w:rPr>
          <w:rFonts w:ascii="Times New Roman" w:eastAsia="仿宋" w:cs="Times New Roman" w:hAnsi="Times New Roman"/>
          <w:b/>
          <w:sz w:val="24"/>
        </w:rPr>
        <w:br w:type="page"/>
      </w:r>
    </w:p>
    <w:p>
      <w:pPr>
        <w:pStyle w:val="1"/>
        <w:keepNext/>
        <w:keepLines/>
        <w:pageBreakBefore w:val="0"/>
        <w:widowControl w:val="0"/>
        <w:kinsoku/>
        <w:wordWrap/>
        <w:overflowPunct/>
        <w:topLinePunct w:val="0"/>
        <w:bidi w:val="0"/>
        <w:spacing w:line="576" w:lineRule="exact"/>
        <w:jc w:val="center"/>
        <w:rPr>
          <w:rStyle w:val="1Char"/>
          <w:rFonts w:ascii="Times New Roman" w:eastAsia="黑体" w:cs="Times New Roman" w:hAnsi="Times New Roman"/>
          <w:b/>
          <w:bCs w:val="0"/>
        </w:rPr>
      </w:pPr>
      <w:bookmarkStart w:id="16" w:name="_Toc26843604"/>
      <w:r>
        <w:rPr>
          <w:rFonts w:ascii="Times New Roman" w:eastAsia="黑体" w:cs="Times New Roman" w:hAnsi="Times New Roman"/>
          <w:b w:val="0"/>
        </w:rPr>
        <w:t xml:space="preserve">第一部分 </w:t>
      </w:r>
      <w:r>
        <w:rPr>
          <w:rFonts w:ascii="Times New Roman" w:eastAsia="黑体" w:cs="Times New Roman" w:hAnsi="Times New Roman"/>
          <w:b w:val="0"/>
          <w:kern w:val="44"/>
          <w:sz w:val="44"/>
          <w:szCs w:val="44"/>
        </w:rPr>
        <w:t>部门概况</w:t>
      </w:r>
      <w:bookmarkEnd w:id="14"/>
      <w:bookmarkEnd w:id="15"/>
      <w:bookmarkEnd w:id="16"/>
    </w:p>
    <w:p>
      <w:pPr>
        <w:pageBreakBefore w:val="0"/>
        <w:widowControl/>
        <w:kinsoku/>
        <w:wordWrap/>
        <w:overflowPunct/>
        <w:topLinePunct w:val="0"/>
        <w:bidi w:val="0"/>
        <w:spacing w:line="576" w:lineRule="exact"/>
        <w:jc w:val="left"/>
        <w:rPr>
          <w:rFonts w:ascii="Times New Roman" w:eastAsia="黑体" w:cs="Times New Roman" w:hAnsi="Times New Roman"/>
          <w:sz w:val="32"/>
          <w:szCs w:val="32"/>
        </w:rPr>
      </w:pPr>
    </w:p>
    <w:p>
      <w:pPr>
        <w:pStyle w:val="2"/>
        <w:keepNext/>
        <w:keepLines/>
        <w:pageBreakBefore w:val="0"/>
        <w:widowControl w:val="0"/>
        <w:kinsoku/>
        <w:wordWrap/>
        <w:overflowPunct/>
        <w:topLinePunct w:val="0"/>
        <w:bidi w:val="0"/>
        <w:spacing w:after="0" w:line="576" w:lineRule="exact"/>
        <w:rPr>
          <w:rStyle w:val="2Char"/>
          <w:rFonts w:ascii="Times New Roman" w:eastAsia="黑体" w:cs="Times New Roman" w:hAnsi="Times New Roman"/>
          <w:b w:val="0"/>
          <w:bCs w:val="0"/>
        </w:rPr>
      </w:pPr>
      <w:bookmarkStart w:id="17" w:name="_Toc15377197"/>
      <w:bookmarkStart w:id="18" w:name="_Toc26843605"/>
      <w:bookmarkStart w:id="19" w:name="_Toc15396600"/>
      <w:r>
        <w:rPr>
          <w:rStyle w:val="2Char"/>
          <w:rFonts w:ascii="Times New Roman" w:eastAsia="黑体" w:cs="Times New Roman" w:hAnsi="Times New Roman"/>
          <w:b w:val="0"/>
          <w:bCs w:val="0"/>
        </w:rPr>
        <w:t>一、基本职能及主要工作</w:t>
      </w:r>
      <w:bookmarkEnd w:id="17"/>
      <w:bookmarkEnd w:id="18"/>
      <w:bookmarkEnd w:id="19"/>
    </w:p>
    <w:p>
      <w:pPr>
        <w:pStyle w:val="20"/>
        <w:pageBreakBefore w:val="0"/>
        <w:widowControl w:val="0"/>
        <w:kinsoku/>
        <w:wordWrap/>
        <w:overflowPunct/>
        <w:topLinePunct w:val="0"/>
        <w:bidi w:val="0"/>
        <w:adjustRightInd w:val="0"/>
        <w:snapToGrid w:val="0"/>
        <w:spacing w:before="93" w:line="576" w:lineRule="exact"/>
        <w:ind w:left="0" w:firstLineChars="208" w:firstLine="666"/>
        <w:outlineLvl w:val="2"/>
        <w:rPr>
          <w:rFonts w:ascii="Times New Roman" w:eastAsia="楷体" w:cs="Times New Roman" w:hAnsi="Times New Roman"/>
          <w:b/>
          <w:color w:val="000000"/>
          <w:kern w:val="0"/>
          <w:sz w:val="32"/>
          <w:szCs w:val="32"/>
          <w:shd w:val="clear" w:color="auto" w:fill="auto"/>
        </w:rPr>
      </w:pPr>
      <w:bookmarkStart w:id="20" w:name="_Toc15378445"/>
      <w:bookmarkStart w:id="21" w:name="_Toc15377198"/>
      <w:r>
        <w:rPr>
          <w:rFonts w:ascii="Times New Roman" w:eastAsia="楷体" w:cs="Times New Roman" w:hAnsi="Times New Roman"/>
          <w:b/>
          <w:color w:val="000000"/>
          <w:kern w:val="0"/>
          <w:sz w:val="32"/>
          <w:szCs w:val="32"/>
          <w:shd w:val="clear" w:color="auto" w:fill="auto"/>
        </w:rPr>
        <w:t>（一）主要职能。</w:t>
      </w:r>
      <w:bookmarkEnd w:id="20"/>
      <w:bookmarkEnd w:id="21"/>
    </w:p>
    <w:p>
      <w:pPr>
        <w:spacing w:line="560" w:lineRule="exact"/>
        <w:ind w:firstLineChars="150" w:firstLine="480"/>
        <w:rPr>
          <w:rFonts w:ascii="仿宋" w:eastAsia="仿宋" w:cs="宋体"/>
          <w:kern w:val="0"/>
          <w:sz w:val="32"/>
          <w:szCs w:val="32"/>
        </w:rPr>
      </w:pPr>
      <w:bookmarkStart w:id="22" w:name="_Toc15377199"/>
      <w:bookmarkStart w:id="23" w:name="_Toc15378446"/>
      <w:r>
        <w:rPr>
          <w:rFonts w:ascii="仿宋" w:eastAsia="仿宋" w:cs="宋体" w:hint="eastAsia"/>
          <w:kern w:val="0"/>
          <w:sz w:val="32"/>
          <w:szCs w:val="32"/>
        </w:rPr>
        <w:t>根据金川委办发</w:t>
      </w:r>
      <w:r>
        <w:rPr>
          <w:rFonts w:ascii="仿宋" w:eastAsia="仿宋" w:cs="宋体"/>
          <w:kern w:val="0"/>
          <w:sz w:val="32"/>
          <w:szCs w:val="32"/>
        </w:rPr>
        <w:t>[201</w:t>
      </w:r>
      <w:r>
        <w:rPr>
          <w:rFonts w:ascii="仿宋" w:eastAsia="仿宋" w:cs="宋体" w:hint="eastAsia"/>
          <w:kern w:val="0"/>
          <w:sz w:val="32"/>
          <w:szCs w:val="32"/>
        </w:rPr>
        <w:t>9</w:t>
      </w:r>
      <w:r>
        <w:rPr>
          <w:rFonts w:ascii="仿宋" w:eastAsia="仿宋" w:cs="宋体"/>
          <w:kern w:val="0"/>
          <w:sz w:val="32"/>
          <w:szCs w:val="32"/>
        </w:rPr>
        <w:t>]</w:t>
      </w:r>
      <w:r>
        <w:rPr>
          <w:rFonts w:ascii="仿宋" w:eastAsia="仿宋" w:cs="宋体" w:hint="eastAsia"/>
          <w:kern w:val="0"/>
          <w:sz w:val="32"/>
          <w:szCs w:val="32"/>
        </w:rPr>
        <w:t>35号文件规定，主要职责是：</w:t>
      </w:r>
    </w:p>
    <w:p>
      <w:pPr>
        <w:pStyle w:val="27"/>
        <w:shd w:val="clear" w:color="auto" w:fill="FFFFFF"/>
        <w:spacing w:before="150" w:beforeAutospacing="0" w:after="150" w:afterAutospacing="0" w:line="560" w:lineRule="exact"/>
        <w:ind w:firstLineChars="200" w:firstLine="640"/>
        <w:rPr>
          <w:rFonts w:ascii="仿宋" w:eastAsia="仿宋"/>
          <w:sz w:val="32"/>
          <w:szCs w:val="32"/>
        </w:rPr>
      </w:pPr>
      <w:r>
        <w:rPr>
          <w:rFonts w:ascii="仿宋" w:eastAsia="仿宋" w:hint="eastAsia"/>
          <w:b/>
          <w:sz w:val="32"/>
          <w:szCs w:val="32"/>
        </w:rPr>
        <w:t>一是</w:t>
      </w:r>
      <w:r>
        <w:rPr>
          <w:rFonts w:ascii="仿宋" w:eastAsia="仿宋"/>
          <w:sz w:val="32"/>
          <w:szCs w:val="32"/>
        </w:rPr>
        <w:t>拟订</w:t>
      </w:r>
      <w:r>
        <w:rPr>
          <w:rFonts w:ascii="仿宋" w:eastAsia="仿宋" w:hint="eastAsia"/>
          <w:sz w:val="32"/>
          <w:szCs w:val="32"/>
        </w:rPr>
        <w:t>金川县</w:t>
      </w:r>
      <w:r>
        <w:rPr>
          <w:rFonts w:ascii="仿宋" w:eastAsia="仿宋"/>
          <w:sz w:val="32"/>
          <w:szCs w:val="32"/>
        </w:rPr>
        <w:t>退役军人思想政治、管理保障和安置优抚等工作政策并组织实施，褒扬彰显退役军人为党、国家和人民牺牲奉献的精神风范和价值导向。</w:t>
      </w:r>
      <w:r>
        <w:rPr>
          <w:rFonts w:ascii="仿宋" w:eastAsia="仿宋" w:hint="eastAsia"/>
          <w:b/>
          <w:sz w:val="32"/>
          <w:szCs w:val="32"/>
        </w:rPr>
        <w:t>二是</w:t>
      </w:r>
      <w:r>
        <w:rPr>
          <w:rFonts w:ascii="仿宋" w:eastAsia="仿宋"/>
          <w:sz w:val="32"/>
          <w:szCs w:val="32"/>
        </w:rPr>
        <w:t>负责</w:t>
      </w:r>
      <w:r>
        <w:rPr>
          <w:rFonts w:ascii="仿宋" w:eastAsia="仿宋" w:hint="eastAsia"/>
          <w:sz w:val="32"/>
          <w:szCs w:val="32"/>
        </w:rPr>
        <w:t>金川县</w:t>
      </w:r>
      <w:r>
        <w:rPr>
          <w:rFonts w:ascii="仿宋" w:eastAsia="仿宋"/>
          <w:sz w:val="32"/>
          <w:szCs w:val="32"/>
        </w:rPr>
        <w:t>军队转业干部、复员干部、离休退休干部、退役士兵和无军籍退休退职职工的移交安置工作，以及自主择业、就业退役军人服务管理工作。</w:t>
      </w:r>
      <w:r>
        <w:rPr>
          <w:rFonts w:ascii="仿宋" w:eastAsia="仿宋" w:hint="eastAsia"/>
          <w:b/>
          <w:sz w:val="32"/>
          <w:szCs w:val="32"/>
        </w:rPr>
        <w:t>三是</w:t>
      </w:r>
      <w:r>
        <w:rPr>
          <w:rFonts w:ascii="仿宋" w:eastAsia="仿宋"/>
          <w:sz w:val="32"/>
          <w:szCs w:val="32"/>
        </w:rPr>
        <w:t>组织开展</w:t>
      </w:r>
      <w:r>
        <w:rPr>
          <w:rFonts w:ascii="仿宋" w:eastAsia="仿宋" w:hint="eastAsia"/>
          <w:sz w:val="32"/>
          <w:szCs w:val="32"/>
        </w:rPr>
        <w:t>金川县</w:t>
      </w:r>
      <w:r>
        <w:rPr>
          <w:rFonts w:ascii="仿宋" w:eastAsia="仿宋"/>
          <w:sz w:val="32"/>
          <w:szCs w:val="32"/>
        </w:rPr>
        <w:t>退役军人教育培训工作，协调扶持退役军人和随军随调家属安置、就业创业。</w:t>
      </w:r>
      <w:r>
        <w:rPr>
          <w:rFonts w:ascii="仿宋" w:eastAsia="仿宋" w:hint="eastAsia"/>
          <w:b/>
          <w:sz w:val="32"/>
          <w:szCs w:val="32"/>
        </w:rPr>
        <w:t>四是</w:t>
      </w:r>
      <w:r>
        <w:rPr>
          <w:rFonts w:ascii="仿宋" w:eastAsia="仿宋"/>
          <w:sz w:val="32"/>
          <w:szCs w:val="32"/>
        </w:rPr>
        <w:t>会同有关部门拟定退役军人特殊保障政策并组织落实。</w:t>
      </w:r>
      <w:r>
        <w:rPr>
          <w:rFonts w:ascii="仿宋" w:eastAsia="仿宋" w:hint="eastAsia"/>
          <w:b/>
          <w:sz w:val="32"/>
          <w:szCs w:val="32"/>
        </w:rPr>
        <w:t>五是</w:t>
      </w:r>
      <w:r>
        <w:rPr>
          <w:rFonts w:ascii="仿宋" w:eastAsia="仿宋"/>
          <w:sz w:val="32"/>
          <w:szCs w:val="32"/>
        </w:rPr>
        <w:t>组织协调落实移交地方的离休退休军人、符合条件的其他退役军人和无军籍退休退职职工的住房保障以及退役军人医疗保障、社会保险等待遇保障工作。</w:t>
      </w:r>
      <w:r>
        <w:rPr>
          <w:rFonts w:ascii="仿宋" w:eastAsia="仿宋" w:hint="eastAsia"/>
          <w:b/>
          <w:sz w:val="32"/>
          <w:szCs w:val="32"/>
        </w:rPr>
        <w:t>六是</w:t>
      </w:r>
      <w:r>
        <w:rPr>
          <w:rFonts w:ascii="仿宋" w:eastAsia="仿宋"/>
          <w:sz w:val="32"/>
          <w:szCs w:val="32"/>
        </w:rPr>
        <w:t>组织开展伤病残退役军人服务管理和抚恤工作，拟订有关退役军人医疗、疗养、养老等机构的规划政策并组织实施。承担不适宜继续服役的伤病残军人相关工作。指导军供服务保障工作。</w:t>
      </w:r>
      <w:r>
        <w:rPr>
          <w:rFonts w:ascii="仿宋" w:eastAsia="仿宋" w:hint="eastAsia"/>
          <w:b/>
          <w:sz w:val="32"/>
          <w:szCs w:val="32"/>
        </w:rPr>
        <w:t>七是</w:t>
      </w:r>
      <w:r>
        <w:rPr>
          <w:rFonts w:ascii="仿宋" w:eastAsia="仿宋"/>
          <w:sz w:val="32"/>
          <w:szCs w:val="32"/>
        </w:rPr>
        <w:t>负责落实拥军优属工作。负责现役军人、退役军人、军队文职人员和军属优待、抚恤等工作，贯彻落实国民党抗战老兵等有关人员优待政策并指导实施。</w:t>
      </w:r>
      <w:r>
        <w:rPr>
          <w:rFonts w:ascii="仿宋" w:eastAsia="仿宋" w:hint="eastAsia"/>
          <w:b/>
          <w:sz w:val="32"/>
          <w:szCs w:val="32"/>
        </w:rPr>
        <w:t>八是</w:t>
      </w:r>
      <w:r>
        <w:rPr>
          <w:rFonts w:ascii="仿宋" w:eastAsia="仿宋"/>
          <w:sz w:val="32"/>
          <w:szCs w:val="32"/>
        </w:rPr>
        <w:t>协助开展烈士及退役军人荣誉奖励、军人公墓管理维护纪念活动等工作，依法承担英雄烈士保护相关工作，初核申报拟列</w:t>
      </w:r>
      <w:r>
        <w:rPr>
          <w:rFonts w:ascii="仿宋" w:eastAsia="仿宋" w:hint="eastAsia"/>
          <w:sz w:val="32"/>
          <w:szCs w:val="32"/>
        </w:rPr>
        <w:t>入全县</w:t>
      </w:r>
      <w:r>
        <w:rPr>
          <w:rFonts w:ascii="仿宋" w:eastAsia="仿宋"/>
          <w:sz w:val="32"/>
          <w:szCs w:val="32"/>
        </w:rPr>
        <w:t>重点保护单位的烈士纪念建筑物名录，协助配合上级部门做好境外我国烈士和在华烈士纪念设施保护事宜，配合做好总结表彰和宣扬退役军人、退役军人工作单位和个人先进典型事迹工作。</w:t>
      </w:r>
      <w:r>
        <w:rPr>
          <w:rFonts w:ascii="仿宋" w:eastAsia="仿宋" w:hint="eastAsia"/>
          <w:b/>
          <w:sz w:val="32"/>
          <w:szCs w:val="32"/>
        </w:rPr>
        <w:t>九是</w:t>
      </w:r>
      <w:r>
        <w:rPr>
          <w:rFonts w:ascii="仿宋" w:eastAsia="仿宋"/>
          <w:sz w:val="32"/>
          <w:szCs w:val="32"/>
        </w:rPr>
        <w:t>指导并监督检查</w:t>
      </w:r>
      <w:r>
        <w:rPr>
          <w:rFonts w:ascii="仿宋" w:eastAsia="仿宋" w:hint="eastAsia"/>
          <w:sz w:val="32"/>
          <w:szCs w:val="32"/>
        </w:rPr>
        <w:t>金川县</w:t>
      </w:r>
      <w:r>
        <w:rPr>
          <w:rFonts w:ascii="仿宋" w:eastAsia="仿宋"/>
          <w:sz w:val="32"/>
          <w:szCs w:val="32"/>
        </w:rPr>
        <w:t>退役军人相关法律法规和政策措施的落实，组织开展退役军人权益维护和有关人员的帮扶援助工作。</w:t>
      </w:r>
      <w:r>
        <w:rPr>
          <w:rFonts w:ascii="仿宋" w:eastAsia="仿宋" w:hint="eastAsia"/>
          <w:b/>
          <w:sz w:val="32"/>
          <w:szCs w:val="32"/>
        </w:rPr>
        <w:t>十是</w:t>
      </w:r>
      <w:r>
        <w:rPr>
          <w:rFonts w:ascii="仿宋" w:eastAsia="仿宋"/>
          <w:sz w:val="32"/>
          <w:szCs w:val="32"/>
        </w:rPr>
        <w:t>完成</w:t>
      </w:r>
      <w:r>
        <w:rPr>
          <w:rFonts w:ascii="仿宋" w:eastAsia="仿宋" w:hint="eastAsia"/>
          <w:sz w:val="32"/>
          <w:szCs w:val="32"/>
        </w:rPr>
        <w:t>县委县政府</w:t>
      </w:r>
      <w:r>
        <w:rPr>
          <w:rFonts w:ascii="仿宋" w:eastAsia="仿宋"/>
          <w:sz w:val="32"/>
          <w:szCs w:val="32"/>
        </w:rPr>
        <w:t>交办的其他任务。</w:t>
      </w:r>
      <w:r>
        <w:rPr>
          <w:rFonts w:ascii="仿宋" w:eastAsia="仿宋" w:hint="eastAsia"/>
          <w:b/>
          <w:sz w:val="32"/>
          <w:szCs w:val="32"/>
        </w:rPr>
        <w:t>十一是</w:t>
      </w:r>
      <w:r>
        <w:rPr>
          <w:rFonts w:ascii="仿宋" w:eastAsia="仿宋"/>
          <w:sz w:val="32"/>
          <w:szCs w:val="32"/>
        </w:rPr>
        <w:t>职能转变</w:t>
      </w:r>
      <w:r>
        <w:rPr>
          <w:rFonts w:ascii="仿宋" w:eastAsia="仿宋" w:hint="eastAsia"/>
          <w:sz w:val="32"/>
          <w:szCs w:val="32"/>
        </w:rPr>
        <w:t>，金川县</w:t>
      </w:r>
      <w:r>
        <w:rPr>
          <w:rFonts w:ascii="仿宋" w:eastAsia="仿宋"/>
          <w:sz w:val="32"/>
          <w:szCs w:val="32"/>
        </w:rPr>
        <w:t>退役军人事务局</w:t>
      </w:r>
      <w:r>
        <w:rPr>
          <w:rFonts w:ascii="仿宋" w:eastAsia="仿宋" w:hint="eastAsia"/>
          <w:sz w:val="32"/>
          <w:szCs w:val="32"/>
        </w:rPr>
        <w:t>积极</w:t>
      </w:r>
      <w:r>
        <w:rPr>
          <w:rFonts w:ascii="仿宋" w:eastAsia="仿宋"/>
          <w:sz w:val="32"/>
          <w:szCs w:val="32"/>
        </w:rPr>
        <w:t>加强退役军人思想政治工作和服务保障体系建设，建立健全集中统一、职责清晰的退役军人管理服务保障体制，协调各方力量更好为军人军属服务，维护军人军属合法权益，让军人成为全社会尊崇的职业，褒扬彰显退役军人为党、为国家和人民牺牲奉献的精神风范和价值导向，更好地为增强部队战斗力和凝聚力做好组织保障。</w:t>
      </w:r>
    </w:p>
    <w:p>
      <w:pPr>
        <w:pStyle w:val="20"/>
        <w:pageBreakBefore w:val="0"/>
        <w:widowControl w:val="0"/>
        <w:kinsoku/>
        <w:wordWrap/>
        <w:overflowPunct/>
        <w:topLinePunct w:val="0"/>
        <w:bidi w:val="0"/>
        <w:adjustRightInd w:val="0"/>
        <w:snapToGrid w:val="0"/>
        <w:spacing w:before="93" w:line="576" w:lineRule="exact"/>
        <w:ind w:left="0" w:firstLineChars="208" w:firstLine="666"/>
        <w:outlineLvl w:val="2"/>
        <w:rPr>
          <w:rFonts w:ascii="Times New Roman" w:eastAsia="方正楷体_GBK" w:cs="Times New Roman" w:hAnsi="Times New Roman"/>
          <w:b/>
          <w:bCs/>
          <w:color w:val="000000"/>
          <w:kern w:val="0"/>
          <w:sz w:val="32"/>
          <w:szCs w:val="32"/>
          <w:shd w:val="clear" w:color="auto" w:fill="auto"/>
        </w:rPr>
      </w:pPr>
      <w:r>
        <w:rPr>
          <w:rFonts w:ascii="Times New Roman" w:eastAsia="方正楷体_GBK" w:cs="Times New Roman" w:hAnsi="Times New Roman"/>
          <w:b/>
          <w:bCs/>
          <w:color w:val="000000"/>
          <w:kern w:val="0"/>
          <w:sz w:val="32"/>
          <w:szCs w:val="32"/>
          <w:shd w:val="clear" w:color="auto" w:fill="auto"/>
        </w:rPr>
        <w:t>（二）202</w:t>
      </w:r>
      <w:r>
        <w:rPr>
          <w:rFonts w:eastAsia="方正楷体_GBK" w:cs="Times New Roman" w:hint="eastAsia"/>
          <w:b/>
          <w:bCs/>
          <w:color w:val="000000"/>
          <w:kern w:val="0"/>
          <w:sz w:val="32"/>
          <w:szCs w:val="32"/>
          <w:shd w:val="clear" w:color="auto" w:fill="auto"/>
          <w:lang w:val="en-US" w:eastAsia="zh-CN"/>
        </w:rPr>
        <w:t>2</w:t>
      </w:r>
      <w:r>
        <w:rPr>
          <w:rFonts w:ascii="Times New Roman" w:eastAsia="方正楷体_GBK" w:cs="Times New Roman" w:hAnsi="Times New Roman"/>
          <w:b/>
          <w:bCs/>
          <w:color w:val="000000"/>
          <w:kern w:val="0"/>
          <w:sz w:val="32"/>
          <w:szCs w:val="32"/>
          <w:shd w:val="clear" w:color="auto" w:fill="auto"/>
        </w:rPr>
        <w:t>年重点工作完成情况。</w:t>
      </w:r>
      <w:bookmarkEnd w:id="22"/>
      <w:bookmarkEnd w:id="23"/>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楷体" w:eastAsia="楷体" w:cs="楷体" w:hint="eastAsia"/>
          <w:b/>
          <w:bCs/>
          <w:sz w:val="32"/>
          <w:szCs w:val="32"/>
          <w:lang w:val="en-US" w:eastAsia="zh-CN"/>
        </w:rPr>
      </w:pPr>
      <w:bookmarkStart w:id="24" w:name="_Toc79163605"/>
      <w:bookmarkStart w:id="25" w:name="_Toc79163855"/>
      <w:r>
        <w:rPr>
          <w:rFonts w:ascii="方正黑体_GBK" w:eastAsia="方正黑体_GBK" w:cs="方正黑体_GBK" w:hint="eastAsia"/>
          <w:b w:val="0"/>
          <w:bCs w:val="0"/>
          <w:sz w:val="32"/>
          <w:szCs w:val="32"/>
          <w:lang w:val="en-US" w:eastAsia="zh-CN"/>
        </w:rPr>
        <w:t>1、</w:t>
      </w:r>
      <w:r>
        <w:rPr>
          <w:rFonts w:ascii="楷体" w:eastAsia="楷体" w:cs="楷体" w:hint="eastAsia"/>
          <w:b/>
          <w:bCs/>
          <w:sz w:val="32"/>
          <w:szCs w:val="32"/>
          <w:lang w:val="en-US" w:eastAsia="zh-CN"/>
        </w:rPr>
        <w:t>高位推动，抓好党建党史学习</w:t>
      </w:r>
      <w:r>
        <w:rPr>
          <w:rFonts w:ascii="楷体" w:eastAsia="楷体" w:cs="楷体"/>
          <w:b/>
          <w:bCs/>
          <w:sz w:val="32"/>
          <w:szCs w:val="32"/>
          <w:lang w:val="en-US" w:eastAsia="zh-CN"/>
        </w:rPr>
        <w:t>教育</w:t>
      </w:r>
      <w:r>
        <w:rPr>
          <w:rFonts w:ascii="楷体" w:eastAsia="楷体" w:cs="楷体" w:hint="eastAsia"/>
          <w:b/>
          <w:bCs/>
          <w:sz w:val="32"/>
          <w:szCs w:val="32"/>
          <w:lang w:val="en-US" w:eastAsia="zh-CN"/>
        </w:rPr>
        <w:t>的“主基调”</w:t>
      </w:r>
    </w:p>
    <w:p>
      <w:pPr>
        <w:spacing w:line="560" w:lineRule="exact"/>
        <w:ind w:firstLine="640"/>
        <w:jc w:val="left"/>
        <w:rPr>
          <w:rFonts w:ascii="仿宋" w:eastAsia="仿宋" w:cs="宋体" w:hint="eastAsia"/>
          <w:b w:val="0"/>
          <w:bCs/>
          <w:kern w:val="0"/>
          <w:sz w:val="32"/>
          <w:szCs w:val="32"/>
        </w:rPr>
      </w:pPr>
      <w:r>
        <w:rPr>
          <w:rFonts w:ascii="仿宋" w:eastAsia="仿宋" w:cs="宋体"/>
          <w:b w:val="0"/>
          <w:bCs/>
          <w:kern w:val="0"/>
          <w:sz w:val="32"/>
          <w:szCs w:val="32"/>
          <w:lang w:val="en-US" w:eastAsia="zh-CN"/>
        </w:rPr>
        <w:t>坚持党建引领。</w:t>
      </w:r>
      <w:r>
        <w:rPr>
          <w:rFonts w:ascii="仿宋" w:eastAsia="仿宋" w:cs="宋体" w:hint="eastAsia"/>
          <w:b w:val="0"/>
          <w:bCs/>
          <w:kern w:val="0"/>
          <w:sz w:val="32"/>
          <w:szCs w:val="32"/>
        </w:rPr>
        <w:t>一是坚持理论与业务学习相结合，继续深入开展“党史学习教育”工作，组织干部职工常态化学习各种会议讲话精神。二是完善支部建设，健全工作章程，定期开展支部活动。三是落实制度建设，围绕“民主集中制”、“三重一大事项”决策程序等推动各项工作落实。四是开展</w:t>
      </w:r>
      <w:r>
        <w:rPr>
          <w:rFonts w:ascii="仿宋" w:eastAsia="仿宋" w:cs="宋体" w:hint="eastAsia"/>
          <w:b w:val="0"/>
          <w:bCs/>
          <w:kern w:val="0"/>
          <w:sz w:val="32"/>
          <w:szCs w:val="32"/>
          <w:lang w:val="en-US" w:eastAsia="zh-CN"/>
        </w:rPr>
        <w:t>以</w:t>
      </w:r>
      <w:r>
        <w:rPr>
          <w:rFonts w:ascii="仿宋" w:eastAsia="仿宋" w:cs="宋体" w:hint="eastAsia"/>
          <w:b w:val="0"/>
          <w:bCs/>
          <w:kern w:val="0"/>
          <w:sz w:val="32"/>
          <w:szCs w:val="32"/>
          <w:lang w:eastAsia="zh-CN"/>
        </w:rPr>
        <w:t>“</w:t>
      </w:r>
      <w:r>
        <w:rPr>
          <w:rFonts w:ascii="仿宋" w:eastAsia="仿宋" w:cs="宋体" w:hint="eastAsia"/>
          <w:b w:val="0"/>
          <w:bCs/>
          <w:kern w:val="0"/>
          <w:sz w:val="32"/>
          <w:szCs w:val="32"/>
        </w:rPr>
        <w:t>组队伍</w:t>
      </w:r>
      <w:r>
        <w:rPr>
          <w:rFonts w:ascii="仿宋" w:eastAsia="仿宋" w:cs="宋体" w:hint="eastAsia"/>
          <w:b w:val="0"/>
          <w:bCs/>
          <w:kern w:val="0"/>
          <w:sz w:val="32"/>
          <w:szCs w:val="32"/>
          <w:lang w:val="en-US" w:eastAsia="zh-CN"/>
        </w:rPr>
        <w:t>.</w:t>
      </w:r>
      <w:r>
        <w:rPr>
          <w:rFonts w:ascii="仿宋" w:eastAsia="仿宋" w:cs="宋体" w:hint="eastAsia"/>
          <w:b w:val="0"/>
          <w:bCs/>
          <w:kern w:val="0"/>
          <w:sz w:val="32"/>
          <w:szCs w:val="32"/>
        </w:rPr>
        <w:t>送服务.显本色”</w:t>
      </w:r>
      <w:r>
        <w:rPr>
          <w:rFonts w:ascii="仿宋" w:eastAsia="仿宋" w:cs="宋体" w:hint="eastAsia"/>
          <w:b w:val="0"/>
          <w:bCs/>
          <w:kern w:val="0"/>
          <w:sz w:val="32"/>
          <w:szCs w:val="32"/>
          <w:lang w:val="en-US" w:eastAsia="zh-CN"/>
        </w:rPr>
        <w:t>为主题的机关党建品牌创建工作</w:t>
      </w:r>
      <w:r>
        <w:rPr>
          <w:rFonts w:ascii="仿宋" w:eastAsia="仿宋" w:cs="宋体" w:hint="eastAsia"/>
          <w:b w:val="0"/>
          <w:bCs/>
          <w:kern w:val="0"/>
          <w:sz w:val="32"/>
          <w:szCs w:val="32"/>
        </w:rPr>
        <w:t>。</w:t>
      </w:r>
    </w:p>
    <w:p>
      <w:pPr>
        <w:spacing w:line="560" w:lineRule="exact"/>
        <w:ind w:firstLine="640"/>
        <w:jc w:val="left"/>
        <w:rPr>
          <w:rFonts w:ascii="仿宋" w:eastAsia="仿宋" w:cs="宋体"/>
          <w:b w:val="0"/>
          <w:bCs/>
          <w:kern w:val="0"/>
          <w:sz w:val="32"/>
          <w:szCs w:val="32"/>
        </w:rPr>
      </w:pPr>
      <w:r>
        <w:rPr>
          <w:rFonts w:ascii="仿宋" w:eastAsia="仿宋" w:cs="宋体"/>
          <w:b w:val="0"/>
          <w:bCs/>
          <w:kern w:val="0"/>
          <w:sz w:val="32"/>
          <w:szCs w:val="32"/>
          <w:lang w:val="en-US" w:eastAsia="zh-CN"/>
        </w:rPr>
        <w:t>深化廉政建设。</w:t>
      </w:r>
      <w:r>
        <w:rPr>
          <w:rFonts w:ascii="仿宋" w:eastAsia="仿宋" w:cs="宋体"/>
          <w:b w:val="0"/>
          <w:bCs/>
          <w:kern w:val="0"/>
          <w:sz w:val="32"/>
          <w:szCs w:val="32"/>
        </w:rPr>
        <w:t>一是坚持利用科技平台强化党风廉政建设警示教育，并定期召开典型案例学习，筑牢干部职工思想防线。二是建立重大事项报告制度，主动接收纪检组监督管理。三是完善</w:t>
      </w:r>
      <w:r>
        <w:rPr>
          <w:rFonts w:ascii="仿宋" w:eastAsia="仿宋" w:cs="宋体" w:hint="eastAsia"/>
          <w:b w:val="0"/>
          <w:bCs/>
          <w:kern w:val="0"/>
          <w:sz w:val="32"/>
          <w:szCs w:val="32"/>
          <w:lang w:eastAsia="zh-CN"/>
        </w:rPr>
        <w:t>体制</w:t>
      </w:r>
      <w:r>
        <w:rPr>
          <w:rFonts w:ascii="仿宋" w:eastAsia="仿宋" w:cs="宋体"/>
          <w:b w:val="0"/>
          <w:bCs/>
          <w:kern w:val="0"/>
          <w:sz w:val="32"/>
          <w:szCs w:val="32"/>
        </w:rPr>
        <w:t>机制建设，认真执行上级有关廉洁自律各项规定。</w:t>
      </w:r>
    </w:p>
    <w:p>
      <w:pPr>
        <w:spacing w:line="560" w:lineRule="exact"/>
        <w:ind w:firstLine="640"/>
        <w:jc w:val="left"/>
        <w:rPr>
          <w:rFonts w:ascii="仿宋" w:eastAsia="仿宋" w:cs="宋体"/>
          <w:b w:val="0"/>
          <w:bCs/>
          <w:kern w:val="0"/>
          <w:sz w:val="32"/>
          <w:szCs w:val="32"/>
        </w:rPr>
      </w:pPr>
      <w:r>
        <w:rPr>
          <w:rFonts w:ascii="仿宋" w:eastAsia="仿宋" w:cs="宋体"/>
          <w:b w:val="0"/>
          <w:bCs/>
          <w:kern w:val="0"/>
          <w:sz w:val="32"/>
          <w:szCs w:val="32"/>
          <w:lang w:val="en-US" w:eastAsia="zh-CN"/>
        </w:rPr>
        <w:t>深悟为民实事。结合“两联一进”工作定期走访慰问联系户及服务对象，</w:t>
      </w:r>
      <w:r>
        <w:rPr>
          <w:rFonts w:ascii="仿宋" w:eastAsia="仿宋" w:cs="宋体"/>
          <w:b w:val="0"/>
          <w:bCs/>
          <w:kern w:val="0"/>
          <w:sz w:val="32"/>
          <w:szCs w:val="32"/>
        </w:rPr>
        <w:t>制定为民办实事项目清单，定时完成清单内容，从生产、生活等方方面面解决</w:t>
      </w:r>
      <w:r>
        <w:rPr>
          <w:rFonts w:ascii="仿宋" w:eastAsia="仿宋" w:cs="宋体"/>
          <w:b w:val="0"/>
          <w:bCs/>
          <w:kern w:val="0"/>
          <w:sz w:val="32"/>
          <w:szCs w:val="32"/>
          <w:lang w:val="en-US" w:eastAsia="zh-CN"/>
        </w:rPr>
        <w:t>服务对象</w:t>
      </w:r>
      <w:r>
        <w:rPr>
          <w:rFonts w:ascii="仿宋" w:eastAsia="仿宋" w:cs="宋体"/>
          <w:b w:val="0"/>
          <w:bCs/>
          <w:kern w:val="0"/>
          <w:sz w:val="32"/>
          <w:szCs w:val="32"/>
        </w:rPr>
        <w:t>的后顾之忧、发展之困、生活之难。</w:t>
      </w:r>
    </w:p>
    <w:p>
      <w:pPr>
        <w:keepNext w:val="0"/>
        <w:keepLines w:val="0"/>
        <w:pageBreakBefore w:val="0"/>
        <w:widowControl w:val="0"/>
        <w:kinsoku/>
        <w:wordWrap/>
        <w:overflowPunct/>
        <w:topLinePunct w:val="0"/>
        <w:bidi w:val="0"/>
        <w:snapToGrid w:val="0"/>
        <w:spacing w:line="560" w:lineRule="exact"/>
        <w:ind w:left="0" w:firstLineChars="200" w:firstLine="640"/>
        <w:textAlignment w:val="auto"/>
        <w:outlineLvl w:val="1"/>
        <w:rPr>
          <w:rFonts w:ascii="楷体" w:eastAsia="楷体" w:cs="楷体"/>
          <w:b/>
          <w:bCs/>
          <w:sz w:val="32"/>
          <w:szCs w:val="32"/>
          <w:lang w:val="en-US" w:eastAsia="zh-CN"/>
        </w:rPr>
      </w:pPr>
      <w:r>
        <w:rPr>
          <w:rFonts w:ascii="楷体" w:eastAsia="楷体" w:cs="楷体" w:hint="eastAsia"/>
          <w:b/>
          <w:bCs/>
          <w:sz w:val="32"/>
          <w:szCs w:val="32"/>
          <w:lang w:val="en-US" w:eastAsia="zh-CN"/>
        </w:rPr>
        <w:t>2、</w:t>
      </w:r>
      <w:r>
        <w:rPr>
          <w:rFonts w:ascii="楷体" w:eastAsia="楷体" w:cs="楷体"/>
          <w:b/>
          <w:bCs/>
          <w:sz w:val="32"/>
          <w:szCs w:val="32"/>
          <w:lang w:val="en-US" w:eastAsia="zh-CN"/>
        </w:rPr>
        <w:t>多措并举，唱好地方特色双拥工作的“主题曲”</w:t>
      </w:r>
    </w:p>
    <w:p>
      <w:pPr>
        <w:spacing w:line="560" w:lineRule="exact"/>
        <w:ind w:firstLine="640"/>
        <w:jc w:val="left"/>
        <w:rPr>
          <w:rFonts w:ascii="仿宋" w:eastAsia="仿宋" w:cs="宋体" w:hint="eastAsia"/>
          <w:b w:val="0"/>
          <w:bCs/>
          <w:kern w:val="0"/>
          <w:sz w:val="32"/>
          <w:szCs w:val="32"/>
          <w:lang w:eastAsia="zh-CN"/>
        </w:rPr>
      </w:pPr>
      <w:r>
        <w:rPr>
          <w:rFonts w:ascii="仿宋" w:eastAsia="仿宋" w:cs="宋体"/>
          <w:b w:val="0"/>
          <w:bCs/>
          <w:kern w:val="0"/>
          <w:sz w:val="32"/>
          <w:szCs w:val="32"/>
          <w:lang w:val="en-US" w:eastAsia="zh-CN"/>
        </w:rPr>
        <w:t>拥军优属扎实有效。</w:t>
      </w:r>
      <w:r>
        <w:rPr>
          <w:rFonts w:ascii="仿宋" w:eastAsia="仿宋" w:cs="宋体"/>
          <w:b w:val="0"/>
          <w:bCs/>
          <w:kern w:val="0"/>
          <w:sz w:val="32"/>
          <w:szCs w:val="32"/>
        </w:rPr>
        <w:t>长期坚持开展拥军优属活动。</w:t>
      </w:r>
      <w:r>
        <w:rPr>
          <w:rFonts w:ascii="仿宋" w:eastAsia="仿宋" w:cs="宋体" w:hint="eastAsia"/>
          <w:b w:val="0"/>
          <w:bCs/>
          <w:kern w:val="0"/>
          <w:sz w:val="32"/>
          <w:szCs w:val="32"/>
          <w:lang w:val="en-US" w:eastAsia="zh-CN"/>
        </w:rPr>
        <w:t>一是</w:t>
      </w:r>
      <w:r>
        <w:rPr>
          <w:rFonts w:ascii="仿宋" w:eastAsia="仿宋" w:cs="宋体" w:hint="eastAsia"/>
          <w:b w:val="0"/>
          <w:bCs/>
          <w:kern w:val="0"/>
          <w:sz w:val="32"/>
          <w:szCs w:val="32"/>
          <w:lang w:eastAsia="zh-CN"/>
        </w:rPr>
        <w:t>“元旦、春节、八一、公祭日”期间，</w:t>
      </w:r>
      <w:r>
        <w:rPr>
          <w:rFonts w:ascii="仿宋" w:eastAsia="仿宋" w:cs="宋体" w:hint="eastAsia"/>
          <w:b w:val="0"/>
          <w:bCs/>
          <w:kern w:val="0"/>
          <w:sz w:val="32"/>
          <w:szCs w:val="32"/>
          <w:lang w:val="en-US" w:eastAsia="zh-CN"/>
        </w:rPr>
        <w:t>四大班子领导和有关部门慰问驻金部队、退役军人、重点优抚对象，</w:t>
      </w:r>
      <w:r>
        <w:rPr>
          <w:rFonts w:ascii="仿宋" w:eastAsia="仿宋" w:cs="宋体" w:hint="eastAsia"/>
          <w:b w:val="0"/>
          <w:bCs/>
          <w:kern w:val="0"/>
          <w:sz w:val="32"/>
          <w:szCs w:val="32"/>
          <w:lang w:eastAsia="zh-CN"/>
        </w:rPr>
        <w:t>慰问优抚对</w:t>
      </w:r>
      <w:r>
        <w:rPr>
          <w:rFonts w:ascii="仿宋" w:eastAsia="仿宋" w:cs="宋体" w:hint="eastAsia"/>
          <w:b w:val="0"/>
          <w:bCs/>
          <w:kern w:val="0"/>
          <w:sz w:val="32"/>
          <w:szCs w:val="32"/>
          <w:lang w:val="en-US" w:eastAsia="zh-CN"/>
        </w:rPr>
        <w:t>象228人次并发放慰问金</w:t>
      </w:r>
      <w:r>
        <w:rPr>
          <w:rFonts w:ascii="仿宋" w:eastAsia="仿宋" w:cs="宋体"/>
          <w:b w:val="0"/>
          <w:bCs/>
          <w:kern w:val="0"/>
          <w:sz w:val="32"/>
          <w:szCs w:val="32"/>
          <w:lang w:val="en-US" w:eastAsia="zh-CN"/>
        </w:rPr>
        <w:t>；二是</w:t>
      </w:r>
      <w:r>
        <w:rPr>
          <w:rFonts w:ascii="仿宋" w:eastAsia="仿宋" w:cs="宋体" w:hint="eastAsia"/>
          <w:b w:val="0"/>
          <w:bCs/>
          <w:kern w:val="0"/>
          <w:sz w:val="32"/>
          <w:szCs w:val="32"/>
          <w:lang w:val="en-US" w:eastAsia="zh-CN"/>
        </w:rPr>
        <w:t>隆重举行了春、秋季新兵入伍欢送仪式，做好19名大学生、中职校入</w:t>
      </w:r>
      <w:r>
        <w:rPr>
          <w:rFonts w:ascii="仿宋" w:eastAsia="仿宋" w:cs="宋体" w:hint="eastAsia"/>
          <w:b w:val="0"/>
          <w:bCs/>
          <w:kern w:val="0"/>
          <w:sz w:val="32"/>
          <w:szCs w:val="32"/>
          <w:lang w:eastAsia="zh-CN"/>
        </w:rPr>
        <w:t>伍奖励金的协调、发放工作。</w:t>
      </w:r>
    </w:p>
    <w:p>
      <w:pPr>
        <w:spacing w:line="560" w:lineRule="exact"/>
        <w:ind w:firstLine="640"/>
        <w:jc w:val="left"/>
        <w:rPr>
          <w:rFonts w:ascii="仿宋" w:eastAsia="仿宋" w:cs="宋体"/>
          <w:b w:val="0"/>
          <w:bCs/>
          <w:kern w:val="0"/>
          <w:sz w:val="32"/>
          <w:szCs w:val="32"/>
          <w:lang w:eastAsia="zh-CN"/>
        </w:rPr>
      </w:pPr>
      <w:r>
        <w:rPr>
          <w:rFonts w:ascii="仿宋" w:eastAsia="仿宋" w:cs="宋体"/>
          <w:b w:val="0"/>
          <w:bCs/>
          <w:kern w:val="0"/>
          <w:sz w:val="32"/>
          <w:szCs w:val="32"/>
          <w:lang w:val="en-US" w:eastAsia="zh-CN"/>
        </w:rPr>
        <w:t>拥政爱民成效显著。</w:t>
      </w:r>
      <w:r>
        <w:rPr>
          <w:rFonts w:ascii="仿宋" w:eastAsia="仿宋" w:cs="宋体"/>
          <w:b w:val="0"/>
          <w:bCs/>
          <w:kern w:val="0"/>
          <w:sz w:val="32"/>
          <w:szCs w:val="32"/>
        </w:rPr>
        <w:t>驻金部队积极参与和支持地方政府建设与辖区城乡环境综合整治工作，在做好营区绿化和驻地部队官兵们在首长的带领下多次参与到辖区城乡环境综合整治工作，给周围群众留下了深刻印象，军民渔水情得到了再一次的升华</w:t>
      </w:r>
      <w:r>
        <w:rPr>
          <w:rFonts w:ascii="仿宋" w:eastAsia="仿宋" w:cs="宋体"/>
          <w:b w:val="0"/>
          <w:bCs/>
          <w:kern w:val="0"/>
          <w:sz w:val="32"/>
          <w:szCs w:val="32"/>
          <w:lang w:eastAsia="zh-CN"/>
        </w:rPr>
        <w:t>。</w:t>
      </w:r>
    </w:p>
    <w:p>
      <w:pPr>
        <w:spacing w:line="560" w:lineRule="exact"/>
        <w:ind w:firstLine="640"/>
        <w:jc w:val="left"/>
        <w:rPr>
          <w:rFonts w:ascii="仿宋" w:eastAsia="仿宋" w:cs="宋体" w:hint="eastAsia"/>
          <w:b w:val="0"/>
          <w:bCs/>
          <w:kern w:val="0"/>
          <w:sz w:val="32"/>
          <w:szCs w:val="32"/>
        </w:rPr>
      </w:pPr>
      <w:r>
        <w:rPr>
          <w:rFonts w:ascii="仿宋" w:eastAsia="仿宋" w:cs="宋体"/>
          <w:b w:val="0"/>
          <w:bCs/>
          <w:kern w:val="0"/>
          <w:sz w:val="32"/>
          <w:szCs w:val="32"/>
          <w:lang w:val="en-US" w:eastAsia="zh-CN"/>
        </w:rPr>
        <w:t>军民共建富有成效。</w:t>
      </w:r>
      <w:r>
        <w:rPr>
          <w:rFonts w:ascii="仿宋" w:eastAsia="仿宋" w:cs="宋体" w:hint="eastAsia"/>
          <w:b w:val="0"/>
          <w:bCs/>
          <w:kern w:val="0"/>
          <w:sz w:val="32"/>
          <w:szCs w:val="32"/>
        </w:rPr>
        <w:t>积极创建共建共享军地和谐关系。县级各单位</w:t>
      </w:r>
      <w:r>
        <w:rPr>
          <w:rFonts w:ascii="仿宋" w:eastAsia="仿宋" w:cs="宋体" w:hint="eastAsia"/>
          <w:b w:val="0"/>
          <w:bCs/>
          <w:kern w:val="0"/>
          <w:sz w:val="32"/>
          <w:szCs w:val="32"/>
          <w:lang w:val="en-US" w:eastAsia="zh-CN"/>
        </w:rPr>
        <w:t>35</w:t>
      </w:r>
      <w:r>
        <w:rPr>
          <w:rFonts w:ascii="仿宋" w:eastAsia="仿宋" w:cs="宋体" w:hint="eastAsia"/>
          <w:b w:val="0"/>
          <w:bCs/>
          <w:kern w:val="0"/>
          <w:sz w:val="32"/>
          <w:szCs w:val="32"/>
        </w:rPr>
        <w:t>个</w:t>
      </w:r>
      <w:r>
        <w:rPr>
          <w:rFonts w:ascii="仿宋" w:eastAsia="仿宋" w:cs="宋体" w:hint="eastAsia"/>
          <w:b w:val="0"/>
          <w:bCs/>
          <w:kern w:val="0"/>
          <w:sz w:val="32"/>
          <w:szCs w:val="32"/>
          <w:lang w:eastAsia="zh-CN"/>
        </w:rPr>
        <w:t>，以及</w:t>
      </w:r>
      <w:r>
        <w:rPr>
          <w:rFonts w:ascii="仿宋" w:eastAsia="仿宋" w:cs="宋体" w:hint="eastAsia"/>
          <w:b w:val="0"/>
          <w:bCs/>
          <w:kern w:val="0"/>
          <w:sz w:val="32"/>
          <w:szCs w:val="32"/>
          <w:lang w:val="en-US" w:eastAsia="zh-CN"/>
        </w:rPr>
        <w:t>19个</w:t>
      </w:r>
      <w:r>
        <w:rPr>
          <w:rFonts w:ascii="仿宋" w:eastAsia="仿宋" w:cs="宋体" w:hint="eastAsia"/>
          <w:b w:val="0"/>
          <w:bCs/>
          <w:kern w:val="0"/>
          <w:sz w:val="32"/>
          <w:szCs w:val="32"/>
        </w:rPr>
        <w:t>乡镇</w:t>
      </w:r>
      <w:r>
        <w:rPr>
          <w:rFonts w:ascii="仿宋" w:eastAsia="仿宋" w:cs="宋体" w:hint="eastAsia"/>
          <w:b w:val="0"/>
          <w:bCs/>
          <w:kern w:val="0"/>
          <w:sz w:val="32"/>
          <w:szCs w:val="32"/>
          <w:lang w:eastAsia="zh-CN"/>
        </w:rPr>
        <w:t>组建双拥领导小组</w:t>
      </w:r>
      <w:r>
        <w:rPr>
          <w:rFonts w:ascii="仿宋" w:eastAsia="仿宋" w:cs="宋体" w:hint="eastAsia"/>
          <w:b w:val="0"/>
          <w:bCs/>
          <w:kern w:val="0"/>
          <w:sz w:val="32"/>
          <w:szCs w:val="32"/>
        </w:rPr>
        <w:t>，</w:t>
      </w:r>
      <w:r>
        <w:rPr>
          <w:rFonts w:ascii="仿宋" w:eastAsia="仿宋" w:cs="宋体" w:hint="eastAsia"/>
          <w:b w:val="0"/>
          <w:bCs/>
          <w:kern w:val="0"/>
          <w:sz w:val="32"/>
          <w:szCs w:val="32"/>
          <w:lang w:eastAsia="zh-CN"/>
        </w:rPr>
        <w:t>每个单位及乡镇都确定了一位双拥工作联络员，确保</w:t>
      </w:r>
      <w:r>
        <w:rPr>
          <w:rFonts w:ascii="仿宋" w:eastAsia="仿宋" w:cs="宋体" w:hint="eastAsia"/>
          <w:b w:val="0"/>
          <w:bCs/>
          <w:kern w:val="0"/>
          <w:sz w:val="32"/>
          <w:szCs w:val="32"/>
        </w:rPr>
        <w:t>积极开展教育、文化、法律等方面的</w:t>
      </w:r>
      <w:r>
        <w:rPr>
          <w:rFonts w:ascii="仿宋" w:eastAsia="仿宋" w:cs="宋体" w:hint="eastAsia"/>
          <w:b w:val="0"/>
          <w:bCs/>
          <w:kern w:val="0"/>
          <w:sz w:val="32"/>
          <w:szCs w:val="32"/>
          <w:lang w:eastAsia="zh-CN"/>
        </w:rPr>
        <w:t>双拥</w:t>
      </w:r>
      <w:r>
        <w:rPr>
          <w:rFonts w:ascii="仿宋" w:eastAsia="仿宋" w:cs="宋体" w:hint="eastAsia"/>
          <w:b w:val="0"/>
          <w:bCs/>
          <w:kern w:val="0"/>
          <w:sz w:val="32"/>
          <w:szCs w:val="32"/>
        </w:rPr>
        <w:t>活动，使辖区双拥共建共享工作得到进一步推进。</w:t>
      </w:r>
    </w:p>
    <w:p>
      <w:pPr>
        <w:keepNext w:val="0"/>
        <w:keepLines w:val="0"/>
        <w:pageBreakBefore w:val="0"/>
        <w:widowControl w:val="0"/>
        <w:kinsoku/>
        <w:wordWrap/>
        <w:overflowPunct/>
        <w:topLinePunct w:val="0"/>
        <w:bidi w:val="0"/>
        <w:snapToGrid w:val="0"/>
        <w:spacing w:line="560" w:lineRule="exact"/>
        <w:ind w:left="0" w:firstLineChars="200" w:firstLine="640"/>
        <w:textAlignment w:val="auto"/>
        <w:outlineLvl w:val="1"/>
        <w:rPr>
          <w:rFonts w:ascii="楷体" w:eastAsia="楷体" w:cs="楷体"/>
          <w:b/>
          <w:bCs/>
          <w:sz w:val="32"/>
          <w:szCs w:val="32"/>
          <w:lang w:val="en-US" w:eastAsia="zh-CN"/>
        </w:rPr>
      </w:pPr>
      <w:r>
        <w:rPr>
          <w:rFonts w:ascii="楷体" w:eastAsia="楷体" w:cs="楷体" w:hint="eastAsia"/>
          <w:b/>
          <w:bCs/>
          <w:sz w:val="32"/>
          <w:szCs w:val="32"/>
          <w:lang w:val="en-US" w:eastAsia="zh-CN"/>
        </w:rPr>
        <w:t>3、</w:t>
      </w:r>
      <w:r>
        <w:rPr>
          <w:rFonts w:ascii="楷体" w:eastAsia="楷体" w:cs="楷体"/>
          <w:b/>
          <w:bCs/>
          <w:sz w:val="32"/>
          <w:szCs w:val="32"/>
          <w:lang w:val="en-US" w:eastAsia="zh-CN"/>
        </w:rPr>
        <w:t>稳步落实，定好服务退役军人工作的“主旋律”</w:t>
      </w:r>
    </w:p>
    <w:p>
      <w:pPr>
        <w:spacing w:line="560" w:lineRule="exact"/>
        <w:ind w:firstLine="640"/>
        <w:jc w:val="left"/>
        <w:rPr>
          <w:rFonts w:ascii="仿宋" w:eastAsia="仿宋" w:cs="宋体"/>
          <w:b w:val="0"/>
          <w:bCs/>
          <w:kern w:val="0"/>
          <w:sz w:val="32"/>
          <w:szCs w:val="32"/>
          <w:lang w:val="en-US" w:eastAsia="zh-CN"/>
        </w:rPr>
      </w:pPr>
      <w:r>
        <w:rPr>
          <w:rFonts w:ascii="仿宋" w:eastAsia="仿宋" w:cs="宋体" w:hint="eastAsia"/>
          <w:b w:val="0"/>
          <w:bCs/>
          <w:kern w:val="0"/>
          <w:sz w:val="32"/>
          <w:szCs w:val="32"/>
          <w:lang w:val="en-US" w:eastAsia="zh-CN"/>
        </w:rPr>
        <w:t>优抚褒扬</w:t>
      </w:r>
      <w:r>
        <w:rPr>
          <w:rFonts w:ascii="仿宋" w:eastAsia="仿宋" w:cs="宋体"/>
          <w:b w:val="0"/>
          <w:bCs/>
          <w:kern w:val="0"/>
          <w:sz w:val="32"/>
          <w:szCs w:val="32"/>
          <w:lang w:val="en-US" w:eastAsia="zh-CN"/>
        </w:rPr>
        <w:t>落到实处。</w:t>
      </w:r>
      <w:r>
        <w:rPr>
          <w:rFonts w:ascii="仿宋" w:eastAsia="仿宋" w:cs="宋体"/>
          <w:b w:val="0"/>
          <w:bCs/>
          <w:kern w:val="0"/>
          <w:sz w:val="32"/>
          <w:szCs w:val="32"/>
          <w:lang w:eastAsia="zh-CN"/>
        </w:rPr>
        <w:t>一是</w:t>
      </w:r>
      <w:r>
        <w:rPr>
          <w:rFonts w:ascii="仿宋" w:eastAsia="仿宋" w:cs="宋体"/>
          <w:b w:val="0"/>
          <w:bCs/>
          <w:kern w:val="0"/>
          <w:sz w:val="32"/>
          <w:szCs w:val="32"/>
        </w:rPr>
        <w:t>扎实做好退伍安置工作，</w:t>
      </w:r>
      <w:r>
        <w:rPr>
          <w:rFonts w:ascii="仿宋" w:eastAsia="仿宋" w:cs="宋体" w:hint="eastAsia"/>
          <w:b w:val="0"/>
          <w:bCs/>
          <w:kern w:val="0"/>
          <w:sz w:val="32"/>
          <w:szCs w:val="32"/>
          <w:lang w:val="en-US" w:eastAsia="zh-CN"/>
        </w:rPr>
        <w:t>会同县人社局对3名转业士官进行岗前培训、6名退役士兵进行适应性培训，同时为2021年接收安置的16名自主就业退役士兵发放地方一次性经济补助金</w:t>
      </w:r>
      <w:r>
        <w:rPr>
          <w:rFonts w:ascii="仿宋" w:eastAsia="仿宋" w:cs="宋体" w:hint="eastAsia"/>
          <w:b w:val="0"/>
          <w:bCs/>
          <w:kern w:val="0"/>
          <w:sz w:val="32"/>
          <w:szCs w:val="32"/>
        </w:rPr>
        <w:t>。</w:t>
      </w:r>
      <w:r>
        <w:rPr>
          <w:rFonts w:ascii="仿宋" w:eastAsia="仿宋" w:cs="宋体"/>
          <w:b w:val="0"/>
          <w:bCs/>
          <w:kern w:val="0"/>
          <w:sz w:val="32"/>
          <w:szCs w:val="32"/>
          <w:lang w:val="en-US" w:eastAsia="zh-CN"/>
        </w:rPr>
        <w:t>二是</w:t>
      </w:r>
      <w:r>
        <w:rPr>
          <w:rFonts w:ascii="仿宋" w:eastAsia="仿宋" w:cs="宋体" w:hint="eastAsia"/>
          <w:b w:val="0"/>
          <w:bCs/>
          <w:kern w:val="0"/>
          <w:sz w:val="32"/>
          <w:szCs w:val="32"/>
        </w:rPr>
        <w:t>按时、</w:t>
      </w:r>
      <w:r>
        <w:rPr>
          <w:rFonts w:ascii="仿宋" w:eastAsia="仿宋" w:cs="宋体" w:hint="eastAsia"/>
          <w:b w:val="0"/>
          <w:bCs/>
          <w:kern w:val="0"/>
          <w:sz w:val="32"/>
          <w:szCs w:val="32"/>
          <w:lang w:val="en-US" w:eastAsia="zh-CN"/>
        </w:rPr>
        <w:t>足额提高了“三红”、“三属”、革命伤残军人、老复员军人、60岁以上农村籍退役士兵和烈士子女等重点优抚对象共计292人的</w:t>
      </w:r>
      <w:r>
        <w:rPr>
          <w:rFonts w:ascii="仿宋" w:eastAsia="仿宋" w:cs="宋体" w:hint="eastAsia"/>
          <w:b w:val="0"/>
          <w:bCs/>
          <w:kern w:val="0"/>
          <w:sz w:val="32"/>
          <w:szCs w:val="32"/>
        </w:rPr>
        <w:t>定期生活补助标准和定期抚恤标准，按国</w:t>
      </w:r>
      <w:r>
        <w:rPr>
          <w:rFonts w:ascii="仿宋" w:eastAsia="仿宋" w:cs="宋体" w:hint="eastAsia"/>
          <w:b w:val="0"/>
          <w:bCs/>
          <w:kern w:val="0"/>
          <w:sz w:val="32"/>
          <w:szCs w:val="32"/>
          <w:lang w:val="en-US" w:eastAsia="zh-CN"/>
        </w:rPr>
        <w:t>家政策完善了优抚对象自然增长机制，并通过金融机构发放优抚对象定期生活补助金和定期抚恤金</w:t>
      </w:r>
      <w:r>
        <w:rPr>
          <w:rFonts w:ascii="仿宋" w:eastAsia="仿宋" w:cs="宋体" w:hint="eastAsia"/>
          <w:b w:val="0"/>
          <w:bCs/>
          <w:kern w:val="0"/>
          <w:sz w:val="32"/>
          <w:szCs w:val="32"/>
        </w:rPr>
        <w:t>。</w:t>
      </w:r>
      <w:r>
        <w:rPr>
          <w:rFonts w:ascii="仿宋" w:eastAsia="仿宋" w:cs="宋体" w:hint="eastAsia"/>
          <w:b w:val="0"/>
          <w:bCs/>
          <w:kern w:val="0"/>
          <w:sz w:val="32"/>
          <w:szCs w:val="32"/>
          <w:lang w:val="en-US" w:eastAsia="zh-CN"/>
        </w:rPr>
        <w:t>三是按照中央、省、州、县要求做好优待证申领工作，截止目前完成建档立卡信息采集1426人，办理优待证申领1165人。</w:t>
      </w:r>
    </w:p>
    <w:p>
      <w:pPr>
        <w:spacing w:line="560" w:lineRule="exact"/>
        <w:ind w:firstLine="640"/>
        <w:jc w:val="left"/>
        <w:rPr>
          <w:rFonts w:ascii="仿宋" w:eastAsia="仿宋" w:cs="宋体"/>
          <w:b w:val="0"/>
          <w:bCs/>
          <w:kern w:val="0"/>
          <w:sz w:val="32"/>
          <w:szCs w:val="32"/>
          <w:lang w:val="en-US" w:eastAsia="zh-CN"/>
        </w:rPr>
      </w:pPr>
      <w:r>
        <w:rPr>
          <w:rFonts w:ascii="仿宋" w:eastAsia="仿宋" w:cs="宋体"/>
          <w:b w:val="0"/>
          <w:bCs/>
          <w:kern w:val="0"/>
          <w:sz w:val="32"/>
          <w:szCs w:val="32"/>
          <w:lang w:val="en-US" w:eastAsia="zh-CN"/>
        </w:rPr>
        <w:t>陵园整修有序进行。一是金川县烈士陵园英雄烈士纪念设施整修工程项目。目前已完成整修烈士墓33座，迁建散葬烈士墓1</w:t>
      </w:r>
      <w:r>
        <w:rPr>
          <w:rFonts w:ascii="仿宋" w:eastAsia="仿宋" w:cs="宋体" w:hint="eastAsia"/>
          <w:b w:val="0"/>
          <w:bCs/>
          <w:kern w:val="0"/>
          <w:sz w:val="32"/>
          <w:szCs w:val="32"/>
          <w:lang w:val="en-US" w:eastAsia="zh-CN"/>
        </w:rPr>
        <w:t>1</w:t>
      </w:r>
      <w:r>
        <w:rPr>
          <w:rFonts w:ascii="仿宋" w:eastAsia="仿宋" w:cs="宋体"/>
          <w:b w:val="0"/>
          <w:bCs/>
          <w:kern w:val="0"/>
          <w:sz w:val="32"/>
          <w:szCs w:val="32"/>
          <w:lang w:val="en-US" w:eastAsia="zh-CN"/>
        </w:rPr>
        <w:t>座，建设英烈墙、整修墓碑记和红军驻留金川简介等3处，共20余平方米。二是金川县烈士陵园烈士纪念设施修缮改造项目</w:t>
      </w:r>
      <w:r>
        <w:rPr>
          <w:rFonts w:ascii="仿宋" w:eastAsia="仿宋" w:cs="宋体" w:hint="eastAsia"/>
          <w:b w:val="0"/>
          <w:bCs/>
          <w:kern w:val="0"/>
          <w:sz w:val="32"/>
          <w:szCs w:val="32"/>
          <w:lang w:val="en-US" w:eastAsia="zh-CN"/>
        </w:rPr>
        <w:t>已</w:t>
      </w:r>
      <w:r>
        <w:rPr>
          <w:rFonts w:ascii="仿宋" w:eastAsia="仿宋" w:cs="宋体"/>
          <w:b w:val="0"/>
          <w:bCs/>
          <w:kern w:val="0"/>
          <w:sz w:val="32"/>
          <w:szCs w:val="32"/>
          <w:lang w:val="en-US" w:eastAsia="zh-CN"/>
        </w:rPr>
        <w:t>签订施工合同</w:t>
      </w:r>
      <w:r>
        <w:rPr>
          <w:rFonts w:ascii="仿宋" w:eastAsia="仿宋" w:cs="宋体" w:hint="eastAsia"/>
          <w:b w:val="0"/>
          <w:bCs/>
          <w:kern w:val="0"/>
          <w:sz w:val="32"/>
          <w:szCs w:val="32"/>
          <w:lang w:val="en-US" w:eastAsia="zh-CN"/>
        </w:rPr>
        <w:t>，目前</w:t>
      </w:r>
      <w:r>
        <w:rPr>
          <w:rFonts w:ascii="仿宋" w:eastAsia="仿宋" w:cs="宋体"/>
          <w:b w:val="0"/>
          <w:bCs/>
          <w:kern w:val="0"/>
          <w:sz w:val="32"/>
          <w:szCs w:val="32"/>
          <w:lang w:val="en-US" w:eastAsia="zh-CN"/>
        </w:rPr>
        <w:t>已完成三通一平，中标公司和施工队进场施工水、电、步道</w:t>
      </w:r>
      <w:r>
        <w:rPr>
          <w:rFonts w:ascii="仿宋" w:eastAsia="仿宋" w:cs="宋体" w:hint="eastAsia"/>
          <w:b w:val="0"/>
          <w:bCs/>
          <w:kern w:val="0"/>
          <w:sz w:val="32"/>
          <w:szCs w:val="32"/>
          <w:lang w:val="en-US" w:eastAsia="zh-CN"/>
        </w:rPr>
        <w:t>、</w:t>
      </w:r>
      <w:r>
        <w:rPr>
          <w:rFonts w:ascii="仿宋" w:eastAsia="仿宋" w:cs="宋体"/>
          <w:b w:val="0"/>
          <w:bCs/>
          <w:kern w:val="0"/>
          <w:sz w:val="32"/>
          <w:szCs w:val="32"/>
          <w:lang w:val="en-US" w:eastAsia="zh-CN"/>
        </w:rPr>
        <w:t>广场</w:t>
      </w:r>
      <w:r>
        <w:rPr>
          <w:rFonts w:ascii="仿宋" w:eastAsia="仿宋" w:cs="宋体" w:hint="eastAsia"/>
          <w:b w:val="0"/>
          <w:bCs/>
          <w:kern w:val="0"/>
          <w:sz w:val="32"/>
          <w:szCs w:val="32"/>
          <w:lang w:val="en-US" w:eastAsia="zh-CN"/>
        </w:rPr>
        <w:t>、</w:t>
      </w:r>
      <w:r>
        <w:rPr>
          <w:rFonts w:ascii="仿宋" w:eastAsia="仿宋" w:cs="宋体"/>
          <w:b w:val="0"/>
          <w:bCs/>
          <w:kern w:val="0"/>
          <w:sz w:val="32"/>
          <w:szCs w:val="32"/>
          <w:lang w:val="en-US" w:eastAsia="zh-CN"/>
        </w:rPr>
        <w:t>纪念碑</w:t>
      </w:r>
      <w:r>
        <w:rPr>
          <w:rFonts w:ascii="仿宋" w:eastAsia="仿宋" w:cs="宋体" w:hint="eastAsia"/>
          <w:b w:val="0"/>
          <w:bCs/>
          <w:kern w:val="0"/>
          <w:sz w:val="32"/>
          <w:szCs w:val="32"/>
          <w:lang w:val="en-US" w:eastAsia="zh-CN"/>
        </w:rPr>
        <w:t>、</w:t>
      </w:r>
      <w:r>
        <w:rPr>
          <w:rFonts w:ascii="仿宋" w:eastAsia="仿宋" w:cs="宋体"/>
          <w:b w:val="0"/>
          <w:bCs/>
          <w:kern w:val="0"/>
          <w:sz w:val="32"/>
          <w:szCs w:val="32"/>
          <w:lang w:val="en-US" w:eastAsia="zh-CN"/>
        </w:rPr>
        <w:t>陈列馆大门</w:t>
      </w:r>
      <w:r>
        <w:rPr>
          <w:rFonts w:ascii="仿宋" w:eastAsia="仿宋" w:cs="宋体" w:hint="eastAsia"/>
          <w:b w:val="0"/>
          <w:bCs/>
          <w:kern w:val="0"/>
          <w:sz w:val="32"/>
          <w:szCs w:val="32"/>
          <w:lang w:val="en-US" w:eastAsia="zh-CN"/>
        </w:rPr>
        <w:t>、</w:t>
      </w:r>
      <w:r>
        <w:rPr>
          <w:rFonts w:ascii="仿宋" w:eastAsia="仿宋" w:cs="宋体"/>
          <w:b w:val="0"/>
          <w:bCs/>
          <w:kern w:val="0"/>
          <w:sz w:val="32"/>
          <w:szCs w:val="32"/>
          <w:lang w:val="en-US" w:eastAsia="zh-CN"/>
        </w:rPr>
        <w:t>耳房</w:t>
      </w:r>
      <w:r>
        <w:rPr>
          <w:rFonts w:ascii="仿宋" w:eastAsia="仿宋" w:cs="宋体" w:hint="eastAsia"/>
          <w:b w:val="0"/>
          <w:bCs/>
          <w:kern w:val="0"/>
          <w:sz w:val="32"/>
          <w:szCs w:val="32"/>
          <w:lang w:val="en-US" w:eastAsia="zh-CN"/>
        </w:rPr>
        <w:t>、</w:t>
      </w:r>
      <w:r>
        <w:rPr>
          <w:rFonts w:ascii="仿宋" w:eastAsia="仿宋" w:cs="宋体"/>
          <w:b w:val="0"/>
          <w:bCs/>
          <w:kern w:val="0"/>
          <w:sz w:val="32"/>
          <w:szCs w:val="32"/>
          <w:lang w:val="en-US" w:eastAsia="zh-CN"/>
        </w:rPr>
        <w:t>凉亭等附属设施已完成</w:t>
      </w:r>
      <w:r>
        <w:rPr>
          <w:rFonts w:ascii="仿宋" w:eastAsia="仿宋" w:cs="宋体" w:hint="eastAsia"/>
          <w:b w:val="0"/>
          <w:bCs/>
          <w:kern w:val="0"/>
          <w:sz w:val="32"/>
          <w:szCs w:val="32"/>
          <w:lang w:val="en-US" w:eastAsia="zh-CN"/>
        </w:rPr>
        <w:t>，</w:t>
      </w:r>
      <w:r>
        <w:rPr>
          <w:rFonts w:ascii="仿宋" w:eastAsia="仿宋" w:cs="宋体"/>
          <w:b w:val="0"/>
          <w:bCs/>
          <w:kern w:val="0"/>
          <w:sz w:val="32"/>
          <w:szCs w:val="32"/>
          <w:lang w:val="en-US" w:eastAsia="zh-CN"/>
        </w:rPr>
        <w:t>大门、梯步栏杆、排水正在施工等。</w:t>
      </w:r>
    </w:p>
    <w:p>
      <w:pPr>
        <w:spacing w:line="560" w:lineRule="exact"/>
        <w:ind w:firstLine="640"/>
        <w:jc w:val="left"/>
        <w:rPr>
          <w:rFonts w:ascii="仿宋" w:eastAsia="仿宋" w:cs="宋体"/>
          <w:b w:val="0"/>
          <w:bCs/>
          <w:kern w:val="0"/>
          <w:sz w:val="32"/>
          <w:szCs w:val="32"/>
          <w:lang w:val="en-US" w:eastAsia="zh-CN"/>
        </w:rPr>
      </w:pPr>
      <w:r>
        <w:rPr>
          <w:rFonts w:ascii="仿宋" w:eastAsia="仿宋" w:cs="宋体" w:hint="eastAsia"/>
          <w:b w:val="0"/>
          <w:bCs/>
          <w:kern w:val="0"/>
          <w:sz w:val="32"/>
          <w:szCs w:val="32"/>
          <w:lang w:val="en-US" w:eastAsia="zh-CN"/>
        </w:rPr>
        <w:t>信访</w:t>
      </w:r>
      <w:r>
        <w:rPr>
          <w:rFonts w:ascii="仿宋" w:eastAsia="仿宋" w:cs="宋体"/>
          <w:b w:val="0"/>
          <w:bCs/>
          <w:kern w:val="0"/>
          <w:sz w:val="32"/>
          <w:szCs w:val="32"/>
          <w:lang w:val="en-US" w:eastAsia="zh-CN"/>
        </w:rPr>
        <w:t>工作扎实开展。坚持问题导向，强化责任担当，悉心倾听退役军人诉求，下大力“理思路、定措施”，着力于解决矛盾问题，重视思想交流，常态化联系做好重点人员心理疏导，主动与各类涉军群体重点人员，重点乡镇进行联系，多次到重点人员家中走访谈心，化解矛盾于本地</w:t>
      </w:r>
      <w:r>
        <w:rPr>
          <w:rFonts w:ascii="仿宋" w:eastAsia="仿宋" w:cs="宋体" w:hint="eastAsia"/>
          <w:b w:val="0"/>
          <w:bCs/>
          <w:kern w:val="0"/>
          <w:sz w:val="32"/>
          <w:szCs w:val="32"/>
          <w:lang w:val="en-US" w:eastAsia="zh-CN"/>
        </w:rPr>
        <w:t>，</w:t>
      </w:r>
      <w:r>
        <w:rPr>
          <w:rFonts w:ascii="仿宋" w:eastAsia="仿宋" w:cs="宋体"/>
          <w:b w:val="0"/>
          <w:bCs/>
          <w:kern w:val="0"/>
          <w:sz w:val="32"/>
          <w:szCs w:val="32"/>
          <w:lang w:val="en-US" w:eastAsia="zh-CN"/>
        </w:rPr>
        <w:t>实现我县涉军群体无越级上访，无越级集访，重要节点无赴省进京非访集访，为维护社会稳定做出了积极贡献。</w:t>
      </w:r>
    </w:p>
    <w:p>
      <w:pPr>
        <w:pStyle w:val="2"/>
        <w:keepNext/>
        <w:keepLines/>
        <w:pageBreakBefore w:val="0"/>
        <w:widowControl w:val="0"/>
        <w:kinsoku/>
        <w:wordWrap/>
        <w:overflowPunct/>
        <w:topLinePunct w:val="0"/>
        <w:bidi w:val="0"/>
        <w:spacing w:after="0" w:line="576" w:lineRule="exact"/>
        <w:rPr>
          <w:rStyle w:val="2Char"/>
          <w:rFonts w:ascii="Times New Roman" w:eastAsia="方正黑体_GBK" w:cs="Times New Roman" w:hAnsi="Times New Roman"/>
          <w:b w:val="0"/>
          <w:bCs w:val="0"/>
        </w:rPr>
      </w:pPr>
      <w:r>
        <w:rPr>
          <w:rFonts w:ascii="Times New Roman" w:eastAsia="黑体" w:cs="Times New Roman" w:hAnsi="Times New Roman"/>
          <w:b w:val="0"/>
          <w:color w:val="000000"/>
          <w:lang w:val="en-US" w:eastAsia="zh-CN"/>
        </w:rPr>
        <w:t xml:space="preserve">   </w:t>
      </w:r>
      <w:bookmarkStart w:id="26" w:name="_Toc15377200"/>
      <w:bookmarkStart w:id="27" w:name="_Toc15396601"/>
      <w:bookmarkStart w:id="28" w:name="_Toc26843606"/>
      <w:bookmarkEnd w:id="24"/>
      <w:bookmarkEnd w:id="25"/>
      <w:r>
        <w:rPr>
          <w:rStyle w:val="2Char"/>
          <w:rFonts w:ascii="Times New Roman" w:eastAsia="黑体" w:cs="Times New Roman" w:hAnsi="Times New Roman"/>
          <w:b w:val="0"/>
          <w:bCs w:val="0"/>
        </w:rPr>
        <w:t>二、机构设置</w:t>
      </w:r>
      <w:bookmarkEnd w:id="26"/>
      <w:bookmarkEnd w:id="27"/>
      <w:bookmarkEnd w:id="28"/>
    </w:p>
    <w:p>
      <w:pPr>
        <w:keepNext w:val="0"/>
        <w:keepLines w:val="0"/>
        <w:pageBreakBefore w:val="0"/>
        <w:widowControl w:val="0"/>
        <w:kinsoku/>
        <w:wordWrap/>
        <w:overflowPunct/>
        <w:topLinePunct w:val="0"/>
        <w:bidi w:val="0"/>
        <w:snapToGrid w:val="0"/>
        <w:spacing w:line="560" w:lineRule="exact"/>
        <w:ind w:left="0" w:firstLineChars="200" w:firstLine="640"/>
        <w:textAlignment w:val="auto"/>
        <w:outlineLvl w:val="1"/>
        <w:rPr>
          <w:rFonts w:ascii="仿宋" w:eastAsia="仿宋" w:hint="eastAsia"/>
          <w:b w:val="0"/>
          <w:sz w:val="32"/>
          <w:szCs w:val="32"/>
          <w:lang w:val="en-US" w:eastAsia="zh-CN"/>
        </w:rPr>
      </w:pPr>
      <w:bookmarkStart w:id="29" w:name="_Toc7233"/>
      <w:r>
        <w:rPr>
          <w:rFonts w:ascii="仿宋" w:eastAsia="仿宋" w:hint="eastAsia"/>
          <w:b w:val="0"/>
          <w:sz w:val="32"/>
          <w:szCs w:val="32"/>
          <w:lang w:val="en-US" w:eastAsia="zh-CN"/>
        </w:rPr>
        <w:t>金川县退役军人事务局属于行政部门，由退役军人事务局及退役军人服务中心组成，设统一核算机构2个，独立编制机构2个，其中：公务员编制4个，事业编制4个；2022年末，单位实有人数8人，其中：在职8人（公务员4人、事业管理4人）。</w:t>
      </w:r>
      <w:bookmarkEnd w:id="29"/>
    </w:p>
    <w:p>
      <w:pPr>
        <w:keepNext w:val="0"/>
        <w:keepLines w:val="0"/>
        <w:pageBreakBefore w:val="0"/>
        <w:widowControl/>
        <w:kinsoku/>
        <w:wordWrap/>
        <w:overflowPunct/>
        <w:topLinePunct w:val="0"/>
        <w:autoSpaceDE/>
        <w:autoSpaceDN/>
        <w:bidi w:val="0"/>
        <w:adjustRightInd/>
        <w:snapToGrid/>
        <w:spacing w:line="576" w:lineRule="exact"/>
        <w:ind w:firstLineChars="200" w:firstLine="640"/>
        <w:jc w:val="left"/>
        <w:textAlignment w:val="auto"/>
        <w:rPr>
          <w:rFonts w:ascii="Times New Roman" w:eastAsia="仿宋" w:cs="Times New Roman" w:hAnsi="Times New Roman"/>
          <w:kern w:val="0"/>
          <w:sz w:val="32"/>
          <w:szCs w:val="32"/>
        </w:rPr>
      </w:pPr>
      <w:r>
        <w:rPr>
          <w:rFonts w:ascii="Times New Roman" w:eastAsia="仿宋" w:cs="Times New Roman" w:hAnsi="Times New Roman"/>
          <w:sz w:val="32"/>
          <w:szCs w:val="32"/>
        </w:rPr>
        <w:br w:type="page"/>
      </w:r>
    </w:p>
    <w:p>
      <w:pPr>
        <w:pStyle w:val="1"/>
        <w:keepNext/>
        <w:keepLines/>
        <w:pageBreakBefore w:val="0"/>
        <w:widowControl w:val="0"/>
        <w:kinsoku/>
        <w:wordWrap/>
        <w:overflowPunct/>
        <w:topLinePunct w:val="0"/>
        <w:bidi w:val="0"/>
        <w:spacing w:line="576" w:lineRule="exact"/>
        <w:ind w:right="440"/>
        <w:jc w:val="center"/>
        <w:rPr>
          <w:rStyle w:val="1Char"/>
          <w:rFonts w:ascii="Times New Roman" w:eastAsia="黑体" w:cs="Times New Roman" w:hAnsi="Times New Roman"/>
          <w:b w:val="0"/>
          <w:bCs/>
        </w:rPr>
      </w:pPr>
      <w:bookmarkStart w:id="30" w:name="_Toc15377204"/>
      <w:bookmarkStart w:id="31" w:name="_Toc26843607"/>
      <w:bookmarkStart w:id="32" w:name="_Toc15396602"/>
      <w:r>
        <w:rPr>
          <w:rFonts w:ascii="Times New Roman" w:eastAsia="黑体" w:cs="Times New Roman" w:hAnsi="Times New Roman"/>
          <w:b w:val="0"/>
        </w:rPr>
        <w:t>第二部分 202</w:t>
      </w:r>
      <w:r>
        <w:rPr>
          <w:rFonts w:eastAsia="黑体" w:cs="Times New Roman" w:hint="eastAsia"/>
          <w:b w:val="0"/>
          <w:lang w:val="en-US" w:eastAsia="zh-CN"/>
        </w:rPr>
        <w:t>2</w:t>
      </w:r>
      <w:r>
        <w:rPr>
          <w:rFonts w:ascii="Times New Roman" w:eastAsia="黑体" w:cs="Times New Roman" w:hAnsi="Times New Roman"/>
          <w:b w:val="0"/>
        </w:rPr>
        <w:t>年度</w:t>
      </w:r>
      <w:r>
        <w:rPr>
          <w:rFonts w:ascii="Times New Roman" w:eastAsia="黑体" w:cs="Times New Roman" w:hAnsi="Times New Roman"/>
          <w:b w:val="0"/>
          <w:kern w:val="44"/>
          <w:sz w:val="44"/>
          <w:szCs w:val="44"/>
        </w:rPr>
        <w:t>部门决算情况说明</w:t>
      </w:r>
      <w:bookmarkEnd w:id="30"/>
      <w:bookmarkEnd w:id="31"/>
      <w:bookmarkEnd w:id="32"/>
    </w:p>
    <w:p>
      <w:pPr>
        <w:pageBreakBefore w:val="0"/>
        <w:widowControl w:val="0"/>
        <w:kinsoku/>
        <w:wordWrap/>
        <w:overflowPunct/>
        <w:topLinePunct w:val="0"/>
        <w:bidi w:val="0"/>
        <w:spacing w:line="576" w:lineRule="exact"/>
        <w:rPr>
          <w:rFonts w:ascii="Times New Roman" w:cs="Times New Roman" w:hAnsi="Times New Roman"/>
        </w:rPr>
      </w:pPr>
    </w:p>
    <w:p>
      <w:pPr>
        <w:pStyle w:val="35"/>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33" w:name="_Toc15377205"/>
      <w:bookmarkStart w:id="34" w:name="_Toc26843608"/>
      <w:bookmarkStart w:id="35" w:name="_Toc15396603"/>
      <w:r>
        <w:rPr>
          <w:rFonts w:ascii="Times New Roman" w:eastAsia="黑体" w:cs="Times New Roman" w:hAnsi="Times New Roman"/>
          <w:sz w:val="32"/>
          <w:szCs w:val="32"/>
        </w:rPr>
        <w:t>收</w:t>
      </w:r>
      <w:r>
        <w:rPr>
          <w:rStyle w:val="2Char"/>
          <w:rFonts w:ascii="Times New Roman" w:eastAsia="黑体" w:cs="Times New Roman" w:hAnsi="Times New Roman"/>
          <w:b w:val="0"/>
        </w:rPr>
        <w:t>入支出决算总体情况说明</w:t>
      </w:r>
      <w:bookmarkEnd w:id="33"/>
      <w:bookmarkEnd w:id="34"/>
      <w:bookmarkEnd w:id="35"/>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年度收、支总计</w:t>
      </w:r>
      <w:r>
        <w:rPr>
          <w:rFonts w:ascii="仿宋" w:eastAsia="仿宋" w:hint="eastAsia"/>
          <w:b w:val="0"/>
          <w:bCs/>
          <w:sz w:val="32"/>
          <w:szCs w:val="32"/>
          <w:lang w:val="en-US" w:eastAsia="zh-CN"/>
        </w:rPr>
        <w:t>1069.67</w:t>
      </w:r>
      <w:r>
        <w:rPr>
          <w:rFonts w:ascii="Times New Roman" w:eastAsia="仿宋_GB2312" w:cs="Times New Roman" w:hAnsi="Times New Roman"/>
          <w:sz w:val="32"/>
          <w:szCs w:val="32"/>
        </w:rPr>
        <w:t>万元。与202</w:t>
      </w:r>
      <w:r>
        <w:rPr>
          <w:rFonts w:eastAsia="仿宋_GB2312" w:cs="Times New Roman" w:hint="eastAsia"/>
          <w:sz w:val="32"/>
          <w:szCs w:val="32"/>
          <w:lang w:val="en-US" w:eastAsia="zh-CN"/>
        </w:rPr>
        <w:t>1</w:t>
      </w:r>
      <w:r>
        <w:rPr>
          <w:rFonts w:ascii="Times New Roman" w:eastAsia="仿宋_GB2312" w:cs="Times New Roman" w:hAnsi="Times New Roman"/>
          <w:sz w:val="32"/>
          <w:szCs w:val="32"/>
        </w:rPr>
        <w:t>年相比，收、支总计各增加</w:t>
      </w:r>
      <w:r>
        <w:rPr>
          <w:rFonts w:eastAsia="仿宋_GB2312" w:cs="Times New Roman" w:hint="eastAsia"/>
          <w:sz w:val="32"/>
          <w:szCs w:val="32"/>
          <w:lang w:val="en-US" w:eastAsia="zh-CN"/>
        </w:rPr>
        <w:t>174.69</w:t>
      </w:r>
      <w:r>
        <w:rPr>
          <w:rFonts w:ascii="Times New Roman" w:eastAsia="仿宋_GB2312" w:cs="Times New Roman" w:hAnsi="Times New Roman"/>
          <w:sz w:val="32"/>
          <w:szCs w:val="32"/>
        </w:rPr>
        <w:t>万元，增长</w:t>
      </w:r>
      <w:r>
        <w:rPr>
          <w:rFonts w:eastAsia="仿宋_GB2312" w:cs="Times New Roman" w:hint="eastAsia"/>
          <w:sz w:val="32"/>
          <w:szCs w:val="32"/>
          <w:lang w:val="en-US" w:eastAsia="zh-CN"/>
        </w:rPr>
        <w:t>19.52</w:t>
      </w:r>
      <w:r>
        <w:rPr>
          <w:rFonts w:ascii="Times New Roman" w:eastAsia="仿宋_GB2312" w:cs="Times New Roman" w:hAnsi="Times New Roman"/>
          <w:sz w:val="32"/>
          <w:szCs w:val="32"/>
        </w:rPr>
        <w:t>%。主要变动原因</w:t>
      </w:r>
      <w:r>
        <w:rPr>
          <w:rFonts w:ascii="Times New Roman" w:eastAsia="仿宋_GB2312" w:cs="Times New Roman" w:hAnsi="Times New Roman" w:hint="eastAsia"/>
          <w:sz w:val="32"/>
          <w:szCs w:val="32"/>
          <w:lang w:eastAsia="zh-CN"/>
        </w:rPr>
        <w:t>：</w:t>
      </w:r>
      <w:r>
        <w:rPr>
          <w:rFonts w:ascii="Times New Roman" w:eastAsia="仿宋_GB2312" w:cs="Times New Roman" w:hAnsi="Times New Roman"/>
          <w:sz w:val="32"/>
          <w:szCs w:val="32"/>
        </w:rPr>
        <w:t>一是202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w:t>
      </w:r>
      <w:r>
        <w:rPr>
          <w:rFonts w:eastAsia="仿宋_GB2312" w:cs="Times New Roman" w:hint="eastAsia"/>
          <w:sz w:val="32"/>
          <w:szCs w:val="32"/>
          <w:lang w:val="en-US" w:eastAsia="zh-CN"/>
        </w:rPr>
        <w:t>增加了专项工程项目及</w:t>
      </w:r>
      <w:r>
        <w:rPr>
          <w:rFonts w:ascii="Times New Roman" w:eastAsia="仿宋_GB2312" w:cs="Times New Roman" w:hAnsi="Times New Roman" w:hint="eastAsia"/>
          <w:sz w:val="32"/>
          <w:szCs w:val="32"/>
          <w:lang w:val="en-US" w:eastAsia="zh-CN"/>
        </w:rPr>
        <w:t>优抚对象的补助标准提高，导致项目支出相应的增加；</w:t>
      </w:r>
      <w:r>
        <w:rPr>
          <w:rFonts w:ascii="Times New Roman" w:eastAsia="仿宋_GB2312" w:cs="Times New Roman" w:hAnsi="Times New Roman"/>
          <w:sz w:val="32"/>
          <w:szCs w:val="32"/>
        </w:rPr>
        <w:t>二是</w:t>
      </w:r>
      <w:r>
        <w:rPr>
          <w:rFonts w:ascii="仿宋_GB2312" w:eastAsia="仿宋_GB2312" w:cs="Times New Roman" w:hint="eastAsia"/>
          <w:bCs/>
          <w:color w:val="auto"/>
          <w:sz w:val="32"/>
          <w:szCs w:val="32"/>
          <w:lang w:val="zh-CN"/>
        </w:rPr>
        <w:t>人员工资晋级晋档、调整津补贴等原因，导致工资、养老保险、</w:t>
      </w:r>
      <w:r>
        <w:rPr>
          <w:rFonts w:ascii="仿宋_GB2312" w:cs="Times New Roman" w:hAnsi="仿宋_GB2312" w:hint="eastAsia"/>
          <w:bCs/>
          <w:color w:val="auto"/>
          <w:sz w:val="32"/>
          <w:szCs w:val="32"/>
          <w:lang w:val="en-US" w:eastAsia="zh-CN"/>
        </w:rPr>
        <w:t>职业</w:t>
      </w:r>
      <w:r>
        <w:rPr>
          <w:rFonts w:ascii="仿宋_GB2312" w:eastAsia="仿宋_GB2312" w:cs="Times New Roman" w:hint="eastAsia"/>
          <w:bCs/>
          <w:color w:val="auto"/>
          <w:sz w:val="32"/>
          <w:szCs w:val="32"/>
          <w:lang w:val="zh-CN"/>
        </w:rPr>
        <w:t>年金、公积金等支出相应增加，导致基本支出和收入都相应增加</w:t>
      </w:r>
      <w:r>
        <w:rPr>
          <w:rFonts w:ascii="Times New Roman" w:eastAsia="仿宋_GB2312" w:cs="Times New Roman" w:hAnsi="Times New Roman"/>
          <w:sz w:val="32"/>
          <w:szCs w:val="32"/>
          <w:lang w:val="en-US" w:eastAsia="zh-CN"/>
        </w:rPr>
        <w:t>。</w:t>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r>
        <w:rPr>
          <w:rFonts w:ascii="Times New Roman" w:eastAsia="仿宋" w:cs="Times New Roman" w:hAnsi="Times New Roman" w:hint="eastAsia"/>
          <w:sz w:val="32"/>
          <w:szCs w:val="32"/>
          <w:lang w:eastAsia="zh-CN"/>
        </w:rPr>
        <w:drawing>
          <wp:anchor distT="0" distB="0" distL="114300" distR="114300" simplePos="0" relativeHeight="17" behindDoc="0" locked="0" layoutInCell="1" hidden="0" allowOverlap="1">
            <wp:simplePos x="0" y="0"/>
            <wp:positionH relativeFrom="column">
              <wp:posOffset>170179</wp:posOffset>
            </wp:positionH>
            <wp:positionV relativeFrom="paragraph">
              <wp:posOffset>172085</wp:posOffset>
            </wp:positionV>
            <wp:extent cx="4852670" cy="2647315"/>
            <wp:effectExtent l="0" t="0" r="43" b="23"/>
            <wp:wrapSquare wrapText="bothSides"/>
            <wp:docPr id="1" name="图表 5"/>
            <wp:cNvGraphicFramePr>
              <a:graphicFrameLocks noChangeAspect="0"/>
            </wp:cNvGraphicFramePr>
            <a:graphic>
              <a:graphicData uri="http://schemas.openxmlformats.org/drawingml/2006/chart">
                <c:chart xmlns:c="http://schemas.openxmlformats.org/drawingml/2006/chart" r:id="rId4"/>
              </a:graphicData>
            </a:graphic>
          </wp:anchor>
        </w:drawing>
      </w:r>
    </w:p>
    <w:p>
      <w:pPr>
        <w:pageBreakBefore w:val="0"/>
        <w:widowControl w:val="0"/>
        <w:kinsoku/>
        <w:wordWrap/>
        <w:overflowPunct/>
        <w:topLinePunct w:val="0"/>
        <w:bidi w:val="0"/>
        <w:spacing w:line="576" w:lineRule="exact"/>
        <w:ind w:firstLineChars="200" w:firstLine="640"/>
        <w:rPr>
          <w:rFonts w:ascii="Times New Roman" w:cs="Times New Roman" w:hAnsi="Times New Roman"/>
        </w:rPr>
      </w:pPr>
      <w:r>
        <w:rPr>
          <w:rFonts w:ascii="Times New Roman" w:eastAsia="仿宋_GB2312" w:cs="Times New Roman" w:hAnsi="Times New Roman"/>
          <w:color w:val="auto"/>
          <w:sz w:val="32"/>
          <w:szCs w:val="32"/>
        </w:rPr>
        <w:t>（图1：收、支决算总计变动情况图）（柱状图）</w:t>
      </w:r>
    </w:p>
    <w:p>
      <w:pPr>
        <w:pStyle w:val="35"/>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36" w:name="_Toc15396604"/>
      <w:bookmarkStart w:id="37" w:name="_Toc15377206"/>
      <w:bookmarkStart w:id="38" w:name="_Toc26843609"/>
      <w:r>
        <w:rPr>
          <w:rFonts w:ascii="Times New Roman" w:eastAsia="黑体" w:cs="Times New Roman" w:hAnsi="Times New Roman"/>
          <w:sz w:val="32"/>
          <w:szCs w:val="32"/>
        </w:rPr>
        <w:t>收</w:t>
      </w:r>
      <w:r>
        <w:rPr>
          <w:rStyle w:val="2Char"/>
          <w:rFonts w:ascii="Times New Roman" w:eastAsia="黑体" w:cs="Times New Roman" w:hAnsi="Times New Roman"/>
          <w:b w:val="0"/>
        </w:rPr>
        <w:t>入决算情况说明</w:t>
      </w:r>
      <w:bookmarkEnd w:id="36"/>
      <w:bookmarkEnd w:id="37"/>
      <w:bookmarkEnd w:id="38"/>
    </w:p>
    <w:p>
      <w:pPr>
        <w:pageBreakBefore w:val="0"/>
        <w:widowControl w:val="0"/>
        <w:kinsoku/>
        <w:wordWrap/>
        <w:overflowPunct/>
        <w:topLinePunct w:val="0"/>
        <w:bidi w:val="0"/>
        <w:spacing w:line="576" w:lineRule="exact"/>
        <w:ind w:firstLineChars="200" w:firstLine="640"/>
        <w:outlineLvl w:val="1"/>
        <w:rPr>
          <w:rFonts w:ascii="Times New Roman" w:eastAsia="仿宋" w:cs="Times New Roman" w:hAnsi="Times New Roman"/>
          <w:sz w:val="32"/>
          <w:szCs w:val="32"/>
        </w:rPr>
      </w:pPr>
      <w:bookmarkStart w:id="39" w:name="_Toc26843610"/>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年度收入合计</w:t>
      </w:r>
      <w:r>
        <w:rPr>
          <w:rFonts w:ascii="仿宋" w:eastAsia="仿宋" w:hint="eastAsia"/>
          <w:b w:val="0"/>
          <w:bCs/>
          <w:sz w:val="32"/>
          <w:szCs w:val="32"/>
          <w:lang w:val="en-US" w:eastAsia="zh-CN"/>
        </w:rPr>
        <w:t>1069.67</w:t>
      </w:r>
      <w:r>
        <w:rPr>
          <w:rFonts w:ascii="Times New Roman" w:eastAsia="仿宋_GB2312" w:cs="Times New Roman" w:hAnsi="Times New Roman"/>
          <w:sz w:val="32"/>
          <w:szCs w:val="32"/>
        </w:rPr>
        <w:t>万元，其中：一般公共预算财政拨款收入</w:t>
      </w:r>
      <w:r>
        <w:rPr>
          <w:rFonts w:ascii="仿宋" w:eastAsia="仿宋" w:hint="eastAsia"/>
          <w:b w:val="0"/>
          <w:bCs/>
          <w:sz w:val="32"/>
          <w:szCs w:val="32"/>
          <w:lang w:val="en-US" w:eastAsia="zh-CN"/>
        </w:rPr>
        <w:t>889.67</w:t>
      </w:r>
      <w:r>
        <w:rPr>
          <w:rFonts w:ascii="Times New Roman" w:eastAsia="仿宋_GB2312" w:cs="Times New Roman" w:hAnsi="Times New Roman"/>
          <w:sz w:val="32"/>
          <w:szCs w:val="32"/>
        </w:rPr>
        <w:t>万元，占</w:t>
      </w:r>
      <w:r>
        <w:rPr>
          <w:rFonts w:eastAsia="仿宋_GB2312" w:cs="Times New Roman" w:hint="eastAsia"/>
          <w:sz w:val="32"/>
          <w:szCs w:val="32"/>
          <w:lang w:val="en-US" w:eastAsia="zh-CN"/>
        </w:rPr>
        <w:t>83.17</w:t>
      </w:r>
      <w:r>
        <w:rPr>
          <w:rFonts w:ascii="Times New Roman" w:eastAsia="仿宋_GB2312" w:cs="Times New Roman" w:hAnsi="Times New Roman"/>
          <w:sz w:val="32"/>
          <w:szCs w:val="32"/>
        </w:rPr>
        <w:t>%；政府性基金预算财政拨款收入</w:t>
      </w:r>
      <w:r>
        <w:rPr>
          <w:rFonts w:eastAsia="仿宋_GB2312" w:cs="Times New Roman" w:hint="eastAsia"/>
          <w:sz w:val="32"/>
          <w:szCs w:val="32"/>
          <w:lang w:val="en-US" w:eastAsia="zh-CN"/>
        </w:rPr>
        <w:t>180</w:t>
      </w:r>
      <w:r>
        <w:rPr>
          <w:rFonts w:ascii="Times New Roman" w:eastAsia="仿宋_GB2312" w:cs="Times New Roman" w:hAnsi="Times New Roman"/>
          <w:sz w:val="32"/>
          <w:szCs w:val="32"/>
        </w:rPr>
        <w:t>万元，占</w:t>
      </w:r>
      <w:r>
        <w:rPr>
          <w:rFonts w:eastAsia="仿宋_GB2312" w:cs="Times New Roman" w:hint="eastAsia"/>
          <w:sz w:val="32"/>
          <w:szCs w:val="32"/>
          <w:lang w:val="en-US" w:eastAsia="zh-CN"/>
        </w:rPr>
        <w:t>16.83</w:t>
      </w:r>
      <w:r>
        <w:rPr>
          <w:rFonts w:ascii="Times New Roman" w:eastAsia="仿宋_GB2312" w:cs="Times New Roman" w:hAnsi="Times New Roman"/>
          <w:sz w:val="32"/>
          <w:szCs w:val="32"/>
        </w:rPr>
        <w:t>%；国有资本经营预算财政拨款收入0万元，占0%；上级补助收入0万元，占0%；事业收入0万元，占0%；经营收入0万元，占0%；附属单位上缴收入0万元，占0%；其他收入0万元，占0%。</w:t>
      </w:r>
      <w:bookmarkEnd w:id="39"/>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 w:cs="Times New Roman" w:hAnsi="Times New Roman" w:hint="eastAsia"/>
          <w:color w:val="FF0000"/>
          <w:sz w:val="32"/>
          <w:szCs w:val="32"/>
          <w:lang w:eastAsia="zh-CN"/>
        </w:rPr>
        <w:drawing>
          <wp:anchor distT="0" distB="0" distL="114300" distR="114300" simplePos="0" relativeHeight="19" behindDoc="0" locked="0" layoutInCell="1" hidden="0" allowOverlap="1">
            <wp:simplePos x="0" y="0"/>
            <wp:positionH relativeFrom="column">
              <wp:posOffset>111125</wp:posOffset>
            </wp:positionH>
            <wp:positionV relativeFrom="paragraph">
              <wp:posOffset>15240</wp:posOffset>
            </wp:positionV>
            <wp:extent cx="4916804" cy="2437765"/>
            <wp:effectExtent l="0" t="0" r="21" b="26"/>
            <wp:wrapSquare wrapText="bothSides"/>
            <wp:docPr id="2" name="图表 6"/>
            <wp:cNvGraphicFramePr>
              <a:graphicFrameLocks noChangeAspect="0"/>
            </wp:cNvGraphicFramePr>
            <a:graphic>
              <a:graphicData uri="http://schemas.openxmlformats.org/drawingml/2006/chart">
                <c:chart xmlns:c="http://schemas.openxmlformats.org/drawingml/2006/chart" r:id="rId5"/>
              </a:graphicData>
            </a:graphic>
          </wp:anchor>
        </w:drawing>
      </w:r>
    </w:p>
    <w:p>
      <w:pPr>
        <w:pageBreakBefore w:val="0"/>
        <w:widowControl w:val="0"/>
        <w:kinsoku/>
        <w:wordWrap/>
        <w:overflowPunct/>
        <w:topLinePunct w:val="0"/>
        <w:bidi w:val="0"/>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color w:val="auto"/>
          <w:sz w:val="32"/>
          <w:szCs w:val="32"/>
        </w:rPr>
        <w:t>（图2：收入决算结构图）（饼状图）</w:t>
      </w:r>
    </w:p>
    <w:p>
      <w:pPr>
        <w:pStyle w:val="35"/>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40" w:name="_Toc15377207"/>
      <w:bookmarkStart w:id="41" w:name="_Toc26843612"/>
      <w:bookmarkStart w:id="42" w:name="_Toc15396605"/>
      <w:r>
        <w:rPr>
          <w:rFonts w:ascii="Times New Roman" w:eastAsia="黑体" w:cs="Times New Roman" w:hAnsi="Times New Roman"/>
          <w:sz w:val="32"/>
          <w:szCs w:val="32"/>
        </w:rPr>
        <w:t>支</w:t>
      </w:r>
      <w:r>
        <w:rPr>
          <w:rStyle w:val="2Char"/>
          <w:rFonts w:ascii="Times New Roman" w:eastAsia="黑体" w:cs="Times New Roman" w:hAnsi="Times New Roman"/>
          <w:b w:val="0"/>
        </w:rPr>
        <w:t>出决算情况说明</w:t>
      </w:r>
      <w:bookmarkEnd w:id="40"/>
      <w:bookmarkEnd w:id="41"/>
      <w:bookmarkEnd w:id="42"/>
    </w:p>
    <w:p>
      <w:pPr>
        <w:pageBreakBefore w:val="0"/>
        <w:widowControl w:val="0"/>
        <w:kinsoku/>
        <w:wordWrap/>
        <w:overflowPunct/>
        <w:topLinePunct w:val="0"/>
        <w:bidi w:val="0"/>
        <w:spacing w:line="576" w:lineRule="exact"/>
        <w:ind w:firstLineChars="200" w:firstLine="640"/>
        <w:outlineLvl w:val="1"/>
        <w:rPr>
          <w:rFonts w:ascii="Times New Roman" w:eastAsia="仿宋_GB2312" w:cs="Times New Roman" w:hAnsi="Times New Roman"/>
          <w:sz w:val="32"/>
          <w:szCs w:val="32"/>
        </w:rPr>
      </w:pPr>
      <w:bookmarkStart w:id="43" w:name="_Toc26843613"/>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年度支出合计</w:t>
      </w:r>
      <w:r>
        <w:rPr>
          <w:rFonts w:ascii="仿宋" w:eastAsia="仿宋" w:hint="eastAsia"/>
          <w:b w:val="0"/>
          <w:bCs/>
          <w:sz w:val="32"/>
          <w:szCs w:val="32"/>
          <w:lang w:val="en-US" w:eastAsia="zh-CN"/>
        </w:rPr>
        <w:t>1069.67</w:t>
      </w:r>
      <w:r>
        <w:rPr>
          <w:rFonts w:ascii="Times New Roman" w:eastAsia="仿宋_GB2312" w:cs="Times New Roman" w:hAnsi="Times New Roman"/>
          <w:sz w:val="32"/>
          <w:szCs w:val="32"/>
        </w:rPr>
        <w:t>万元，其中：基本支出</w:t>
      </w:r>
      <w:r>
        <w:rPr>
          <w:rFonts w:ascii="仿宋" w:eastAsia="仿宋" w:hint="eastAsia"/>
          <w:b w:val="0"/>
          <w:bCs/>
          <w:sz w:val="32"/>
          <w:szCs w:val="32"/>
          <w:lang w:val="en-US" w:eastAsia="zh-CN"/>
        </w:rPr>
        <w:t>153.21</w:t>
      </w:r>
      <w:r>
        <w:rPr>
          <w:rFonts w:ascii="Times New Roman" w:eastAsia="仿宋_GB2312" w:cs="Times New Roman" w:hAnsi="Times New Roman"/>
          <w:sz w:val="32"/>
          <w:szCs w:val="32"/>
        </w:rPr>
        <w:t>万元，占</w:t>
      </w:r>
      <w:r>
        <w:rPr>
          <w:rFonts w:eastAsia="仿宋_GB2312" w:cs="Times New Roman" w:hint="eastAsia"/>
          <w:sz w:val="32"/>
          <w:szCs w:val="32"/>
          <w:lang w:val="en-US" w:eastAsia="zh-CN"/>
        </w:rPr>
        <w:t>14</w:t>
      </w:r>
      <w:r>
        <w:rPr>
          <w:rFonts w:ascii="Times New Roman" w:eastAsia="仿宋_GB2312" w:cs="Times New Roman" w:hAnsi="Times New Roman"/>
          <w:sz w:val="32"/>
          <w:szCs w:val="32"/>
        </w:rPr>
        <w:t>%；项目支出</w:t>
      </w:r>
      <w:r>
        <w:rPr>
          <w:rFonts w:ascii="仿宋" w:eastAsia="仿宋" w:cs="仿宋_GB2312" w:hint="eastAsia"/>
          <w:b w:val="0"/>
          <w:bCs/>
          <w:sz w:val="32"/>
          <w:szCs w:val="32"/>
          <w:lang w:val="en-US" w:eastAsia="zh-CN"/>
        </w:rPr>
        <w:t>916.46</w:t>
      </w:r>
      <w:r>
        <w:rPr>
          <w:rFonts w:ascii="Times New Roman" w:eastAsia="仿宋_GB2312" w:cs="Times New Roman" w:hAnsi="Times New Roman"/>
          <w:sz w:val="32"/>
          <w:szCs w:val="32"/>
        </w:rPr>
        <w:t>万元，占</w:t>
      </w:r>
      <w:r>
        <w:rPr>
          <w:rFonts w:eastAsia="仿宋_GB2312" w:cs="Times New Roman" w:hint="eastAsia"/>
          <w:sz w:val="32"/>
          <w:szCs w:val="32"/>
          <w:lang w:val="en-US" w:eastAsia="zh-CN"/>
        </w:rPr>
        <w:t>86</w:t>
      </w:r>
      <w:r>
        <w:rPr>
          <w:rFonts w:ascii="Times New Roman" w:eastAsia="仿宋_GB2312" w:cs="Times New Roman" w:hAnsi="Times New Roman"/>
          <w:sz w:val="32"/>
          <w:szCs w:val="32"/>
        </w:rPr>
        <w:t>%；上缴上级支出0万元，占0%；经营支出0万元，占0%；对附属单位补助支出0万元，占0%。</w:t>
      </w:r>
      <w:bookmarkEnd w:id="43"/>
    </w:p>
    <w:p>
      <w:pPr>
        <w:pageBreakBefore w:val="0"/>
        <w:widowControl w:val="0"/>
        <w:kinsoku/>
        <w:wordWrap/>
        <w:overflowPunct/>
        <w:topLinePunct w:val="0"/>
        <w:bidi w:val="0"/>
        <w:spacing w:line="576" w:lineRule="exact"/>
        <w:ind w:firstLine="640"/>
        <w:rPr>
          <w:rFonts w:ascii="Times New Roman" w:eastAsia="仿宋" w:cs="Times New Roman" w:hAnsi="Times New Roman" w:hint="eastAsia"/>
          <w:sz w:val="32"/>
          <w:szCs w:val="32"/>
          <w:shd w:val="pct10" w:color="auto" w:fill="FFFFFF"/>
          <w:lang w:eastAsia="zh-CN"/>
        </w:rPr>
      </w:pPr>
      <w:r>
        <w:rPr>
          <w:rFonts w:ascii="Times New Roman" w:eastAsia="仿宋" w:cs="Times New Roman" w:hAnsi="Times New Roman" w:hint="eastAsia"/>
          <w:sz w:val="32"/>
          <w:szCs w:val="32"/>
          <w:shd w:val="pct10" w:color="auto" w:fill="FFFFFF"/>
          <w:lang w:eastAsia="zh-CN"/>
        </w:rPr>
        <w:drawing>
          <wp:anchor distT="0" distB="0" distL="114300" distR="114300" simplePos="0" relativeHeight="21" behindDoc="0" locked="0" layoutInCell="1" hidden="0" allowOverlap="1">
            <wp:simplePos x="0" y="0"/>
            <wp:positionH relativeFrom="column">
              <wp:posOffset>485775</wp:posOffset>
            </wp:positionH>
            <wp:positionV relativeFrom="paragraph">
              <wp:posOffset>64770</wp:posOffset>
            </wp:positionV>
            <wp:extent cx="3801109" cy="2524125"/>
            <wp:effectExtent l="0" t="0" r="26" b="39"/>
            <wp:wrapSquare wrapText="bothSides"/>
            <wp:docPr id="3" name="图表 7"/>
            <wp:cNvGraphicFramePr>
              <a:graphicFrameLocks noChangeAspect="0"/>
            </wp:cNvGraphicFramePr>
            <a:graphic>
              <a:graphicData uri="http://schemas.openxmlformats.org/drawingml/2006/chart">
                <c:chart xmlns:c="http://schemas.openxmlformats.org/drawingml/2006/chart" r:id="rId6"/>
              </a:graphicData>
            </a:graphic>
          </wp:anchor>
        </w:drawing>
      </w: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ageBreakBefore w:val="0"/>
        <w:widowControl w:val="0"/>
        <w:kinsoku/>
        <w:wordWrap/>
        <w:overflowPunct/>
        <w:topLinePunct w:val="0"/>
        <w:bidi w:val="0"/>
        <w:spacing w:line="576" w:lineRule="exact"/>
        <w:ind w:firstLineChars="300" w:firstLine="960"/>
        <w:jc w:val="both"/>
        <w:rPr>
          <w:rFonts w:ascii="Times New Roman" w:eastAsia="仿宋" w:cs="Times New Roman" w:hAnsi="Times New Roman"/>
          <w:color w:val="auto"/>
          <w:sz w:val="32"/>
          <w:szCs w:val="32"/>
        </w:rPr>
      </w:pPr>
      <w:r>
        <w:rPr>
          <w:rFonts w:ascii="Times New Roman" w:eastAsia="仿宋_GB2312" w:cs="Times New Roman" w:hAnsi="Times New Roman"/>
          <w:color w:val="auto"/>
          <w:sz w:val="32"/>
          <w:szCs w:val="32"/>
        </w:rPr>
        <w:t>（图3：支出决算结构图）（饼状图）</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b w:val="0"/>
        </w:rPr>
      </w:pPr>
      <w:bookmarkStart w:id="44" w:name="_Toc15377208"/>
      <w:bookmarkStart w:id="45" w:name="_Toc26843615"/>
      <w:bookmarkStart w:id="46" w:name="_Toc15396606"/>
      <w:r>
        <w:rPr>
          <w:rFonts w:ascii="Times New Roman" w:eastAsia="黑体" w:cs="Times New Roman" w:hAnsi="Times New Roman"/>
          <w:sz w:val="32"/>
          <w:szCs w:val="32"/>
        </w:rPr>
        <w:t>四、财</w:t>
      </w:r>
      <w:r>
        <w:rPr>
          <w:rStyle w:val="2Char"/>
          <w:rFonts w:ascii="Times New Roman" w:eastAsia="黑体" w:cs="Times New Roman" w:hAnsi="Times New Roman"/>
          <w:b w:val="0"/>
        </w:rPr>
        <w:t>政拨款收入支出决算总体情况说明</w:t>
      </w:r>
      <w:bookmarkEnd w:id="44"/>
      <w:bookmarkEnd w:id="45"/>
      <w:bookmarkEnd w:id="46"/>
    </w:p>
    <w:p>
      <w:pPr>
        <w:pStyle w:val="16"/>
        <w:pageBreakBefore w:val="0"/>
        <w:widowControl w:val="0"/>
        <w:kinsoku/>
        <w:wordWrap/>
        <w:overflowPunct/>
        <w:topLinePunct w:val="0"/>
        <w:bidi w:val="0"/>
        <w:adjustRightInd w:val="0"/>
        <w:snapToGrid w:val="0"/>
        <w:spacing w:beforeLines="0" w:before="93" w:line="576" w:lineRule="exact"/>
        <w:ind w:firstLineChars="208" w:firstLine="666"/>
        <w:rPr>
          <w:rFonts w:ascii="Times New Roman" w:eastAsia="仿宋" w:cs="Times New Roman" w:hAnsi="Times New Roman"/>
          <w:sz w:val="32"/>
          <w:szCs w:val="32"/>
        </w:rPr>
      </w:pPr>
      <w:r>
        <w:rPr>
          <w:rFonts w:ascii="Times New Roman" w:eastAsia="仿宋_GB2312" w:cs="Times New Roman" w:hAnsi="Times New Roman"/>
          <w:sz w:val="32"/>
          <w:szCs w:val="32"/>
          <w:lang w:val="en-US" w:eastAsia="zh-CN"/>
        </w:rPr>
        <w:t>202</w:t>
      </w:r>
      <w:r>
        <w:rPr>
          <w:rFonts w:ascii="Times New Roman" w:cs="Times New Roman" w:hAnsi="Times New Roman" w:hint="eastAsia"/>
          <w:sz w:val="32"/>
          <w:szCs w:val="32"/>
          <w:lang w:val="en-US" w:eastAsia="zh-CN"/>
        </w:rPr>
        <w:t>2</w:t>
      </w:r>
      <w:r>
        <w:rPr>
          <w:rFonts w:ascii="Times New Roman" w:eastAsia="仿宋_GB2312" w:cs="Times New Roman" w:hAnsi="Times New Roman"/>
          <w:sz w:val="32"/>
          <w:szCs w:val="32"/>
          <w:lang w:val="en-US" w:eastAsia="zh-CN"/>
        </w:rPr>
        <w:t>年财政拨款收、支总计</w:t>
      </w:r>
      <w:r>
        <w:rPr>
          <w:rFonts w:ascii="仿宋" w:eastAsia="仿宋" w:hint="eastAsia"/>
          <w:b w:val="0"/>
          <w:bCs/>
          <w:sz w:val="32"/>
          <w:szCs w:val="32"/>
          <w:lang w:val="en-US" w:eastAsia="zh-CN"/>
        </w:rPr>
        <w:t>1069.67</w:t>
      </w:r>
      <w:r>
        <w:rPr>
          <w:rFonts w:ascii="Times New Roman" w:eastAsia="仿宋_GB2312" w:cs="Times New Roman" w:hAnsi="Times New Roman"/>
          <w:sz w:val="32"/>
          <w:szCs w:val="32"/>
          <w:lang w:val="en-US" w:eastAsia="zh-CN"/>
        </w:rPr>
        <w:t>万元。与202</w:t>
      </w:r>
      <w:r>
        <w:rPr>
          <w:rFonts w:ascii="Times New Roman" w:cs="Times New Roman" w:hAnsi="Times New Roman" w:hint="eastAsia"/>
          <w:sz w:val="32"/>
          <w:szCs w:val="32"/>
          <w:lang w:val="en-US" w:eastAsia="zh-CN"/>
        </w:rPr>
        <w:t>1</w:t>
      </w:r>
      <w:r>
        <w:rPr>
          <w:rFonts w:ascii="Times New Roman" w:eastAsia="仿宋_GB2312" w:cs="Times New Roman" w:hAnsi="Times New Roman"/>
          <w:sz w:val="32"/>
          <w:szCs w:val="32"/>
          <w:lang w:val="en-US" w:eastAsia="zh-CN"/>
        </w:rPr>
        <w:t>年相比，财政拨款收、支总计各增加</w:t>
      </w:r>
      <w:r>
        <w:rPr>
          <w:rFonts w:eastAsia="仿宋_GB2312" w:cs="Times New Roman" w:hint="eastAsia"/>
          <w:sz w:val="32"/>
          <w:szCs w:val="32"/>
          <w:lang w:val="en-US" w:eastAsia="zh-CN"/>
        </w:rPr>
        <w:t>174.69</w:t>
      </w:r>
      <w:r>
        <w:rPr>
          <w:rFonts w:ascii="Times New Roman" w:eastAsia="仿宋_GB2312" w:cs="Times New Roman" w:hAnsi="Times New Roman"/>
          <w:sz w:val="32"/>
          <w:szCs w:val="32"/>
          <w:lang w:val="en-US" w:eastAsia="zh-CN"/>
        </w:rPr>
        <w:t>万元，增长</w:t>
      </w:r>
      <w:r>
        <w:rPr>
          <w:rFonts w:ascii="Times New Roman" w:cs="Times New Roman" w:hAnsi="Times New Roman" w:hint="eastAsia"/>
          <w:sz w:val="32"/>
          <w:szCs w:val="32"/>
          <w:lang w:val="en-US" w:eastAsia="zh-CN"/>
        </w:rPr>
        <w:t>19.52</w:t>
      </w:r>
      <w:r>
        <w:rPr>
          <w:rFonts w:ascii="Times New Roman" w:eastAsia="仿宋_GB2312" w:cs="Times New Roman" w:hAnsi="Times New Roman"/>
          <w:sz w:val="32"/>
          <w:szCs w:val="32"/>
          <w:lang w:val="en-US" w:eastAsia="zh-CN"/>
        </w:rPr>
        <w:t>%。</w:t>
      </w:r>
      <w:r>
        <w:rPr>
          <w:rFonts w:ascii="Times New Roman" w:eastAsia="仿宋_GB2312" w:cs="Times New Roman" w:hAnsi="Times New Roman"/>
          <w:sz w:val="32"/>
          <w:szCs w:val="32"/>
        </w:rPr>
        <w:t>主要变动原因</w:t>
      </w:r>
      <w:r>
        <w:rPr>
          <w:rFonts w:ascii="Times New Roman" w:cs="Times New Roman" w:hAnsi="Times New Roman" w:hint="eastAsia"/>
          <w:sz w:val="32"/>
          <w:szCs w:val="32"/>
          <w:lang w:eastAsia="zh-CN"/>
        </w:rPr>
        <w:t>：</w:t>
      </w:r>
      <w:r>
        <w:rPr>
          <w:rFonts w:ascii="Times New Roman" w:eastAsia="仿宋_GB2312" w:cs="Times New Roman" w:hAnsi="Times New Roman"/>
          <w:sz w:val="32"/>
          <w:szCs w:val="32"/>
        </w:rPr>
        <w:t>一是</w:t>
      </w:r>
      <w:r>
        <w:rPr>
          <w:rFonts w:ascii="Times New Roman" w:eastAsia="仿宋_GB2312" w:cs="Times New Roman" w:hAnsi="Times New Roman" w:hint="eastAsia"/>
          <w:sz w:val="32"/>
          <w:szCs w:val="32"/>
          <w:lang w:val="en-US" w:eastAsia="zh-CN"/>
        </w:rPr>
        <w:t>2022年</w:t>
      </w:r>
      <w:r>
        <w:rPr>
          <w:rFonts w:eastAsia="仿宋_GB2312" w:cs="Times New Roman" w:hint="eastAsia"/>
          <w:sz w:val="32"/>
          <w:szCs w:val="32"/>
          <w:lang w:val="en-US" w:eastAsia="zh-CN"/>
        </w:rPr>
        <w:t>增加了专项工程项目及</w:t>
      </w:r>
      <w:r>
        <w:rPr>
          <w:rFonts w:ascii="Times New Roman" w:eastAsia="仿宋_GB2312" w:cs="Times New Roman" w:hAnsi="Times New Roman" w:hint="eastAsia"/>
          <w:sz w:val="32"/>
          <w:szCs w:val="32"/>
          <w:lang w:val="en-US" w:eastAsia="zh-CN"/>
        </w:rPr>
        <w:t>优抚对象的补助标准提高，导致项目支出相应的增加；</w:t>
      </w:r>
      <w:r>
        <w:rPr>
          <w:rFonts w:ascii="Times New Roman" w:eastAsia="仿宋_GB2312" w:cs="Times New Roman" w:hAnsi="Times New Roman"/>
          <w:sz w:val="32"/>
          <w:szCs w:val="32"/>
        </w:rPr>
        <w:t>二是</w:t>
      </w:r>
      <w:r>
        <w:rPr>
          <w:rFonts w:ascii="仿宋_GB2312" w:eastAsia="仿宋_GB2312" w:cs="Times New Roman" w:hint="eastAsia"/>
          <w:bCs/>
          <w:color w:val="auto"/>
          <w:sz w:val="32"/>
          <w:szCs w:val="32"/>
          <w:lang w:val="zh-CN"/>
        </w:rPr>
        <w:t>人员工资晋级晋档、调整津补贴等原因，导致工资、养老保险、</w:t>
      </w:r>
      <w:r>
        <w:rPr>
          <w:rFonts w:ascii="仿宋_GB2312" w:cs="Times New Roman" w:hint="eastAsia"/>
          <w:bCs/>
          <w:color w:val="auto"/>
          <w:sz w:val="32"/>
          <w:szCs w:val="32"/>
          <w:lang w:val="en-US" w:eastAsia="zh-CN"/>
        </w:rPr>
        <w:t>职业</w:t>
      </w:r>
      <w:r>
        <w:rPr>
          <w:rFonts w:ascii="仿宋_GB2312" w:eastAsia="仿宋_GB2312" w:cs="Times New Roman" w:hint="eastAsia"/>
          <w:bCs/>
          <w:color w:val="auto"/>
          <w:sz w:val="32"/>
          <w:szCs w:val="32"/>
          <w:lang w:val="zh-CN"/>
        </w:rPr>
        <w:t>年金、公积金等支出相应增加，导致基本支出和收入都相应增加</w:t>
      </w:r>
      <w:r>
        <w:rPr>
          <w:rFonts w:ascii="Times New Roman" w:eastAsia="仿宋_GB2312" w:cs="Times New Roman" w:hAnsi="Times New Roman"/>
          <w:sz w:val="32"/>
          <w:szCs w:val="32"/>
          <w:lang w:val="en-US" w:eastAsia="zh-CN"/>
        </w:rPr>
        <w:t>。</w:t>
      </w:r>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b w:val="0"/>
        </w:rPr>
      </w:pPr>
      <w:bookmarkStart w:id="47" w:name="_Toc15377209"/>
      <w:bookmarkStart w:id="48" w:name="_Toc26843616"/>
      <w:bookmarkStart w:id="49" w:name="_Toc15396607"/>
      <w:r>
        <w:rPr>
          <w:rFonts w:ascii="Times New Roman" w:eastAsia="黑体" w:cs="Times New Roman" w:hAnsi="Times New Roman"/>
          <w:sz w:val="32"/>
          <w:szCs w:val="32"/>
        </w:rPr>
        <w:t>五、</w:t>
      </w:r>
      <w:r>
        <w:rPr>
          <w:rFonts w:ascii="Times New Roman" w:eastAsia="黑体" w:cs="Times New Roman" w:hAnsi="Times New Roman"/>
          <w:b/>
          <w:sz w:val="32"/>
          <w:szCs w:val="32"/>
        </w:rPr>
        <w:t>一</w:t>
      </w:r>
      <w:r>
        <w:rPr>
          <w:rStyle w:val="2Char"/>
          <w:rFonts w:ascii="Times New Roman" w:eastAsia="黑体" w:cs="Times New Roman" w:hAnsi="Times New Roman"/>
          <w:b w:val="0"/>
        </w:rPr>
        <w:t>般公共预算财政拨款支出决算情况说明</w:t>
      </w:r>
      <w:bookmarkEnd w:id="47"/>
      <w:bookmarkEnd w:id="48"/>
      <w:bookmarkEnd w:id="49"/>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50" w:name="_Toc15377210"/>
      <w:r>
        <w:rPr>
          <w:rFonts w:ascii="Times New Roman" w:eastAsia="仿宋" w:cs="Times New Roman" w:hAnsi="Times New Roman"/>
          <w:b/>
          <w:sz w:val="32"/>
          <w:szCs w:val="32"/>
        </w:rPr>
        <w:t>（一）一般公共预算财政拨款支出决算总体情况</w:t>
      </w:r>
      <w:bookmarkEnd w:id="50"/>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年一般公共预算财政拨款支出</w:t>
      </w:r>
      <w:r>
        <w:rPr>
          <w:rFonts w:ascii="仿宋" w:eastAsia="仿宋" w:hint="eastAsia"/>
          <w:b w:val="0"/>
          <w:bCs/>
          <w:sz w:val="32"/>
          <w:szCs w:val="32"/>
          <w:lang w:val="en-US" w:eastAsia="zh-CN"/>
        </w:rPr>
        <w:t>1069.67</w:t>
      </w:r>
      <w:r>
        <w:rPr>
          <w:rFonts w:ascii="Times New Roman" w:eastAsia="仿宋_GB2312" w:cs="Times New Roman" w:hAnsi="Times New Roman"/>
          <w:sz w:val="32"/>
          <w:szCs w:val="32"/>
        </w:rPr>
        <w:t>万元，占本年支出合计的100%。与202</w:t>
      </w:r>
      <w:r>
        <w:rPr>
          <w:rFonts w:eastAsia="仿宋_GB2312" w:cs="Times New Roman" w:hint="eastAsia"/>
          <w:sz w:val="32"/>
          <w:szCs w:val="32"/>
          <w:lang w:val="en-US" w:eastAsia="zh-CN"/>
        </w:rPr>
        <w:t>1</w:t>
      </w:r>
      <w:r>
        <w:rPr>
          <w:rFonts w:ascii="Times New Roman" w:eastAsia="仿宋_GB2312" w:cs="Times New Roman" w:hAnsi="Times New Roman"/>
          <w:sz w:val="32"/>
          <w:szCs w:val="32"/>
        </w:rPr>
        <w:t>年相比，一般公共预算财政拨款支出增加</w:t>
      </w:r>
      <w:r>
        <w:rPr>
          <w:rFonts w:eastAsia="仿宋_GB2312" w:cs="Times New Roman" w:hint="eastAsia"/>
          <w:sz w:val="32"/>
          <w:szCs w:val="32"/>
          <w:lang w:val="en-US" w:eastAsia="zh-CN"/>
        </w:rPr>
        <w:t>174.69</w:t>
      </w:r>
      <w:r>
        <w:rPr>
          <w:rFonts w:ascii="Times New Roman" w:eastAsia="仿宋_GB2312" w:cs="Times New Roman" w:hAnsi="Times New Roman"/>
          <w:sz w:val="32"/>
          <w:szCs w:val="32"/>
        </w:rPr>
        <w:t>万元，增长</w:t>
      </w:r>
      <w:r>
        <w:rPr>
          <w:rFonts w:eastAsia="仿宋_GB2312" w:cs="Times New Roman" w:hint="eastAsia"/>
          <w:sz w:val="32"/>
          <w:szCs w:val="32"/>
          <w:lang w:val="en-US" w:eastAsia="zh-CN"/>
        </w:rPr>
        <w:t>19.52</w:t>
      </w:r>
      <w:r>
        <w:rPr>
          <w:rFonts w:ascii="Times New Roman" w:eastAsia="仿宋_GB2312" w:cs="Times New Roman" w:hAnsi="Times New Roman"/>
          <w:sz w:val="32"/>
          <w:szCs w:val="32"/>
        </w:rPr>
        <w:t>%。主要变动原因为一是202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w:t>
      </w:r>
      <w:r>
        <w:rPr>
          <w:rFonts w:eastAsia="仿宋_GB2312" w:cs="Times New Roman" w:hint="eastAsia"/>
          <w:sz w:val="32"/>
          <w:szCs w:val="32"/>
          <w:lang w:val="en-US" w:eastAsia="zh-CN"/>
        </w:rPr>
        <w:t>增加了专项工程项目及</w:t>
      </w:r>
      <w:r>
        <w:rPr>
          <w:rFonts w:ascii="Times New Roman" w:eastAsia="仿宋_GB2312" w:cs="Times New Roman" w:hAnsi="Times New Roman" w:hint="eastAsia"/>
          <w:sz w:val="32"/>
          <w:szCs w:val="32"/>
          <w:lang w:val="en-US" w:eastAsia="zh-CN"/>
        </w:rPr>
        <w:t>优抚对象的补助标准提高，导致项目支出相应的增加；</w:t>
      </w:r>
      <w:r>
        <w:rPr>
          <w:rFonts w:ascii="Times New Roman" w:eastAsia="仿宋_GB2312" w:cs="Times New Roman" w:hAnsi="Times New Roman"/>
          <w:sz w:val="32"/>
          <w:szCs w:val="32"/>
        </w:rPr>
        <w:t>二是</w:t>
      </w:r>
      <w:r>
        <w:rPr>
          <w:rFonts w:ascii="仿宋_GB2312" w:eastAsia="仿宋_GB2312" w:cs="Times New Roman" w:hint="eastAsia"/>
          <w:bCs/>
          <w:color w:val="auto"/>
          <w:sz w:val="32"/>
          <w:szCs w:val="32"/>
          <w:lang w:val="zh-CN"/>
        </w:rPr>
        <w:t>人员工资晋级晋档、调整津补贴等原因，导致工资、养老保险、</w:t>
      </w:r>
      <w:r>
        <w:rPr>
          <w:rFonts w:ascii="仿宋_GB2312" w:cs="Times New Roman" w:hAnsi="仿宋_GB2312" w:hint="eastAsia"/>
          <w:bCs/>
          <w:color w:val="auto"/>
          <w:sz w:val="32"/>
          <w:szCs w:val="32"/>
          <w:lang w:val="en-US" w:eastAsia="zh-CN"/>
        </w:rPr>
        <w:t>职业</w:t>
      </w:r>
      <w:r>
        <w:rPr>
          <w:rFonts w:ascii="仿宋_GB2312" w:eastAsia="仿宋_GB2312" w:cs="Times New Roman" w:hint="eastAsia"/>
          <w:bCs/>
          <w:color w:val="auto"/>
          <w:sz w:val="32"/>
          <w:szCs w:val="32"/>
          <w:lang w:val="zh-CN"/>
        </w:rPr>
        <w:t>年金、公积金等支出相应增加，导致基本支出和收入都相应增加</w:t>
      </w:r>
      <w:r>
        <w:rPr>
          <w:rFonts w:ascii="Times New Roman" w:eastAsia="仿宋_GB2312" w:cs="Times New Roman" w:hAnsi="Times New Roman"/>
          <w:sz w:val="32"/>
          <w:szCs w:val="32"/>
          <w:lang w:val="en-US" w:eastAsia="zh-CN"/>
        </w:rPr>
        <w:t>。</w:t>
      </w:r>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51" w:name="_Toc15377211"/>
      <w:r>
        <w:rPr>
          <w:rFonts w:ascii="Times New Roman" w:eastAsia="仿宋" w:cs="Times New Roman" w:hAnsi="Times New Roman"/>
          <w:b/>
          <w:sz w:val="32"/>
          <w:szCs w:val="32"/>
        </w:rPr>
        <w:t>（二）一般公共预算财政拨款支出决算结构情况</w:t>
      </w:r>
      <w:bookmarkEnd w:id="51"/>
    </w:p>
    <w:p>
      <w:pPr>
        <w:pageBreakBefore w:val="0"/>
        <w:widowControl w:val="0"/>
        <w:kinsoku/>
        <w:wordWrap/>
        <w:overflowPunct/>
        <w:topLinePunct w:val="0"/>
        <w:bidi w:val="0"/>
        <w:spacing w:line="576" w:lineRule="exact"/>
        <w:ind w:firstLine="640"/>
        <w:rPr>
          <w:rFonts w:ascii="Times New Roman" w:eastAsia="仿宋" w:cs="Times New Roman" w:hAnsi="Times New Roman"/>
          <w:sz w:val="32"/>
          <w:szCs w:val="32"/>
        </w:rPr>
      </w:pPr>
      <w:r>
        <w:rPr>
          <w:rFonts w:ascii="Times New Roman" w:eastAsia="仿宋" w:cs="Times New Roman" w:hAnsi="Times New Roman"/>
          <w:sz w:val="32"/>
          <w:szCs w:val="32"/>
        </w:rPr>
        <w:t>202</w:t>
      </w:r>
      <w:r>
        <w:rPr>
          <w:rFonts w:eastAsia="仿宋" w:cs="Times New Roman" w:hint="eastAsia"/>
          <w:sz w:val="32"/>
          <w:szCs w:val="32"/>
          <w:lang w:val="en-US" w:eastAsia="zh-CN"/>
        </w:rPr>
        <w:t>2</w:t>
      </w:r>
      <w:r>
        <w:rPr>
          <w:rFonts w:ascii="Times New Roman" w:eastAsia="仿宋" w:cs="Times New Roman" w:hAnsi="Times New Roman"/>
          <w:sz w:val="32"/>
          <w:szCs w:val="32"/>
        </w:rPr>
        <w:t>年一般公共预算财政拨款支出</w:t>
      </w:r>
      <w:r>
        <w:rPr>
          <w:rFonts w:ascii="仿宋" w:eastAsia="仿宋" w:hint="eastAsia"/>
          <w:b w:val="0"/>
          <w:bCs/>
          <w:sz w:val="32"/>
          <w:szCs w:val="32"/>
          <w:lang w:val="en-US" w:eastAsia="zh-CN"/>
        </w:rPr>
        <w:t>1069.67</w:t>
      </w:r>
      <w:r>
        <w:rPr>
          <w:rFonts w:ascii="Times New Roman" w:eastAsia="仿宋" w:cs="Times New Roman" w:hAnsi="Times New Roman"/>
          <w:sz w:val="32"/>
          <w:szCs w:val="32"/>
        </w:rPr>
        <w:t>万元，主要用于以下方面:</w:t>
      </w:r>
      <w:r>
        <w:rPr>
          <w:rFonts w:ascii="Times New Roman" w:eastAsia="仿宋" w:cs="Times New Roman" w:hAnsi="Times New Roman"/>
          <w:b/>
          <w:sz w:val="32"/>
          <w:szCs w:val="32"/>
        </w:rPr>
        <w:t>社会保障和就业（208）</w:t>
      </w:r>
      <w:r>
        <w:rPr>
          <w:rFonts w:ascii="Times New Roman" w:eastAsia="仿宋" w:cs="Times New Roman" w:hAnsi="Times New Roman"/>
          <w:sz w:val="32"/>
          <w:szCs w:val="32"/>
        </w:rPr>
        <w:t>支出</w:t>
      </w:r>
      <w:r>
        <w:rPr>
          <w:rFonts w:eastAsia="仿宋" w:cs="Times New Roman" w:hint="eastAsia"/>
          <w:sz w:val="32"/>
          <w:szCs w:val="32"/>
          <w:lang w:val="en-US" w:eastAsia="zh-CN"/>
        </w:rPr>
        <w:t>861.11</w:t>
      </w:r>
      <w:r>
        <w:rPr>
          <w:rFonts w:ascii="Times New Roman" w:eastAsia="仿宋" w:cs="Times New Roman" w:hAnsi="Times New Roman"/>
          <w:sz w:val="32"/>
          <w:szCs w:val="32"/>
        </w:rPr>
        <w:t>万元，占</w:t>
      </w:r>
      <w:r>
        <w:rPr>
          <w:rFonts w:eastAsia="仿宋" w:cs="Times New Roman" w:hint="eastAsia"/>
          <w:sz w:val="32"/>
          <w:szCs w:val="32"/>
          <w:lang w:val="en-US" w:eastAsia="zh-CN"/>
        </w:rPr>
        <w:t>80.5</w:t>
      </w:r>
      <w:r>
        <w:rPr>
          <w:rFonts w:ascii="Times New Roman" w:eastAsia="仿宋" w:cs="Times New Roman" w:hAnsi="Times New Roman"/>
          <w:sz w:val="32"/>
          <w:szCs w:val="32"/>
        </w:rPr>
        <w:t>%；</w:t>
      </w:r>
      <w:r>
        <w:rPr>
          <w:rFonts w:ascii="Times New Roman" w:eastAsia="仿宋" w:cs="Times New Roman" w:hAnsi="Times New Roman"/>
          <w:b/>
          <w:bCs/>
          <w:sz w:val="32"/>
          <w:szCs w:val="32"/>
        </w:rPr>
        <w:t>卫生健康（210）</w:t>
      </w:r>
      <w:r>
        <w:rPr>
          <w:rFonts w:ascii="Times New Roman" w:eastAsia="仿宋" w:cs="Times New Roman" w:hAnsi="Times New Roman"/>
          <w:bCs/>
          <w:sz w:val="32"/>
          <w:szCs w:val="32"/>
        </w:rPr>
        <w:t>支出</w:t>
      </w:r>
      <w:r>
        <w:rPr>
          <w:rFonts w:eastAsia="仿宋" w:cs="Times New Roman" w:hint="eastAsia"/>
          <w:bCs/>
          <w:sz w:val="32"/>
          <w:szCs w:val="32"/>
          <w:lang w:val="en-US" w:eastAsia="zh-CN"/>
        </w:rPr>
        <w:t>18.27</w:t>
      </w:r>
      <w:r>
        <w:rPr>
          <w:rFonts w:ascii="Times New Roman" w:eastAsia="仿宋" w:cs="Times New Roman" w:hAnsi="Times New Roman"/>
          <w:sz w:val="32"/>
          <w:szCs w:val="32"/>
        </w:rPr>
        <w:t>万元，占</w:t>
      </w:r>
      <w:r>
        <w:rPr>
          <w:rFonts w:eastAsia="仿宋" w:cs="Times New Roman" w:hint="eastAsia"/>
          <w:sz w:val="32"/>
          <w:szCs w:val="32"/>
          <w:lang w:val="en-US" w:eastAsia="zh-CN"/>
        </w:rPr>
        <w:t>1.7</w:t>
      </w:r>
      <w:r>
        <w:rPr>
          <w:rFonts w:ascii="Times New Roman" w:eastAsia="仿宋" w:cs="Times New Roman" w:hAnsi="Times New Roman"/>
          <w:sz w:val="32"/>
          <w:szCs w:val="32"/>
        </w:rPr>
        <w:t>%；</w:t>
      </w:r>
      <w:r>
        <w:rPr>
          <w:rFonts w:ascii="Times New Roman" w:eastAsia="仿宋" w:cs="Times New Roman" w:hAnsi="Times New Roman"/>
          <w:b/>
          <w:bCs/>
          <w:sz w:val="32"/>
          <w:szCs w:val="32"/>
        </w:rPr>
        <w:t>住房保障（221）</w:t>
      </w:r>
      <w:r>
        <w:rPr>
          <w:rFonts w:ascii="Times New Roman" w:eastAsia="仿宋" w:cs="Times New Roman" w:hAnsi="Times New Roman"/>
          <w:sz w:val="32"/>
          <w:szCs w:val="32"/>
        </w:rPr>
        <w:t>支出</w:t>
      </w:r>
      <w:r>
        <w:rPr>
          <w:rFonts w:eastAsia="仿宋" w:cs="Times New Roman" w:hint="eastAsia"/>
          <w:sz w:val="32"/>
          <w:szCs w:val="32"/>
          <w:lang w:val="en-US" w:eastAsia="zh-CN"/>
        </w:rPr>
        <w:t>10.29</w:t>
      </w:r>
      <w:r>
        <w:rPr>
          <w:rFonts w:ascii="Times New Roman" w:eastAsia="仿宋" w:cs="Times New Roman" w:hAnsi="Times New Roman"/>
          <w:sz w:val="32"/>
          <w:szCs w:val="32"/>
        </w:rPr>
        <w:t>万元，占0.9</w:t>
      </w:r>
      <w:r>
        <w:rPr>
          <w:rFonts w:eastAsia="仿宋" w:cs="Times New Roman" w:hint="eastAsia"/>
          <w:sz w:val="32"/>
          <w:szCs w:val="32"/>
          <w:lang w:val="en-US" w:eastAsia="zh-CN"/>
        </w:rPr>
        <w:t>6</w:t>
      </w:r>
      <w:r>
        <w:rPr>
          <w:rFonts w:ascii="Times New Roman" w:eastAsia="仿宋" w:cs="Times New Roman" w:hAnsi="Times New Roman"/>
          <w:sz w:val="32"/>
          <w:szCs w:val="32"/>
        </w:rPr>
        <w:t>%</w:t>
      </w:r>
      <w:r>
        <w:rPr>
          <w:rFonts w:eastAsia="仿宋" w:cs="Times New Roman" w:hint="eastAsia"/>
          <w:sz w:val="32"/>
          <w:szCs w:val="32"/>
          <w:lang w:eastAsia="zh-CN"/>
        </w:rPr>
        <w:t>；</w:t>
      </w:r>
      <w:r>
        <w:rPr>
          <w:rFonts w:ascii="Times New Roman" w:eastAsia="仿宋" w:cs="Times New Roman" w:hAnsi="Times New Roman" w:hint="eastAsia"/>
          <w:b/>
          <w:bCs/>
          <w:sz w:val="32"/>
          <w:szCs w:val="32"/>
          <w:lang w:val="en-US" w:eastAsia="zh-CN"/>
        </w:rPr>
        <w:t>其他支出</w:t>
      </w:r>
      <w:r>
        <w:rPr>
          <w:rFonts w:ascii="Times New Roman" w:eastAsia="仿宋" w:cs="Times New Roman" w:hAnsi="Times New Roman"/>
          <w:b/>
          <w:bCs/>
          <w:sz w:val="32"/>
          <w:szCs w:val="32"/>
        </w:rPr>
        <w:t>（22</w:t>
      </w:r>
      <w:r>
        <w:rPr>
          <w:rFonts w:ascii="Times New Roman" w:eastAsia="仿宋" w:cs="Times New Roman" w:hAnsi="Times New Roman" w:hint="eastAsia"/>
          <w:b/>
          <w:bCs/>
          <w:sz w:val="32"/>
          <w:szCs w:val="32"/>
          <w:lang w:val="en-US" w:eastAsia="zh-CN"/>
        </w:rPr>
        <w:t>9</w:t>
      </w:r>
      <w:r>
        <w:rPr>
          <w:rFonts w:ascii="Times New Roman" w:eastAsia="仿宋" w:cs="Times New Roman" w:hAnsi="Times New Roman"/>
          <w:b/>
          <w:bCs/>
          <w:sz w:val="32"/>
          <w:szCs w:val="32"/>
        </w:rPr>
        <w:t>）</w:t>
      </w:r>
      <w:r>
        <w:rPr>
          <w:rFonts w:ascii="Times New Roman" w:eastAsia="仿宋" w:cs="Times New Roman" w:hAnsi="Times New Roman"/>
          <w:sz w:val="32"/>
          <w:szCs w:val="32"/>
        </w:rPr>
        <w:t>支出</w:t>
      </w:r>
      <w:r>
        <w:rPr>
          <w:rFonts w:eastAsia="仿宋" w:cs="Times New Roman" w:hint="eastAsia"/>
          <w:sz w:val="32"/>
          <w:szCs w:val="32"/>
          <w:lang w:val="en-US" w:eastAsia="zh-CN"/>
        </w:rPr>
        <w:t>180</w:t>
      </w:r>
      <w:r>
        <w:rPr>
          <w:rFonts w:ascii="Times New Roman" w:eastAsia="仿宋" w:cs="Times New Roman" w:hAnsi="Times New Roman"/>
          <w:sz w:val="32"/>
          <w:szCs w:val="32"/>
        </w:rPr>
        <w:t>万元，占</w:t>
      </w:r>
      <w:r>
        <w:rPr>
          <w:rFonts w:ascii="Times New Roman" w:eastAsia="仿宋" w:cs="Times New Roman" w:hAnsi="Times New Roman" w:hint="eastAsia"/>
          <w:sz w:val="32"/>
          <w:szCs w:val="32"/>
          <w:lang w:val="en-US" w:eastAsia="zh-CN"/>
        </w:rPr>
        <w:t>16.84</w:t>
      </w:r>
      <w:r>
        <w:rPr>
          <w:rFonts w:ascii="Times New Roman" w:eastAsia="仿宋" w:cs="Times New Roman" w:hAnsi="Times New Roman"/>
          <w:sz w:val="32"/>
          <w:szCs w:val="32"/>
        </w:rPr>
        <w:t>%。</w:t>
      </w:r>
    </w:p>
    <w:p>
      <w:pPr>
        <w:pageBreakBefore w:val="0"/>
        <w:widowControl w:val="0"/>
        <w:kinsoku/>
        <w:wordWrap/>
        <w:overflowPunct/>
        <w:topLinePunct w:val="0"/>
        <w:bidi w:val="0"/>
        <w:spacing w:line="576" w:lineRule="exact"/>
        <w:ind w:firstLine="640"/>
        <w:rPr>
          <w:rFonts w:ascii="Times New Roman" w:eastAsia="仿宋" w:cs="Times New Roman" w:hAnsi="Times New Roman"/>
          <w:sz w:val="32"/>
          <w:szCs w:val="32"/>
          <w:lang w:eastAsia="zh-CN"/>
        </w:rPr>
      </w:pPr>
      <w:r>
        <w:rPr>
          <w:rFonts w:ascii="Times New Roman" w:eastAsia="仿宋" w:cs="Times New Roman" w:hAnsi="Times New Roman"/>
          <w:sz w:val="32"/>
          <w:szCs w:val="32"/>
          <w:lang w:eastAsia="zh-CN"/>
        </w:rPr>
        <w:drawing>
          <wp:anchor distT="0" distB="0" distL="114300" distR="114300" simplePos="0" relativeHeight="23" behindDoc="0" locked="0" layoutInCell="1" hidden="0" allowOverlap="1">
            <wp:simplePos x="0" y="0"/>
            <wp:positionH relativeFrom="column">
              <wp:posOffset>452119</wp:posOffset>
            </wp:positionH>
            <wp:positionV relativeFrom="paragraph">
              <wp:posOffset>55879</wp:posOffset>
            </wp:positionV>
            <wp:extent cx="3992880" cy="2373629"/>
            <wp:effectExtent l="0" t="0" r="34" b="36"/>
            <wp:wrapSquare wrapText="bothSides"/>
            <wp:docPr id="4" name="图表 8"/>
            <wp:cNvGraphicFramePr>
              <a:graphicFrameLocks noChangeAspect="0"/>
            </wp:cNvGraphicFramePr>
            <a:graphic>
              <a:graphicData uri="http://schemas.openxmlformats.org/drawingml/2006/chart">
                <c:chart xmlns:c="http://schemas.openxmlformats.org/drawingml/2006/chart" r:id="rId7"/>
              </a:graphicData>
            </a:graphic>
          </wp:anchor>
        </w:drawing>
      </w:r>
    </w:p>
    <w:p>
      <w:pPr>
        <w:pStyle w:val="16"/>
        <w:jc w:val="distribute"/>
        <w:rPr>
          <w:rFonts w:ascii="Times New Roman" w:eastAsia="仿宋" w:cs="Times New Roman" w:hAnsi="Times New Roman"/>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rPr>
          <w:rFonts w:ascii="Times New Roman" w:eastAsia="仿宋" w:cs="Times New Roman" w:hAnsi="Times New Roman"/>
          <w:sz w:val="32"/>
          <w:szCs w:val="32"/>
        </w:rPr>
      </w:pPr>
      <w:r>
        <w:rPr>
          <w:rFonts w:ascii="Times New Roman" w:eastAsia="仿宋" w:cs="Times New Roman" w:hAnsi="Times New Roman"/>
          <w:color w:val="auto"/>
          <w:sz w:val="32"/>
          <w:szCs w:val="32"/>
        </w:rPr>
        <w:t>（图</w:t>
      </w:r>
      <w:r>
        <w:rPr>
          <w:rFonts w:eastAsia="仿宋" w:cs="Times New Roman" w:hint="eastAsia"/>
          <w:color w:val="auto"/>
          <w:sz w:val="32"/>
          <w:szCs w:val="32"/>
          <w:lang w:val="en-US" w:eastAsia="zh-CN"/>
        </w:rPr>
        <w:t>4</w:t>
      </w:r>
      <w:r>
        <w:rPr>
          <w:rFonts w:ascii="Times New Roman" w:eastAsia="仿宋" w:cs="Times New Roman" w:hAnsi="Times New Roman"/>
          <w:color w:val="auto"/>
          <w:sz w:val="32"/>
          <w:szCs w:val="32"/>
        </w:rPr>
        <w:t>：一般公共预算财政拨款支出决算结构）（</w:t>
      </w:r>
      <w:r>
        <w:rPr>
          <w:rFonts w:eastAsia="仿宋" w:cs="Times New Roman" w:hint="eastAsia"/>
          <w:color w:val="auto"/>
          <w:sz w:val="32"/>
          <w:szCs w:val="32"/>
          <w:lang w:val="en-US" w:eastAsia="zh-CN"/>
        </w:rPr>
        <w:t>圆环</w:t>
      </w:r>
      <w:r>
        <w:rPr>
          <w:rFonts w:ascii="Times New Roman" w:eastAsia="仿宋" w:cs="Times New Roman" w:hAnsi="Times New Roman"/>
          <w:color w:val="auto"/>
          <w:sz w:val="32"/>
          <w:szCs w:val="32"/>
        </w:rPr>
        <w:t>图）</w:t>
      </w:r>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52" w:name="_Toc15377212"/>
      <w:r>
        <w:rPr>
          <w:rFonts w:ascii="Times New Roman" w:eastAsia="仿宋" w:cs="Times New Roman" w:hAnsi="Times New Roman"/>
          <w:b/>
          <w:sz w:val="32"/>
          <w:szCs w:val="32"/>
        </w:rPr>
        <w:t>（三）一般公共预算财政拨款支出决算具体情况</w:t>
      </w:r>
      <w:bookmarkEnd w:id="52"/>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sz w:val="32"/>
          <w:szCs w:val="32"/>
        </w:rPr>
      </w:pPr>
      <w:bookmarkStart w:id="53" w:name="_Toc15378460"/>
      <w:bookmarkStart w:id="54" w:name="_Toc15377213"/>
      <w:bookmarkStart w:id="55" w:name="_Toc15377444"/>
      <w:r>
        <w:rPr>
          <w:rFonts w:ascii="Times New Roman" w:eastAsia="仿宋" w:cs="Times New Roman" w:hAnsi="Times New Roman"/>
          <w:b/>
          <w:sz w:val="32"/>
          <w:szCs w:val="32"/>
        </w:rPr>
        <w:t>202</w:t>
      </w:r>
      <w:r>
        <w:rPr>
          <w:rFonts w:eastAsia="仿宋" w:cs="Times New Roman" w:hint="eastAsia"/>
          <w:b/>
          <w:sz w:val="32"/>
          <w:szCs w:val="32"/>
          <w:lang w:val="en-US" w:eastAsia="zh-CN"/>
        </w:rPr>
        <w:t>2</w:t>
      </w:r>
      <w:r>
        <w:rPr>
          <w:rFonts w:ascii="Times New Roman" w:eastAsia="仿宋" w:cs="Times New Roman" w:hAnsi="Times New Roman"/>
          <w:b/>
          <w:sz w:val="32"/>
          <w:szCs w:val="32"/>
        </w:rPr>
        <w:t>年一般公共预算支出决算数为</w:t>
      </w:r>
      <w:r>
        <w:rPr>
          <w:rFonts w:ascii="仿宋" w:eastAsia="仿宋" w:hint="eastAsia"/>
          <w:b w:val="0"/>
          <w:bCs/>
          <w:sz w:val="32"/>
          <w:szCs w:val="32"/>
          <w:lang w:val="en-US" w:eastAsia="zh-CN"/>
        </w:rPr>
        <w:t>1069.67</w:t>
      </w:r>
      <w:r>
        <w:rPr>
          <w:rFonts w:ascii="Times New Roman" w:eastAsia="仿宋" w:cs="Times New Roman" w:hAnsi="Times New Roman"/>
          <w:sz w:val="32"/>
          <w:szCs w:val="32"/>
        </w:rPr>
        <w:t>，</w:t>
      </w:r>
      <w:r>
        <w:rPr>
          <w:rStyle w:val="28"/>
          <w:rFonts w:ascii="Times New Roman" w:eastAsia="仿宋" w:cs="Times New Roman" w:hAnsi="Times New Roman"/>
          <w:bCs/>
          <w:sz w:val="32"/>
          <w:szCs w:val="32"/>
        </w:rPr>
        <w:t>完成预算100%。其中：</w:t>
      </w:r>
      <w:bookmarkEnd w:id="53"/>
      <w:bookmarkEnd w:id="54"/>
      <w:bookmarkEnd w:id="55"/>
    </w:p>
    <w:p>
      <w:pPr>
        <w:pageBreakBefore w:val="0"/>
        <w:widowControl w:val="0"/>
        <w:kinsoku/>
        <w:wordWrap/>
        <w:overflowPunct/>
        <w:topLinePunct w:val="0"/>
        <w:bidi w:val="0"/>
        <w:spacing w:line="576" w:lineRule="exact"/>
        <w:ind w:firstLineChars="200" w:firstLine="640"/>
        <w:rPr>
          <w:rStyle w:val="28"/>
          <w:rFonts w:ascii="Times New Roman" w:eastAsia="仿宋" w:cs="Times New Roman" w:hAnsi="Times New Roman"/>
          <w:b w:val="0"/>
          <w:bCs/>
          <w:sz w:val="32"/>
          <w:szCs w:val="32"/>
        </w:rPr>
      </w:pPr>
      <w:r>
        <w:rPr>
          <w:rStyle w:val="28"/>
          <w:rFonts w:eastAsia="仿宋" w:cs="Times New Roman" w:hint="eastAsia"/>
          <w:bCs/>
          <w:sz w:val="32"/>
          <w:szCs w:val="32"/>
          <w:lang w:val="en-US" w:eastAsia="zh-CN"/>
        </w:rPr>
        <w:t>1</w:t>
      </w:r>
      <w:r>
        <w:rPr>
          <w:rStyle w:val="28"/>
          <w:rFonts w:ascii="Times New Roman" w:eastAsia="仿宋" w:cs="Times New Roman" w:hAnsi="Times New Roman"/>
          <w:bCs/>
          <w:sz w:val="32"/>
          <w:szCs w:val="32"/>
        </w:rPr>
        <w:t>.</w:t>
      </w:r>
      <w:r>
        <w:rPr>
          <w:rStyle w:val="28"/>
          <w:rFonts w:eastAsia="仿宋" w:cs="Times New Roman" w:hint="eastAsia"/>
          <w:bCs/>
          <w:sz w:val="32"/>
          <w:szCs w:val="32"/>
          <w:lang w:val="en-US" w:eastAsia="zh-CN"/>
        </w:rPr>
        <w:t>1</w:t>
      </w:r>
      <w:r>
        <w:rPr>
          <w:rStyle w:val="28"/>
          <w:rFonts w:ascii="Times New Roman" w:eastAsia="仿宋" w:cs="Times New Roman" w:hAnsi="Times New Roman"/>
          <w:bCs/>
          <w:sz w:val="32"/>
          <w:szCs w:val="32"/>
        </w:rPr>
        <w:t>社会保障和就业（208）行政事业单位养老（0</w:t>
      </w:r>
      <w:r>
        <w:rPr>
          <w:rStyle w:val="28"/>
          <w:rFonts w:eastAsia="仿宋" w:cs="Times New Roman" w:hint="eastAsia"/>
          <w:bCs/>
          <w:sz w:val="32"/>
          <w:szCs w:val="32"/>
          <w:lang w:val="en-US" w:eastAsia="zh-CN"/>
        </w:rPr>
        <w:t>5</w:t>
      </w:r>
      <w:r>
        <w:rPr>
          <w:rStyle w:val="28"/>
          <w:rFonts w:ascii="Times New Roman" w:eastAsia="仿宋" w:cs="Times New Roman" w:hAnsi="Times New Roman"/>
          <w:bCs/>
          <w:sz w:val="32"/>
          <w:szCs w:val="32"/>
        </w:rPr>
        <w:t>），</w:t>
      </w:r>
      <w:r>
        <w:rPr>
          <w:rStyle w:val="28"/>
          <w:rFonts w:ascii="Times New Roman" w:eastAsia="仿宋" w:cs="Times New Roman" w:hAnsi="Times New Roman"/>
          <w:b w:val="0"/>
          <w:bCs/>
          <w:sz w:val="32"/>
          <w:szCs w:val="32"/>
        </w:rPr>
        <w:t>支出决算为174.61万元，完成预算100%。</w:t>
      </w:r>
    </w:p>
    <w:p>
      <w:pPr>
        <w:pStyle w:val="16"/>
        <w:pageBreakBefore w:val="0"/>
        <w:widowControl w:val="0"/>
        <w:kinsoku/>
        <w:wordWrap/>
        <w:overflowPunct/>
        <w:topLinePunct w:val="0"/>
        <w:bidi w:val="0"/>
        <w:spacing w:line="576" w:lineRule="exact"/>
        <w:ind w:firstLineChars="200" w:firstLine="600"/>
        <w:rPr>
          <w:rStyle w:val="28"/>
          <w:rFonts w:ascii="Times New Roman" w:eastAsia="仿宋" w:cs="Times New Roman" w:hAnsi="Times New Roman"/>
          <w:b w:val="0"/>
          <w:bCs/>
          <w:sz w:val="32"/>
          <w:szCs w:val="32"/>
        </w:rPr>
      </w:pPr>
      <w:r>
        <w:rPr>
          <w:rFonts w:ascii="Times New Roman" w:cs="Times New Roman" w:hAnsi="Times New Roman" w:hint="eastAsia"/>
          <w:lang w:val="en-US" w:eastAsia="zh-CN"/>
        </w:rPr>
        <w:t>1</w:t>
      </w:r>
      <w:r>
        <w:rPr>
          <w:rFonts w:ascii="Times New Roman" w:cs="Times New Roman" w:hAnsi="Times New Roman"/>
        </w:rPr>
        <w:t>.</w:t>
      </w:r>
      <w:r>
        <w:rPr>
          <w:rFonts w:ascii="Times New Roman" w:cs="Times New Roman" w:hAnsi="Times New Roman" w:hint="eastAsia"/>
          <w:lang w:val="en-US" w:eastAsia="zh-CN"/>
        </w:rPr>
        <w:t>1.</w:t>
      </w:r>
      <w:r>
        <w:rPr>
          <w:rFonts w:ascii="Times New Roman" w:cs="Times New Roman" w:hAnsi="Times New Roman"/>
        </w:rPr>
        <w:t>1机关事业单位基本养老保险缴费（05）：</w:t>
      </w:r>
      <w:r>
        <w:rPr>
          <w:rStyle w:val="28"/>
          <w:rFonts w:ascii="Times New Roman" w:eastAsia="仿宋" w:cs="Times New Roman" w:hAnsi="Times New Roman"/>
          <w:b w:val="0"/>
          <w:bCs/>
          <w:sz w:val="32"/>
          <w:szCs w:val="32"/>
        </w:rPr>
        <w:t>支出决算为116.93万元，完成预算100%。</w:t>
      </w:r>
    </w:p>
    <w:p>
      <w:pPr>
        <w:pageBreakBefore w:val="0"/>
        <w:widowControl w:val="0"/>
        <w:kinsoku/>
        <w:wordWrap/>
        <w:overflowPunct/>
        <w:topLinePunct w:val="0"/>
        <w:bidi w:val="0"/>
        <w:spacing w:line="576" w:lineRule="exact"/>
        <w:ind w:firstLineChars="200" w:firstLine="640"/>
        <w:rPr>
          <w:rStyle w:val="28"/>
          <w:rFonts w:ascii="Times New Roman" w:eastAsia="仿宋" w:cs="Times New Roman" w:hAnsi="Times New Roman"/>
          <w:b w:val="0"/>
          <w:bCs/>
          <w:sz w:val="32"/>
          <w:szCs w:val="32"/>
        </w:rPr>
      </w:pPr>
      <w:r>
        <w:rPr>
          <w:rStyle w:val="28"/>
          <w:rFonts w:ascii="Times New Roman" w:eastAsia="仿宋" w:cs="Times New Roman" w:hAnsi="Times New Roman" w:hint="eastAsia"/>
          <w:b w:val="0"/>
          <w:bCs/>
          <w:sz w:val="32"/>
          <w:szCs w:val="32"/>
          <w:lang w:val="en-US" w:eastAsia="zh-CN"/>
        </w:rPr>
        <w:t>1</w:t>
      </w:r>
      <w:r>
        <w:rPr>
          <w:rStyle w:val="28"/>
          <w:rFonts w:ascii="Times New Roman" w:eastAsia="仿宋" w:cs="Times New Roman" w:hAnsi="Times New Roman"/>
          <w:b w:val="0"/>
          <w:bCs/>
          <w:sz w:val="32"/>
          <w:szCs w:val="32"/>
        </w:rPr>
        <w:t>.</w:t>
      </w:r>
      <w:r>
        <w:rPr>
          <w:rStyle w:val="28"/>
          <w:rFonts w:ascii="Times New Roman" w:eastAsia="仿宋" w:cs="Times New Roman" w:hAnsi="Times New Roman" w:hint="eastAsia"/>
          <w:b w:val="0"/>
          <w:bCs/>
          <w:sz w:val="32"/>
          <w:szCs w:val="32"/>
          <w:lang w:val="en-US" w:eastAsia="zh-CN"/>
        </w:rPr>
        <w:t>1.</w:t>
      </w:r>
      <w:r>
        <w:rPr>
          <w:rStyle w:val="28"/>
          <w:rFonts w:ascii="Times New Roman" w:eastAsia="仿宋" w:cs="Times New Roman" w:hAnsi="Times New Roman"/>
          <w:b w:val="0"/>
          <w:bCs/>
          <w:sz w:val="32"/>
          <w:szCs w:val="32"/>
        </w:rPr>
        <w:t>2</w:t>
      </w:r>
      <w:r>
        <w:rPr>
          <w:rFonts w:ascii="Times New Roman" w:cs="Times New Roman" w:hAnsi="Times New Roman"/>
        </w:rPr>
        <w:t>机关事业单位职业年金缴费（06）：</w:t>
      </w:r>
      <w:r>
        <w:rPr>
          <w:rStyle w:val="28"/>
          <w:rFonts w:ascii="Times New Roman" w:eastAsia="仿宋" w:cs="Times New Roman" w:hAnsi="Times New Roman"/>
          <w:b w:val="0"/>
          <w:bCs/>
          <w:sz w:val="32"/>
          <w:szCs w:val="32"/>
        </w:rPr>
        <w:t>支出决算为57.68万元，完成预算100%。</w:t>
      </w:r>
    </w:p>
    <w:p>
      <w:pPr>
        <w:pageBreakBefore w:val="0"/>
        <w:widowControl w:val="0"/>
        <w:kinsoku/>
        <w:wordWrap/>
        <w:overflowPunct/>
        <w:topLinePunct w:val="0"/>
        <w:bidi w:val="0"/>
        <w:spacing w:line="576" w:lineRule="exact"/>
        <w:ind w:firstLineChars="200" w:firstLine="640"/>
        <w:rPr>
          <w:rStyle w:val="28"/>
          <w:rFonts w:ascii="Times New Roman" w:eastAsia="仿宋" w:cs="Times New Roman" w:hAnsi="Times New Roman"/>
          <w:b w:val="0"/>
          <w:bCs/>
          <w:sz w:val="32"/>
          <w:szCs w:val="32"/>
        </w:rPr>
      </w:pPr>
      <w:r>
        <w:rPr>
          <w:rStyle w:val="28"/>
          <w:rFonts w:eastAsia="仿宋" w:cs="Times New Roman" w:hint="eastAsia"/>
          <w:bCs/>
          <w:sz w:val="32"/>
          <w:szCs w:val="32"/>
          <w:lang w:val="en-US" w:eastAsia="zh-CN"/>
        </w:rPr>
        <w:t>1</w:t>
      </w:r>
      <w:r>
        <w:rPr>
          <w:rStyle w:val="28"/>
          <w:rFonts w:ascii="Times New Roman" w:eastAsia="仿宋" w:cs="Times New Roman" w:hAnsi="Times New Roman"/>
          <w:bCs/>
          <w:sz w:val="32"/>
          <w:szCs w:val="32"/>
        </w:rPr>
        <w:t>.</w:t>
      </w:r>
      <w:r>
        <w:rPr>
          <w:rStyle w:val="28"/>
          <w:rFonts w:ascii="Times New Roman" w:eastAsia="仿宋" w:cs="Times New Roman" w:hAnsi="Times New Roman" w:hint="eastAsia"/>
          <w:bCs/>
          <w:sz w:val="32"/>
          <w:szCs w:val="32"/>
          <w:lang w:val="en-US" w:eastAsia="zh-CN"/>
        </w:rPr>
        <w:t>2</w:t>
      </w:r>
      <w:r>
        <w:rPr>
          <w:rStyle w:val="28"/>
          <w:rFonts w:ascii="Times New Roman" w:eastAsia="仿宋" w:cs="Times New Roman" w:hAnsi="Times New Roman"/>
          <w:bCs/>
          <w:sz w:val="32"/>
          <w:szCs w:val="32"/>
        </w:rPr>
        <w:t>社会保障和就业（208）</w:t>
      </w:r>
      <w:r>
        <w:rPr>
          <w:rStyle w:val="28"/>
          <w:rFonts w:ascii="Times New Roman" w:eastAsia="仿宋" w:cs="Times New Roman" w:hAnsi="Times New Roman" w:hint="eastAsia"/>
          <w:bCs/>
          <w:sz w:val="32"/>
          <w:szCs w:val="32"/>
          <w:lang w:val="en-US" w:eastAsia="zh-CN"/>
        </w:rPr>
        <w:t>抚恤</w:t>
      </w:r>
      <w:r>
        <w:rPr>
          <w:rStyle w:val="28"/>
          <w:rFonts w:ascii="Times New Roman" w:eastAsia="仿宋" w:cs="Times New Roman" w:hAnsi="Times New Roman"/>
          <w:bCs/>
          <w:sz w:val="32"/>
          <w:szCs w:val="32"/>
        </w:rPr>
        <w:t>（0</w:t>
      </w:r>
      <w:r>
        <w:rPr>
          <w:rStyle w:val="28"/>
          <w:rFonts w:ascii="Times New Roman" w:eastAsia="仿宋" w:cs="Times New Roman" w:hAnsi="Times New Roman" w:hint="eastAsia"/>
          <w:bCs/>
          <w:sz w:val="32"/>
          <w:szCs w:val="32"/>
          <w:lang w:val="en-US" w:eastAsia="zh-CN"/>
        </w:rPr>
        <w:t>8</w:t>
      </w:r>
      <w:r>
        <w:rPr>
          <w:rStyle w:val="28"/>
          <w:rFonts w:ascii="Times New Roman" w:eastAsia="仿宋" w:cs="Times New Roman" w:hAnsi="Times New Roman"/>
          <w:bCs/>
          <w:sz w:val="32"/>
          <w:szCs w:val="32"/>
        </w:rPr>
        <w:t>），</w:t>
      </w:r>
      <w:r>
        <w:rPr>
          <w:rStyle w:val="28"/>
          <w:rFonts w:ascii="Times New Roman" w:eastAsia="仿宋" w:cs="Times New Roman" w:hAnsi="Times New Roman"/>
          <w:b w:val="0"/>
          <w:bCs/>
          <w:sz w:val="32"/>
          <w:szCs w:val="32"/>
        </w:rPr>
        <w:t>支出决算为</w:t>
      </w:r>
      <w:r>
        <w:rPr>
          <w:rStyle w:val="28"/>
          <w:rFonts w:ascii="Times New Roman" w:eastAsia="仿宋" w:cs="Times New Roman" w:hAnsi="Times New Roman" w:hint="eastAsia"/>
          <w:b w:val="0"/>
          <w:bCs/>
          <w:sz w:val="32"/>
          <w:szCs w:val="32"/>
          <w:lang w:val="en-US" w:eastAsia="zh-CN"/>
        </w:rPr>
        <w:t>510.17</w:t>
      </w:r>
      <w:r>
        <w:rPr>
          <w:rStyle w:val="28"/>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firstLineChars="200" w:firstLine="640"/>
        <w:rPr>
          <w:rStyle w:val="28"/>
          <w:rFonts w:ascii="Times New Roman" w:eastAsia="仿宋" w:cs="Times New Roman" w:hAnsi="Times New Roman" w:hint="eastAsia"/>
          <w:b w:val="0"/>
          <w:bCs/>
          <w:sz w:val="32"/>
          <w:szCs w:val="32"/>
          <w:lang w:val="en-US" w:eastAsia="zh-CN"/>
        </w:rPr>
      </w:pPr>
      <w:r>
        <w:rPr>
          <w:rStyle w:val="28"/>
          <w:rFonts w:ascii="Times New Roman" w:eastAsia="仿宋" w:cs="Times New Roman" w:hAnsi="Times New Roman" w:hint="eastAsia"/>
          <w:b w:val="0"/>
          <w:bCs/>
          <w:sz w:val="32"/>
          <w:szCs w:val="32"/>
          <w:lang w:val="en-US" w:eastAsia="zh-CN"/>
        </w:rPr>
        <w:t>1.2.1伤残抚恤（02）：支出决算为6.91万元，完成预算100%。</w:t>
      </w:r>
    </w:p>
    <w:p>
      <w:pPr>
        <w:pStyle w:val="16"/>
        <w:pageBreakBefore w:val="0"/>
        <w:widowControl w:val="0"/>
        <w:kinsoku/>
        <w:wordWrap/>
        <w:overflowPunct/>
        <w:topLinePunct w:val="0"/>
        <w:bidi w:val="0"/>
        <w:spacing w:line="576" w:lineRule="exact"/>
        <w:ind w:firstLineChars="200" w:firstLine="640"/>
        <w:rPr>
          <w:rStyle w:val="28"/>
          <w:rFonts w:ascii="Times New Roman" w:eastAsia="仿宋" w:cs="Times New Roman" w:hAnsi="Times New Roman" w:hint="eastAsia"/>
          <w:b w:val="0"/>
          <w:bCs/>
          <w:sz w:val="32"/>
          <w:szCs w:val="32"/>
          <w:lang w:val="en-US" w:eastAsia="zh-CN"/>
        </w:rPr>
      </w:pPr>
      <w:r>
        <w:rPr>
          <w:rStyle w:val="28"/>
          <w:rFonts w:ascii="Times New Roman" w:eastAsia="仿宋" w:cs="Times New Roman" w:hAnsi="Times New Roman" w:hint="eastAsia"/>
          <w:b w:val="0"/>
          <w:bCs/>
          <w:sz w:val="32"/>
          <w:szCs w:val="32"/>
          <w:lang w:val="en-US" w:eastAsia="zh-CN"/>
        </w:rPr>
        <w:t>1.2.2在乡复员、退役军人生活补助（03）：支出决算为410.73万元，完成预算100%。</w:t>
      </w:r>
    </w:p>
    <w:p>
      <w:pPr>
        <w:pStyle w:val="16"/>
        <w:pageBreakBefore w:val="0"/>
        <w:widowControl w:val="0"/>
        <w:kinsoku/>
        <w:wordWrap/>
        <w:overflowPunct/>
        <w:topLinePunct w:val="0"/>
        <w:bidi w:val="0"/>
        <w:spacing w:line="576" w:lineRule="exact"/>
        <w:ind w:firstLineChars="200" w:firstLine="640"/>
        <w:rPr>
          <w:rStyle w:val="28"/>
          <w:rFonts w:ascii="Times New Roman" w:eastAsia="仿宋" w:cs="Times New Roman" w:hAnsi="Times New Roman" w:hint="eastAsia"/>
          <w:b w:val="0"/>
          <w:bCs/>
          <w:sz w:val="32"/>
          <w:szCs w:val="32"/>
          <w:lang w:val="en-US" w:eastAsia="zh-CN"/>
        </w:rPr>
      </w:pPr>
      <w:r>
        <w:rPr>
          <w:rStyle w:val="28"/>
          <w:rFonts w:ascii="Times New Roman" w:eastAsia="仿宋" w:cs="Times New Roman" w:hAnsi="Times New Roman" w:hint="eastAsia"/>
          <w:b w:val="0"/>
          <w:bCs/>
          <w:sz w:val="32"/>
          <w:szCs w:val="32"/>
          <w:lang w:val="en-US" w:eastAsia="zh-CN"/>
        </w:rPr>
        <w:t>1.2.3义务兵有待（05）：支出决算为71.22万元，完成预算100%。</w:t>
      </w:r>
    </w:p>
    <w:p>
      <w:pPr>
        <w:pStyle w:val="16"/>
        <w:pageBreakBefore w:val="0"/>
        <w:widowControl w:val="0"/>
        <w:kinsoku/>
        <w:wordWrap/>
        <w:overflowPunct/>
        <w:topLinePunct w:val="0"/>
        <w:bidi w:val="0"/>
        <w:spacing w:line="576" w:lineRule="exact"/>
        <w:ind w:firstLineChars="200" w:firstLine="640"/>
        <w:rPr>
          <w:rStyle w:val="28"/>
          <w:rFonts w:ascii="Times New Roman" w:eastAsia="仿宋" w:cs="Times New Roman" w:hAnsi="Times New Roman" w:hint="eastAsia"/>
          <w:b w:val="0"/>
          <w:bCs/>
          <w:sz w:val="32"/>
          <w:szCs w:val="32"/>
          <w:lang w:eastAsia="zh-CN"/>
        </w:rPr>
      </w:pPr>
      <w:r>
        <w:rPr>
          <w:rStyle w:val="28"/>
          <w:rFonts w:ascii="Times New Roman" w:eastAsia="仿宋" w:cs="Times New Roman" w:hAnsi="Times New Roman" w:hint="eastAsia"/>
          <w:b w:val="0"/>
          <w:bCs/>
          <w:sz w:val="32"/>
          <w:szCs w:val="32"/>
          <w:lang w:val="en-US" w:eastAsia="zh-CN"/>
        </w:rPr>
        <w:t>1</w:t>
      </w:r>
      <w:r>
        <w:rPr>
          <w:rStyle w:val="28"/>
          <w:rFonts w:ascii="Times New Roman" w:eastAsia="仿宋" w:cs="Times New Roman" w:hAnsi="Times New Roman"/>
          <w:b w:val="0"/>
          <w:bCs/>
          <w:sz w:val="32"/>
          <w:szCs w:val="32"/>
        </w:rPr>
        <w:t>.</w:t>
      </w:r>
      <w:r>
        <w:rPr>
          <w:rStyle w:val="28"/>
          <w:rFonts w:ascii="Times New Roman" w:eastAsia="仿宋" w:cs="Times New Roman" w:hAnsi="Times New Roman" w:hint="eastAsia"/>
          <w:b w:val="0"/>
          <w:bCs/>
          <w:sz w:val="32"/>
          <w:szCs w:val="32"/>
          <w:lang w:val="en-US" w:eastAsia="zh-CN"/>
        </w:rPr>
        <w:t>2.4烈士纪念设施管理维护</w:t>
      </w:r>
      <w:r>
        <w:rPr>
          <w:rFonts w:ascii="Times New Roman" w:cs="Times New Roman" w:hAnsi="Times New Roman"/>
        </w:rPr>
        <w:t>（0</w:t>
      </w:r>
      <w:r>
        <w:rPr>
          <w:rFonts w:ascii="Times New Roman" w:cs="Times New Roman" w:hAnsi="Times New Roman" w:hint="eastAsia"/>
          <w:lang w:val="en-US" w:eastAsia="zh-CN"/>
        </w:rPr>
        <w:t>8</w:t>
      </w:r>
      <w:r>
        <w:rPr>
          <w:rFonts w:ascii="Times New Roman" w:cs="Times New Roman" w:hAnsi="Times New Roman"/>
        </w:rPr>
        <w:t>）：</w:t>
      </w:r>
      <w:r>
        <w:rPr>
          <w:rStyle w:val="28"/>
          <w:rFonts w:ascii="Times New Roman" w:eastAsia="仿宋" w:cs="Times New Roman" w:hAnsi="Times New Roman"/>
          <w:b w:val="0"/>
          <w:bCs/>
          <w:sz w:val="32"/>
          <w:szCs w:val="32"/>
        </w:rPr>
        <w:t>支出决算为</w:t>
      </w:r>
      <w:r>
        <w:rPr>
          <w:rStyle w:val="28"/>
          <w:rFonts w:ascii="Times New Roman" w:eastAsia="仿宋" w:cs="Times New Roman" w:hAnsi="Times New Roman" w:hint="eastAsia"/>
          <w:b w:val="0"/>
          <w:bCs/>
          <w:sz w:val="32"/>
          <w:szCs w:val="32"/>
          <w:lang w:val="en-US" w:eastAsia="zh-CN"/>
        </w:rPr>
        <w:t>21.31</w:t>
      </w:r>
      <w:r>
        <w:rPr>
          <w:rStyle w:val="28"/>
          <w:rFonts w:ascii="Times New Roman" w:eastAsia="仿宋" w:cs="Times New Roman" w:hAnsi="Times New Roman"/>
          <w:b w:val="0"/>
          <w:bCs/>
          <w:sz w:val="32"/>
          <w:szCs w:val="32"/>
        </w:rPr>
        <w:t>万元，完成预算100%</w:t>
      </w:r>
      <w:r>
        <w:rPr>
          <w:rStyle w:val="28"/>
          <w:rFonts w:ascii="Times New Roman" w:eastAsia="仿宋" w:cs="Times New Roman" w:hAnsi="Times New Roman" w:hint="eastAsia"/>
          <w:b w:val="0"/>
          <w:bCs/>
          <w:sz w:val="32"/>
          <w:szCs w:val="32"/>
          <w:lang w:eastAsia="zh-CN"/>
        </w:rPr>
        <w:t>。</w:t>
      </w:r>
    </w:p>
    <w:p>
      <w:pPr>
        <w:pageBreakBefore w:val="0"/>
        <w:widowControl w:val="0"/>
        <w:kinsoku/>
        <w:wordWrap/>
        <w:overflowPunct/>
        <w:topLinePunct w:val="0"/>
        <w:bidi w:val="0"/>
        <w:spacing w:line="576" w:lineRule="exact"/>
        <w:ind w:firstLineChars="200" w:firstLine="640"/>
        <w:rPr>
          <w:rStyle w:val="28"/>
          <w:rFonts w:ascii="Times New Roman" w:eastAsia="仿宋" w:cs="Times New Roman" w:hAnsi="Times New Roman"/>
          <w:b w:val="0"/>
          <w:bCs/>
          <w:sz w:val="32"/>
          <w:szCs w:val="32"/>
        </w:rPr>
      </w:pPr>
      <w:r>
        <w:rPr>
          <w:rStyle w:val="28"/>
          <w:rFonts w:eastAsia="仿宋" w:cs="Times New Roman" w:hint="eastAsia"/>
          <w:bCs/>
          <w:sz w:val="32"/>
          <w:szCs w:val="32"/>
          <w:lang w:val="en-US" w:eastAsia="zh-CN"/>
        </w:rPr>
        <w:t>1</w:t>
      </w:r>
      <w:r>
        <w:rPr>
          <w:rStyle w:val="28"/>
          <w:rFonts w:ascii="Times New Roman" w:eastAsia="仿宋" w:cs="Times New Roman" w:hAnsi="Times New Roman"/>
          <w:bCs/>
          <w:sz w:val="32"/>
          <w:szCs w:val="32"/>
        </w:rPr>
        <w:t>.</w:t>
      </w:r>
      <w:r>
        <w:rPr>
          <w:rStyle w:val="28"/>
          <w:rFonts w:ascii="Times New Roman" w:eastAsia="仿宋" w:cs="Times New Roman" w:hAnsi="Times New Roman" w:hint="eastAsia"/>
          <w:bCs/>
          <w:sz w:val="32"/>
          <w:szCs w:val="32"/>
          <w:lang w:val="en-US" w:eastAsia="zh-CN"/>
        </w:rPr>
        <w:t>3</w:t>
      </w:r>
      <w:r>
        <w:rPr>
          <w:rStyle w:val="28"/>
          <w:rFonts w:ascii="Times New Roman" w:eastAsia="仿宋" w:cs="Times New Roman" w:hAnsi="Times New Roman"/>
          <w:bCs/>
          <w:sz w:val="32"/>
          <w:szCs w:val="32"/>
        </w:rPr>
        <w:t>社会保障和就业（208）</w:t>
      </w:r>
      <w:r>
        <w:rPr>
          <w:rStyle w:val="28"/>
          <w:rFonts w:ascii="Times New Roman" w:eastAsia="仿宋" w:cs="Times New Roman" w:hAnsi="Times New Roman" w:hint="eastAsia"/>
          <w:bCs/>
          <w:sz w:val="32"/>
          <w:szCs w:val="32"/>
          <w:lang w:val="en-US" w:eastAsia="zh-CN"/>
        </w:rPr>
        <w:t>退役安置</w:t>
      </w:r>
      <w:r>
        <w:rPr>
          <w:rStyle w:val="28"/>
          <w:rFonts w:ascii="Times New Roman" w:eastAsia="仿宋" w:cs="Times New Roman" w:hAnsi="Times New Roman"/>
          <w:bCs/>
          <w:sz w:val="32"/>
          <w:szCs w:val="32"/>
        </w:rPr>
        <w:t>（0</w:t>
      </w:r>
      <w:r>
        <w:rPr>
          <w:rStyle w:val="28"/>
          <w:rFonts w:ascii="Times New Roman" w:eastAsia="仿宋" w:cs="Times New Roman" w:hAnsi="Times New Roman" w:hint="eastAsia"/>
          <w:bCs/>
          <w:sz w:val="32"/>
          <w:szCs w:val="32"/>
          <w:lang w:val="en-US" w:eastAsia="zh-CN"/>
        </w:rPr>
        <w:t>9</w:t>
      </w:r>
      <w:r>
        <w:rPr>
          <w:rStyle w:val="28"/>
          <w:rFonts w:ascii="Times New Roman" w:eastAsia="仿宋" w:cs="Times New Roman" w:hAnsi="Times New Roman"/>
          <w:bCs/>
          <w:sz w:val="32"/>
          <w:szCs w:val="32"/>
        </w:rPr>
        <w:t>），</w:t>
      </w:r>
      <w:r>
        <w:rPr>
          <w:rStyle w:val="28"/>
          <w:rFonts w:ascii="Times New Roman" w:eastAsia="仿宋" w:cs="Times New Roman" w:hAnsi="Times New Roman"/>
          <w:b w:val="0"/>
          <w:bCs/>
          <w:sz w:val="32"/>
          <w:szCs w:val="32"/>
        </w:rPr>
        <w:t>支出决算为</w:t>
      </w:r>
      <w:r>
        <w:rPr>
          <w:rStyle w:val="28"/>
          <w:rFonts w:ascii="Times New Roman" w:eastAsia="仿宋" w:cs="Times New Roman" w:hAnsi="Times New Roman" w:hint="eastAsia"/>
          <w:b w:val="0"/>
          <w:bCs/>
          <w:sz w:val="32"/>
          <w:szCs w:val="32"/>
          <w:lang w:val="en-US" w:eastAsia="zh-CN"/>
        </w:rPr>
        <w:t>104.99</w:t>
      </w:r>
      <w:r>
        <w:rPr>
          <w:rStyle w:val="28"/>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firstLineChars="200" w:firstLine="640"/>
        <w:rPr>
          <w:rStyle w:val="28"/>
          <w:rFonts w:ascii="Times New Roman" w:eastAsia="仿宋" w:cs="Times New Roman" w:hAnsi="Times New Roman" w:hint="eastAsia"/>
          <w:b w:val="0"/>
          <w:bCs/>
          <w:sz w:val="32"/>
          <w:szCs w:val="32"/>
          <w:lang w:val="en-US" w:eastAsia="zh-CN"/>
        </w:rPr>
      </w:pPr>
      <w:r>
        <w:rPr>
          <w:rStyle w:val="28"/>
          <w:rFonts w:ascii="Times New Roman" w:eastAsia="仿宋" w:cs="Times New Roman" w:hAnsi="Times New Roman" w:hint="eastAsia"/>
          <w:b w:val="0"/>
          <w:bCs/>
          <w:sz w:val="32"/>
          <w:szCs w:val="32"/>
          <w:lang w:val="en-US" w:eastAsia="zh-CN"/>
        </w:rPr>
        <w:t>1.3.1退役士兵安置（01）：支出决算为40万元，完成预算100%。</w:t>
      </w:r>
    </w:p>
    <w:p>
      <w:pPr>
        <w:pStyle w:val="16"/>
        <w:pageBreakBefore w:val="0"/>
        <w:widowControl w:val="0"/>
        <w:kinsoku/>
        <w:wordWrap/>
        <w:overflowPunct/>
        <w:topLinePunct w:val="0"/>
        <w:bidi w:val="0"/>
        <w:spacing w:line="576" w:lineRule="exact"/>
        <w:ind w:firstLineChars="200" w:firstLine="640"/>
        <w:rPr>
          <w:rStyle w:val="28"/>
          <w:rFonts w:ascii="Times New Roman" w:eastAsia="仿宋" w:cs="Times New Roman" w:hAnsi="Times New Roman"/>
          <w:b w:val="0"/>
          <w:bCs/>
          <w:sz w:val="32"/>
          <w:szCs w:val="32"/>
        </w:rPr>
      </w:pPr>
      <w:r>
        <w:rPr>
          <w:rStyle w:val="28"/>
          <w:rFonts w:ascii="Times New Roman" w:eastAsia="仿宋" w:cs="Times New Roman" w:hAnsi="Times New Roman" w:hint="eastAsia"/>
          <w:b w:val="0"/>
          <w:bCs/>
          <w:sz w:val="32"/>
          <w:szCs w:val="32"/>
          <w:lang w:val="en-US" w:eastAsia="zh-CN"/>
        </w:rPr>
        <w:t>1</w:t>
      </w:r>
      <w:r>
        <w:rPr>
          <w:rStyle w:val="28"/>
          <w:rFonts w:ascii="Times New Roman" w:eastAsia="仿宋" w:cs="Times New Roman" w:hAnsi="Times New Roman"/>
          <w:b w:val="0"/>
          <w:bCs/>
          <w:sz w:val="32"/>
          <w:szCs w:val="32"/>
        </w:rPr>
        <w:t>.</w:t>
      </w:r>
      <w:r>
        <w:rPr>
          <w:rStyle w:val="28"/>
          <w:rFonts w:ascii="Times New Roman" w:eastAsia="仿宋" w:cs="Times New Roman" w:hAnsi="Times New Roman" w:hint="eastAsia"/>
          <w:b w:val="0"/>
          <w:bCs/>
          <w:sz w:val="32"/>
          <w:szCs w:val="32"/>
          <w:lang w:val="en-US" w:eastAsia="zh-CN"/>
        </w:rPr>
        <w:t>3.</w:t>
      </w:r>
      <w:r>
        <w:rPr>
          <w:rStyle w:val="28"/>
          <w:rFonts w:ascii="Times New Roman" w:eastAsia="仿宋" w:cs="Times New Roman" w:hAnsi="Times New Roman"/>
          <w:b w:val="0"/>
          <w:bCs/>
          <w:sz w:val="32"/>
          <w:szCs w:val="32"/>
        </w:rPr>
        <w:t>2</w:t>
      </w:r>
      <w:r>
        <w:rPr>
          <w:rStyle w:val="28"/>
          <w:rFonts w:ascii="Times New Roman" w:eastAsia="仿宋" w:cs="Times New Roman" w:hAnsi="Times New Roman" w:hint="eastAsia"/>
          <w:b w:val="0"/>
          <w:bCs/>
          <w:sz w:val="32"/>
          <w:szCs w:val="32"/>
          <w:lang w:val="en-US" w:eastAsia="zh-CN"/>
        </w:rPr>
        <w:t>军队移交政府的离退休人员安置</w:t>
      </w:r>
      <w:r>
        <w:rPr>
          <w:rFonts w:ascii="Times New Roman" w:cs="Times New Roman" w:hAnsi="Times New Roman"/>
        </w:rPr>
        <w:t>（0</w:t>
      </w:r>
      <w:r>
        <w:rPr>
          <w:rFonts w:ascii="Times New Roman" w:cs="Times New Roman" w:hAnsi="Times New Roman" w:hint="eastAsia"/>
          <w:lang w:val="en-US" w:eastAsia="zh-CN"/>
        </w:rPr>
        <w:t>2</w:t>
      </w:r>
      <w:r>
        <w:rPr>
          <w:rFonts w:ascii="Times New Roman" w:cs="Times New Roman" w:hAnsi="Times New Roman"/>
        </w:rPr>
        <w:t>）：</w:t>
      </w:r>
      <w:r>
        <w:rPr>
          <w:rStyle w:val="28"/>
          <w:rFonts w:ascii="Times New Roman" w:eastAsia="仿宋" w:cs="Times New Roman" w:hAnsi="Times New Roman"/>
          <w:b w:val="0"/>
          <w:bCs/>
          <w:sz w:val="32"/>
          <w:szCs w:val="32"/>
        </w:rPr>
        <w:t>支出决算为</w:t>
      </w:r>
      <w:r>
        <w:rPr>
          <w:rStyle w:val="28"/>
          <w:rFonts w:ascii="Times New Roman" w:eastAsia="仿宋" w:cs="Times New Roman" w:hAnsi="Times New Roman" w:hint="eastAsia"/>
          <w:b w:val="0"/>
          <w:bCs/>
          <w:sz w:val="32"/>
          <w:szCs w:val="32"/>
          <w:lang w:val="en-US" w:eastAsia="zh-CN"/>
        </w:rPr>
        <w:t>29.67</w:t>
      </w:r>
      <w:r>
        <w:rPr>
          <w:rStyle w:val="28"/>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firstLineChars="200" w:firstLine="640"/>
        <w:rPr>
          <w:rStyle w:val="28"/>
          <w:rFonts w:ascii="Times New Roman" w:eastAsia="仿宋" w:cs="Times New Roman" w:hAnsi="Times New Roman"/>
          <w:b w:val="0"/>
          <w:bCs/>
          <w:sz w:val="32"/>
          <w:szCs w:val="32"/>
        </w:rPr>
      </w:pPr>
      <w:r>
        <w:rPr>
          <w:rStyle w:val="28"/>
          <w:rFonts w:ascii="Times New Roman" w:eastAsia="仿宋" w:cs="Times New Roman" w:hAnsi="Times New Roman" w:hint="eastAsia"/>
          <w:b w:val="0"/>
          <w:bCs/>
          <w:sz w:val="32"/>
          <w:szCs w:val="32"/>
          <w:lang w:val="en-US" w:eastAsia="zh-CN"/>
        </w:rPr>
        <w:t>1.3.3军队移交政府离退休干部管理机构（03）</w:t>
      </w:r>
      <w:r>
        <w:rPr>
          <w:rFonts w:ascii="Times New Roman" w:cs="Times New Roman" w:hAnsi="Times New Roman"/>
        </w:rPr>
        <w:t>：</w:t>
      </w:r>
      <w:r>
        <w:rPr>
          <w:rStyle w:val="28"/>
          <w:rFonts w:ascii="Times New Roman" w:eastAsia="仿宋" w:cs="Times New Roman" w:hAnsi="Times New Roman"/>
          <w:b w:val="0"/>
          <w:bCs/>
          <w:sz w:val="32"/>
          <w:szCs w:val="32"/>
        </w:rPr>
        <w:t>支出决算为</w:t>
      </w:r>
      <w:r>
        <w:rPr>
          <w:rStyle w:val="28"/>
          <w:rFonts w:ascii="Times New Roman" w:eastAsia="仿宋" w:cs="Times New Roman" w:hAnsi="Times New Roman" w:hint="eastAsia"/>
          <w:b w:val="0"/>
          <w:bCs/>
          <w:sz w:val="32"/>
          <w:szCs w:val="32"/>
          <w:lang w:val="en-US" w:eastAsia="zh-CN"/>
        </w:rPr>
        <w:t>3.21</w:t>
      </w:r>
      <w:r>
        <w:rPr>
          <w:rStyle w:val="28"/>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firstLineChars="200" w:firstLine="640"/>
        <w:rPr>
          <w:rStyle w:val="28"/>
          <w:rFonts w:ascii="Times New Roman" w:eastAsia="仿宋" w:cs="Times New Roman" w:hAnsi="Times New Roman" w:hint="eastAsia"/>
          <w:b w:val="0"/>
          <w:bCs/>
          <w:sz w:val="32"/>
          <w:szCs w:val="32"/>
          <w:lang w:val="en-US" w:eastAsia="zh-CN"/>
        </w:rPr>
      </w:pPr>
      <w:r>
        <w:rPr>
          <w:rStyle w:val="28"/>
          <w:rFonts w:ascii="Times New Roman" w:eastAsia="仿宋" w:cs="Times New Roman" w:hAnsi="Times New Roman" w:hint="eastAsia"/>
          <w:b w:val="0"/>
          <w:bCs/>
          <w:sz w:val="32"/>
          <w:szCs w:val="32"/>
          <w:lang w:val="en-US" w:eastAsia="zh-CN"/>
        </w:rPr>
        <w:t>1.3.4军队转业干部安置（05）：支出决算为32.12万元，完成预算100%。</w:t>
      </w:r>
    </w:p>
    <w:p>
      <w:pPr>
        <w:pageBreakBefore w:val="0"/>
        <w:widowControl w:val="0"/>
        <w:kinsoku/>
        <w:wordWrap/>
        <w:overflowPunct/>
        <w:topLinePunct w:val="0"/>
        <w:bidi w:val="0"/>
        <w:spacing w:line="576" w:lineRule="exact"/>
        <w:ind w:firstLineChars="200" w:firstLine="640"/>
        <w:rPr>
          <w:rStyle w:val="28"/>
          <w:rFonts w:ascii="Times New Roman" w:eastAsia="仿宋" w:cs="Times New Roman" w:hAnsi="Times New Roman"/>
          <w:b w:val="0"/>
          <w:bCs/>
          <w:sz w:val="32"/>
          <w:szCs w:val="32"/>
        </w:rPr>
      </w:pPr>
      <w:r>
        <w:rPr>
          <w:rStyle w:val="28"/>
          <w:rFonts w:eastAsia="仿宋" w:cs="Times New Roman" w:hint="eastAsia"/>
          <w:bCs/>
          <w:sz w:val="32"/>
          <w:szCs w:val="32"/>
          <w:lang w:val="en-US" w:eastAsia="zh-CN"/>
        </w:rPr>
        <w:t>1</w:t>
      </w:r>
      <w:r>
        <w:rPr>
          <w:rStyle w:val="28"/>
          <w:rFonts w:ascii="Times New Roman" w:eastAsia="仿宋" w:cs="Times New Roman" w:hAnsi="Times New Roman"/>
          <w:bCs/>
          <w:sz w:val="32"/>
          <w:szCs w:val="32"/>
        </w:rPr>
        <w:t>.</w:t>
      </w:r>
      <w:r>
        <w:rPr>
          <w:rStyle w:val="28"/>
          <w:rFonts w:ascii="Times New Roman" w:eastAsia="仿宋" w:cs="Times New Roman" w:hAnsi="Times New Roman" w:hint="eastAsia"/>
          <w:bCs/>
          <w:sz w:val="32"/>
          <w:szCs w:val="32"/>
          <w:lang w:val="en-US" w:eastAsia="zh-CN"/>
        </w:rPr>
        <w:t>4</w:t>
      </w:r>
      <w:r>
        <w:rPr>
          <w:rStyle w:val="28"/>
          <w:rFonts w:ascii="Times New Roman" w:eastAsia="仿宋" w:cs="Times New Roman" w:hAnsi="Times New Roman"/>
          <w:bCs/>
          <w:sz w:val="32"/>
          <w:szCs w:val="32"/>
        </w:rPr>
        <w:t>社会保障和就业（208）</w:t>
      </w:r>
      <w:r>
        <w:rPr>
          <w:rStyle w:val="28"/>
          <w:rFonts w:ascii="Times New Roman" w:eastAsia="仿宋" w:cs="Times New Roman" w:hAnsi="Times New Roman" w:hint="eastAsia"/>
          <w:bCs/>
          <w:sz w:val="32"/>
          <w:szCs w:val="32"/>
          <w:lang w:val="en-US" w:eastAsia="zh-CN"/>
        </w:rPr>
        <w:t>退役军人管理事务</w:t>
      </w:r>
      <w:r>
        <w:rPr>
          <w:rStyle w:val="28"/>
          <w:rFonts w:ascii="Times New Roman" w:eastAsia="仿宋" w:cs="Times New Roman" w:hAnsi="Times New Roman"/>
          <w:bCs/>
          <w:sz w:val="32"/>
          <w:szCs w:val="32"/>
        </w:rPr>
        <w:t>（</w:t>
      </w:r>
      <w:r>
        <w:rPr>
          <w:rStyle w:val="28"/>
          <w:rFonts w:ascii="Times New Roman" w:eastAsia="仿宋" w:cs="Times New Roman" w:hAnsi="Times New Roman" w:hint="eastAsia"/>
          <w:bCs/>
          <w:sz w:val="32"/>
          <w:szCs w:val="32"/>
          <w:lang w:val="en-US" w:eastAsia="zh-CN"/>
        </w:rPr>
        <w:t>28</w:t>
      </w:r>
      <w:r>
        <w:rPr>
          <w:rStyle w:val="28"/>
          <w:rFonts w:ascii="Times New Roman" w:eastAsia="仿宋" w:cs="Times New Roman" w:hAnsi="Times New Roman"/>
          <w:bCs/>
          <w:sz w:val="32"/>
          <w:szCs w:val="32"/>
        </w:rPr>
        <w:t>），</w:t>
      </w:r>
      <w:r>
        <w:rPr>
          <w:rStyle w:val="28"/>
          <w:rFonts w:ascii="Times New Roman" w:eastAsia="仿宋" w:cs="Times New Roman" w:hAnsi="Times New Roman"/>
          <w:b w:val="0"/>
          <w:bCs/>
          <w:sz w:val="32"/>
          <w:szCs w:val="32"/>
        </w:rPr>
        <w:t>支出决算为</w:t>
      </w:r>
      <w:r>
        <w:rPr>
          <w:rStyle w:val="28"/>
          <w:rFonts w:ascii="Times New Roman" w:eastAsia="仿宋" w:cs="Times New Roman" w:hAnsi="Times New Roman" w:hint="eastAsia"/>
          <w:b w:val="0"/>
          <w:bCs/>
          <w:sz w:val="32"/>
          <w:szCs w:val="32"/>
          <w:lang w:val="en-US" w:eastAsia="zh-CN"/>
        </w:rPr>
        <w:t>227.99</w:t>
      </w:r>
      <w:r>
        <w:rPr>
          <w:rStyle w:val="28"/>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firstLineChars="200" w:firstLine="640"/>
        <w:rPr>
          <w:rStyle w:val="28"/>
          <w:rFonts w:ascii="Times New Roman" w:eastAsia="仿宋" w:cs="Times New Roman" w:hAnsi="Times New Roman" w:hint="eastAsia"/>
          <w:b w:val="0"/>
          <w:bCs/>
          <w:sz w:val="32"/>
          <w:szCs w:val="32"/>
          <w:lang w:val="en-US" w:eastAsia="zh-CN"/>
        </w:rPr>
      </w:pPr>
      <w:r>
        <w:rPr>
          <w:rStyle w:val="28"/>
          <w:rFonts w:ascii="Times New Roman" w:eastAsia="仿宋" w:cs="Times New Roman" w:hAnsi="Times New Roman" w:hint="eastAsia"/>
          <w:b w:val="0"/>
          <w:bCs/>
          <w:sz w:val="32"/>
          <w:szCs w:val="32"/>
          <w:lang w:val="en-US" w:eastAsia="zh-CN"/>
        </w:rPr>
        <w:t>1.4.1行政运行（01）：支出决算为75.56万元，完成预算100%。</w:t>
      </w:r>
    </w:p>
    <w:p>
      <w:pPr>
        <w:pStyle w:val="16"/>
        <w:pageBreakBefore w:val="0"/>
        <w:widowControl w:val="0"/>
        <w:kinsoku/>
        <w:wordWrap/>
        <w:overflowPunct/>
        <w:topLinePunct w:val="0"/>
        <w:bidi w:val="0"/>
        <w:spacing w:line="576" w:lineRule="exact"/>
        <w:ind w:firstLineChars="200" w:firstLine="640"/>
        <w:rPr>
          <w:rStyle w:val="28"/>
          <w:rFonts w:ascii="Times New Roman" w:eastAsia="仿宋" w:cs="Times New Roman" w:hAnsi="Times New Roman"/>
          <w:b w:val="0"/>
          <w:bCs/>
          <w:sz w:val="32"/>
          <w:szCs w:val="32"/>
        </w:rPr>
      </w:pPr>
      <w:r>
        <w:rPr>
          <w:rStyle w:val="28"/>
          <w:rFonts w:ascii="Times New Roman" w:eastAsia="仿宋" w:cs="Times New Roman" w:hAnsi="Times New Roman" w:hint="eastAsia"/>
          <w:b w:val="0"/>
          <w:bCs/>
          <w:sz w:val="32"/>
          <w:szCs w:val="32"/>
          <w:lang w:val="en-US" w:eastAsia="zh-CN"/>
        </w:rPr>
        <w:t>1</w:t>
      </w:r>
      <w:r>
        <w:rPr>
          <w:rStyle w:val="28"/>
          <w:rFonts w:ascii="Times New Roman" w:eastAsia="仿宋" w:cs="Times New Roman" w:hAnsi="Times New Roman"/>
          <w:b w:val="0"/>
          <w:bCs/>
          <w:sz w:val="32"/>
          <w:szCs w:val="32"/>
        </w:rPr>
        <w:t>.</w:t>
      </w:r>
      <w:r>
        <w:rPr>
          <w:rStyle w:val="28"/>
          <w:rFonts w:ascii="Times New Roman" w:eastAsia="仿宋" w:cs="Times New Roman" w:hAnsi="Times New Roman" w:hint="eastAsia"/>
          <w:b w:val="0"/>
          <w:bCs/>
          <w:sz w:val="32"/>
          <w:szCs w:val="32"/>
          <w:lang w:val="en-US" w:eastAsia="zh-CN"/>
        </w:rPr>
        <w:t>4.</w:t>
      </w:r>
      <w:r>
        <w:rPr>
          <w:rStyle w:val="28"/>
          <w:rFonts w:ascii="Times New Roman" w:eastAsia="仿宋" w:cs="Times New Roman" w:hAnsi="Times New Roman"/>
          <w:b w:val="0"/>
          <w:bCs/>
          <w:sz w:val="32"/>
          <w:szCs w:val="32"/>
        </w:rPr>
        <w:t>2</w:t>
      </w:r>
      <w:r>
        <w:rPr>
          <w:rStyle w:val="28"/>
          <w:rFonts w:ascii="Times New Roman" w:eastAsia="仿宋" w:cs="Times New Roman" w:hAnsi="Times New Roman" w:hint="eastAsia"/>
          <w:b w:val="0"/>
          <w:bCs/>
          <w:sz w:val="32"/>
          <w:szCs w:val="32"/>
          <w:lang w:val="en-US" w:eastAsia="zh-CN"/>
        </w:rPr>
        <w:t>机关服务</w:t>
      </w:r>
      <w:r>
        <w:rPr>
          <w:rFonts w:ascii="Times New Roman" w:cs="Times New Roman" w:hAnsi="Times New Roman"/>
        </w:rPr>
        <w:t>（0</w:t>
      </w:r>
      <w:r>
        <w:rPr>
          <w:rFonts w:ascii="Times New Roman" w:cs="Times New Roman" w:hAnsi="Times New Roman" w:hint="eastAsia"/>
          <w:lang w:val="en-US" w:eastAsia="zh-CN"/>
        </w:rPr>
        <w:t>3</w:t>
      </w:r>
      <w:r>
        <w:rPr>
          <w:rFonts w:ascii="Times New Roman" w:cs="Times New Roman" w:hAnsi="Times New Roman"/>
        </w:rPr>
        <w:t>）：</w:t>
      </w:r>
      <w:r>
        <w:rPr>
          <w:rStyle w:val="28"/>
          <w:rFonts w:ascii="Times New Roman" w:eastAsia="仿宋" w:cs="Times New Roman" w:hAnsi="Times New Roman"/>
          <w:b w:val="0"/>
          <w:bCs/>
          <w:sz w:val="32"/>
          <w:szCs w:val="32"/>
        </w:rPr>
        <w:t>支出决算为</w:t>
      </w:r>
      <w:r>
        <w:rPr>
          <w:rStyle w:val="28"/>
          <w:rFonts w:ascii="Times New Roman" w:eastAsia="仿宋" w:cs="Times New Roman" w:hAnsi="Times New Roman" w:hint="eastAsia"/>
          <w:b w:val="0"/>
          <w:bCs/>
          <w:sz w:val="32"/>
          <w:szCs w:val="32"/>
          <w:lang w:val="en-US" w:eastAsia="zh-CN"/>
        </w:rPr>
        <w:t>42.8</w:t>
      </w:r>
      <w:r>
        <w:rPr>
          <w:rStyle w:val="28"/>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firstLineChars="200" w:firstLine="640"/>
        <w:rPr>
          <w:rStyle w:val="28"/>
          <w:rFonts w:ascii="Times New Roman" w:eastAsia="仿宋" w:cs="Times New Roman" w:hAnsi="Times New Roman"/>
          <w:b w:val="0"/>
          <w:bCs/>
          <w:sz w:val="32"/>
          <w:szCs w:val="32"/>
        </w:rPr>
      </w:pPr>
      <w:r>
        <w:rPr>
          <w:rStyle w:val="28"/>
          <w:rFonts w:ascii="Times New Roman" w:eastAsia="仿宋" w:cs="Times New Roman" w:hAnsi="Times New Roman" w:hint="eastAsia"/>
          <w:b w:val="0"/>
          <w:bCs/>
          <w:sz w:val="32"/>
          <w:szCs w:val="32"/>
          <w:lang w:val="en-US" w:eastAsia="zh-CN"/>
        </w:rPr>
        <w:t>1.4.3拥军优属（04）</w:t>
      </w:r>
      <w:r>
        <w:rPr>
          <w:rFonts w:ascii="Times New Roman" w:cs="Times New Roman" w:hAnsi="Times New Roman"/>
        </w:rPr>
        <w:t>：</w:t>
      </w:r>
      <w:r>
        <w:rPr>
          <w:rStyle w:val="28"/>
          <w:rFonts w:ascii="Times New Roman" w:eastAsia="仿宋" w:cs="Times New Roman" w:hAnsi="Times New Roman"/>
          <w:b w:val="0"/>
          <w:bCs/>
          <w:sz w:val="32"/>
          <w:szCs w:val="32"/>
        </w:rPr>
        <w:t>支出决算为</w:t>
      </w:r>
      <w:r>
        <w:rPr>
          <w:rStyle w:val="28"/>
          <w:rFonts w:ascii="Times New Roman" w:eastAsia="仿宋" w:cs="Times New Roman" w:hAnsi="Times New Roman" w:hint="eastAsia"/>
          <w:b w:val="0"/>
          <w:bCs/>
          <w:sz w:val="32"/>
          <w:szCs w:val="32"/>
          <w:lang w:val="en-US" w:eastAsia="zh-CN"/>
        </w:rPr>
        <w:t>104.63</w:t>
      </w:r>
      <w:r>
        <w:rPr>
          <w:rStyle w:val="28"/>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firstLineChars="200" w:firstLine="640"/>
        <w:rPr>
          <w:rStyle w:val="28"/>
          <w:rFonts w:ascii="Times New Roman" w:eastAsia="仿宋" w:cs="Times New Roman" w:hAnsi="Times New Roman" w:hint="eastAsia"/>
          <w:b w:val="0"/>
          <w:bCs/>
          <w:sz w:val="32"/>
          <w:szCs w:val="32"/>
          <w:lang w:val="en-US" w:eastAsia="zh-CN"/>
        </w:rPr>
      </w:pPr>
      <w:r>
        <w:rPr>
          <w:rStyle w:val="28"/>
          <w:rFonts w:ascii="Times New Roman" w:eastAsia="仿宋" w:cs="Times New Roman" w:hAnsi="Times New Roman" w:hint="eastAsia"/>
          <w:b w:val="0"/>
          <w:bCs/>
          <w:sz w:val="32"/>
          <w:szCs w:val="32"/>
          <w:lang w:val="en-US" w:eastAsia="zh-CN"/>
        </w:rPr>
        <w:t>1.4.4其他退役军人事务管理支出（99）：支出决算为0.5万元，完成预算100%。</w:t>
      </w:r>
    </w:p>
    <w:p>
      <w:pPr>
        <w:pageBreakBefore w:val="0"/>
        <w:widowControl w:val="0"/>
        <w:kinsoku/>
        <w:wordWrap/>
        <w:overflowPunct/>
        <w:topLinePunct w:val="0"/>
        <w:bidi w:val="0"/>
        <w:spacing w:line="576" w:lineRule="exact"/>
        <w:ind w:firstLineChars="200" w:firstLine="640"/>
        <w:rPr>
          <w:rStyle w:val="28"/>
          <w:rFonts w:ascii="Times New Roman" w:eastAsia="仿宋" w:cs="Times New Roman" w:hAnsi="Times New Roman"/>
          <w:b w:val="0"/>
          <w:bCs/>
          <w:sz w:val="32"/>
          <w:szCs w:val="32"/>
        </w:rPr>
      </w:pPr>
      <w:r>
        <w:rPr>
          <w:rStyle w:val="28"/>
          <w:rFonts w:eastAsia="仿宋" w:cs="Times New Roman" w:hint="eastAsia"/>
          <w:bCs/>
          <w:sz w:val="32"/>
          <w:szCs w:val="32"/>
          <w:lang w:val="en-US" w:eastAsia="zh-CN"/>
        </w:rPr>
        <w:t>2</w:t>
      </w:r>
      <w:r>
        <w:rPr>
          <w:rStyle w:val="28"/>
          <w:rFonts w:ascii="Times New Roman" w:eastAsia="仿宋" w:cs="Times New Roman" w:hAnsi="Times New Roman"/>
          <w:bCs/>
          <w:sz w:val="32"/>
          <w:szCs w:val="32"/>
        </w:rPr>
        <w:t>.</w:t>
      </w:r>
      <w:r>
        <w:rPr>
          <w:rStyle w:val="28"/>
          <w:rFonts w:eastAsia="仿宋" w:cs="Times New Roman" w:hint="eastAsia"/>
          <w:bCs/>
          <w:sz w:val="32"/>
          <w:szCs w:val="32"/>
          <w:lang w:val="en-US" w:eastAsia="zh-CN"/>
        </w:rPr>
        <w:t>1</w:t>
      </w:r>
      <w:r>
        <w:rPr>
          <w:rFonts w:ascii="Times New Roman" w:eastAsia="仿宋" w:cs="Times New Roman" w:hAnsi="Times New Roman"/>
          <w:b/>
          <w:bCs/>
          <w:sz w:val="32"/>
          <w:szCs w:val="32"/>
        </w:rPr>
        <w:t>卫生健康</w:t>
      </w:r>
      <w:r>
        <w:rPr>
          <w:rStyle w:val="28"/>
          <w:rFonts w:ascii="Times New Roman" w:eastAsia="仿宋" w:cs="Times New Roman" w:hAnsi="Times New Roman"/>
          <w:bCs/>
          <w:sz w:val="32"/>
          <w:szCs w:val="32"/>
        </w:rPr>
        <w:t>（210）行政事业单位医疗（11）:</w:t>
      </w:r>
      <w:r>
        <w:rPr>
          <w:rStyle w:val="28"/>
          <w:rFonts w:ascii="Times New Roman" w:eastAsia="仿宋" w:cs="Times New Roman" w:hAnsi="Times New Roman"/>
          <w:b w:val="0"/>
          <w:bCs/>
          <w:sz w:val="32"/>
          <w:szCs w:val="32"/>
        </w:rPr>
        <w:t>支出决算为</w:t>
      </w:r>
      <w:r>
        <w:rPr>
          <w:rStyle w:val="28"/>
          <w:rFonts w:eastAsia="仿宋" w:cs="Times New Roman" w:hint="eastAsia"/>
          <w:b w:val="0"/>
          <w:bCs/>
          <w:sz w:val="32"/>
          <w:szCs w:val="32"/>
          <w:lang w:val="en-US" w:eastAsia="zh-CN"/>
        </w:rPr>
        <w:t>6.59</w:t>
      </w:r>
      <w:r>
        <w:rPr>
          <w:rStyle w:val="28"/>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firstLineChars="200" w:firstLine="600"/>
        <w:rPr>
          <w:rStyle w:val="28"/>
          <w:rFonts w:ascii="Times New Roman" w:eastAsia="仿宋" w:cs="Times New Roman" w:hAnsi="Times New Roman"/>
          <w:b w:val="0"/>
          <w:bCs/>
          <w:sz w:val="32"/>
          <w:szCs w:val="32"/>
        </w:rPr>
      </w:pPr>
      <w:r>
        <w:rPr>
          <w:rFonts w:ascii="Times New Roman" w:cs="Times New Roman" w:hAnsi="Times New Roman" w:hint="eastAsia"/>
          <w:lang w:val="en-US" w:eastAsia="zh-CN"/>
        </w:rPr>
        <w:t>2</w:t>
      </w:r>
      <w:r>
        <w:rPr>
          <w:rFonts w:ascii="Times New Roman" w:cs="Times New Roman" w:hAnsi="Times New Roman"/>
        </w:rPr>
        <w:t>.1</w:t>
      </w:r>
      <w:r>
        <w:rPr>
          <w:rFonts w:ascii="Times New Roman" w:cs="Times New Roman" w:hAnsi="Times New Roman" w:hint="eastAsia"/>
          <w:lang w:val="en-US" w:eastAsia="zh-CN"/>
        </w:rPr>
        <w:t>.1</w:t>
      </w:r>
      <w:r>
        <w:rPr>
          <w:rFonts w:ascii="Times New Roman" w:cs="Times New Roman" w:hAnsi="Times New Roman"/>
        </w:rPr>
        <w:t>行政单位医疗（01）：</w:t>
      </w:r>
      <w:r>
        <w:rPr>
          <w:rStyle w:val="28"/>
          <w:rFonts w:ascii="Times New Roman" w:eastAsia="仿宋" w:cs="Times New Roman" w:hAnsi="Times New Roman"/>
          <w:b w:val="0"/>
          <w:bCs/>
          <w:sz w:val="32"/>
          <w:szCs w:val="32"/>
        </w:rPr>
        <w:t>支出决算为</w:t>
      </w:r>
      <w:r>
        <w:rPr>
          <w:rStyle w:val="28"/>
          <w:rFonts w:ascii="Times New Roman" w:eastAsia="仿宋" w:cs="Times New Roman" w:hAnsi="Times New Roman" w:hint="eastAsia"/>
          <w:b w:val="0"/>
          <w:bCs/>
          <w:sz w:val="32"/>
          <w:szCs w:val="32"/>
          <w:lang w:val="en-US" w:eastAsia="zh-CN"/>
        </w:rPr>
        <w:t>3.51</w:t>
      </w:r>
      <w:r>
        <w:rPr>
          <w:rStyle w:val="28"/>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firstLineChars="200" w:firstLine="640"/>
        <w:rPr>
          <w:rStyle w:val="28"/>
          <w:rFonts w:ascii="Times New Roman" w:eastAsia="仿宋" w:cs="Times New Roman" w:hAnsi="Times New Roman"/>
          <w:b w:val="0"/>
          <w:bCs/>
          <w:sz w:val="32"/>
          <w:szCs w:val="32"/>
        </w:rPr>
      </w:pPr>
      <w:r>
        <w:rPr>
          <w:rStyle w:val="28"/>
          <w:rFonts w:ascii="Times New Roman" w:eastAsia="仿宋" w:cs="Times New Roman" w:hAnsi="Times New Roman" w:hint="eastAsia"/>
          <w:b w:val="0"/>
          <w:bCs/>
          <w:sz w:val="32"/>
          <w:szCs w:val="32"/>
          <w:lang w:val="en-US" w:eastAsia="zh-CN"/>
        </w:rPr>
        <w:t>2</w:t>
      </w:r>
      <w:r>
        <w:rPr>
          <w:rStyle w:val="28"/>
          <w:rFonts w:ascii="Times New Roman" w:eastAsia="仿宋" w:cs="Times New Roman" w:hAnsi="Times New Roman"/>
          <w:b w:val="0"/>
          <w:bCs/>
          <w:sz w:val="32"/>
          <w:szCs w:val="32"/>
        </w:rPr>
        <w:t>.</w:t>
      </w:r>
      <w:r>
        <w:rPr>
          <w:rStyle w:val="28"/>
          <w:rFonts w:ascii="Times New Roman" w:eastAsia="仿宋" w:cs="Times New Roman" w:hAnsi="Times New Roman" w:hint="eastAsia"/>
          <w:b w:val="0"/>
          <w:bCs/>
          <w:sz w:val="32"/>
          <w:szCs w:val="32"/>
          <w:lang w:val="en-US" w:eastAsia="zh-CN"/>
        </w:rPr>
        <w:t>1.2</w:t>
      </w:r>
      <w:r>
        <w:rPr>
          <w:rStyle w:val="28"/>
          <w:rFonts w:ascii="Times New Roman" w:eastAsia="仿宋" w:cs="Times New Roman" w:hAnsi="Times New Roman"/>
          <w:b w:val="0"/>
          <w:bCs/>
          <w:sz w:val="32"/>
          <w:szCs w:val="32"/>
        </w:rPr>
        <w:t>事业单位医疗（0</w:t>
      </w:r>
      <w:r>
        <w:rPr>
          <w:rStyle w:val="28"/>
          <w:rFonts w:ascii="Times New Roman" w:eastAsia="仿宋" w:cs="Times New Roman" w:hAnsi="Times New Roman" w:hint="eastAsia"/>
          <w:b w:val="0"/>
          <w:bCs/>
          <w:sz w:val="32"/>
          <w:szCs w:val="32"/>
          <w:lang w:val="en-US" w:eastAsia="zh-CN"/>
        </w:rPr>
        <w:t>2</w:t>
      </w:r>
      <w:r>
        <w:rPr>
          <w:rStyle w:val="28"/>
          <w:rFonts w:ascii="Times New Roman" w:eastAsia="仿宋" w:cs="Times New Roman" w:hAnsi="Times New Roman"/>
          <w:b w:val="0"/>
          <w:bCs/>
          <w:sz w:val="32"/>
          <w:szCs w:val="32"/>
        </w:rPr>
        <w:t>）：支出决算为</w:t>
      </w:r>
      <w:r>
        <w:rPr>
          <w:rStyle w:val="28"/>
          <w:rFonts w:ascii="Times New Roman" w:eastAsia="仿宋" w:cs="Times New Roman" w:hAnsi="Times New Roman" w:hint="eastAsia"/>
          <w:b w:val="0"/>
          <w:bCs/>
          <w:sz w:val="32"/>
          <w:szCs w:val="32"/>
          <w:lang w:val="en-US" w:eastAsia="zh-CN"/>
        </w:rPr>
        <w:t>1.83</w:t>
      </w:r>
      <w:r>
        <w:rPr>
          <w:rStyle w:val="28"/>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firstLineChars="200" w:firstLine="640"/>
        <w:rPr>
          <w:rStyle w:val="28"/>
          <w:rFonts w:ascii="Times New Roman" w:eastAsia="仿宋" w:cs="Times New Roman" w:hAnsi="Times New Roman"/>
          <w:b w:val="0"/>
          <w:bCs/>
          <w:sz w:val="32"/>
          <w:szCs w:val="32"/>
        </w:rPr>
      </w:pPr>
      <w:r>
        <w:rPr>
          <w:rStyle w:val="28"/>
          <w:rFonts w:ascii="Times New Roman" w:eastAsia="仿宋" w:cs="Times New Roman" w:hAnsi="Times New Roman" w:hint="eastAsia"/>
          <w:b w:val="0"/>
          <w:bCs/>
          <w:sz w:val="32"/>
          <w:szCs w:val="32"/>
          <w:lang w:val="en-US" w:eastAsia="zh-CN"/>
        </w:rPr>
        <w:t>2</w:t>
      </w:r>
      <w:r>
        <w:rPr>
          <w:rStyle w:val="28"/>
          <w:rFonts w:ascii="Times New Roman" w:eastAsia="仿宋" w:cs="Times New Roman" w:hAnsi="Times New Roman"/>
          <w:b w:val="0"/>
          <w:bCs/>
          <w:sz w:val="32"/>
          <w:szCs w:val="32"/>
        </w:rPr>
        <w:t>.</w:t>
      </w:r>
      <w:r>
        <w:rPr>
          <w:rStyle w:val="28"/>
          <w:rFonts w:ascii="Times New Roman" w:eastAsia="仿宋" w:cs="Times New Roman" w:hAnsi="Times New Roman" w:hint="eastAsia"/>
          <w:b w:val="0"/>
          <w:bCs/>
          <w:sz w:val="32"/>
          <w:szCs w:val="32"/>
          <w:lang w:val="en-US" w:eastAsia="zh-CN"/>
        </w:rPr>
        <w:t>1.3</w:t>
      </w:r>
      <w:r>
        <w:rPr>
          <w:rStyle w:val="28"/>
          <w:rFonts w:ascii="Times New Roman" w:eastAsia="仿宋" w:cs="Times New Roman" w:hAnsi="Times New Roman"/>
          <w:b w:val="0"/>
          <w:bCs/>
          <w:sz w:val="32"/>
          <w:szCs w:val="32"/>
        </w:rPr>
        <w:t>公务员医疗补助（03）：支出决算为</w:t>
      </w:r>
      <w:r>
        <w:rPr>
          <w:rStyle w:val="28"/>
          <w:rFonts w:ascii="Times New Roman" w:eastAsia="仿宋" w:cs="Times New Roman" w:hAnsi="Times New Roman" w:hint="eastAsia"/>
          <w:b w:val="0"/>
          <w:bCs/>
          <w:sz w:val="32"/>
          <w:szCs w:val="32"/>
          <w:lang w:val="en-US" w:eastAsia="zh-CN"/>
        </w:rPr>
        <w:t>0.73</w:t>
      </w:r>
      <w:r>
        <w:rPr>
          <w:rStyle w:val="28"/>
          <w:rFonts w:ascii="Times New Roman" w:eastAsia="仿宋" w:cs="Times New Roman" w:hAnsi="Times New Roman"/>
          <w:b w:val="0"/>
          <w:bCs/>
          <w:sz w:val="32"/>
          <w:szCs w:val="32"/>
        </w:rPr>
        <w:t>万元，完成预算100%。</w:t>
      </w:r>
    </w:p>
    <w:p>
      <w:pPr>
        <w:pStyle w:val="16"/>
        <w:pageBreakBefore w:val="0"/>
        <w:widowControl w:val="0"/>
        <w:kinsoku/>
        <w:wordWrap/>
        <w:overflowPunct/>
        <w:topLinePunct w:val="0"/>
        <w:bidi w:val="0"/>
        <w:spacing w:line="576" w:lineRule="exact"/>
        <w:ind w:firstLineChars="200" w:firstLine="640"/>
        <w:rPr>
          <w:rStyle w:val="28"/>
          <w:rFonts w:ascii="Times New Roman" w:eastAsia="仿宋" w:cs="Times New Roman" w:hAnsi="Times New Roman"/>
          <w:b w:val="0"/>
          <w:bCs/>
          <w:sz w:val="32"/>
          <w:szCs w:val="32"/>
        </w:rPr>
      </w:pPr>
      <w:r>
        <w:rPr>
          <w:rStyle w:val="28"/>
          <w:rFonts w:ascii="Times New Roman" w:eastAsia="仿宋" w:cs="Times New Roman" w:hAnsi="Times New Roman" w:hint="eastAsia"/>
          <w:b w:val="0"/>
          <w:bCs/>
          <w:sz w:val="32"/>
          <w:szCs w:val="32"/>
          <w:lang w:val="en-US" w:eastAsia="zh-CN"/>
        </w:rPr>
        <w:t>2</w:t>
      </w:r>
      <w:r>
        <w:rPr>
          <w:rStyle w:val="28"/>
          <w:rFonts w:ascii="Times New Roman" w:eastAsia="仿宋" w:cs="Times New Roman" w:hAnsi="Times New Roman"/>
          <w:b w:val="0"/>
          <w:bCs/>
          <w:sz w:val="32"/>
          <w:szCs w:val="32"/>
        </w:rPr>
        <w:t>.</w:t>
      </w:r>
      <w:r>
        <w:rPr>
          <w:rStyle w:val="28"/>
          <w:rFonts w:ascii="Times New Roman" w:eastAsia="仿宋" w:cs="Times New Roman" w:hAnsi="Times New Roman" w:hint="eastAsia"/>
          <w:b w:val="0"/>
          <w:bCs/>
          <w:sz w:val="32"/>
          <w:szCs w:val="32"/>
          <w:lang w:val="en-US" w:eastAsia="zh-CN"/>
        </w:rPr>
        <w:t>1.4</w:t>
      </w:r>
      <w:r>
        <w:rPr>
          <w:rStyle w:val="28"/>
          <w:rFonts w:ascii="Times New Roman" w:eastAsia="仿宋" w:cs="Times New Roman" w:hAnsi="Times New Roman"/>
          <w:b w:val="0"/>
          <w:bCs/>
          <w:sz w:val="32"/>
          <w:szCs w:val="32"/>
        </w:rPr>
        <w:t>其他行政事业单位医疗（99）：支出决算为0.</w:t>
      </w:r>
      <w:r>
        <w:rPr>
          <w:rStyle w:val="28"/>
          <w:rFonts w:ascii="Times New Roman" w:eastAsia="仿宋" w:cs="Times New Roman" w:hAnsi="Times New Roman" w:hint="eastAsia"/>
          <w:b w:val="0"/>
          <w:bCs/>
          <w:sz w:val="32"/>
          <w:szCs w:val="32"/>
          <w:lang w:val="en-US" w:eastAsia="zh-CN"/>
        </w:rPr>
        <w:t>5</w:t>
      </w:r>
      <w:r>
        <w:rPr>
          <w:rStyle w:val="28"/>
          <w:rFonts w:ascii="Times New Roman" w:eastAsia="仿宋" w:cs="Times New Roman" w:hAnsi="Times New Roman"/>
          <w:b w:val="0"/>
          <w:bCs/>
          <w:sz w:val="32"/>
          <w:szCs w:val="32"/>
        </w:rPr>
        <w:t>万元，完成预算100%。</w:t>
      </w:r>
    </w:p>
    <w:p>
      <w:pPr>
        <w:pageBreakBefore w:val="0"/>
        <w:widowControl w:val="0"/>
        <w:kinsoku/>
        <w:wordWrap/>
        <w:overflowPunct/>
        <w:topLinePunct w:val="0"/>
        <w:bidi w:val="0"/>
        <w:spacing w:line="576" w:lineRule="exact"/>
        <w:ind w:firstLineChars="200" w:firstLine="640"/>
        <w:rPr>
          <w:rStyle w:val="28"/>
          <w:rFonts w:ascii="Times New Roman" w:eastAsia="仿宋" w:cs="Times New Roman" w:hAnsi="Times New Roman"/>
          <w:b w:val="0"/>
          <w:bCs/>
          <w:sz w:val="32"/>
          <w:szCs w:val="32"/>
        </w:rPr>
      </w:pPr>
      <w:r>
        <w:rPr>
          <w:rStyle w:val="28"/>
          <w:rFonts w:ascii="Times New Roman" w:eastAsia="仿宋" w:cs="Times New Roman" w:hAnsi="Times New Roman" w:hint="eastAsia"/>
          <w:bCs/>
          <w:sz w:val="32"/>
          <w:szCs w:val="32"/>
          <w:lang w:val="en-US" w:eastAsia="zh-CN"/>
        </w:rPr>
        <w:t>2</w:t>
      </w:r>
      <w:r>
        <w:rPr>
          <w:rStyle w:val="28"/>
          <w:rFonts w:ascii="Times New Roman" w:eastAsia="仿宋" w:cs="Times New Roman" w:hAnsi="Times New Roman"/>
          <w:bCs/>
          <w:sz w:val="32"/>
          <w:szCs w:val="32"/>
        </w:rPr>
        <w:t>.</w:t>
      </w:r>
      <w:r>
        <w:rPr>
          <w:rStyle w:val="28"/>
          <w:rFonts w:ascii="Times New Roman" w:eastAsia="仿宋" w:cs="Times New Roman" w:hAnsi="Times New Roman" w:hint="eastAsia"/>
          <w:bCs/>
          <w:sz w:val="32"/>
          <w:szCs w:val="32"/>
          <w:lang w:val="en-US" w:eastAsia="zh-CN"/>
        </w:rPr>
        <w:t>2</w:t>
      </w:r>
      <w:r>
        <w:rPr>
          <w:rFonts w:ascii="Times New Roman" w:eastAsia="仿宋" w:cs="Times New Roman" w:hAnsi="Times New Roman"/>
          <w:b/>
          <w:bCs/>
          <w:sz w:val="32"/>
          <w:szCs w:val="32"/>
        </w:rPr>
        <w:t>卫生健康</w:t>
      </w:r>
      <w:r>
        <w:rPr>
          <w:rStyle w:val="28"/>
          <w:rFonts w:ascii="Times New Roman" w:eastAsia="仿宋" w:cs="Times New Roman" w:hAnsi="Times New Roman"/>
          <w:bCs/>
          <w:sz w:val="32"/>
          <w:szCs w:val="32"/>
        </w:rPr>
        <w:t>（210）</w:t>
      </w:r>
      <w:r>
        <w:rPr>
          <w:rStyle w:val="28"/>
          <w:rFonts w:ascii="Times New Roman" w:eastAsia="仿宋" w:cs="Times New Roman" w:hAnsi="Times New Roman" w:hint="eastAsia"/>
          <w:bCs/>
          <w:sz w:val="32"/>
          <w:szCs w:val="32"/>
          <w:lang w:val="en-US" w:eastAsia="zh-CN"/>
        </w:rPr>
        <w:t>优抚</w:t>
      </w:r>
      <w:r>
        <w:rPr>
          <w:rStyle w:val="28"/>
          <w:rFonts w:ascii="Times New Roman" w:eastAsia="仿宋" w:cs="Times New Roman" w:hAnsi="Times New Roman"/>
          <w:bCs/>
          <w:sz w:val="32"/>
          <w:szCs w:val="32"/>
        </w:rPr>
        <w:t>医疗（1</w:t>
      </w:r>
      <w:r>
        <w:rPr>
          <w:rStyle w:val="28"/>
          <w:rFonts w:ascii="Times New Roman" w:eastAsia="仿宋" w:cs="Times New Roman" w:hAnsi="Times New Roman" w:hint="eastAsia"/>
          <w:bCs/>
          <w:sz w:val="32"/>
          <w:szCs w:val="32"/>
          <w:lang w:val="en-US" w:eastAsia="zh-CN"/>
        </w:rPr>
        <w:t>4</w:t>
      </w:r>
      <w:r>
        <w:rPr>
          <w:rStyle w:val="28"/>
          <w:rFonts w:ascii="Times New Roman" w:eastAsia="仿宋" w:cs="Times New Roman" w:hAnsi="Times New Roman"/>
          <w:bCs/>
          <w:sz w:val="32"/>
          <w:szCs w:val="32"/>
        </w:rPr>
        <w:t>）</w:t>
      </w:r>
      <w:r>
        <w:rPr>
          <w:rStyle w:val="28"/>
          <w:rFonts w:ascii="Times New Roman" w:eastAsia="仿宋" w:cs="Times New Roman" w:hAnsi="Times New Roman" w:hint="eastAsia"/>
          <w:bCs/>
          <w:sz w:val="32"/>
          <w:szCs w:val="32"/>
          <w:lang w:val="en-US" w:eastAsia="zh-CN"/>
        </w:rPr>
        <w:t>优抚对象医疗补助（01）</w:t>
      </w:r>
      <w:r>
        <w:rPr>
          <w:rStyle w:val="28"/>
          <w:rFonts w:ascii="Times New Roman" w:eastAsia="仿宋" w:cs="Times New Roman" w:hAnsi="Times New Roman"/>
          <w:bCs/>
          <w:sz w:val="32"/>
          <w:szCs w:val="32"/>
        </w:rPr>
        <w:t>:</w:t>
      </w:r>
      <w:r>
        <w:rPr>
          <w:rStyle w:val="28"/>
          <w:rFonts w:ascii="Times New Roman" w:eastAsia="仿宋" w:cs="Times New Roman" w:hAnsi="Times New Roman"/>
          <w:b w:val="0"/>
          <w:bCs/>
          <w:sz w:val="32"/>
          <w:szCs w:val="32"/>
        </w:rPr>
        <w:t>支出决算为</w:t>
      </w:r>
      <w:r>
        <w:rPr>
          <w:rStyle w:val="28"/>
          <w:rFonts w:eastAsia="仿宋" w:cs="Times New Roman" w:hint="eastAsia"/>
          <w:b w:val="0"/>
          <w:bCs/>
          <w:sz w:val="32"/>
          <w:szCs w:val="32"/>
          <w:lang w:val="en-US" w:eastAsia="zh-CN"/>
        </w:rPr>
        <w:t>11.68</w:t>
      </w:r>
      <w:r>
        <w:rPr>
          <w:rStyle w:val="28"/>
          <w:rFonts w:ascii="Times New Roman" w:eastAsia="仿宋" w:cs="Times New Roman" w:hAnsi="Times New Roman"/>
          <w:b w:val="0"/>
          <w:bCs/>
          <w:sz w:val="32"/>
          <w:szCs w:val="32"/>
        </w:rPr>
        <w:t>万元，完成预算100%。</w:t>
      </w:r>
    </w:p>
    <w:p>
      <w:pPr>
        <w:pageBreakBefore w:val="0"/>
        <w:widowControl w:val="0"/>
        <w:kinsoku/>
        <w:wordWrap/>
        <w:overflowPunct/>
        <w:topLinePunct w:val="0"/>
        <w:bidi w:val="0"/>
        <w:spacing w:line="576" w:lineRule="exact"/>
        <w:ind w:left="0" w:firstLineChars="200" w:firstLine="640"/>
        <w:rPr>
          <w:rStyle w:val="28"/>
          <w:rFonts w:ascii="Times New Roman" w:eastAsia="仿宋" w:cs="Times New Roman" w:hAnsi="Times New Roman"/>
          <w:b w:val="0"/>
          <w:bCs/>
          <w:sz w:val="32"/>
          <w:szCs w:val="32"/>
        </w:rPr>
      </w:pPr>
      <w:r>
        <w:rPr>
          <w:rStyle w:val="28"/>
          <w:rFonts w:ascii="Times New Roman" w:eastAsia="仿宋" w:cs="Times New Roman" w:hAnsi="Times New Roman" w:hint="eastAsia"/>
          <w:bCs/>
          <w:sz w:val="32"/>
          <w:szCs w:val="32"/>
          <w:lang w:val="en-US" w:eastAsia="zh-CN"/>
        </w:rPr>
        <w:t>3.</w:t>
      </w:r>
      <w:r>
        <w:rPr>
          <w:rFonts w:ascii="Times New Roman" w:eastAsia="仿宋" w:cs="Times New Roman" w:hAnsi="Times New Roman"/>
          <w:b/>
          <w:bCs/>
          <w:sz w:val="32"/>
          <w:szCs w:val="32"/>
        </w:rPr>
        <w:t>住房保障</w:t>
      </w:r>
      <w:r>
        <w:rPr>
          <w:rStyle w:val="28"/>
          <w:rFonts w:ascii="Times New Roman" w:eastAsia="仿宋" w:cs="Times New Roman" w:hAnsi="Times New Roman"/>
          <w:bCs/>
          <w:sz w:val="32"/>
          <w:szCs w:val="32"/>
        </w:rPr>
        <w:t>（221）住房改革（02）住房公积金（01）:</w:t>
      </w:r>
      <w:r>
        <w:rPr>
          <w:rStyle w:val="28"/>
          <w:rFonts w:ascii="Times New Roman" w:eastAsia="仿宋" w:cs="Times New Roman" w:hAnsi="Times New Roman"/>
          <w:b w:val="0"/>
          <w:bCs/>
          <w:sz w:val="32"/>
          <w:szCs w:val="32"/>
        </w:rPr>
        <w:t>支出决算为</w:t>
      </w:r>
      <w:r>
        <w:rPr>
          <w:rStyle w:val="28"/>
          <w:rFonts w:eastAsia="仿宋" w:cs="Times New Roman" w:hint="eastAsia"/>
          <w:b w:val="0"/>
          <w:bCs/>
          <w:sz w:val="32"/>
          <w:szCs w:val="32"/>
          <w:lang w:val="en-US" w:eastAsia="zh-CN"/>
        </w:rPr>
        <w:t>10.29</w:t>
      </w:r>
      <w:r>
        <w:rPr>
          <w:rStyle w:val="28"/>
          <w:rFonts w:ascii="Times New Roman" w:eastAsia="仿宋" w:cs="Times New Roman" w:hAnsi="Times New Roman"/>
          <w:b w:val="0"/>
          <w:bCs/>
          <w:sz w:val="32"/>
          <w:szCs w:val="32"/>
        </w:rPr>
        <w:t>万元，完成预算100%。</w:t>
      </w:r>
    </w:p>
    <w:p>
      <w:pPr>
        <w:pStyle w:val="18"/>
        <w:tabs>
          <w:tab w:val="left" w:pos="960"/>
        </w:tabs>
        <w:rPr>
          <w:rFonts w:eastAsia="宋体"/>
          <w:lang w:val="en-US" w:eastAsia="zh-CN"/>
        </w:rPr>
      </w:pPr>
      <w:r>
        <w:rPr>
          <w:rFonts w:hint="eastAsia"/>
          <w:lang w:val="en-US" w:eastAsia="zh-CN"/>
        </w:rPr>
        <w:t xml:space="preserve">   </w:t>
      </w:r>
      <w:r>
        <w:rPr>
          <w:rStyle w:val="28"/>
          <w:rFonts w:ascii="Times New Roman" w:eastAsia="仿宋" w:cs="Times New Roman" w:hAnsi="Times New Roman" w:hint="eastAsia"/>
          <w:bCs/>
          <w:kern w:val="2"/>
          <w:sz w:val="32"/>
          <w:szCs w:val="32"/>
          <w:lang w:val="en-US" w:eastAsia="zh-CN" w:bidi="ar-SA"/>
        </w:rPr>
        <w:t xml:space="preserve"> 4.</w:t>
      </w:r>
      <w:r>
        <w:rPr>
          <w:rFonts w:ascii="Times New Roman" w:eastAsia="仿宋" w:cs="Times New Roman" w:hAnsi="Times New Roman" w:hint="eastAsia"/>
          <w:b/>
          <w:bCs/>
          <w:sz w:val="32"/>
          <w:szCs w:val="32"/>
          <w:lang w:val="en-US" w:eastAsia="zh-CN"/>
        </w:rPr>
        <w:t>其他支出</w:t>
      </w:r>
      <w:r>
        <w:rPr>
          <w:rStyle w:val="28"/>
          <w:rFonts w:ascii="Times New Roman" w:eastAsia="仿宋" w:cs="Times New Roman" w:hAnsi="Times New Roman"/>
          <w:bCs/>
          <w:sz w:val="32"/>
          <w:szCs w:val="32"/>
        </w:rPr>
        <w:t>（22</w:t>
      </w:r>
      <w:r>
        <w:rPr>
          <w:rStyle w:val="28"/>
          <w:rFonts w:ascii="Times New Roman" w:eastAsia="仿宋" w:cs="Times New Roman" w:hAnsi="Times New Roman" w:hint="eastAsia"/>
          <w:bCs/>
          <w:sz w:val="32"/>
          <w:szCs w:val="32"/>
          <w:lang w:val="en-US" w:eastAsia="zh-CN"/>
        </w:rPr>
        <w:t>9</w:t>
      </w:r>
      <w:r>
        <w:rPr>
          <w:rStyle w:val="28"/>
          <w:rFonts w:ascii="Times New Roman" w:eastAsia="仿宋" w:cs="Times New Roman" w:hAnsi="Times New Roman"/>
          <w:bCs/>
          <w:sz w:val="32"/>
          <w:szCs w:val="32"/>
        </w:rPr>
        <w:t>）</w:t>
      </w:r>
      <w:r>
        <w:rPr>
          <w:rStyle w:val="28"/>
          <w:rFonts w:ascii="Times New Roman" w:eastAsia="仿宋" w:cs="Times New Roman" w:hAnsi="Times New Roman" w:hint="eastAsia"/>
          <w:bCs/>
          <w:sz w:val="32"/>
          <w:szCs w:val="32"/>
          <w:lang w:val="en-US" w:eastAsia="zh-CN"/>
        </w:rPr>
        <w:t>彩票公益金安排</w:t>
      </w:r>
      <w:r>
        <w:rPr>
          <w:rStyle w:val="28"/>
          <w:rFonts w:ascii="Times New Roman" w:eastAsia="仿宋" w:cs="Times New Roman" w:hAnsi="Times New Roman"/>
          <w:bCs/>
          <w:sz w:val="32"/>
          <w:szCs w:val="32"/>
        </w:rPr>
        <w:t>（</w:t>
      </w:r>
      <w:r>
        <w:rPr>
          <w:rStyle w:val="28"/>
          <w:rFonts w:ascii="Times New Roman" w:eastAsia="仿宋" w:cs="Times New Roman" w:hAnsi="Times New Roman" w:hint="eastAsia"/>
          <w:bCs/>
          <w:sz w:val="32"/>
          <w:szCs w:val="32"/>
          <w:lang w:val="en-US" w:eastAsia="zh-CN"/>
        </w:rPr>
        <w:t>60</w:t>
      </w:r>
      <w:r>
        <w:rPr>
          <w:rStyle w:val="28"/>
          <w:rFonts w:ascii="Times New Roman" w:eastAsia="仿宋" w:cs="Times New Roman" w:hAnsi="Times New Roman"/>
          <w:bCs/>
          <w:sz w:val="32"/>
          <w:szCs w:val="32"/>
        </w:rPr>
        <w:t>）</w:t>
      </w:r>
      <w:r>
        <w:rPr>
          <w:rStyle w:val="28"/>
          <w:rFonts w:ascii="Times New Roman" w:eastAsia="仿宋" w:cs="Times New Roman" w:hAnsi="Times New Roman" w:hint="eastAsia"/>
          <w:bCs/>
          <w:sz w:val="32"/>
          <w:szCs w:val="32"/>
          <w:lang w:val="en-US" w:eastAsia="zh-CN"/>
        </w:rPr>
        <w:t>用于其他社会公益事业的彩票公益金支出</w:t>
      </w:r>
      <w:r>
        <w:rPr>
          <w:rStyle w:val="28"/>
          <w:rFonts w:ascii="Times New Roman" w:eastAsia="仿宋" w:cs="Times New Roman" w:hAnsi="Times New Roman"/>
          <w:bCs/>
          <w:sz w:val="32"/>
          <w:szCs w:val="32"/>
        </w:rPr>
        <w:t>（</w:t>
      </w:r>
      <w:r>
        <w:rPr>
          <w:rStyle w:val="28"/>
          <w:rFonts w:ascii="Times New Roman" w:eastAsia="仿宋" w:cs="Times New Roman" w:hAnsi="Times New Roman" w:hint="eastAsia"/>
          <w:bCs/>
          <w:sz w:val="32"/>
          <w:szCs w:val="32"/>
          <w:lang w:val="en-US" w:eastAsia="zh-CN"/>
        </w:rPr>
        <w:t>99</w:t>
      </w:r>
      <w:r>
        <w:rPr>
          <w:rStyle w:val="28"/>
          <w:rFonts w:ascii="Times New Roman" w:eastAsia="仿宋" w:cs="Times New Roman" w:hAnsi="Times New Roman"/>
          <w:bCs/>
          <w:sz w:val="32"/>
          <w:szCs w:val="32"/>
        </w:rPr>
        <w:t>）:</w:t>
      </w:r>
      <w:r>
        <w:rPr>
          <w:rStyle w:val="28"/>
          <w:rFonts w:ascii="Times New Roman" w:eastAsia="仿宋" w:cs="Times New Roman" w:hAnsi="Times New Roman"/>
          <w:b w:val="0"/>
          <w:bCs/>
          <w:sz w:val="32"/>
          <w:szCs w:val="32"/>
        </w:rPr>
        <w:t>支出决算为</w:t>
      </w:r>
      <w:r>
        <w:rPr>
          <w:rStyle w:val="28"/>
          <w:rFonts w:eastAsia="仿宋" w:cs="Times New Roman" w:hint="eastAsia"/>
          <w:b w:val="0"/>
          <w:bCs/>
          <w:sz w:val="32"/>
          <w:szCs w:val="32"/>
          <w:lang w:val="en-US" w:eastAsia="zh-CN"/>
        </w:rPr>
        <w:t>180</w:t>
      </w:r>
      <w:r>
        <w:rPr>
          <w:rStyle w:val="28"/>
          <w:rFonts w:ascii="Times New Roman" w:eastAsia="仿宋" w:cs="Times New Roman" w:hAnsi="Times New Roman"/>
          <w:b w:val="0"/>
          <w:bCs/>
          <w:sz w:val="32"/>
          <w:szCs w:val="32"/>
        </w:rPr>
        <w:t>万元，完成预算100%。</w:t>
      </w:r>
    </w:p>
    <w:p>
      <w:pPr>
        <w:pageBreakBefore w:val="0"/>
        <w:widowControl w:val="0"/>
        <w:tabs>
          <w:tab w:val="right" w:pos="8306"/>
        </w:tabs>
        <w:kinsoku/>
        <w:wordWrap/>
        <w:overflowPunct/>
        <w:topLinePunct w:val="0"/>
        <w:bidi w:val="0"/>
        <w:spacing w:line="576" w:lineRule="exact"/>
        <w:ind w:firstLine="640"/>
        <w:outlineLvl w:val="1"/>
        <w:rPr>
          <w:rStyle w:val="2Char"/>
          <w:rFonts w:ascii="Times New Roman" w:cs="Times New Roman" w:hAnsi="Times New Roman"/>
        </w:rPr>
      </w:pPr>
      <w:bookmarkStart w:id="56" w:name="_Toc15377214"/>
      <w:bookmarkStart w:id="57" w:name="_Toc15396608"/>
      <w:bookmarkStart w:id="58" w:name="_Toc26843617"/>
      <w:r>
        <w:rPr>
          <w:rFonts w:ascii="Times New Roman" w:eastAsia="黑体" w:cs="Times New Roman" w:hAnsi="Times New Roman"/>
          <w:sz w:val="32"/>
          <w:szCs w:val="32"/>
        </w:rPr>
        <w:t>六</w:t>
      </w:r>
      <w:r>
        <w:rPr>
          <w:rFonts w:ascii="Times New Roman" w:eastAsia="黑体" w:cs="Times New Roman" w:hAnsi="Times New Roman"/>
          <w:b/>
          <w:sz w:val="32"/>
          <w:szCs w:val="32"/>
        </w:rPr>
        <w:t>、一</w:t>
      </w:r>
      <w:r>
        <w:rPr>
          <w:rStyle w:val="2Char"/>
          <w:rFonts w:ascii="Times New Roman" w:eastAsia="黑体" w:cs="Times New Roman" w:hAnsi="Times New Roman"/>
          <w:b w:val="0"/>
        </w:rPr>
        <w:t>般公共预算财政拨款基本支出决算情况说明</w:t>
      </w:r>
      <w:bookmarkEnd w:id="56"/>
      <w:bookmarkEnd w:id="57"/>
      <w:r>
        <w:rPr>
          <w:rStyle w:val="2Char"/>
          <w:rFonts w:ascii="Times New Roman" w:eastAsia="黑体" w:cs="Times New Roman" w:hAnsi="Times New Roman"/>
          <w:b w:val="0"/>
        </w:rPr>
        <w:tab/>
      </w:r>
      <w:bookmarkEnd w:id="58"/>
    </w:p>
    <w:p>
      <w:pPr>
        <w:pageBreakBefore w:val="0"/>
        <w:widowControl w:val="0"/>
        <w:kinsoku/>
        <w:wordWrap/>
        <w:overflowPunct/>
        <w:topLinePunct w:val="0"/>
        <w:bidi w:val="0"/>
        <w:spacing w:line="576" w:lineRule="exact"/>
        <w:ind w:firstLine="645"/>
        <w:rPr>
          <w:rFonts w:ascii="Times New Roman" w:eastAsia="仿宋_GB2312" w:cs="Times New Roman" w:hAnsi="Times New Roman"/>
          <w:sz w:val="32"/>
          <w:szCs w:val="32"/>
        </w:rPr>
      </w:pPr>
      <w:r>
        <w:rPr>
          <w:rFonts w:ascii="Times New Roman" w:eastAsia="仿宋_GB2312" w:cs="Times New Roman" w:hAnsi="Times New Roman"/>
          <w:sz w:val="32"/>
          <w:szCs w:val="32"/>
        </w:rPr>
        <w:t>2021年一般公共预算财政拨款基本支出</w:t>
      </w:r>
      <w:r>
        <w:rPr>
          <w:rFonts w:ascii="仿宋_GB2312" w:cs="Times New Roman" w:hAnsi="仿宋_GB2312"/>
          <w:bCs/>
          <w:sz w:val="32"/>
          <w:szCs w:val="32"/>
          <w:lang w:eastAsia="zh-CN"/>
        </w:rPr>
        <w:t>153.21</w:t>
      </w:r>
      <w:r>
        <w:rPr>
          <w:rFonts w:ascii="Times New Roman" w:eastAsia="仿宋_GB2312" w:cs="Times New Roman" w:hAnsi="Times New Roman"/>
          <w:sz w:val="32"/>
          <w:szCs w:val="32"/>
        </w:rPr>
        <w:t>万元，其中：</w:t>
      </w:r>
    </w:p>
    <w:p>
      <w:pPr>
        <w:spacing w:line="560" w:lineRule="exact"/>
        <w:ind w:firstLineChars="200" w:firstLine="640"/>
        <w:rPr>
          <w:rFonts w:ascii="仿宋" w:eastAsia="仿宋" w:cs="仿宋_GB2312" w:hint="eastAsia"/>
          <w:b w:val="0"/>
          <w:bCs/>
          <w:sz w:val="32"/>
          <w:szCs w:val="32"/>
        </w:rPr>
      </w:pPr>
      <w:r>
        <w:rPr>
          <w:rFonts w:ascii="仿宋" w:eastAsia="仿宋" w:cs="仿宋_GB2312" w:hint="eastAsia"/>
          <w:b w:val="0"/>
          <w:bCs/>
          <w:sz w:val="32"/>
          <w:szCs w:val="32"/>
        </w:rPr>
        <w:t>人员经费</w:t>
      </w:r>
      <w:r>
        <w:rPr>
          <w:rFonts w:ascii="仿宋" w:eastAsia="仿宋" w:cs="仿宋_GB2312" w:hint="eastAsia"/>
          <w:b w:val="0"/>
          <w:bCs/>
          <w:sz w:val="32"/>
          <w:szCs w:val="32"/>
          <w:lang w:val="en-US" w:eastAsia="zh-CN"/>
        </w:rPr>
        <w:t>140.81</w:t>
      </w:r>
      <w:r>
        <w:rPr>
          <w:rFonts w:ascii="仿宋" w:eastAsia="仿宋" w:cs="仿宋_GB2312" w:hint="eastAsia"/>
          <w:b w:val="0"/>
          <w:bCs/>
          <w:sz w:val="32"/>
          <w:szCs w:val="32"/>
        </w:rPr>
        <w:t>万元，主要包括：基本工资</w:t>
      </w:r>
      <w:r>
        <w:rPr>
          <w:rFonts w:ascii="仿宋" w:eastAsia="仿宋" w:cs="仿宋_GB2312" w:hint="eastAsia"/>
          <w:b w:val="0"/>
          <w:bCs/>
          <w:sz w:val="32"/>
          <w:szCs w:val="32"/>
          <w:lang w:val="en-US" w:eastAsia="zh-CN"/>
        </w:rPr>
        <w:t>31.23</w:t>
      </w:r>
      <w:r>
        <w:rPr>
          <w:rFonts w:ascii="仿宋" w:eastAsia="仿宋" w:cs="仿宋_GB2312" w:hint="eastAsia"/>
          <w:b w:val="0"/>
          <w:bCs/>
          <w:sz w:val="32"/>
          <w:szCs w:val="32"/>
        </w:rPr>
        <w:t>万元、津贴补贴</w:t>
      </w:r>
      <w:r>
        <w:rPr>
          <w:rFonts w:ascii="仿宋" w:eastAsia="仿宋" w:cs="仿宋_GB2312" w:hint="eastAsia"/>
          <w:b w:val="0"/>
          <w:bCs/>
          <w:sz w:val="32"/>
          <w:szCs w:val="32"/>
          <w:lang w:val="en-US" w:eastAsia="zh-CN"/>
        </w:rPr>
        <w:t>25.27</w:t>
      </w:r>
      <w:r>
        <w:rPr>
          <w:rFonts w:ascii="仿宋" w:eastAsia="仿宋" w:cs="仿宋_GB2312" w:hint="eastAsia"/>
          <w:b w:val="0"/>
          <w:bCs/>
          <w:sz w:val="32"/>
          <w:szCs w:val="32"/>
        </w:rPr>
        <w:t>万元、奖金</w:t>
      </w:r>
      <w:r>
        <w:rPr>
          <w:rFonts w:ascii="仿宋" w:eastAsia="仿宋" w:cs="仿宋_GB2312" w:hint="eastAsia"/>
          <w:b w:val="0"/>
          <w:bCs/>
          <w:sz w:val="32"/>
          <w:szCs w:val="32"/>
          <w:lang w:val="en-US" w:eastAsia="zh-CN"/>
        </w:rPr>
        <w:t>26.87</w:t>
      </w:r>
      <w:r>
        <w:rPr>
          <w:rFonts w:ascii="仿宋" w:eastAsia="仿宋" w:cs="仿宋_GB2312" w:hint="eastAsia"/>
          <w:b w:val="0"/>
          <w:bCs/>
          <w:sz w:val="32"/>
          <w:szCs w:val="32"/>
        </w:rPr>
        <w:t>万元、伙食补助费0万元、绩效工资</w:t>
      </w:r>
      <w:r>
        <w:rPr>
          <w:rFonts w:ascii="仿宋" w:eastAsia="仿宋" w:cs="仿宋_GB2312" w:hint="eastAsia"/>
          <w:b w:val="0"/>
          <w:bCs/>
          <w:sz w:val="32"/>
          <w:szCs w:val="32"/>
          <w:lang w:val="en-US" w:eastAsia="zh-CN"/>
        </w:rPr>
        <w:t>8.52</w:t>
      </w:r>
      <w:r>
        <w:rPr>
          <w:rFonts w:ascii="仿宋" w:eastAsia="仿宋" w:cs="仿宋_GB2312" w:hint="eastAsia"/>
          <w:b w:val="0"/>
          <w:bCs/>
          <w:sz w:val="32"/>
          <w:szCs w:val="32"/>
        </w:rPr>
        <w:t>万元、机关事业单位基本养老保险缴费</w:t>
      </w:r>
      <w:r>
        <w:rPr>
          <w:rFonts w:ascii="仿宋" w:eastAsia="仿宋" w:cs="仿宋_GB2312" w:hint="eastAsia"/>
          <w:b w:val="0"/>
          <w:bCs/>
          <w:sz w:val="32"/>
          <w:szCs w:val="32"/>
          <w:lang w:val="en-US" w:eastAsia="zh-CN"/>
        </w:rPr>
        <w:t>11.97</w:t>
      </w:r>
      <w:r>
        <w:rPr>
          <w:rFonts w:ascii="仿宋" w:eastAsia="仿宋" w:cs="仿宋_GB2312" w:hint="eastAsia"/>
          <w:b w:val="0"/>
          <w:bCs/>
          <w:sz w:val="32"/>
          <w:szCs w:val="32"/>
        </w:rPr>
        <w:t>万元、职业年金缴费</w:t>
      </w:r>
      <w:r>
        <w:rPr>
          <w:rFonts w:ascii="仿宋" w:eastAsia="仿宋" w:cs="仿宋_GB2312" w:hint="eastAsia"/>
          <w:b w:val="0"/>
          <w:bCs/>
          <w:sz w:val="32"/>
          <w:szCs w:val="32"/>
          <w:lang w:val="en-US" w:eastAsia="zh-CN"/>
        </w:rPr>
        <w:t>5.99</w:t>
      </w:r>
      <w:r>
        <w:rPr>
          <w:rFonts w:ascii="仿宋" w:eastAsia="仿宋" w:cs="仿宋_GB2312" w:hint="eastAsia"/>
          <w:b w:val="0"/>
          <w:bCs/>
          <w:sz w:val="32"/>
          <w:szCs w:val="32"/>
        </w:rPr>
        <w:t>万元、其他社会保障缴费</w:t>
      </w:r>
      <w:r>
        <w:rPr>
          <w:rFonts w:ascii="仿宋" w:eastAsia="仿宋" w:cs="仿宋_GB2312" w:hint="eastAsia"/>
          <w:b w:val="0"/>
          <w:bCs/>
          <w:sz w:val="32"/>
          <w:szCs w:val="32"/>
          <w:lang w:val="en-US" w:eastAsia="zh-CN"/>
        </w:rPr>
        <w:t>1.08</w:t>
      </w:r>
      <w:r>
        <w:rPr>
          <w:rFonts w:ascii="仿宋" w:eastAsia="仿宋" w:cs="仿宋_GB2312" w:hint="eastAsia"/>
          <w:b w:val="0"/>
          <w:bCs/>
          <w:sz w:val="32"/>
          <w:szCs w:val="32"/>
        </w:rPr>
        <w:t>万元、其他工资福利支出0万元、离休费0万元、退休费0万元、抚恤金0万元、奖励金</w:t>
      </w:r>
      <w:r>
        <w:rPr>
          <w:rFonts w:ascii="仿宋" w:eastAsia="仿宋" w:cs="仿宋_GB2312" w:hint="eastAsia"/>
          <w:b w:val="0"/>
          <w:bCs/>
          <w:sz w:val="32"/>
          <w:szCs w:val="32"/>
          <w:lang w:val="en-US" w:eastAsia="zh-CN"/>
        </w:rPr>
        <w:t>12.6</w:t>
      </w:r>
      <w:r>
        <w:rPr>
          <w:rFonts w:ascii="仿宋" w:eastAsia="仿宋" w:cs="仿宋_GB2312" w:hint="eastAsia"/>
          <w:b w:val="0"/>
          <w:bCs/>
          <w:sz w:val="32"/>
          <w:szCs w:val="32"/>
        </w:rPr>
        <w:t>万元、职工医疗补助</w:t>
      </w:r>
      <w:r>
        <w:rPr>
          <w:rFonts w:ascii="仿宋" w:eastAsia="仿宋" w:cs="仿宋_GB2312" w:hint="eastAsia"/>
          <w:b w:val="0"/>
          <w:bCs/>
          <w:sz w:val="32"/>
          <w:szCs w:val="32"/>
          <w:lang w:val="en-US" w:eastAsia="zh-CN"/>
        </w:rPr>
        <w:t>5.34</w:t>
      </w:r>
      <w:r>
        <w:rPr>
          <w:rFonts w:ascii="仿宋" w:eastAsia="仿宋" w:cs="仿宋_GB2312" w:hint="eastAsia"/>
          <w:b w:val="0"/>
          <w:bCs/>
          <w:sz w:val="32"/>
          <w:szCs w:val="32"/>
        </w:rPr>
        <w:t>万元、公务员医疗补助</w:t>
      </w:r>
      <w:r>
        <w:rPr>
          <w:rFonts w:ascii="仿宋" w:eastAsia="仿宋" w:cs="仿宋_GB2312" w:hint="eastAsia"/>
          <w:b w:val="0"/>
          <w:bCs/>
          <w:sz w:val="32"/>
          <w:szCs w:val="32"/>
          <w:lang w:val="en-US" w:eastAsia="zh-CN"/>
        </w:rPr>
        <w:t>0.73</w:t>
      </w:r>
      <w:r>
        <w:rPr>
          <w:rFonts w:ascii="仿宋" w:eastAsia="仿宋" w:cs="仿宋_GB2312" w:hint="eastAsia"/>
          <w:b w:val="0"/>
          <w:bCs/>
          <w:sz w:val="32"/>
          <w:szCs w:val="32"/>
        </w:rPr>
        <w:t>万元、</w:t>
      </w:r>
      <w:r>
        <w:rPr>
          <w:rFonts w:ascii="仿宋" w:eastAsia="仿宋" w:cs="仿宋_GB2312" w:hint="eastAsia"/>
          <w:b w:val="0"/>
          <w:bCs/>
          <w:sz w:val="32"/>
          <w:szCs w:val="32"/>
          <w:lang w:val="en-US" w:eastAsia="zh-CN"/>
        </w:rPr>
        <w:t>其他行政事业医疗支出0.5万元、</w:t>
      </w:r>
      <w:r>
        <w:rPr>
          <w:rFonts w:ascii="仿宋" w:eastAsia="仿宋" w:cs="仿宋_GB2312" w:hint="eastAsia"/>
          <w:b w:val="0"/>
          <w:bCs/>
          <w:sz w:val="32"/>
          <w:szCs w:val="32"/>
        </w:rPr>
        <w:t>生活补助0</w:t>
      </w:r>
      <w:r>
        <w:rPr>
          <w:rFonts w:ascii="仿宋" w:eastAsia="仿宋" w:cs="仿宋_GB2312" w:hint="eastAsia"/>
          <w:b w:val="0"/>
          <w:bCs/>
          <w:sz w:val="32"/>
          <w:szCs w:val="32"/>
          <w:lang w:val="en-US" w:eastAsia="zh-CN"/>
        </w:rPr>
        <w:t>.42</w:t>
      </w:r>
      <w:r>
        <w:rPr>
          <w:rFonts w:ascii="仿宋" w:eastAsia="仿宋" w:cs="仿宋_GB2312" w:hint="eastAsia"/>
          <w:b w:val="0"/>
          <w:bCs/>
          <w:sz w:val="32"/>
          <w:szCs w:val="32"/>
        </w:rPr>
        <w:t>万元、住房公积金</w:t>
      </w:r>
      <w:r>
        <w:rPr>
          <w:rFonts w:ascii="仿宋" w:eastAsia="仿宋" w:cs="仿宋_GB2312" w:hint="eastAsia"/>
          <w:b w:val="0"/>
          <w:bCs/>
          <w:sz w:val="32"/>
          <w:szCs w:val="32"/>
          <w:lang w:val="en-US" w:eastAsia="zh-CN"/>
        </w:rPr>
        <w:t>10.29</w:t>
      </w:r>
      <w:r>
        <w:rPr>
          <w:rFonts w:ascii="仿宋" w:eastAsia="仿宋" w:cs="仿宋_GB2312" w:hint="eastAsia"/>
          <w:b w:val="0"/>
          <w:bCs/>
          <w:sz w:val="32"/>
          <w:szCs w:val="32"/>
        </w:rPr>
        <w:t>万元、提租补贴0万元、购房补贴0万元。</w:t>
      </w:r>
    </w:p>
    <w:p>
      <w:pPr>
        <w:pStyle w:val="18"/>
        <w:tabs>
          <w:tab w:val="left" w:pos="960"/>
        </w:tabs>
        <w:rPr>
          <w:rFonts w:hint="eastAsia"/>
        </w:rPr>
      </w:pPr>
      <w:r>
        <w:rPr>
          <w:rFonts w:eastAsia="仿宋" w:hint="eastAsia"/>
          <w:lang w:eastAsia="zh-CN"/>
        </w:rPr>
        <w:drawing>
          <wp:anchor distT="0" distB="0" distL="114300" distR="114300" simplePos="0" relativeHeight="25" behindDoc="0" locked="0" layoutInCell="1" hidden="0" allowOverlap="1">
            <wp:simplePos x="0" y="0"/>
            <wp:positionH relativeFrom="column">
              <wp:posOffset>17780</wp:posOffset>
            </wp:positionH>
            <wp:positionV relativeFrom="paragraph">
              <wp:posOffset>50800</wp:posOffset>
            </wp:positionV>
            <wp:extent cx="5102859" cy="3016250"/>
            <wp:effectExtent l="0" t="0" r="13" b="14"/>
            <wp:wrapSquare wrapText="bothSides"/>
            <wp:docPr id="5" name="图表 13"/>
            <wp:cNvGraphicFramePr>
              <a:graphicFrameLocks noChangeAspect="0"/>
            </wp:cNvGraphicFramePr>
            <a:graphic>
              <a:graphicData uri="http://schemas.openxmlformats.org/drawingml/2006/chart">
                <c:chart xmlns:c="http://schemas.openxmlformats.org/drawingml/2006/chart" r:id="rId8"/>
              </a:graphicData>
            </a:graphic>
          </wp:anchor>
        </w:drawing>
      </w:r>
    </w:p>
    <w:p>
      <w:pPr>
        <w:pageBreakBefore w:val="0"/>
        <w:widowControl w:val="0"/>
        <w:kinsoku/>
        <w:wordWrap/>
        <w:overflowPunct/>
        <w:topLinePunct w:val="0"/>
        <w:bidi w:val="0"/>
        <w:spacing w:line="576" w:lineRule="exact"/>
        <w:ind w:firstLineChars="300" w:firstLine="960"/>
        <w:jc w:val="both"/>
        <w:rPr>
          <w:rFonts w:ascii="Times New Roman" w:eastAsia="仿宋" w:cs="Times New Roman" w:hAnsi="Times New Roman"/>
          <w:color w:val="auto"/>
          <w:sz w:val="32"/>
          <w:szCs w:val="32"/>
        </w:rPr>
      </w:pPr>
      <w:bookmarkStart w:id="59" w:name="_Toc9777"/>
      <w:r>
        <w:rPr>
          <w:rFonts w:ascii="Times New Roman" w:eastAsia="仿宋_GB2312" w:cs="Times New Roman" w:hAnsi="Times New Roman"/>
          <w:color w:val="auto"/>
          <w:sz w:val="32"/>
          <w:szCs w:val="32"/>
        </w:rPr>
        <w:t>（图</w:t>
      </w:r>
      <w:r>
        <w:rPr>
          <w:rFonts w:ascii="Times New Roman" w:eastAsia="仿宋_GB2312" w:cs="Times New Roman" w:hAnsi="Times New Roman" w:hint="eastAsia"/>
          <w:color w:val="auto"/>
          <w:sz w:val="32"/>
          <w:szCs w:val="32"/>
          <w:lang w:val="en-US" w:eastAsia="zh-CN"/>
        </w:rPr>
        <w:t>5</w:t>
      </w:r>
      <w:r>
        <w:rPr>
          <w:rFonts w:ascii="Times New Roman" w:eastAsia="仿宋_GB2312" w:cs="Times New Roman" w:hAnsi="Times New Roman"/>
          <w:color w:val="auto"/>
          <w:sz w:val="32"/>
          <w:szCs w:val="32"/>
        </w:rPr>
        <w:t>：</w:t>
      </w:r>
      <w:r>
        <w:rPr>
          <w:rFonts w:ascii="Times New Roman" w:eastAsia="仿宋_GB2312" w:cs="Times New Roman" w:hAnsi="Times New Roman" w:hint="eastAsia"/>
          <w:color w:val="auto"/>
          <w:sz w:val="32"/>
          <w:szCs w:val="32"/>
          <w:lang w:val="en-US" w:eastAsia="zh-CN"/>
        </w:rPr>
        <w:t>人员经费</w:t>
      </w:r>
      <w:r>
        <w:rPr>
          <w:rFonts w:ascii="Times New Roman" w:eastAsia="仿宋_GB2312" w:cs="Times New Roman" w:hAnsi="Times New Roman"/>
          <w:color w:val="auto"/>
          <w:sz w:val="32"/>
          <w:szCs w:val="32"/>
        </w:rPr>
        <w:t>结构图）（饼状图）</w:t>
      </w:r>
    </w:p>
    <w:p>
      <w:pPr>
        <w:pStyle w:val="24"/>
        <w:ind w:left="0" w:firstLineChars="200" w:firstLine="640"/>
        <w:jc w:val="both"/>
        <w:rPr>
          <w:rFonts w:ascii="仿宋" w:eastAsia="仿宋" w:cs="仿宋_GB2312" w:hint="eastAsia"/>
          <w:b w:val="0"/>
          <w:bCs/>
          <w:sz w:val="32"/>
          <w:szCs w:val="32"/>
        </w:rPr>
      </w:pPr>
      <w:r>
        <w:rPr>
          <w:rFonts w:ascii="仿宋" w:eastAsia="仿宋" w:cs="仿宋_GB2312" w:hint="eastAsia"/>
          <w:b w:val="0"/>
          <w:bCs/>
          <w:sz w:val="32"/>
          <w:szCs w:val="32"/>
          <w:lang w:val="en-US" w:eastAsia="zh-CN"/>
        </w:rPr>
        <w:t>公</w:t>
      </w:r>
      <w:r>
        <w:rPr>
          <w:rFonts w:ascii="仿宋" w:eastAsia="仿宋" w:cs="仿宋_GB2312" w:hint="eastAsia"/>
          <w:b w:val="0"/>
          <w:bCs/>
          <w:sz w:val="32"/>
          <w:szCs w:val="32"/>
        </w:rPr>
        <w:t>用经费</w:t>
      </w:r>
      <w:r>
        <w:rPr>
          <w:rFonts w:ascii="仿宋" w:eastAsia="仿宋" w:cs="仿宋_GB2312" w:hint="eastAsia"/>
          <w:b w:val="0"/>
          <w:bCs/>
          <w:sz w:val="32"/>
          <w:szCs w:val="32"/>
          <w:lang w:val="en-US" w:eastAsia="zh-CN"/>
        </w:rPr>
        <w:t>12.4</w:t>
      </w:r>
      <w:r>
        <w:rPr>
          <w:rFonts w:ascii="仿宋" w:eastAsia="仿宋" w:cs="仿宋_GB2312" w:hint="eastAsia"/>
          <w:b w:val="0"/>
          <w:bCs/>
          <w:sz w:val="32"/>
          <w:szCs w:val="32"/>
        </w:rPr>
        <w:t>万元，主要包括：办公费</w:t>
      </w:r>
      <w:r>
        <w:rPr>
          <w:rFonts w:ascii="仿宋" w:eastAsia="仿宋" w:cs="仿宋_GB2312" w:hint="eastAsia"/>
          <w:b w:val="0"/>
          <w:bCs/>
          <w:sz w:val="32"/>
          <w:szCs w:val="32"/>
          <w:lang w:val="en-US" w:eastAsia="zh-CN"/>
        </w:rPr>
        <w:t>2.59</w:t>
      </w:r>
      <w:r>
        <w:rPr>
          <w:rFonts w:ascii="仿宋" w:eastAsia="仿宋" w:cs="仿宋_GB2312" w:hint="eastAsia"/>
          <w:b w:val="0"/>
          <w:bCs/>
          <w:sz w:val="32"/>
          <w:szCs w:val="32"/>
        </w:rPr>
        <w:t>万元、印刷费0万元、咨询费0万元、手续费</w:t>
      </w:r>
      <w:r>
        <w:rPr>
          <w:rFonts w:ascii="仿宋" w:eastAsia="仿宋" w:cs="仿宋_GB2312" w:hint="eastAsia"/>
          <w:b w:val="0"/>
          <w:bCs/>
          <w:sz w:val="32"/>
          <w:szCs w:val="32"/>
          <w:lang w:val="en-US" w:eastAsia="zh-CN"/>
        </w:rPr>
        <w:t>0.03</w:t>
      </w:r>
      <w:r>
        <w:rPr>
          <w:rFonts w:ascii="仿宋" w:eastAsia="仿宋" w:cs="仿宋_GB2312" w:hint="eastAsia"/>
          <w:b w:val="0"/>
          <w:bCs/>
          <w:sz w:val="32"/>
          <w:szCs w:val="32"/>
        </w:rPr>
        <w:t>万元、水费0.0</w:t>
      </w:r>
      <w:r>
        <w:rPr>
          <w:rFonts w:ascii="仿宋" w:eastAsia="仿宋" w:cs="仿宋_GB2312" w:hint="eastAsia"/>
          <w:b w:val="0"/>
          <w:bCs/>
          <w:sz w:val="32"/>
          <w:szCs w:val="32"/>
          <w:lang w:val="en-US" w:eastAsia="zh-CN"/>
        </w:rPr>
        <w:t>8</w:t>
      </w:r>
      <w:r>
        <w:rPr>
          <w:rFonts w:ascii="仿宋" w:eastAsia="仿宋" w:cs="仿宋_GB2312" w:hint="eastAsia"/>
          <w:b w:val="0"/>
          <w:bCs/>
          <w:sz w:val="32"/>
          <w:szCs w:val="32"/>
        </w:rPr>
        <w:t>万元、电费</w:t>
      </w:r>
      <w:r>
        <w:rPr>
          <w:rFonts w:ascii="仿宋" w:eastAsia="仿宋" w:cs="仿宋_GB2312" w:hint="eastAsia"/>
          <w:b w:val="0"/>
          <w:bCs/>
          <w:sz w:val="32"/>
          <w:szCs w:val="32"/>
          <w:lang w:val="en-US" w:eastAsia="zh-CN"/>
        </w:rPr>
        <w:t>1</w:t>
      </w:r>
      <w:r>
        <w:rPr>
          <w:rFonts w:ascii="仿宋" w:eastAsia="仿宋" w:cs="仿宋_GB2312" w:hint="eastAsia"/>
          <w:b w:val="0"/>
          <w:bCs/>
          <w:sz w:val="32"/>
          <w:szCs w:val="32"/>
        </w:rPr>
        <w:t>万元、邮电费</w:t>
      </w:r>
      <w:r>
        <w:rPr>
          <w:rFonts w:ascii="仿宋" w:eastAsia="仿宋" w:cs="仿宋_GB2312" w:hint="eastAsia"/>
          <w:b w:val="0"/>
          <w:bCs/>
          <w:sz w:val="32"/>
          <w:szCs w:val="32"/>
          <w:lang w:val="en-US" w:eastAsia="zh-CN"/>
        </w:rPr>
        <w:t>1</w:t>
      </w:r>
      <w:r>
        <w:rPr>
          <w:rFonts w:ascii="仿宋" w:eastAsia="仿宋" w:cs="仿宋_GB2312" w:hint="eastAsia"/>
          <w:b w:val="0"/>
          <w:bCs/>
          <w:sz w:val="32"/>
          <w:szCs w:val="32"/>
        </w:rPr>
        <w:t>万元、取暖费0万元、物业管理费0万元、差旅费</w:t>
      </w:r>
      <w:r>
        <w:rPr>
          <w:rFonts w:ascii="仿宋" w:eastAsia="仿宋" w:cs="仿宋_GB2312" w:hint="eastAsia"/>
          <w:b w:val="0"/>
          <w:bCs/>
          <w:sz w:val="32"/>
          <w:szCs w:val="32"/>
          <w:lang w:val="en-US" w:eastAsia="zh-CN"/>
        </w:rPr>
        <w:t>3.5</w:t>
      </w:r>
      <w:r>
        <w:rPr>
          <w:rFonts w:ascii="仿宋" w:eastAsia="仿宋" w:cs="仿宋_GB2312" w:hint="eastAsia"/>
          <w:b w:val="0"/>
          <w:bCs/>
          <w:sz w:val="32"/>
          <w:szCs w:val="32"/>
        </w:rPr>
        <w:t>万元、</w:t>
      </w:r>
      <w:r>
        <w:rPr>
          <w:rFonts w:ascii="仿宋" w:eastAsia="仿宋" w:cs="仿宋_GB2312" w:hint="eastAsia"/>
          <w:b w:val="0"/>
          <w:bCs/>
          <w:sz w:val="32"/>
          <w:szCs w:val="32"/>
          <w:lang w:val="en-US" w:eastAsia="zh-CN"/>
        </w:rPr>
        <w:t>劳务费0.24万元、</w:t>
      </w:r>
      <w:r>
        <w:rPr>
          <w:rFonts w:ascii="仿宋" w:eastAsia="仿宋" w:cs="仿宋_GB2312" w:hint="eastAsia"/>
          <w:b w:val="0"/>
          <w:bCs/>
          <w:sz w:val="32"/>
          <w:szCs w:val="32"/>
        </w:rPr>
        <w:t>因公出国（境）费用0万元、公务用车维修（护）费</w:t>
      </w:r>
      <w:r>
        <w:rPr>
          <w:rFonts w:ascii="仿宋" w:eastAsia="仿宋" w:cs="仿宋_GB2312" w:hint="eastAsia"/>
          <w:b w:val="0"/>
          <w:bCs/>
          <w:sz w:val="32"/>
          <w:szCs w:val="32"/>
          <w:lang w:val="en-US" w:eastAsia="zh-CN"/>
        </w:rPr>
        <w:t>0</w:t>
      </w:r>
      <w:r>
        <w:rPr>
          <w:rFonts w:ascii="仿宋" w:eastAsia="仿宋" w:cs="仿宋_GB2312" w:hint="eastAsia"/>
          <w:b w:val="0"/>
          <w:bCs/>
          <w:sz w:val="32"/>
          <w:szCs w:val="32"/>
        </w:rPr>
        <w:t>万元、租赁费0万元、会议费0万元、培训费0万元、劳务费0万元、取暖费0万元、委托业务费0万元、工会经费0万元、福利费0万元、其他交通费</w:t>
      </w:r>
      <w:r>
        <w:rPr>
          <w:rFonts w:ascii="仿宋" w:eastAsia="仿宋" w:cs="仿宋_GB2312" w:hint="eastAsia"/>
          <w:b w:val="0"/>
          <w:bCs/>
          <w:sz w:val="32"/>
          <w:szCs w:val="32"/>
          <w:lang w:val="en-US" w:eastAsia="zh-CN"/>
        </w:rPr>
        <w:t>3.96</w:t>
      </w:r>
      <w:r>
        <w:rPr>
          <w:rFonts w:ascii="仿宋" w:eastAsia="仿宋" w:cs="仿宋_GB2312" w:hint="eastAsia"/>
          <w:b w:val="0"/>
          <w:bCs/>
          <w:sz w:val="32"/>
          <w:szCs w:val="32"/>
        </w:rPr>
        <w:t>万元、税金及附加费用0万元、接待费0万元，其他商品和服务支出0万元。</w:t>
      </w:r>
      <w:bookmarkEnd w:id="59"/>
    </w:p>
    <w:p>
      <w:pPr>
        <w:pStyle w:val="24"/>
        <w:jc w:val="both"/>
        <w:rPr>
          <w:rFonts w:ascii="仿宋" w:eastAsia="仿宋" w:cs="仿宋_GB2312" w:hint="eastAsia"/>
          <w:b w:val="0"/>
          <w:bCs/>
          <w:sz w:val="32"/>
          <w:szCs w:val="32"/>
        </w:rPr>
      </w:pPr>
      <w:r>
        <w:rPr>
          <w:rFonts w:ascii="仿宋" w:eastAsia="仿宋" w:cs="仿宋_GB2312" w:hint="eastAsia"/>
          <w:b w:val="0"/>
          <w:bCs/>
          <w:sz w:val="32"/>
          <w:szCs w:val="32"/>
          <w:lang w:eastAsia="zh-CN"/>
        </w:rPr>
        <w:drawing>
          <wp:anchor distT="0" distB="0" distL="114300" distR="114300" simplePos="0" relativeHeight="27" behindDoc="0" locked="0" layoutInCell="1" hidden="0" allowOverlap="1">
            <wp:simplePos x="0" y="0"/>
            <wp:positionH relativeFrom="column">
              <wp:posOffset>53974</wp:posOffset>
            </wp:positionH>
            <wp:positionV relativeFrom="paragraph">
              <wp:posOffset>100330</wp:posOffset>
            </wp:positionV>
            <wp:extent cx="5079999" cy="3810000"/>
            <wp:effectExtent l="0" t="0" r="13" b="37"/>
            <wp:wrapSquare wrapText="bothSides"/>
            <wp:docPr id="6" name="图表 14"/>
            <wp:cNvGraphicFramePr>
              <a:graphicFrameLocks noChangeAspect="0"/>
            </wp:cNvGraphicFramePr>
            <a:graphic>
              <a:graphicData uri="http://schemas.openxmlformats.org/drawingml/2006/chart">
                <c:chart xmlns:c="http://schemas.openxmlformats.org/drawingml/2006/chart" r:id="rId9"/>
              </a:graphicData>
            </a:graphic>
          </wp:anchor>
        </w:drawing>
      </w:r>
    </w:p>
    <w:p>
      <w:pPr>
        <w:pageBreakBefore w:val="0"/>
        <w:widowControl w:val="0"/>
        <w:kinsoku/>
        <w:wordWrap/>
        <w:overflowPunct/>
        <w:topLinePunct w:val="0"/>
        <w:bidi w:val="0"/>
        <w:spacing w:line="576" w:lineRule="exact"/>
        <w:ind w:firstLineChars="400" w:firstLine="1280"/>
        <w:jc w:val="both"/>
        <w:rPr>
          <w:rFonts w:ascii="仿宋" w:eastAsia="仿宋" w:cs="仿宋_GB2312" w:hint="eastAsia"/>
          <w:b w:val="0"/>
          <w:bCs/>
          <w:sz w:val="32"/>
          <w:szCs w:val="32"/>
        </w:rPr>
      </w:pPr>
      <w:r>
        <w:rPr>
          <w:rFonts w:ascii="Times New Roman" w:eastAsia="仿宋_GB2312" w:cs="Times New Roman" w:hAnsi="Times New Roman"/>
          <w:color w:val="auto"/>
          <w:sz w:val="32"/>
          <w:szCs w:val="32"/>
        </w:rPr>
        <w:t>（图</w:t>
      </w:r>
      <w:r>
        <w:rPr>
          <w:rFonts w:ascii="Times New Roman" w:eastAsia="仿宋_GB2312" w:cs="Times New Roman" w:hAnsi="Times New Roman" w:hint="eastAsia"/>
          <w:color w:val="auto"/>
          <w:sz w:val="32"/>
          <w:szCs w:val="32"/>
          <w:lang w:val="en-US" w:eastAsia="zh-CN"/>
        </w:rPr>
        <w:t>6</w:t>
      </w:r>
      <w:r>
        <w:rPr>
          <w:rFonts w:ascii="Times New Roman" w:eastAsia="仿宋_GB2312" w:cs="Times New Roman" w:hAnsi="Times New Roman"/>
          <w:color w:val="auto"/>
          <w:sz w:val="32"/>
          <w:szCs w:val="32"/>
        </w:rPr>
        <w:t>：</w:t>
      </w:r>
      <w:r>
        <w:rPr>
          <w:rFonts w:ascii="Times New Roman" w:eastAsia="仿宋_GB2312" w:cs="Times New Roman" w:hAnsi="Times New Roman" w:hint="eastAsia"/>
          <w:color w:val="auto"/>
          <w:sz w:val="32"/>
          <w:szCs w:val="32"/>
          <w:lang w:val="en-US" w:eastAsia="zh-CN"/>
        </w:rPr>
        <w:t>公用经费</w:t>
      </w:r>
      <w:r>
        <w:rPr>
          <w:rFonts w:ascii="Times New Roman" w:eastAsia="仿宋_GB2312" w:cs="Times New Roman" w:hAnsi="Times New Roman"/>
          <w:color w:val="auto"/>
          <w:sz w:val="32"/>
          <w:szCs w:val="32"/>
        </w:rPr>
        <w:t>结构图）（</w:t>
      </w:r>
      <w:r>
        <w:rPr>
          <w:rFonts w:ascii="Times New Roman" w:eastAsia="仿宋_GB2312" w:cs="Times New Roman" w:hAnsi="Times New Roman" w:hint="eastAsia"/>
          <w:color w:val="auto"/>
          <w:sz w:val="32"/>
          <w:szCs w:val="32"/>
          <w:lang w:val="en-US" w:eastAsia="zh-CN"/>
        </w:rPr>
        <w:t>条形</w:t>
      </w:r>
      <w:r>
        <w:rPr>
          <w:rFonts w:ascii="Times New Roman" w:eastAsia="仿宋_GB2312" w:cs="Times New Roman" w:hAnsi="Times New Roman"/>
          <w:color w:val="auto"/>
          <w:sz w:val="32"/>
          <w:szCs w:val="32"/>
        </w:rPr>
        <w:t>图）</w:t>
      </w:r>
    </w:p>
    <w:p>
      <w:pPr>
        <w:pageBreakBefore w:val="0"/>
        <w:widowControl w:val="0"/>
        <w:kinsoku/>
        <w:wordWrap/>
        <w:overflowPunct/>
        <w:topLinePunct w:val="0"/>
        <w:bidi w:val="0"/>
        <w:spacing w:line="576" w:lineRule="exact"/>
        <w:ind w:firstLine="640"/>
        <w:outlineLvl w:val="1"/>
        <w:rPr>
          <w:rStyle w:val="2Char"/>
          <w:rFonts w:ascii="Times New Roman" w:eastAsia="黑体" w:cs="Times New Roman" w:hAnsi="Times New Roman"/>
          <w:b w:val="0"/>
        </w:rPr>
      </w:pPr>
      <w:bookmarkStart w:id="60" w:name="_Toc15377215"/>
      <w:bookmarkStart w:id="61" w:name="_Toc26843618"/>
      <w:bookmarkStart w:id="62" w:name="_Toc15396609"/>
      <w:r>
        <w:rPr>
          <w:rFonts w:ascii="Times New Roman" w:eastAsia="黑体" w:cs="Times New Roman" w:hAnsi="Times New Roman"/>
          <w:sz w:val="32"/>
          <w:szCs w:val="32"/>
        </w:rPr>
        <w:t>七、</w:t>
      </w:r>
      <w:r>
        <w:rPr>
          <w:rStyle w:val="2Char"/>
          <w:rFonts w:ascii="Times New Roman" w:eastAsia="黑体" w:cs="Times New Roman" w:hAnsi="Times New Roman"/>
        </w:rPr>
        <w:t>“</w:t>
      </w:r>
      <w:r>
        <w:rPr>
          <w:rStyle w:val="2Char"/>
          <w:rFonts w:ascii="Times New Roman" w:eastAsia="黑体" w:cs="Times New Roman" w:hAnsi="Times New Roman"/>
          <w:b w:val="0"/>
        </w:rPr>
        <w:t>三公”经费财政拨款支出决算情况说明</w:t>
      </w:r>
      <w:bookmarkEnd w:id="60"/>
      <w:bookmarkEnd w:id="61"/>
      <w:bookmarkEnd w:id="62"/>
    </w:p>
    <w:p>
      <w:pPr>
        <w:pageBreakBefore w:val="0"/>
        <w:widowControl w:val="0"/>
        <w:kinsoku/>
        <w:wordWrap/>
        <w:overflowPunct/>
        <w:topLinePunct w:val="0"/>
        <w:bidi w:val="0"/>
        <w:spacing w:line="576" w:lineRule="exact"/>
        <w:ind w:firstLine="640"/>
        <w:outlineLvl w:val="2"/>
        <w:rPr>
          <w:rFonts w:ascii="Times New Roman" w:eastAsia="仿宋" w:cs="Times New Roman" w:hAnsi="Times New Roman"/>
          <w:b/>
          <w:sz w:val="32"/>
          <w:szCs w:val="32"/>
        </w:rPr>
      </w:pPr>
      <w:bookmarkStart w:id="63" w:name="_Toc15377216"/>
      <w:r>
        <w:rPr>
          <w:rFonts w:ascii="Times New Roman" w:eastAsia="仿宋" w:cs="Times New Roman" w:hAnsi="Times New Roman"/>
          <w:b/>
          <w:sz w:val="32"/>
          <w:szCs w:val="32"/>
        </w:rPr>
        <w:t>（一）“三公”经费财政拨款支出决算总体情况说明</w:t>
      </w:r>
      <w:bookmarkEnd w:id="63"/>
    </w:p>
    <w:p>
      <w:pPr>
        <w:spacing w:line="560"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年“三公”经费财政拨款支出决算为</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万元，完成预算</w:t>
      </w:r>
      <w:r>
        <w:rPr>
          <w:rFonts w:eastAsia="仿宋_GB2312" w:cs="Times New Roman" w:hint="eastAsia"/>
          <w:sz w:val="32"/>
          <w:szCs w:val="32"/>
          <w:lang w:val="en-US" w:eastAsia="zh-CN"/>
        </w:rPr>
        <w:t>100</w:t>
      </w:r>
      <w:r>
        <w:rPr>
          <w:rFonts w:ascii="Times New Roman" w:eastAsia="仿宋_GB2312" w:cs="Times New Roman" w:hAnsi="Times New Roman"/>
          <w:sz w:val="32"/>
          <w:szCs w:val="32"/>
        </w:rPr>
        <w:t>%</w:t>
      </w:r>
      <w:r>
        <w:rPr>
          <w:rFonts w:ascii="仿宋" w:eastAsia="仿宋" w:hint="eastAsia"/>
          <w:color w:val="000000"/>
          <w:sz w:val="32"/>
          <w:szCs w:val="32"/>
          <w:lang w:val="en-US" w:eastAsia="zh-CN"/>
        </w:rPr>
        <w:t>。</w:t>
      </w:r>
    </w:p>
    <w:p>
      <w:pPr>
        <w:pageBreakBefore w:val="0"/>
        <w:widowControl w:val="0"/>
        <w:kinsoku/>
        <w:wordWrap/>
        <w:overflowPunct/>
        <w:topLinePunct w:val="0"/>
        <w:bidi w:val="0"/>
        <w:spacing w:line="576" w:lineRule="exact"/>
        <w:ind w:firstLine="640"/>
        <w:outlineLvl w:val="2"/>
        <w:rPr>
          <w:rFonts w:ascii="Times New Roman" w:eastAsia="仿宋" w:cs="Times New Roman" w:hAnsi="Times New Roman"/>
          <w:b/>
          <w:sz w:val="32"/>
          <w:szCs w:val="32"/>
        </w:rPr>
      </w:pPr>
      <w:bookmarkStart w:id="64" w:name="_Toc15377217"/>
      <w:r>
        <w:rPr>
          <w:rFonts w:ascii="Times New Roman" w:eastAsia="仿宋" w:cs="Times New Roman" w:hAnsi="Times New Roman"/>
          <w:b/>
          <w:sz w:val="32"/>
          <w:szCs w:val="32"/>
        </w:rPr>
        <w:t>（二）</w:t>
      </w:r>
      <w:bookmarkStart w:id="65" w:name="OLE_LINK2"/>
      <w:r>
        <w:rPr>
          <w:rFonts w:ascii="Times New Roman" w:eastAsia="仿宋" w:cs="Times New Roman" w:hAnsi="Times New Roman"/>
          <w:b/>
          <w:sz w:val="32"/>
          <w:szCs w:val="32"/>
        </w:rPr>
        <w:t>“三公”经费财政拨款支出</w:t>
      </w:r>
      <w:bookmarkEnd w:id="65"/>
      <w:r>
        <w:rPr>
          <w:rFonts w:ascii="Times New Roman" w:eastAsia="仿宋" w:cs="Times New Roman" w:hAnsi="Times New Roman"/>
          <w:b/>
          <w:sz w:val="32"/>
          <w:szCs w:val="32"/>
        </w:rPr>
        <w:t>决算具体情况说明</w:t>
      </w:r>
      <w:bookmarkEnd w:id="64"/>
    </w:p>
    <w:p>
      <w:pPr>
        <w:pageBreakBefore w:val="0"/>
        <w:widowControl w:val="0"/>
        <w:kinsoku/>
        <w:wordWrap/>
        <w:overflowPunct/>
        <w:topLinePunct w:val="0"/>
        <w:bidi w:val="0"/>
        <w:spacing w:line="576" w:lineRule="exact"/>
        <w:ind w:firstLine="640"/>
        <w:rPr>
          <w:rFonts w:ascii="Times New Roman" w:cs="Times New Roman" w:hAnsi="Times New Roman"/>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年“三公”经费财政拨款支出决算中，</w:t>
      </w:r>
      <w:bookmarkStart w:id="66" w:name="OLE_LINK3"/>
      <w:r>
        <w:rPr>
          <w:rFonts w:ascii="Times New Roman" w:eastAsia="仿宋_GB2312" w:cs="Times New Roman" w:hAnsi="Times New Roman"/>
          <w:sz w:val="32"/>
          <w:szCs w:val="32"/>
        </w:rPr>
        <w:t>因公出国（境）费支出</w:t>
      </w:r>
      <w:bookmarkEnd w:id="66"/>
      <w:r>
        <w:rPr>
          <w:rFonts w:ascii="Times New Roman" w:eastAsia="仿宋_GB2312" w:cs="Times New Roman" w:hAnsi="Times New Roman"/>
          <w:sz w:val="32"/>
          <w:szCs w:val="32"/>
        </w:rPr>
        <w:t>决算0万元，占0%；</w:t>
      </w:r>
      <w:bookmarkStart w:id="67" w:name="OLE_LINK4"/>
      <w:r>
        <w:rPr>
          <w:rFonts w:ascii="Times New Roman" w:eastAsia="仿宋_GB2312" w:cs="Times New Roman" w:hAnsi="Times New Roman"/>
          <w:sz w:val="32"/>
          <w:szCs w:val="32"/>
        </w:rPr>
        <w:t>公务用车购置及运行维护费支出</w:t>
      </w:r>
      <w:bookmarkEnd w:id="67"/>
      <w:r>
        <w:rPr>
          <w:rFonts w:ascii="Times New Roman" w:eastAsia="仿宋_GB2312" w:cs="Times New Roman" w:hAnsi="Times New Roman"/>
          <w:sz w:val="32"/>
          <w:szCs w:val="32"/>
        </w:rPr>
        <w:t>决算</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万元，占</w:t>
      </w:r>
      <w:r>
        <w:rPr>
          <w:rFonts w:eastAsia="仿宋_GB2312" w:cs="Times New Roman" w:hint="eastAsia"/>
          <w:sz w:val="32"/>
          <w:szCs w:val="32"/>
          <w:lang w:val="en-US" w:eastAsia="zh-CN"/>
        </w:rPr>
        <w:t>100</w:t>
      </w:r>
      <w:r>
        <w:rPr>
          <w:rFonts w:ascii="Times New Roman" w:eastAsia="仿宋_GB2312" w:cs="Times New Roman" w:hAnsi="Times New Roman"/>
          <w:sz w:val="32"/>
          <w:szCs w:val="32"/>
        </w:rPr>
        <w:t>%；公务接待费支出决算</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w:t>
      </w:r>
      <w:r>
        <w:rPr>
          <w:rFonts w:ascii="Times New Roman" w:eastAsia="仿宋" w:cs="Times New Roman" w:hAnsi="Times New Roman"/>
          <w:sz w:val="32"/>
          <w:szCs w:val="32"/>
        </w:rPr>
        <w:t>元，占</w:t>
      </w:r>
      <w:r>
        <w:rPr>
          <w:rFonts w:eastAsia="仿宋" w:cs="Times New Roman" w:hint="eastAsia"/>
          <w:sz w:val="32"/>
          <w:szCs w:val="32"/>
          <w:lang w:val="en-US" w:eastAsia="zh-CN"/>
        </w:rPr>
        <w:t>100</w:t>
      </w:r>
      <w:r>
        <w:rPr>
          <w:rFonts w:ascii="Times New Roman" w:eastAsia="仿宋" w:cs="Times New Roman" w:hAnsi="Times New Roman"/>
          <w:sz w:val="32"/>
          <w:szCs w:val="32"/>
        </w:rPr>
        <w:t>%。具体情况如下：</w:t>
      </w:r>
    </w:p>
    <w:p>
      <w:pPr>
        <w:pageBreakBefore w:val="0"/>
        <w:widowControl w:val="0"/>
        <w:kinsoku/>
        <w:wordWrap/>
        <w:overflowPunct/>
        <w:topLinePunct w:val="0"/>
        <w:bidi w:val="0"/>
        <w:spacing w:line="576" w:lineRule="exact"/>
        <w:ind w:firstLine="640"/>
        <w:rPr>
          <w:rFonts w:ascii="Times New Roman" w:eastAsia="仿宋_GB2312" w:cs="Times New Roman" w:hAnsi="Times New Roman"/>
          <w:b/>
          <w:sz w:val="32"/>
          <w:szCs w:val="32"/>
        </w:rPr>
      </w:pPr>
      <w:r>
        <w:rPr>
          <w:rFonts w:ascii="Times New Roman" w:eastAsia="仿宋_GB2312" w:cs="Times New Roman" w:hAnsi="Times New Roman"/>
          <w:b/>
          <w:sz w:val="32"/>
          <w:szCs w:val="32"/>
        </w:rPr>
        <w:t>1.</w:t>
      </w:r>
      <w:r>
        <w:rPr>
          <w:rFonts w:ascii="Times New Roman" w:eastAsia="仿宋_GB2312" w:cs="Times New Roman" w:hAnsi="Times New Roman"/>
          <w:b/>
          <w:bCs/>
          <w:sz w:val="32"/>
          <w:szCs w:val="32"/>
        </w:rPr>
        <w:t>因公出国（境）经费支出</w:t>
      </w:r>
      <w:r>
        <w:rPr>
          <w:rFonts w:ascii="Times New Roman" w:eastAsia="仿宋_GB2312" w:cs="Times New Roman" w:hAnsi="Times New Roman"/>
          <w:sz w:val="32"/>
          <w:szCs w:val="32"/>
        </w:rPr>
        <w:t>0万元，</w:t>
      </w:r>
      <w:r>
        <w:rPr>
          <w:rFonts w:ascii="Times New Roman" w:eastAsia="仿宋_GB2312" w:cs="Times New Roman" w:hAnsi="Times New Roman"/>
          <w:bCs/>
          <w:sz w:val="32"/>
          <w:szCs w:val="32"/>
        </w:rPr>
        <w:t>完成预算100%。</w:t>
      </w:r>
      <w:r>
        <w:rPr>
          <w:rFonts w:ascii="Times New Roman" w:eastAsia="仿宋_GB2312" w:cs="Times New Roman" w:hAnsi="Times New Roman"/>
          <w:sz w:val="32"/>
          <w:szCs w:val="32"/>
        </w:rPr>
        <w:t>全年安排因公出国（境）团组0次，出国（境）0人。因公出国（境）支出决算比202</w:t>
      </w:r>
      <w:r>
        <w:rPr>
          <w:rFonts w:eastAsia="仿宋_GB2312" w:cs="Times New Roman" w:hint="eastAsia"/>
          <w:sz w:val="32"/>
          <w:szCs w:val="32"/>
          <w:lang w:val="en-US" w:eastAsia="zh-CN"/>
        </w:rPr>
        <w:t>1</w:t>
      </w:r>
      <w:r>
        <w:rPr>
          <w:rFonts w:ascii="Times New Roman" w:eastAsia="仿宋_GB2312" w:cs="Times New Roman" w:hAnsi="Times New Roman"/>
          <w:sz w:val="32"/>
          <w:szCs w:val="32"/>
        </w:rPr>
        <w:t>年持平。</w:t>
      </w:r>
    </w:p>
    <w:p>
      <w:pPr>
        <w:pageBreakBefore w:val="0"/>
        <w:widowControl w:val="0"/>
        <w:kinsoku/>
        <w:wordWrap/>
        <w:overflowPunct/>
        <w:topLinePunct w:val="0"/>
        <w:bidi w:val="0"/>
        <w:spacing w:line="576" w:lineRule="exact"/>
        <w:ind w:firstLine="640"/>
        <w:rPr>
          <w:rFonts w:ascii="Times New Roman" w:eastAsia="仿宋_GB2312" w:cs="Times New Roman" w:hAnsi="Times New Roman"/>
          <w:b/>
          <w:sz w:val="32"/>
          <w:szCs w:val="32"/>
        </w:rPr>
      </w:pPr>
      <w:r>
        <w:rPr>
          <w:rFonts w:ascii="Times New Roman" w:eastAsia="仿宋_GB2312" w:cs="Times New Roman" w:hAnsi="Times New Roman"/>
          <w:b/>
          <w:sz w:val="32"/>
          <w:szCs w:val="32"/>
        </w:rPr>
        <w:t>2.公务用车购置及运行维护费支出</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w:t>
      </w:r>
      <w:r>
        <w:rPr>
          <w:rStyle w:val="28"/>
          <w:rFonts w:ascii="Times New Roman" w:eastAsia="仿宋" w:cs="Times New Roman" w:hAnsi="Times New Roman"/>
          <w:b w:val="0"/>
          <w:bCs/>
          <w:sz w:val="32"/>
          <w:szCs w:val="32"/>
        </w:rPr>
        <w:t>完成预算</w:t>
      </w:r>
      <w:r>
        <w:rPr>
          <w:rStyle w:val="28"/>
          <w:rFonts w:eastAsia="仿宋" w:cs="Times New Roman" w:hint="eastAsia"/>
          <w:b w:val="0"/>
          <w:bCs/>
          <w:sz w:val="32"/>
          <w:szCs w:val="32"/>
          <w:lang w:val="en-US" w:eastAsia="zh-CN"/>
        </w:rPr>
        <w:t>100</w:t>
      </w:r>
      <w:r>
        <w:rPr>
          <w:rStyle w:val="28"/>
          <w:rFonts w:ascii="Times New Roman" w:eastAsia="仿宋" w:cs="Times New Roman" w:hAnsi="Times New Roman"/>
          <w:b w:val="0"/>
          <w:bCs/>
          <w:sz w:val="32"/>
          <w:szCs w:val="32"/>
        </w:rPr>
        <w:t>%。</w:t>
      </w:r>
      <w:r>
        <w:rPr>
          <w:rFonts w:eastAsia="仿宋_GB2312" w:cs="Times New Roman" w:hint="eastAsia"/>
          <w:sz w:val="32"/>
          <w:szCs w:val="32"/>
          <w:lang w:val="en-US" w:eastAsia="zh-CN"/>
        </w:rPr>
        <w:t>与</w:t>
      </w:r>
      <w:r>
        <w:rPr>
          <w:rFonts w:ascii="Times New Roman" w:eastAsia="仿宋_GB2312" w:cs="Times New Roman" w:hAnsi="Times New Roman"/>
          <w:sz w:val="32"/>
          <w:szCs w:val="32"/>
        </w:rPr>
        <w:t>比202</w:t>
      </w:r>
      <w:r>
        <w:rPr>
          <w:rFonts w:eastAsia="仿宋_GB2312" w:cs="Times New Roman" w:hint="eastAsia"/>
          <w:sz w:val="32"/>
          <w:szCs w:val="32"/>
          <w:lang w:val="en-US" w:eastAsia="zh-CN"/>
        </w:rPr>
        <w:t>1</w:t>
      </w:r>
      <w:r>
        <w:rPr>
          <w:rFonts w:ascii="Times New Roman" w:eastAsia="仿宋_GB2312" w:cs="Times New Roman" w:hAnsi="Times New Roman"/>
          <w:sz w:val="32"/>
          <w:szCs w:val="32"/>
        </w:rPr>
        <w:t>年持平。</w:t>
      </w:r>
    </w:p>
    <w:p>
      <w:pPr>
        <w:pageBreakBefore w:val="0"/>
        <w:widowControl w:val="0"/>
        <w:kinsoku/>
        <w:wordWrap/>
        <w:overflowPunct/>
        <w:topLinePunct w:val="0"/>
        <w:autoSpaceDE w:val="0"/>
        <w:autoSpaceDN w:val="0"/>
        <w:bidi w:val="0"/>
        <w:adjustRightInd w:val="0"/>
        <w:spacing w:line="576" w:lineRule="exact"/>
        <w:ind w:firstLineChars="200" w:firstLine="640"/>
        <w:jc w:val="left"/>
        <w:rPr>
          <w:rFonts w:ascii="Times New Roman" w:eastAsia="仿宋_GB2312" w:cs="Times New Roman" w:hAnsi="Times New Roman"/>
          <w:sz w:val="32"/>
          <w:szCs w:val="32"/>
        </w:rPr>
      </w:pPr>
      <w:r>
        <w:rPr>
          <w:rFonts w:ascii="Times New Roman" w:eastAsia="仿宋_GB2312" w:cs="Times New Roman" w:hAnsi="Times New Roman"/>
          <w:b/>
          <w:sz w:val="32"/>
          <w:szCs w:val="32"/>
        </w:rPr>
        <w:t>3.公务接待费支出</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w:t>
      </w:r>
      <w:r>
        <w:rPr>
          <w:rFonts w:ascii="Times New Roman" w:eastAsia="仿宋_GB2312" w:cs="Times New Roman" w:hAnsi="Times New Roman"/>
          <w:bCs/>
          <w:sz w:val="32"/>
          <w:szCs w:val="32"/>
        </w:rPr>
        <w:t>完成预算</w:t>
      </w:r>
      <w:r>
        <w:rPr>
          <w:rFonts w:eastAsia="仿宋_GB2312" w:cs="Times New Roman" w:hint="eastAsia"/>
          <w:bCs/>
          <w:sz w:val="32"/>
          <w:szCs w:val="32"/>
          <w:lang w:val="en-US" w:eastAsia="zh-CN"/>
        </w:rPr>
        <w:t>100</w:t>
      </w:r>
      <w:r>
        <w:rPr>
          <w:rFonts w:ascii="Times New Roman" w:eastAsia="仿宋_GB2312" w:cs="Times New Roman" w:hAnsi="Times New Roman"/>
          <w:bCs/>
          <w:sz w:val="32"/>
          <w:szCs w:val="32"/>
        </w:rPr>
        <w:t>%。</w:t>
      </w:r>
      <w:r>
        <w:rPr>
          <w:rFonts w:ascii="Times New Roman" w:eastAsia="仿宋_GB2312" w:cs="Times New Roman" w:hAnsi="Times New Roman"/>
          <w:sz w:val="32"/>
          <w:szCs w:val="32"/>
        </w:rPr>
        <w:t>公务接待费支出决算比202</w:t>
      </w:r>
      <w:r>
        <w:rPr>
          <w:rFonts w:eastAsia="仿宋_GB2312" w:cs="Times New Roman" w:hint="eastAsia"/>
          <w:sz w:val="32"/>
          <w:szCs w:val="32"/>
          <w:lang w:val="en-US" w:eastAsia="zh-CN"/>
        </w:rPr>
        <w:t>1</w:t>
      </w:r>
      <w:r>
        <w:rPr>
          <w:rFonts w:ascii="Times New Roman" w:eastAsia="仿宋_GB2312" w:cs="Times New Roman" w:hAnsi="Times New Roman"/>
          <w:sz w:val="32"/>
          <w:szCs w:val="32"/>
        </w:rPr>
        <w:t>年持平。</w:t>
      </w:r>
    </w:p>
    <w:tbl>
      <w:tblPr>
        <w:tblpPr w:leftFromText="180" w:rightFromText="180" w:vertAnchor="text" w:horzAnchor="page" w:tblpX="2123" w:tblpY="379"/>
        <w:tblOverlap w:val="never"/>
        <w:tblW w:w="831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2861"/>
        <w:gridCol w:w="1417"/>
        <w:gridCol w:w="1417"/>
        <w:gridCol w:w="1609"/>
        <w:gridCol w:w="1014"/>
      </w:tblGrid>
      <w:tr>
        <w:trPr>
          <w:trHeight w:val="1040"/>
        </w:trPr>
        <w:tc>
          <w:tcPr>
            <w:tcW w:w="2861" w:type="dxa"/>
            <w:tcBorders>
              <w:top w:val="single" w:sz="4" w:space="0" w:color="auto"/>
              <w:left w:val="single" w:sz="4" w:space="0" w:color="auto"/>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lef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　</w:t>
            </w:r>
          </w:p>
        </w:tc>
        <w:tc>
          <w:tcPr>
            <w:tcW w:w="1417" w:type="dxa"/>
            <w:tcBorders>
              <w:top w:val="single" w:sz="4" w:space="0" w:color="auto"/>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lef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202</w:t>
            </w:r>
            <w:r>
              <w:rPr>
                <w:rFonts w:ascii="仿宋_GB2312" w:cs="宋体" w:hAnsi="仿宋_GB2312" w:hint="eastAsia"/>
                <w:color w:val="333333"/>
                <w:kern w:val="0"/>
                <w:sz w:val="21"/>
                <w:szCs w:val="21"/>
                <w:lang w:val="en-US" w:eastAsia="zh-CN"/>
              </w:rPr>
              <w:t>2</w:t>
            </w:r>
            <w:r>
              <w:rPr>
                <w:rFonts w:ascii="仿宋_GB2312" w:eastAsia="仿宋_GB2312" w:cs="宋体" w:hint="eastAsia"/>
                <w:color w:val="333333"/>
                <w:kern w:val="0"/>
                <w:sz w:val="21"/>
                <w:szCs w:val="21"/>
                <w:lang w:val="zh-CN"/>
              </w:rPr>
              <w:t>年</w:t>
            </w:r>
          </w:p>
        </w:tc>
        <w:tc>
          <w:tcPr>
            <w:tcW w:w="1417" w:type="dxa"/>
            <w:tcBorders>
              <w:top w:val="single" w:sz="4" w:space="0" w:color="auto"/>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lef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202</w:t>
            </w:r>
            <w:r>
              <w:rPr>
                <w:rFonts w:ascii="仿宋_GB2312" w:cs="宋体" w:hAnsi="仿宋_GB2312" w:hint="eastAsia"/>
                <w:color w:val="333333"/>
                <w:kern w:val="0"/>
                <w:sz w:val="21"/>
                <w:szCs w:val="21"/>
                <w:lang w:val="en-US" w:eastAsia="zh-CN"/>
              </w:rPr>
              <w:t>1</w:t>
            </w:r>
            <w:r>
              <w:rPr>
                <w:rFonts w:ascii="仿宋_GB2312" w:eastAsia="仿宋_GB2312" w:cs="宋体" w:hint="eastAsia"/>
                <w:color w:val="333333"/>
                <w:kern w:val="0"/>
                <w:sz w:val="21"/>
                <w:szCs w:val="21"/>
                <w:lang w:val="zh-CN"/>
              </w:rPr>
              <w:t>年</w:t>
            </w:r>
          </w:p>
        </w:tc>
        <w:tc>
          <w:tcPr>
            <w:tcW w:w="1609" w:type="dxa"/>
            <w:tcBorders>
              <w:top w:val="single" w:sz="4" w:space="0" w:color="auto"/>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lef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比上年增减</w:t>
            </w:r>
          </w:p>
        </w:tc>
        <w:tc>
          <w:tcPr>
            <w:tcW w:w="1014" w:type="dxa"/>
            <w:tcBorders>
              <w:top w:val="single" w:sz="4" w:space="0" w:color="auto"/>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lef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增减％</w:t>
            </w:r>
          </w:p>
        </w:tc>
      </w:tr>
      <w:tr>
        <w:trPr>
          <w:trHeight w:val="525"/>
        </w:trPr>
        <w:tc>
          <w:tcPr>
            <w:tcW w:w="2861" w:type="dxa"/>
            <w:tcBorders>
              <w:top w:val="nil"/>
              <w:left w:val="single" w:sz="4" w:space="0" w:color="auto"/>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lef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“三公”经费支出</w:t>
            </w:r>
          </w:p>
        </w:tc>
        <w:tc>
          <w:tcPr>
            <w:tcW w:w="1417"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417"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609"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014"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r>
      <w:tr>
        <w:trPr>
          <w:trHeight w:val="525"/>
        </w:trPr>
        <w:tc>
          <w:tcPr>
            <w:tcW w:w="2861" w:type="dxa"/>
            <w:tcBorders>
              <w:top w:val="nil"/>
              <w:left w:val="single" w:sz="4" w:space="0" w:color="auto"/>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lef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因公出国（境）费</w:t>
            </w:r>
          </w:p>
        </w:tc>
        <w:tc>
          <w:tcPr>
            <w:tcW w:w="1417"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417"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609"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014"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r>
      <w:tr>
        <w:trPr>
          <w:trHeight w:val="1040"/>
        </w:trPr>
        <w:tc>
          <w:tcPr>
            <w:tcW w:w="2861" w:type="dxa"/>
            <w:tcBorders>
              <w:top w:val="nil"/>
              <w:left w:val="single" w:sz="4" w:space="0" w:color="auto"/>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lef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公务用车购置及运行维护费</w:t>
            </w:r>
          </w:p>
        </w:tc>
        <w:tc>
          <w:tcPr>
            <w:tcW w:w="1417"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417"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609"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014"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r>
      <w:tr>
        <w:trPr>
          <w:trHeight w:val="994"/>
        </w:trPr>
        <w:tc>
          <w:tcPr>
            <w:tcW w:w="2861" w:type="dxa"/>
            <w:tcBorders>
              <w:top w:val="nil"/>
              <w:left w:val="single" w:sz="4" w:space="0" w:color="auto"/>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lef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其中：公务用车购置费</w:t>
            </w:r>
          </w:p>
        </w:tc>
        <w:tc>
          <w:tcPr>
            <w:tcW w:w="1417"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417"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609"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014"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r>
      <w:tr>
        <w:trPr>
          <w:trHeight w:val="994"/>
        </w:trPr>
        <w:tc>
          <w:tcPr>
            <w:tcW w:w="2861" w:type="dxa"/>
            <w:tcBorders>
              <w:top w:val="nil"/>
              <w:left w:val="single" w:sz="4" w:space="0" w:color="auto"/>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lef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公务用车运行维护费</w:t>
            </w:r>
          </w:p>
        </w:tc>
        <w:tc>
          <w:tcPr>
            <w:tcW w:w="1417"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417"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609"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014"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r>
      <w:tr>
        <w:trPr>
          <w:trHeight w:val="534"/>
        </w:trPr>
        <w:tc>
          <w:tcPr>
            <w:tcW w:w="2861" w:type="dxa"/>
            <w:tcBorders>
              <w:top w:val="nil"/>
              <w:left w:val="single" w:sz="4" w:space="0" w:color="auto"/>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lef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公务接待费</w:t>
            </w:r>
          </w:p>
        </w:tc>
        <w:tc>
          <w:tcPr>
            <w:tcW w:w="1417"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417"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609"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c>
          <w:tcPr>
            <w:tcW w:w="1014" w:type="dxa"/>
            <w:tcBorders>
              <w:top w:val="nil"/>
              <w:left w:val="nil"/>
              <w:bottom w:val="single" w:sz="4" w:space="0" w:color="auto"/>
              <w:right w:val="single" w:sz="4" w:space="0" w:color="auto"/>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Chars="200" w:firstLine="420"/>
              <w:jc w:val="right"/>
              <w:textAlignment w:val="auto"/>
              <w:rPr>
                <w:rFonts w:ascii="仿宋_GB2312" w:eastAsia="仿宋_GB2312" w:cs="宋体"/>
                <w:color w:val="333333"/>
                <w:kern w:val="0"/>
                <w:sz w:val="21"/>
                <w:szCs w:val="21"/>
                <w:lang w:val="zh-CN"/>
              </w:rPr>
            </w:pPr>
            <w:r>
              <w:rPr>
                <w:rFonts w:ascii="仿宋_GB2312" w:eastAsia="仿宋_GB2312" w:cs="宋体" w:hint="eastAsia"/>
                <w:color w:val="333333"/>
                <w:kern w:val="0"/>
                <w:sz w:val="21"/>
                <w:szCs w:val="21"/>
                <w:lang w:val="zh-CN"/>
              </w:rPr>
              <w:t>0</w:t>
            </w:r>
          </w:p>
        </w:tc>
      </w:tr>
    </w:tbl>
    <w:p>
      <w:pPr>
        <w:pageBreakBefore w:val="0"/>
        <w:widowControl w:val="0"/>
        <w:kinsoku/>
        <w:wordWrap/>
        <w:overflowPunct/>
        <w:topLinePunct w:val="0"/>
        <w:bidi w:val="0"/>
        <w:spacing w:line="576" w:lineRule="exact"/>
        <w:outlineLvl w:val="1"/>
        <w:rPr>
          <w:rFonts w:ascii="Times New Roman" w:eastAsia="黑体" w:cs="Times New Roman" w:hAnsi="Times New Roman"/>
          <w:sz w:val="32"/>
          <w:szCs w:val="32"/>
        </w:rPr>
      </w:pPr>
      <w:bookmarkStart w:id="68" w:name="_Toc15396610"/>
      <w:bookmarkStart w:id="69" w:name="_Toc15377218"/>
    </w:p>
    <w:p>
      <w:pPr>
        <w:pageBreakBefore w:val="0"/>
        <w:widowControl w:val="0"/>
        <w:kinsoku/>
        <w:wordWrap/>
        <w:overflowPunct/>
        <w:topLinePunct w:val="0"/>
        <w:bidi w:val="0"/>
        <w:spacing w:line="576" w:lineRule="exact"/>
        <w:ind w:firstLine="640"/>
        <w:outlineLvl w:val="1"/>
        <w:rPr>
          <w:rStyle w:val="2Char"/>
          <w:rFonts w:ascii="Times New Roman" w:eastAsia="黑体" w:cs="Times New Roman" w:hAnsi="Times New Roman"/>
        </w:rPr>
      </w:pPr>
      <w:bookmarkStart w:id="70" w:name="_Toc26843619"/>
      <w:r>
        <w:rPr>
          <w:rFonts w:ascii="Times New Roman" w:eastAsia="黑体" w:cs="Times New Roman" w:hAnsi="Times New Roman"/>
          <w:sz w:val="32"/>
          <w:szCs w:val="32"/>
        </w:rPr>
        <w:t>八、</w:t>
      </w:r>
      <w:r>
        <w:rPr>
          <w:rStyle w:val="2Char"/>
          <w:rFonts w:ascii="Times New Roman" w:eastAsia="黑体" w:cs="Times New Roman" w:hAnsi="Times New Roman"/>
          <w:b w:val="0"/>
        </w:rPr>
        <w:t>政府性基金预算支出决算情况说明</w:t>
      </w:r>
      <w:bookmarkEnd w:id="68"/>
      <w:bookmarkEnd w:id="69"/>
      <w:bookmarkEnd w:id="70"/>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年政府性基金预算财政拨款支出</w:t>
      </w:r>
      <w:r>
        <w:rPr>
          <w:rFonts w:eastAsia="仿宋_GB2312" w:cs="Times New Roman" w:hint="eastAsia"/>
          <w:sz w:val="32"/>
          <w:szCs w:val="32"/>
          <w:lang w:val="en-US" w:eastAsia="zh-CN"/>
        </w:rPr>
        <w:t>180</w:t>
      </w:r>
      <w:r>
        <w:rPr>
          <w:rFonts w:ascii="Times New Roman" w:eastAsia="仿宋_GB2312" w:cs="Times New Roman" w:hAnsi="Times New Roman"/>
          <w:sz w:val="32"/>
          <w:szCs w:val="32"/>
        </w:rPr>
        <w:t>万元。</w:t>
      </w:r>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p>
    <w:p>
      <w:pPr>
        <w:pageBreakBefore w:val="0"/>
        <w:widowControl w:val="0"/>
        <w:numPr>
          <w:ilvl w:val="0"/>
          <w:numId w:val="2"/>
        </w:numPr>
        <w:kinsoku/>
        <w:wordWrap/>
        <w:overflowPunct/>
        <w:topLinePunct w:val="0"/>
        <w:bidi w:val="0"/>
        <w:spacing w:line="576" w:lineRule="exact"/>
        <w:ind w:left="0" w:firstLine="640"/>
        <w:outlineLvl w:val="1"/>
        <w:rPr>
          <w:rStyle w:val="2Char"/>
          <w:rFonts w:ascii="Times New Roman" w:eastAsia="黑体" w:cs="Times New Roman" w:hAnsi="Times New Roman"/>
          <w:b w:val="0"/>
        </w:rPr>
      </w:pPr>
      <w:bookmarkStart w:id="71" w:name="_Toc15377219"/>
      <w:bookmarkStart w:id="72" w:name="_Toc26843620"/>
      <w:bookmarkStart w:id="73" w:name="_Toc15396611"/>
      <w:r>
        <w:rPr>
          <w:rStyle w:val="2Char"/>
          <w:rFonts w:ascii="Times New Roman" w:eastAsia="黑体" w:cs="Times New Roman" w:hAnsi="Times New Roman"/>
          <w:b w:val="0"/>
        </w:rPr>
        <w:t>国有资本经营预算支出决算情况说明</w:t>
      </w:r>
      <w:bookmarkEnd w:id="71"/>
      <w:bookmarkEnd w:id="72"/>
      <w:bookmarkEnd w:id="73"/>
    </w:p>
    <w:p>
      <w:pPr>
        <w:pageBreakBefore w:val="0"/>
        <w:widowControl w:val="0"/>
        <w:kinsoku/>
        <w:wordWrap/>
        <w:overflowPunct/>
        <w:topLinePunct w:val="0"/>
        <w:bidi w:val="0"/>
        <w:spacing w:line="576" w:lineRule="exact"/>
        <w:ind w:firstLine="640"/>
        <w:rPr>
          <w:rFonts w:ascii="Times New Roman" w:eastAsia="方正小标宋简体" w:cs="Times New Roman" w:hAnsi="Times New Roman"/>
          <w:sz w:val="44"/>
          <w:szCs w:val="44"/>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年国有资本经营预算财政拨款支出0万元。</w:t>
      </w:r>
    </w:p>
    <w:p>
      <w:pPr>
        <w:pageBreakBefore w:val="0"/>
        <w:widowControl w:val="0"/>
        <w:numPr>
          <w:ilvl w:val="0"/>
          <w:numId w:val="2"/>
        </w:numPr>
        <w:kinsoku/>
        <w:wordWrap/>
        <w:overflowPunct/>
        <w:topLinePunct w:val="0"/>
        <w:bidi w:val="0"/>
        <w:spacing w:line="576" w:lineRule="exact"/>
        <w:ind w:left="0" w:firstLine="640"/>
        <w:outlineLvl w:val="1"/>
        <w:rPr>
          <w:rStyle w:val="2Char"/>
          <w:rFonts w:ascii="Times New Roman" w:eastAsia="黑体" w:cs="Times New Roman" w:hAnsi="Times New Roman"/>
          <w:b w:val="0"/>
        </w:rPr>
      </w:pPr>
      <w:bookmarkStart w:id="74" w:name="_Toc15377221"/>
      <w:bookmarkStart w:id="75" w:name="_Toc15396612"/>
      <w:bookmarkStart w:id="76" w:name="_Toc26843621"/>
      <w:r>
        <w:rPr>
          <w:rStyle w:val="2Char"/>
          <w:rFonts w:ascii="Times New Roman" w:eastAsia="黑体" w:cs="Times New Roman" w:hAnsi="Times New Roman"/>
          <w:b w:val="0"/>
        </w:rPr>
        <w:t>其他重要事项的情况说明</w:t>
      </w:r>
      <w:bookmarkEnd w:id="74"/>
      <w:bookmarkEnd w:id="75"/>
      <w:bookmarkEnd w:id="76"/>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sz w:val="32"/>
          <w:szCs w:val="32"/>
        </w:rPr>
      </w:pPr>
      <w:bookmarkStart w:id="77" w:name="_Toc15377222"/>
      <w:r>
        <w:rPr>
          <w:rFonts w:ascii="Times New Roman" w:eastAsia="仿宋" w:cs="Times New Roman" w:hAnsi="Times New Roman"/>
          <w:b/>
          <w:sz w:val="32"/>
          <w:szCs w:val="32"/>
        </w:rPr>
        <w:t>（一）机关运行经费支出情况</w:t>
      </w:r>
      <w:bookmarkEnd w:id="77"/>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年，州委办机关运行经费支出</w:t>
      </w:r>
      <w:r>
        <w:rPr>
          <w:rFonts w:eastAsia="仿宋_GB2312" w:cs="Times New Roman" w:hint="eastAsia"/>
          <w:sz w:val="32"/>
          <w:szCs w:val="32"/>
          <w:lang w:val="en-US" w:eastAsia="zh-CN"/>
        </w:rPr>
        <w:t>12.4</w:t>
      </w:r>
      <w:r>
        <w:rPr>
          <w:rFonts w:ascii="Times New Roman" w:eastAsia="仿宋_GB2312" w:cs="Times New Roman" w:hAnsi="Times New Roman"/>
          <w:sz w:val="32"/>
          <w:szCs w:val="32"/>
        </w:rPr>
        <w:t>万元，比202</w:t>
      </w:r>
      <w:r>
        <w:rPr>
          <w:rFonts w:eastAsia="仿宋_GB2312" w:cs="Times New Roman" w:hint="eastAsia"/>
          <w:sz w:val="32"/>
          <w:szCs w:val="32"/>
          <w:lang w:val="en-US" w:eastAsia="zh-CN"/>
        </w:rPr>
        <w:t>1</w:t>
      </w:r>
      <w:r>
        <w:rPr>
          <w:rFonts w:ascii="Times New Roman" w:eastAsia="仿宋_GB2312" w:cs="Times New Roman" w:hAnsi="Times New Roman"/>
          <w:sz w:val="32"/>
          <w:szCs w:val="32"/>
        </w:rPr>
        <w:t>年增加</w:t>
      </w:r>
      <w:r>
        <w:rPr>
          <w:rFonts w:eastAsia="仿宋_GB2312" w:cs="Times New Roman" w:hint="eastAsia"/>
          <w:sz w:val="32"/>
          <w:szCs w:val="32"/>
          <w:lang w:val="en-US" w:eastAsia="zh-CN"/>
        </w:rPr>
        <w:t>1.26</w:t>
      </w:r>
      <w:r>
        <w:rPr>
          <w:rFonts w:ascii="Times New Roman" w:eastAsia="仿宋_GB2312" w:cs="Times New Roman" w:hAnsi="Times New Roman"/>
          <w:sz w:val="32"/>
          <w:szCs w:val="32"/>
        </w:rPr>
        <w:t>万元，增长</w:t>
      </w:r>
      <w:r>
        <w:rPr>
          <w:rFonts w:eastAsia="仿宋_GB2312" w:cs="Times New Roman" w:hint="eastAsia"/>
          <w:sz w:val="32"/>
          <w:szCs w:val="32"/>
          <w:lang w:val="en-US" w:eastAsia="zh-CN"/>
        </w:rPr>
        <w:t>11</w:t>
      </w:r>
      <w:r>
        <w:rPr>
          <w:rFonts w:ascii="Times New Roman" w:eastAsia="仿宋_GB2312" w:cs="Times New Roman" w:hAnsi="Times New Roman"/>
          <w:sz w:val="32"/>
          <w:szCs w:val="32"/>
        </w:rPr>
        <w:t>%。</w:t>
      </w:r>
      <w:r>
        <w:rPr>
          <w:rFonts w:ascii="仿宋_GB2312" w:eastAsia="仿宋_GB2312" w:hint="eastAsia"/>
          <w:b w:val="0"/>
          <w:bCs/>
          <w:sz w:val="32"/>
          <w:szCs w:val="32"/>
        </w:rPr>
        <w:t>主要原因为</w:t>
      </w:r>
      <w:r>
        <w:rPr>
          <w:rFonts w:ascii="仿宋_GB2312" w:hAnsi="仿宋_GB2312" w:hint="eastAsia"/>
          <w:b w:val="0"/>
          <w:bCs/>
          <w:sz w:val="32"/>
          <w:szCs w:val="32"/>
          <w:lang w:val="en-US" w:eastAsia="zh-CN"/>
        </w:rPr>
        <w:t>人员增加，</w:t>
      </w:r>
      <w:r>
        <w:rPr>
          <w:rFonts w:ascii="仿宋_GB2312" w:eastAsia="仿宋_GB2312" w:hint="eastAsia"/>
          <w:b w:val="0"/>
          <w:bCs/>
          <w:sz w:val="32"/>
          <w:szCs w:val="32"/>
        </w:rPr>
        <w:t>办公费有所增长。</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bookmarkStart w:id="78" w:name="_Toc15377223"/>
      <w:r>
        <w:rPr>
          <w:rFonts w:ascii="Times New Roman" w:eastAsia="仿宋" w:cs="Times New Roman" w:hAnsi="Times New Roman"/>
          <w:b/>
          <w:sz w:val="32"/>
          <w:szCs w:val="32"/>
        </w:rPr>
        <w:t>（二）政府采购支出情况</w:t>
      </w:r>
      <w:bookmarkEnd w:id="78"/>
    </w:p>
    <w:p>
      <w:pPr>
        <w:spacing w:line="560" w:lineRule="exact"/>
        <w:ind w:firstLineChars="200" w:firstLine="640"/>
        <w:rPr>
          <w:rFonts w:ascii="Times New Roman" w:eastAsia="仿宋_GB2312" w:cs="Times New Roman" w:hAnsi="Times New Roman"/>
          <w:sz w:val="32"/>
          <w:szCs w:val="32"/>
        </w:rPr>
      </w:pPr>
      <w:r>
        <w:rPr>
          <w:rFonts w:ascii="仿宋" w:eastAsia="仿宋" w:cs="仿宋_GB2312" w:hint="eastAsia"/>
          <w:b w:val="0"/>
          <w:bCs/>
          <w:sz w:val="32"/>
          <w:szCs w:val="32"/>
        </w:rPr>
        <w:t>202</w:t>
      </w:r>
      <w:r>
        <w:rPr>
          <w:rFonts w:ascii="仿宋" w:eastAsia="仿宋" w:cs="仿宋_GB2312" w:hint="eastAsia"/>
          <w:b w:val="0"/>
          <w:bCs/>
          <w:sz w:val="32"/>
          <w:szCs w:val="32"/>
          <w:lang w:val="en-US" w:eastAsia="zh-CN"/>
        </w:rPr>
        <w:t>2</w:t>
      </w:r>
      <w:r>
        <w:rPr>
          <w:rFonts w:ascii="仿宋" w:eastAsia="仿宋" w:cs="仿宋_GB2312" w:hint="eastAsia"/>
          <w:b w:val="0"/>
          <w:bCs/>
          <w:sz w:val="32"/>
          <w:szCs w:val="32"/>
        </w:rPr>
        <w:t>年度，金川县退役军人事务局政府采购支出总额</w:t>
      </w:r>
      <w:r>
        <w:rPr>
          <w:rFonts w:ascii="仿宋" w:eastAsia="仿宋" w:cs="仿宋_GB2312"/>
          <w:b w:val="0"/>
          <w:bCs/>
          <w:sz w:val="32"/>
          <w:szCs w:val="32"/>
          <w:lang w:eastAsia="zh-CN"/>
        </w:rPr>
        <w:t>51.93</w:t>
      </w:r>
      <w:r>
        <w:rPr>
          <w:rFonts w:ascii="仿宋" w:eastAsia="仿宋" w:cs="仿宋_GB2312" w:hint="eastAsia"/>
          <w:b w:val="0"/>
          <w:bCs/>
          <w:sz w:val="32"/>
          <w:szCs w:val="32"/>
        </w:rPr>
        <w:t>万元，其中：政府采购货物支出</w:t>
      </w:r>
      <w:r>
        <w:rPr>
          <w:rFonts w:ascii="仿宋" w:eastAsia="仿宋" w:cs="仿宋_GB2312" w:hint="eastAsia"/>
          <w:b w:val="0"/>
          <w:bCs/>
          <w:sz w:val="32"/>
          <w:szCs w:val="32"/>
          <w:lang w:val="en-US" w:eastAsia="zh-CN"/>
        </w:rPr>
        <w:t>51.93</w:t>
      </w:r>
      <w:r>
        <w:rPr>
          <w:rFonts w:ascii="仿宋" w:eastAsia="仿宋" w:cs="仿宋_GB2312" w:hint="eastAsia"/>
          <w:b w:val="0"/>
          <w:bCs/>
          <w:sz w:val="32"/>
          <w:szCs w:val="32"/>
        </w:rPr>
        <w:t>万元、政府采购工程支出</w:t>
      </w:r>
      <w:r>
        <w:rPr>
          <w:rFonts w:ascii="仿宋" w:eastAsia="仿宋" w:cs="仿宋_GB2312"/>
          <w:b w:val="0"/>
          <w:bCs/>
          <w:sz w:val="32"/>
          <w:szCs w:val="32"/>
          <w:lang w:eastAsia="zh-CN"/>
        </w:rPr>
        <w:t>0</w:t>
      </w:r>
      <w:r>
        <w:rPr>
          <w:rFonts w:ascii="仿宋" w:eastAsia="仿宋" w:cs="仿宋_GB2312" w:hint="eastAsia"/>
          <w:b w:val="0"/>
          <w:bCs/>
          <w:sz w:val="32"/>
          <w:szCs w:val="32"/>
        </w:rPr>
        <w:t>万元、政府采购服务支出0万元</w:t>
      </w:r>
      <w:r>
        <w:rPr>
          <w:rFonts w:ascii="仿宋" w:eastAsia="仿宋" w:cs="仿宋_GB2312" w:hint="eastAsia"/>
          <w:b w:val="0"/>
          <w:bCs/>
          <w:sz w:val="32"/>
          <w:szCs w:val="32"/>
          <w:lang w:eastAsia="zh-CN"/>
        </w:rPr>
        <w:t>，</w:t>
      </w:r>
      <w:r>
        <w:rPr>
          <w:rFonts w:ascii="仿宋" w:eastAsia="仿宋" w:cs="仿宋_GB2312" w:hint="eastAsia"/>
          <w:b w:val="0"/>
          <w:bCs/>
          <w:sz w:val="32"/>
          <w:szCs w:val="32"/>
          <w:lang w:val="en-US" w:eastAsia="zh-CN"/>
        </w:rPr>
        <w:t>授予中小企业合同金额</w:t>
      </w:r>
      <w:r>
        <w:rPr>
          <w:rFonts w:ascii="仿宋" w:eastAsia="仿宋" w:cs="仿宋_GB2312"/>
          <w:b w:val="0"/>
          <w:bCs/>
          <w:sz w:val="32"/>
          <w:szCs w:val="32"/>
          <w:lang w:eastAsia="zh-CN"/>
        </w:rPr>
        <w:t>51.93</w:t>
      </w:r>
      <w:r>
        <w:rPr>
          <w:rFonts w:ascii="仿宋" w:eastAsia="仿宋" w:cs="仿宋_GB2312" w:hint="eastAsia"/>
          <w:b w:val="0"/>
          <w:bCs/>
          <w:sz w:val="32"/>
          <w:szCs w:val="32"/>
          <w:lang w:val="en-US" w:eastAsia="zh-CN"/>
        </w:rPr>
        <w:t>万元，占政府采购支出总额的100%，其中：授予小微企业合同金额1.74万元，占政府采购支出总额的1%。</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bookmarkStart w:id="79" w:name="_Toc15377224"/>
      <w:r>
        <w:rPr>
          <w:rFonts w:ascii="Times New Roman" w:eastAsia="仿宋" w:cs="Times New Roman" w:hAnsi="Times New Roman"/>
          <w:b/>
          <w:sz w:val="32"/>
          <w:szCs w:val="32"/>
        </w:rPr>
        <w:t>（三）国有资产占有使用情况</w:t>
      </w:r>
      <w:bookmarkEnd w:id="79"/>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仿宋" w:eastAsia="仿宋" w:cs="仿宋_GB2312" w:hint="eastAsia"/>
          <w:b w:val="0"/>
          <w:bCs/>
          <w:sz w:val="32"/>
          <w:szCs w:val="32"/>
        </w:rPr>
      </w:pPr>
      <w:r>
        <w:rPr>
          <w:rFonts w:ascii="仿宋" w:eastAsia="仿宋" w:cs="仿宋_GB2312" w:hint="eastAsia"/>
          <w:b w:val="0"/>
          <w:bCs/>
          <w:sz w:val="32"/>
          <w:szCs w:val="32"/>
        </w:rPr>
        <w:t>截至202</w:t>
      </w:r>
      <w:r>
        <w:rPr>
          <w:rFonts w:ascii="仿宋" w:eastAsia="仿宋" w:cs="仿宋_GB2312" w:hint="eastAsia"/>
          <w:b w:val="0"/>
          <w:bCs/>
          <w:sz w:val="32"/>
          <w:szCs w:val="32"/>
          <w:lang w:val="en-US" w:eastAsia="zh-CN"/>
        </w:rPr>
        <w:t>2</w:t>
      </w:r>
      <w:r>
        <w:rPr>
          <w:rFonts w:ascii="仿宋" w:eastAsia="仿宋" w:cs="仿宋_GB2312" w:hint="eastAsia"/>
          <w:b w:val="0"/>
          <w:bCs/>
          <w:sz w:val="32"/>
          <w:szCs w:val="32"/>
        </w:rPr>
        <w:t>年12月31日，金川县退役军人事务局公有车辆</w:t>
      </w:r>
      <w:r>
        <w:rPr>
          <w:rFonts w:ascii="仿宋" w:eastAsia="仿宋" w:cs="仿宋_GB2312"/>
          <w:b w:val="0"/>
          <w:bCs/>
          <w:sz w:val="32"/>
          <w:szCs w:val="32"/>
        </w:rPr>
        <w:t>0</w:t>
      </w:r>
      <w:r>
        <w:rPr>
          <w:rFonts w:ascii="仿宋" w:eastAsia="仿宋" w:cs="仿宋_GB2312" w:hint="eastAsia"/>
          <w:b w:val="0"/>
          <w:bCs/>
          <w:sz w:val="32"/>
          <w:szCs w:val="32"/>
        </w:rPr>
        <w:t>辆，其中：一般公务用车</w:t>
      </w:r>
      <w:r>
        <w:rPr>
          <w:rFonts w:ascii="仿宋" w:eastAsia="仿宋" w:cs="仿宋_GB2312"/>
          <w:b w:val="0"/>
          <w:bCs/>
          <w:sz w:val="32"/>
          <w:szCs w:val="32"/>
        </w:rPr>
        <w:t>0</w:t>
      </w:r>
      <w:r>
        <w:rPr>
          <w:rFonts w:ascii="仿宋" w:eastAsia="仿宋" w:cs="仿宋_GB2312" w:hint="eastAsia"/>
          <w:b w:val="0"/>
          <w:bCs/>
          <w:sz w:val="32"/>
          <w:szCs w:val="32"/>
        </w:rPr>
        <w:t>辆；单价50万元以上通用设备0台（套），单价100万元以上专用设备0台（套）。</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r>
        <w:rPr>
          <w:rFonts w:ascii="Times New Roman" w:eastAsia="仿宋" w:cs="Times New Roman" w:hAnsi="Times New Roman"/>
          <w:b/>
          <w:sz w:val="32"/>
          <w:szCs w:val="32"/>
        </w:rPr>
        <w:t>（四）预算绩效管理情况</w:t>
      </w:r>
    </w:p>
    <w:p>
      <w:pPr>
        <w:pageBreakBefore w:val="0"/>
        <w:widowControl w:val="0"/>
        <w:kinsoku/>
        <w:wordWrap/>
        <w:overflowPunct/>
        <w:topLinePunct w:val="0"/>
        <w:bidi w:val="0"/>
        <w:spacing w:line="560" w:lineRule="exact"/>
        <w:ind w:left="0" w:firstLineChars="200" w:firstLine="640"/>
        <w:textAlignment w:val="auto"/>
        <w:rPr>
          <w:rFonts w:ascii="仿宋" w:eastAsia="仿宋" w:cs="仿宋_GB2312" w:hint="eastAsia"/>
          <w:b w:val="0"/>
          <w:bCs/>
          <w:sz w:val="32"/>
          <w:szCs w:val="32"/>
        </w:rPr>
      </w:pPr>
      <w:r>
        <w:rPr>
          <w:rFonts w:ascii="仿宋" w:eastAsia="仿宋" w:cs="仿宋_GB2312" w:hint="eastAsia"/>
          <w:b w:val="0"/>
          <w:bCs/>
          <w:sz w:val="32"/>
          <w:szCs w:val="32"/>
        </w:rPr>
        <w:t>根据预算绩效管理要求，本部门在202</w:t>
      </w:r>
      <w:r>
        <w:rPr>
          <w:rFonts w:ascii="仿宋" w:eastAsia="仿宋" w:cs="仿宋_GB2312" w:hint="eastAsia"/>
          <w:b w:val="0"/>
          <w:bCs/>
          <w:sz w:val="32"/>
          <w:szCs w:val="32"/>
          <w:lang w:val="en-US" w:eastAsia="zh-CN"/>
        </w:rPr>
        <w:t>2</w:t>
      </w:r>
      <w:r>
        <w:rPr>
          <w:rFonts w:ascii="仿宋" w:eastAsia="仿宋" w:cs="仿宋_GB2312" w:hint="eastAsia"/>
          <w:b w:val="0"/>
          <w:bCs/>
          <w:sz w:val="32"/>
          <w:szCs w:val="32"/>
        </w:rPr>
        <w:t>年度预算编制阶段，组织</w:t>
      </w:r>
      <w:r>
        <w:rPr>
          <w:rFonts w:ascii="仿宋" w:eastAsia="仿宋" w:cs="仿宋_GB2312" w:hint="eastAsia"/>
          <w:b w:val="0"/>
          <w:bCs/>
          <w:sz w:val="32"/>
          <w:szCs w:val="32"/>
          <w:lang w:val="en-US" w:eastAsia="zh-CN"/>
        </w:rPr>
        <w:t>伤残抚恤</w:t>
      </w:r>
      <w:r>
        <w:rPr>
          <w:rFonts w:ascii="仿宋" w:eastAsia="仿宋" w:cs="仿宋_GB2312" w:hint="eastAsia"/>
          <w:b w:val="0"/>
          <w:bCs/>
          <w:sz w:val="32"/>
          <w:szCs w:val="32"/>
        </w:rPr>
        <w:t>项目等8个项目开展了预算事前绩效评估，对8个项目编制了绩效目标，预算执行过程中，选取</w:t>
      </w:r>
      <w:r>
        <w:rPr>
          <w:rFonts w:ascii="仿宋" w:eastAsia="仿宋" w:cs="仿宋_GB2312" w:hint="eastAsia"/>
          <w:b w:val="0"/>
          <w:bCs/>
          <w:sz w:val="32"/>
          <w:szCs w:val="32"/>
          <w:lang w:val="en-US" w:eastAsia="zh-CN"/>
        </w:rPr>
        <w:t>2</w:t>
      </w:r>
      <w:r>
        <w:rPr>
          <w:rFonts w:ascii="仿宋" w:eastAsia="仿宋" w:cs="仿宋_GB2312" w:hint="eastAsia"/>
          <w:b w:val="0"/>
          <w:bCs/>
          <w:sz w:val="32"/>
          <w:szCs w:val="32"/>
        </w:rPr>
        <w:t>个项目开展绩效监控，年终执行完毕后，对</w:t>
      </w:r>
      <w:r>
        <w:rPr>
          <w:rFonts w:ascii="仿宋" w:eastAsia="仿宋" w:cs="仿宋_GB2312" w:hint="eastAsia"/>
          <w:b w:val="0"/>
          <w:bCs/>
          <w:sz w:val="32"/>
          <w:szCs w:val="32"/>
          <w:lang w:val="en-US" w:eastAsia="zh-CN"/>
        </w:rPr>
        <w:t>2</w:t>
      </w:r>
      <w:r>
        <w:rPr>
          <w:rFonts w:ascii="仿宋" w:eastAsia="仿宋" w:cs="仿宋_GB2312" w:hint="eastAsia"/>
          <w:b w:val="0"/>
          <w:bCs/>
          <w:sz w:val="32"/>
          <w:szCs w:val="32"/>
        </w:rPr>
        <w:t>个项目开展了绩效自评。同时，本部门对202</w:t>
      </w:r>
      <w:r>
        <w:rPr>
          <w:rFonts w:ascii="仿宋" w:eastAsia="仿宋" w:cs="仿宋_GB2312" w:hint="eastAsia"/>
          <w:b w:val="0"/>
          <w:bCs/>
          <w:sz w:val="32"/>
          <w:szCs w:val="32"/>
          <w:lang w:val="en-US" w:eastAsia="zh-CN"/>
        </w:rPr>
        <w:t>2</w:t>
      </w:r>
      <w:r>
        <w:rPr>
          <w:rFonts w:ascii="仿宋" w:eastAsia="仿宋" w:cs="仿宋_GB2312" w:hint="eastAsia"/>
          <w:b w:val="0"/>
          <w:bCs/>
          <w:sz w:val="32"/>
          <w:szCs w:val="32"/>
        </w:rPr>
        <w:t>年部门整体开展绩效自评，《202</w:t>
      </w:r>
      <w:r>
        <w:rPr>
          <w:rFonts w:ascii="仿宋" w:eastAsia="仿宋" w:cs="仿宋_GB2312" w:hint="eastAsia"/>
          <w:b w:val="0"/>
          <w:bCs/>
          <w:sz w:val="32"/>
          <w:szCs w:val="32"/>
          <w:lang w:val="en-US" w:eastAsia="zh-CN"/>
        </w:rPr>
        <w:t>2</w:t>
      </w:r>
      <w:r>
        <w:rPr>
          <w:rFonts w:ascii="仿宋" w:eastAsia="仿宋" w:cs="仿宋_GB2312" w:hint="eastAsia"/>
          <w:b w:val="0"/>
          <w:bCs/>
          <w:sz w:val="32"/>
          <w:szCs w:val="32"/>
        </w:rPr>
        <w:t>年</w:t>
      </w:r>
      <w:r>
        <w:rPr>
          <w:rFonts w:ascii="仿宋" w:eastAsia="仿宋" w:cs="仿宋_GB2312" w:hint="eastAsia"/>
          <w:b w:val="0"/>
          <w:bCs/>
          <w:sz w:val="32"/>
          <w:szCs w:val="32"/>
          <w:lang w:val="en-US" w:eastAsia="zh-CN"/>
        </w:rPr>
        <w:t>金川县退役军人事务局</w:t>
      </w:r>
      <w:r>
        <w:rPr>
          <w:rFonts w:ascii="仿宋" w:eastAsia="仿宋" w:cs="仿宋_GB2312" w:hint="eastAsia"/>
          <w:b w:val="0"/>
          <w:bCs/>
          <w:sz w:val="32"/>
          <w:szCs w:val="32"/>
        </w:rPr>
        <w:t>部门整体绩效评价报告》见附件（第四部分）。</w:t>
      </w:r>
    </w:p>
    <w:p>
      <w:pPr>
        <w:pageBreakBefore w:val="0"/>
        <w:widowControl/>
        <w:kinsoku/>
        <w:wordWrap/>
        <w:overflowPunct/>
        <w:topLinePunct w:val="0"/>
        <w:bidi w:val="0"/>
        <w:spacing w:line="576" w:lineRule="exact"/>
        <w:jc w:val="left"/>
        <w:rPr>
          <w:rFonts w:ascii="Times New Roman" w:eastAsia="仿宋_GB2312" w:cs="Times New Roman" w:hAnsi="Times New Roman"/>
          <w:b/>
          <w:sz w:val="32"/>
          <w:szCs w:val="32"/>
        </w:rPr>
      </w:pPr>
      <w:r>
        <w:rPr>
          <w:rFonts w:ascii="Times New Roman" w:eastAsia="仿宋_GB2312" w:cs="Times New Roman" w:hAnsi="Times New Roman"/>
          <w:b/>
          <w:sz w:val="32"/>
          <w:szCs w:val="32"/>
        </w:rPr>
        <w:br w:type="page"/>
      </w:r>
    </w:p>
    <w:p>
      <w:pPr>
        <w:pageBreakBefore w:val="0"/>
        <w:widowControl w:val="0"/>
        <w:numPr>
          <w:ilvl w:val="0"/>
          <w:numId w:val="3"/>
        </w:numPr>
        <w:kinsoku/>
        <w:wordWrap/>
        <w:overflowPunct/>
        <w:topLinePunct w:val="0"/>
        <w:bidi w:val="0"/>
        <w:spacing w:line="576" w:lineRule="exact"/>
        <w:ind w:left="0" w:firstLineChars="150" w:firstLine="660"/>
        <w:jc w:val="center"/>
        <w:outlineLvl w:val="0"/>
        <w:rPr>
          <w:rStyle w:val="1Char"/>
          <w:rFonts w:ascii="Times New Roman" w:eastAsia="黑体" w:cs="Times New Roman" w:hAnsi="Times New Roman"/>
          <w:b w:val="0"/>
        </w:rPr>
      </w:pPr>
      <w:bookmarkStart w:id="80" w:name="_Toc26843622"/>
      <w:bookmarkStart w:id="81" w:name="_Toc15396613"/>
      <w:bookmarkStart w:id="82" w:name="_Toc15377225"/>
      <w:r>
        <w:rPr>
          <w:rFonts w:ascii="Times New Roman" w:eastAsia="黑体" w:cs="Times New Roman" w:hAnsi="Times New Roman"/>
          <w:sz w:val="44"/>
          <w:szCs w:val="44"/>
        </w:rPr>
        <w:t>名</w:t>
      </w:r>
      <w:r>
        <w:rPr>
          <w:rStyle w:val="1Char"/>
          <w:rFonts w:ascii="Times New Roman" w:eastAsia="黑体" w:cs="Times New Roman" w:hAnsi="Times New Roman"/>
          <w:b w:val="0"/>
        </w:rPr>
        <w:t>词解释</w:t>
      </w:r>
      <w:bookmarkEnd w:id="80"/>
      <w:bookmarkEnd w:id="81"/>
      <w:bookmarkEnd w:id="82"/>
    </w:p>
    <w:p>
      <w:pPr>
        <w:pageBreakBefore w:val="0"/>
        <w:widowControl w:val="0"/>
        <w:kinsoku/>
        <w:wordWrap/>
        <w:overflowPunct/>
        <w:topLinePunct w:val="0"/>
        <w:bidi w:val="0"/>
        <w:spacing w:line="576" w:lineRule="exact"/>
        <w:jc w:val="left"/>
        <w:rPr>
          <w:rFonts w:ascii="Times New Roman" w:cs="Times New Roman" w:hAnsi="Times New Roman"/>
          <w:b/>
          <w:sz w:val="44"/>
          <w:szCs w:val="44"/>
        </w:rPr>
      </w:pPr>
    </w:p>
    <w:p>
      <w:pPr>
        <w:pStyle w:val="34"/>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1.财政拨款收入：指单位从同级财政部门取得的财政预算资金。</w:t>
      </w:r>
    </w:p>
    <w:p>
      <w:pPr>
        <w:pStyle w:val="34"/>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2.事业收入：指事业单位开展专业业务活动及辅助活动取得的收入。</w:t>
      </w:r>
    </w:p>
    <w:p>
      <w:pPr>
        <w:pStyle w:val="34"/>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3.经营收入：指事业单位在专业业务活动及其辅助活动之外开展非独立核算经营活动取得的收入</w:t>
      </w:r>
    </w:p>
    <w:p>
      <w:pPr>
        <w:pStyle w:val="34"/>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4.其他收入：指单位取得的除上述收入以外的各项收入。主要是利息收入等。 </w:t>
      </w:r>
    </w:p>
    <w:p>
      <w:pPr>
        <w:pStyle w:val="34"/>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5.使用非财政拨款结余：指事业单位使用以前年度积累的非财政拨款结余弥补当年收支差额的金额。 </w:t>
      </w:r>
    </w:p>
    <w:p>
      <w:pPr>
        <w:pStyle w:val="34"/>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6.年初结转和结余：指以前年度尚未完成、结转到本年按有关规定继续使用的资金。 </w:t>
      </w:r>
    </w:p>
    <w:p>
      <w:pPr>
        <w:pStyle w:val="34"/>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7.结余分配：指事业单位按照会计制度规定缴纳的所得税、提取的专用结余以及转入非财政拨款结余的金额等。</w:t>
      </w:r>
    </w:p>
    <w:p>
      <w:pPr>
        <w:pStyle w:val="34"/>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8、年末结转和结余：指单位按有关规定结转到下年或以后年度继续使用的资金。</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9.</w:t>
      </w:r>
      <w:r>
        <w:rPr>
          <w:rFonts w:ascii="Times New Roman" w:eastAsia="仿宋_GB2312" w:cs="Times New Roman" w:hAnsi="Times New Roman"/>
          <w:bCs/>
          <w:kern w:val="0"/>
          <w:sz w:val="32"/>
          <w:szCs w:val="32"/>
        </w:rPr>
        <w:t>一般公共服务：行政运行</w:t>
      </w:r>
      <w:r>
        <w:rPr>
          <w:rFonts w:ascii="Times New Roman" w:eastAsia="仿宋_GB2312" w:cs="Times New Roman" w:hAnsi="Times New Roman"/>
          <w:bCs/>
          <w:kern w:val="0"/>
          <w:sz w:val="32"/>
          <w:szCs w:val="32"/>
          <w:lang w:eastAsia="zh-CN"/>
        </w:rPr>
        <w:t>，</w:t>
      </w:r>
      <w:r>
        <w:rPr>
          <w:rFonts w:ascii="Times New Roman" w:eastAsia="仿宋_GB2312" w:cs="Times New Roman" w:hAnsi="Times New Roman"/>
          <w:bCs/>
          <w:kern w:val="0"/>
          <w:sz w:val="32"/>
          <w:szCs w:val="32"/>
        </w:rPr>
        <w:t>反映党委办公厅（室）及相关机构的支出；一般行政管理事务</w:t>
      </w:r>
      <w:r>
        <w:rPr>
          <w:rFonts w:ascii="Times New Roman" w:eastAsia="仿宋_GB2312" w:cs="Times New Roman" w:hAnsi="Times New Roman"/>
          <w:bCs/>
          <w:kern w:val="0"/>
          <w:sz w:val="32"/>
          <w:szCs w:val="32"/>
          <w:lang w:eastAsia="zh-CN"/>
        </w:rPr>
        <w:t>，</w:t>
      </w:r>
      <w:r>
        <w:rPr>
          <w:rFonts w:ascii="Times New Roman" w:eastAsia="仿宋_GB2312" w:cs="Times New Roman" w:hAnsi="Times New Roman"/>
          <w:bCs/>
          <w:kern w:val="0"/>
          <w:sz w:val="32"/>
          <w:szCs w:val="32"/>
        </w:rPr>
        <w:t>反映行政单位（包括实行公务员管理的事业单位）未单独设置项级科目的其他项目支出。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10.</w:t>
      </w:r>
      <w:r>
        <w:rPr>
          <w:rFonts w:ascii="Times New Roman" w:eastAsia="仿宋_GB2312" w:cs="Times New Roman" w:hAnsi="Times New Roman"/>
          <w:bCs/>
          <w:kern w:val="0"/>
          <w:sz w:val="32"/>
          <w:szCs w:val="32"/>
        </w:rPr>
        <w:t>社会保障和就业：反映政府在社会保障与就业方面的支出</w:t>
      </w:r>
      <w:r>
        <w:rPr>
          <w:rFonts w:ascii="Times New Roman" w:eastAsia="仿宋_GB2312" w:cs="Times New Roman" w:hAnsi="Times New Roman"/>
          <w:bCs/>
          <w:kern w:val="0"/>
          <w:sz w:val="32"/>
          <w:szCs w:val="32"/>
          <w:lang w:eastAsia="zh-CN"/>
        </w:rPr>
        <w:t>。</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11.</w:t>
      </w:r>
      <w:r>
        <w:rPr>
          <w:rFonts w:ascii="Times New Roman" w:eastAsia="仿宋_GB2312" w:cs="Times New Roman" w:hAnsi="Times New Roman"/>
          <w:bCs/>
          <w:sz w:val="32"/>
          <w:szCs w:val="32"/>
        </w:rPr>
        <w:t>医疗卫生与计划生育：反映政府医疗卫生计划生育管理方面的支出</w:t>
      </w:r>
      <w:r>
        <w:rPr>
          <w:rFonts w:ascii="Times New Roman" w:eastAsia="仿宋_GB2312" w:cs="Times New Roman" w:hAnsi="Times New Roman"/>
          <w:bCs/>
          <w:sz w:val="32"/>
          <w:szCs w:val="32"/>
          <w:lang w:eastAsia="zh-CN"/>
        </w:rPr>
        <w:t>。</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12.住房保障支出：集中反映政府用于住房方面的支出。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13.基本支出：指为保障机构正常运转、完成日常工作任务而发生的人员支出和公用支出。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 xml:space="preserve">14.项目支出：指在基本支出之外为完成特定行政任务和事业发展目标所发生的支出。 </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15.经营支出：指事业单位在专业业务活动及其辅助活动之外开展非独立核算经营活动发生的支出。</w:t>
      </w:r>
    </w:p>
    <w:p>
      <w:pPr>
        <w:pStyle w:val="34"/>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4"/>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widowControl w:val="0"/>
        <w:kinsoku/>
        <w:wordWrap/>
        <w:overflowPunct/>
        <w:topLinePunct w:val="0"/>
        <w:bidi w:val="0"/>
        <w:spacing w:line="576" w:lineRule="exact"/>
        <w:jc w:val="center"/>
        <w:outlineLvl w:val="0"/>
        <w:rPr>
          <w:rStyle w:val="1Char"/>
          <w:rFonts w:ascii="Times New Roman" w:eastAsia="黑体" w:cs="Times New Roman" w:hAnsi="Times New Roman"/>
          <w:b w:val="0"/>
        </w:rPr>
      </w:pPr>
      <w:bookmarkStart w:id="83" w:name="_Toc15377226"/>
      <w:r>
        <w:rPr>
          <w:rFonts w:ascii="Times New Roman" w:cs="Times New Roman" w:hAnsi="Times New Roman"/>
          <w:b/>
          <w:sz w:val="44"/>
          <w:szCs w:val="44"/>
        </w:rPr>
        <w:br w:type="page"/>
      </w:r>
      <w:bookmarkStart w:id="84" w:name="_Toc15396614"/>
      <w:bookmarkStart w:id="85" w:name="_Toc26843623"/>
      <w:r>
        <w:rPr>
          <w:rFonts w:ascii="Times New Roman" w:eastAsia="黑体" w:cs="Times New Roman" w:hAnsi="Times New Roman"/>
          <w:sz w:val="44"/>
          <w:szCs w:val="44"/>
        </w:rPr>
        <w:t>第</w:t>
      </w:r>
      <w:r>
        <w:rPr>
          <w:rStyle w:val="1Char"/>
          <w:rFonts w:ascii="Times New Roman" w:eastAsia="黑体" w:cs="Times New Roman" w:hAnsi="Times New Roman"/>
          <w:b w:val="0"/>
        </w:rPr>
        <w:t>四部分 附件</w:t>
      </w:r>
      <w:bookmarkEnd w:id="84"/>
      <w:bookmarkEnd w:id="85"/>
    </w:p>
    <w:p>
      <w:pPr>
        <w:pageBreakBefore w:val="0"/>
        <w:widowControl w:val="0"/>
        <w:kinsoku/>
        <w:wordWrap/>
        <w:overflowPunct/>
        <w:topLinePunct w:val="0"/>
        <w:bidi w:val="0"/>
        <w:spacing w:line="576" w:lineRule="exact"/>
        <w:jc w:val="left"/>
        <w:outlineLvl w:val="0"/>
        <w:rPr>
          <w:rFonts w:ascii="Times New Roman" w:eastAsia="方正小标宋简体" w:cs="Times New Roman" w:hAnsi="Times New Roman"/>
          <w:sz w:val="44"/>
          <w:szCs w:val="44"/>
        </w:rPr>
      </w:pPr>
      <w:bookmarkStart w:id="86" w:name="_Toc26843624"/>
      <w:r>
        <w:rPr>
          <w:rFonts w:ascii="Times New Roman" w:eastAsia="黑体" w:cs="Times New Roman" w:hAnsi="Times New Roman"/>
          <w:sz w:val="32"/>
          <w:szCs w:val="32"/>
        </w:rPr>
        <w:t>附件</w:t>
      </w:r>
      <w:bookmarkEnd w:id="86"/>
    </w:p>
    <w:p>
      <w:pPr>
        <w:pageBreakBefore w:val="0"/>
        <w:widowControl w:val="0"/>
        <w:kinsoku/>
        <w:wordWrap/>
        <w:overflowPunct/>
        <w:topLinePunct w:val="0"/>
        <w:bidi w:val="0"/>
        <w:spacing w:line="576" w:lineRule="exact"/>
        <w:jc w:val="center"/>
        <w:rPr>
          <w:rFonts w:eastAsia="方正小标宋简体" w:cs="Times New Roman" w:hint="eastAsia"/>
          <w:kern w:val="0"/>
          <w:sz w:val="40"/>
          <w:szCs w:val="44"/>
          <w:lang w:val="en-US" w:eastAsia="zh-CN"/>
        </w:rPr>
      </w:pPr>
      <w:r>
        <w:rPr>
          <w:rFonts w:eastAsia="方正小标宋简体" w:cs="Times New Roman" w:hint="eastAsia"/>
          <w:kern w:val="0"/>
          <w:sz w:val="40"/>
          <w:szCs w:val="44"/>
          <w:lang w:val="en-US" w:eastAsia="zh-CN"/>
        </w:rPr>
        <w:t>金川县退役军人事务局</w:t>
      </w:r>
    </w:p>
    <w:p>
      <w:pPr>
        <w:pageBreakBefore w:val="0"/>
        <w:widowControl w:val="0"/>
        <w:kinsoku/>
        <w:wordWrap/>
        <w:overflowPunct/>
        <w:topLinePunct w:val="0"/>
        <w:bidi w:val="0"/>
        <w:spacing w:line="576" w:lineRule="exact"/>
        <w:jc w:val="center"/>
        <w:rPr>
          <w:rFonts w:ascii="Times New Roman" w:eastAsia="方正小标宋简体" w:cs="Times New Roman" w:hAnsi="Times New Roman"/>
          <w:kern w:val="0"/>
          <w:sz w:val="40"/>
          <w:szCs w:val="44"/>
          <w:lang w:val="zh-CN"/>
        </w:rPr>
      </w:pPr>
      <w:r>
        <w:rPr>
          <w:rFonts w:ascii="Times New Roman" w:eastAsia="方正小标宋简体" w:cs="Times New Roman" w:hAnsi="Times New Roman"/>
          <w:kern w:val="0"/>
          <w:sz w:val="40"/>
          <w:szCs w:val="44"/>
        </w:rPr>
        <w:t>202</w:t>
      </w:r>
      <w:r>
        <w:rPr>
          <w:rFonts w:eastAsia="方正小标宋简体" w:cs="Times New Roman" w:hint="eastAsia"/>
          <w:kern w:val="0"/>
          <w:sz w:val="40"/>
          <w:szCs w:val="44"/>
          <w:lang w:val="en-US" w:eastAsia="zh-CN"/>
        </w:rPr>
        <w:t>2</w:t>
      </w:r>
      <w:r>
        <w:rPr>
          <w:rFonts w:ascii="Times New Roman" w:eastAsia="方正小标宋简体" w:cs="Times New Roman" w:hAnsi="Times New Roman"/>
          <w:kern w:val="0"/>
          <w:sz w:val="40"/>
          <w:szCs w:val="44"/>
        </w:rPr>
        <w:t>年部门整体绩效评价报告</w:t>
      </w:r>
    </w:p>
    <w:p>
      <w:pPr>
        <w:pageBreakBefore w:val="0"/>
        <w:widowControl/>
        <w:kinsoku/>
        <w:wordWrap/>
        <w:overflowPunct/>
        <w:topLinePunct w:val="0"/>
        <w:bidi w:val="0"/>
        <w:spacing w:line="576" w:lineRule="exact"/>
        <w:ind w:firstLineChars="200" w:firstLine="640"/>
        <w:contextualSpacing/>
        <w:jc w:val="center"/>
        <w:rPr>
          <w:rFonts w:ascii="Times New Roman" w:eastAsia="仿宋_GB2312" w:cs="Times New Roman" w:hAnsi="Times New Roman"/>
          <w:sz w:val="32"/>
          <w:szCs w:val="32"/>
          <w:shd w:val="clear" w:color="auto" w:fill="FFFFFF"/>
        </w:rPr>
      </w:pPr>
      <w:r>
        <w:rPr>
          <w:rFonts w:ascii="Times New Roman" w:eastAsia="仿宋_GB2312" w:cs="Times New Roman" w:hAnsi="Times New Roman"/>
          <w:sz w:val="32"/>
          <w:szCs w:val="32"/>
          <w:shd w:val="clear" w:color="auto" w:fill="FFFFFF"/>
        </w:rPr>
        <w:t>（报告范围包括机关和下属单位）</w:t>
      </w:r>
    </w:p>
    <w:p>
      <w:pPr>
        <w:pageBreakBefore w:val="0"/>
        <w:widowControl/>
        <w:kinsoku/>
        <w:wordWrap/>
        <w:overflowPunct/>
        <w:topLinePunct w:val="0"/>
        <w:bidi w:val="0"/>
        <w:adjustRightInd w:val="0"/>
        <w:snapToGrid w:val="0"/>
        <w:spacing w:line="576" w:lineRule="exact"/>
        <w:ind w:firstLineChars="200" w:firstLine="480"/>
        <w:contextualSpacing/>
        <w:jc w:val="left"/>
        <w:rPr>
          <w:rFonts w:ascii="Times New Roman" w:eastAsia="黑体" w:cs="Times New Roman" w:hAnsi="Times New Roman"/>
          <w:kern w:val="0"/>
          <w:sz w:val="24"/>
          <w:szCs w:val="32"/>
          <w:shd w:val="clear" w:color="auto" w:fill="FFFFFF"/>
        </w:rPr>
      </w:pP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黑体" w:cs="Times New Roman" w:hAnsi="Times New Roman"/>
          <w:kern w:val="0"/>
          <w:sz w:val="32"/>
          <w:szCs w:val="32"/>
          <w:shd w:val="clear" w:color="auto" w:fill="FFFFFF"/>
          <w:lang w:val="zh-CN"/>
        </w:rPr>
      </w:pPr>
      <w:r>
        <w:rPr>
          <w:rFonts w:ascii="Times New Roman" w:eastAsia="黑体" w:cs="Times New Roman" w:hAnsi="Times New Roman"/>
          <w:kern w:val="0"/>
          <w:sz w:val="32"/>
          <w:szCs w:val="32"/>
          <w:shd w:val="clear" w:color="auto" w:fill="FFFFFF"/>
        </w:rPr>
        <w:t>一、</w:t>
      </w:r>
      <w:r>
        <w:rPr>
          <w:rFonts w:ascii="Times New Roman" w:eastAsia="黑体" w:cs="Times New Roman" w:hAnsi="Times New Roman"/>
          <w:kern w:val="0"/>
          <w:sz w:val="32"/>
          <w:szCs w:val="32"/>
          <w:shd w:val="clear" w:color="auto" w:fill="FFFFFF"/>
          <w:lang w:val="zh-CN"/>
        </w:rPr>
        <w:t>部门（单位）概况</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（一）机构组成。</w:t>
      </w:r>
    </w:p>
    <w:p>
      <w:pPr>
        <w:pStyle w:val="34"/>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kern w:val="0"/>
          <w:sz w:val="32"/>
          <w:szCs w:val="32"/>
        </w:rPr>
      </w:pPr>
      <w:r>
        <w:rPr>
          <w:rFonts w:ascii="Times New Roman" w:eastAsia="仿宋_GB2312" w:cs="Times New Roman" w:hAnsi="Times New Roman" w:hint="eastAsia"/>
          <w:bCs/>
          <w:color w:val="auto"/>
          <w:kern w:val="0"/>
          <w:sz w:val="32"/>
          <w:szCs w:val="32"/>
          <w:lang w:val="en-US" w:eastAsia="zh-CN"/>
        </w:rPr>
        <w:t>金川县退役军人事务局</w:t>
      </w:r>
      <w:r>
        <w:rPr>
          <w:rFonts w:ascii="Times New Roman" w:eastAsia="仿宋_GB2312" w:cs="Times New Roman" w:hAnsi="Times New Roman"/>
          <w:bCs/>
          <w:color w:val="auto"/>
          <w:kern w:val="0"/>
          <w:sz w:val="32"/>
          <w:szCs w:val="32"/>
        </w:rPr>
        <w:t>属一级预算单位</w:t>
      </w:r>
      <w:r>
        <w:rPr>
          <w:rFonts w:ascii="Times New Roman" w:eastAsia="仿宋_GB2312" w:cs="Times New Roman" w:hAnsi="Times New Roman"/>
          <w:bCs/>
          <w:color w:val="auto"/>
          <w:kern w:val="0"/>
          <w:sz w:val="32"/>
          <w:szCs w:val="32"/>
          <w:lang w:eastAsia="zh-CN"/>
        </w:rPr>
        <w:t>，</w:t>
      </w:r>
      <w:r>
        <w:rPr>
          <w:rFonts w:ascii="Times New Roman" w:eastAsia="仿宋_GB2312" w:cs="Times New Roman" w:hAnsi="Times New Roman"/>
          <w:color w:val="auto"/>
          <w:kern w:val="0"/>
          <w:sz w:val="32"/>
          <w:szCs w:val="32"/>
          <w:lang w:val="en-US" w:eastAsia="zh-CN"/>
        </w:rPr>
        <w:t>下属二级预算单位</w:t>
      </w:r>
      <w:r>
        <w:rPr>
          <w:rFonts w:ascii="Times New Roman" w:eastAsia="仿宋_GB2312" w:cs="Times New Roman" w:hAnsi="Times New Roman" w:hint="eastAsia"/>
          <w:color w:val="auto"/>
          <w:kern w:val="0"/>
          <w:sz w:val="32"/>
          <w:szCs w:val="32"/>
          <w:lang w:val="en-US" w:eastAsia="zh-CN"/>
        </w:rPr>
        <w:t>1</w:t>
      </w:r>
      <w:r>
        <w:rPr>
          <w:rFonts w:ascii="Times New Roman" w:eastAsia="仿宋_GB2312" w:cs="Times New Roman" w:hAnsi="Times New Roman"/>
          <w:color w:val="auto"/>
          <w:kern w:val="0"/>
          <w:sz w:val="32"/>
          <w:szCs w:val="32"/>
          <w:lang w:val="en-US" w:eastAsia="zh-CN"/>
        </w:rPr>
        <w:t>个（</w:t>
      </w:r>
      <w:r>
        <w:rPr>
          <w:rFonts w:ascii="Times New Roman" w:eastAsia="仿宋_GB2312" w:cs="Times New Roman" w:hAnsi="Times New Roman" w:hint="eastAsia"/>
          <w:color w:val="auto"/>
          <w:kern w:val="0"/>
          <w:sz w:val="32"/>
          <w:szCs w:val="32"/>
          <w:lang w:val="en-US" w:eastAsia="zh-CN"/>
        </w:rPr>
        <w:t>金川县退役军人服务中心</w:t>
      </w:r>
      <w:r>
        <w:rPr>
          <w:rFonts w:ascii="Times New Roman" w:eastAsia="仿宋_GB2312" w:cs="Times New Roman" w:hAnsi="Times New Roman"/>
          <w:color w:val="auto"/>
          <w:kern w:val="0"/>
          <w:sz w:val="32"/>
          <w:szCs w:val="32"/>
          <w:lang w:val="en-US" w:eastAsia="zh-CN"/>
        </w:rPr>
        <w:t>），</w:t>
      </w:r>
      <w:r>
        <w:rPr>
          <w:rFonts w:ascii="Times New Roman" w:eastAsia="仿宋_GB2312" w:cs="Times New Roman" w:hAnsi="Times New Roman"/>
          <w:bCs/>
          <w:color w:val="auto"/>
          <w:kern w:val="0"/>
          <w:sz w:val="32"/>
          <w:szCs w:val="32"/>
          <w:lang w:eastAsia="zh-CN"/>
        </w:rPr>
        <w:t>内设：</w:t>
      </w:r>
      <w:r>
        <w:rPr>
          <w:rFonts w:ascii="Times New Roman" w:eastAsia="仿宋_GB2312" w:cs="Times New Roman" w:hAnsi="Times New Roman" w:hint="eastAsia"/>
          <w:color w:val="auto"/>
          <w:kern w:val="0"/>
          <w:sz w:val="32"/>
          <w:szCs w:val="32"/>
          <w:lang w:val="en-US" w:eastAsia="zh-CN"/>
        </w:rPr>
        <w:t>综合股及双拥事务和烈士纪念设施保护中心</w:t>
      </w:r>
      <w:r>
        <w:rPr>
          <w:rFonts w:ascii="Times New Roman" w:eastAsia="仿宋_GB2312" w:cs="Times New Roman" w:hAnsi="Times New Roman"/>
          <w:color w:val="auto"/>
          <w:kern w:val="0"/>
          <w:sz w:val="32"/>
          <w:szCs w:val="32"/>
          <w:lang w:val="en-US" w:eastAsia="zh-CN"/>
        </w:rPr>
        <w:t>。</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（二）机构职能。</w:t>
      </w:r>
    </w:p>
    <w:p>
      <w:pPr>
        <w:pBdr>
          <w:bottom w:val="single" w:sz="4" w:space="29" w:color="FFFFFF"/>
        </w:pBdr>
        <w:tabs>
          <w:tab w:val="left" w:pos="1440"/>
        </w:tabs>
        <w:autoSpaceDE w:val="0"/>
        <w:autoSpaceDN w:val="0"/>
        <w:spacing w:line="560" w:lineRule="exact"/>
        <w:ind w:firstLineChars="200" w:firstLine="640"/>
        <w:jc w:val="left"/>
        <w:rPr>
          <w:rFonts w:ascii="仿宋" w:eastAsia="仿宋" w:cs="仿宋_GB2312" w:hint="eastAsia"/>
          <w:bCs/>
          <w:sz w:val="32"/>
          <w:szCs w:val="32"/>
        </w:rPr>
      </w:pPr>
      <w:r>
        <w:rPr>
          <w:rFonts w:ascii="仿宋" w:eastAsia="仿宋" w:cs="仿宋_GB2312" w:hint="eastAsia"/>
          <w:bCs/>
          <w:sz w:val="32"/>
          <w:szCs w:val="32"/>
        </w:rPr>
        <w:t>根据金川委办发[2019]35号文件规定，主要职责是：</w:t>
      </w:r>
    </w:p>
    <w:p>
      <w:pPr>
        <w:pBdr>
          <w:bottom w:val="single" w:sz="4" w:space="29" w:color="FFFFFF"/>
        </w:pBdr>
        <w:tabs>
          <w:tab w:val="left" w:pos="1440"/>
        </w:tabs>
        <w:autoSpaceDE w:val="0"/>
        <w:autoSpaceDN w:val="0"/>
        <w:spacing w:line="560" w:lineRule="exact"/>
        <w:ind w:firstLineChars="200" w:firstLine="640"/>
        <w:jc w:val="left"/>
        <w:rPr>
          <w:rFonts w:ascii="仿宋" w:eastAsia="仿宋" w:cs="仿宋_GB2312" w:hint="eastAsia"/>
          <w:b w:val="0"/>
          <w:bCs/>
          <w:sz w:val="32"/>
          <w:szCs w:val="32"/>
        </w:rPr>
      </w:pPr>
      <w:r>
        <w:rPr>
          <w:rFonts w:ascii="仿宋" w:eastAsia="仿宋" w:cs="仿宋_GB2312" w:hint="eastAsia"/>
          <w:b w:val="0"/>
          <w:bCs/>
          <w:sz w:val="32"/>
          <w:szCs w:val="32"/>
        </w:rPr>
        <w:t>1.拟订金川县退役军人思想政治、管理保障和安置优抚等工作政策并组织实施，褒扬彰显退役军人为党、国家和人民牺牲奉献的精神风范和价值导向。</w:t>
      </w:r>
    </w:p>
    <w:p>
      <w:pPr>
        <w:pBdr>
          <w:bottom w:val="single" w:sz="4" w:space="29" w:color="FFFFFF"/>
        </w:pBdr>
        <w:tabs>
          <w:tab w:val="left" w:pos="1440"/>
        </w:tabs>
        <w:autoSpaceDE w:val="0"/>
        <w:autoSpaceDN w:val="0"/>
        <w:spacing w:line="560" w:lineRule="exact"/>
        <w:ind w:firstLineChars="200" w:firstLine="640"/>
        <w:jc w:val="left"/>
        <w:rPr>
          <w:rFonts w:ascii="仿宋" w:eastAsia="仿宋" w:cs="仿宋_GB2312" w:hint="eastAsia"/>
          <w:b w:val="0"/>
          <w:bCs/>
          <w:sz w:val="32"/>
          <w:szCs w:val="32"/>
        </w:rPr>
      </w:pPr>
      <w:r>
        <w:rPr>
          <w:rFonts w:ascii="仿宋" w:eastAsia="仿宋" w:cs="仿宋_GB2312" w:hint="eastAsia"/>
          <w:b w:val="0"/>
          <w:bCs/>
          <w:sz w:val="32"/>
          <w:szCs w:val="32"/>
        </w:rPr>
        <w:t>2.负责金川县军队转业干部、复员干部、离休退休干部、退役士兵和无军籍退休退职职工的移交安置工作，以及自主择业、就业退役军人服务管理工作。</w:t>
      </w:r>
    </w:p>
    <w:p>
      <w:pPr>
        <w:pBdr>
          <w:bottom w:val="single" w:sz="4" w:space="29" w:color="FFFFFF"/>
        </w:pBdr>
        <w:tabs>
          <w:tab w:val="left" w:pos="1440"/>
        </w:tabs>
        <w:autoSpaceDE w:val="0"/>
        <w:autoSpaceDN w:val="0"/>
        <w:spacing w:line="560" w:lineRule="exact"/>
        <w:ind w:firstLineChars="200" w:firstLine="640"/>
        <w:jc w:val="left"/>
        <w:rPr>
          <w:rFonts w:ascii="仿宋" w:eastAsia="仿宋" w:cs="仿宋_GB2312" w:hint="eastAsia"/>
          <w:b w:val="0"/>
          <w:bCs/>
          <w:sz w:val="32"/>
          <w:szCs w:val="32"/>
        </w:rPr>
      </w:pPr>
      <w:r>
        <w:rPr>
          <w:rFonts w:ascii="仿宋" w:eastAsia="仿宋" w:cs="仿宋_GB2312" w:hint="eastAsia"/>
          <w:b w:val="0"/>
          <w:bCs/>
          <w:sz w:val="32"/>
          <w:szCs w:val="32"/>
        </w:rPr>
        <w:t>3.组织开展金川县退役军人教育培训工作，协调扶持退役军人和随军随调家属安置、就业创业。</w:t>
      </w:r>
    </w:p>
    <w:p>
      <w:pPr>
        <w:pBdr>
          <w:bottom w:val="single" w:sz="4" w:space="29" w:color="FFFFFF"/>
        </w:pBdr>
        <w:tabs>
          <w:tab w:val="left" w:pos="1440"/>
        </w:tabs>
        <w:autoSpaceDE w:val="0"/>
        <w:autoSpaceDN w:val="0"/>
        <w:spacing w:line="560" w:lineRule="exact"/>
        <w:ind w:firstLineChars="200" w:firstLine="640"/>
        <w:jc w:val="left"/>
        <w:rPr>
          <w:rFonts w:ascii="仿宋" w:eastAsia="仿宋" w:cs="仿宋_GB2312" w:hint="eastAsia"/>
          <w:b w:val="0"/>
          <w:bCs/>
          <w:sz w:val="32"/>
          <w:szCs w:val="32"/>
        </w:rPr>
      </w:pPr>
      <w:r>
        <w:rPr>
          <w:rFonts w:ascii="仿宋" w:eastAsia="仿宋" w:cs="仿宋_GB2312" w:hint="eastAsia"/>
          <w:b w:val="0"/>
          <w:bCs/>
          <w:sz w:val="32"/>
          <w:szCs w:val="32"/>
        </w:rPr>
        <w:t>4.会同有关部门拟定退役军人特殊保障政策并组织落实。</w:t>
      </w:r>
    </w:p>
    <w:p>
      <w:pPr>
        <w:pBdr>
          <w:bottom w:val="single" w:sz="4" w:space="29" w:color="FFFFFF"/>
        </w:pBdr>
        <w:tabs>
          <w:tab w:val="left" w:pos="1440"/>
        </w:tabs>
        <w:autoSpaceDE w:val="0"/>
        <w:autoSpaceDN w:val="0"/>
        <w:spacing w:line="560" w:lineRule="exact"/>
        <w:ind w:firstLineChars="200" w:firstLine="640"/>
        <w:jc w:val="left"/>
        <w:rPr>
          <w:rFonts w:ascii="仿宋" w:eastAsia="仿宋" w:cs="仿宋_GB2312" w:hint="eastAsia"/>
          <w:b w:val="0"/>
          <w:bCs/>
          <w:sz w:val="32"/>
          <w:szCs w:val="32"/>
        </w:rPr>
      </w:pPr>
      <w:r>
        <w:rPr>
          <w:rFonts w:ascii="仿宋" w:eastAsia="仿宋" w:cs="仿宋_GB2312" w:hint="eastAsia"/>
          <w:b w:val="0"/>
          <w:bCs/>
          <w:sz w:val="32"/>
          <w:szCs w:val="32"/>
        </w:rPr>
        <w:t>5.组织协调落实移交地方的离休退休军人、符合条件的其他退役军人和无军籍退休退职职工的住房保障以及退役军人医疗保障、社会保险等待遇保障工作。</w:t>
      </w:r>
    </w:p>
    <w:p>
      <w:pPr>
        <w:pBdr>
          <w:bottom w:val="single" w:sz="4" w:space="29" w:color="FFFFFF"/>
        </w:pBdr>
        <w:tabs>
          <w:tab w:val="left" w:pos="1440"/>
        </w:tabs>
        <w:autoSpaceDE w:val="0"/>
        <w:autoSpaceDN w:val="0"/>
        <w:spacing w:line="560" w:lineRule="exact"/>
        <w:ind w:firstLineChars="200" w:firstLine="640"/>
        <w:jc w:val="left"/>
        <w:rPr>
          <w:rFonts w:ascii="仿宋" w:eastAsia="仿宋" w:cs="仿宋_GB2312" w:hint="eastAsia"/>
          <w:b w:val="0"/>
          <w:bCs/>
          <w:sz w:val="32"/>
          <w:szCs w:val="32"/>
        </w:rPr>
      </w:pPr>
      <w:r>
        <w:rPr>
          <w:rFonts w:ascii="仿宋" w:eastAsia="仿宋" w:cs="仿宋_GB2312" w:hint="eastAsia"/>
          <w:b w:val="0"/>
          <w:bCs/>
          <w:sz w:val="32"/>
          <w:szCs w:val="32"/>
        </w:rPr>
        <w:t>6.组织开展伤病残退役军人服务管理和抚恤工作，拟订有关退役军人医疗、疗养、养老等机构的规划政策并组织实施。承担不适宜继续服役的伤病残军人相关工作。指导军供服务保障工作。</w:t>
      </w:r>
    </w:p>
    <w:p>
      <w:pPr>
        <w:pBdr>
          <w:bottom w:val="single" w:sz="4" w:space="29" w:color="FFFFFF"/>
        </w:pBdr>
        <w:tabs>
          <w:tab w:val="left" w:pos="1440"/>
        </w:tabs>
        <w:autoSpaceDE w:val="0"/>
        <w:autoSpaceDN w:val="0"/>
        <w:spacing w:line="560" w:lineRule="exact"/>
        <w:ind w:firstLineChars="200" w:firstLine="640"/>
        <w:jc w:val="left"/>
        <w:rPr>
          <w:rFonts w:ascii="仿宋" w:eastAsia="仿宋" w:cs="仿宋_GB2312" w:hint="eastAsia"/>
          <w:b w:val="0"/>
          <w:bCs/>
          <w:sz w:val="32"/>
          <w:szCs w:val="32"/>
        </w:rPr>
      </w:pPr>
      <w:r>
        <w:rPr>
          <w:rFonts w:ascii="仿宋" w:eastAsia="仿宋" w:cs="仿宋_GB2312" w:hint="eastAsia"/>
          <w:b w:val="0"/>
          <w:bCs/>
          <w:sz w:val="32"/>
          <w:szCs w:val="32"/>
        </w:rPr>
        <w:t>7.负责落实拥军优属工作。负责现役军人、退役军人、军队文职人员和军属优待、抚恤等工作，贯彻落实国民党抗战老兵等有关人员优待政策并指导实施。</w:t>
      </w:r>
    </w:p>
    <w:p>
      <w:pPr>
        <w:pBdr>
          <w:bottom w:val="single" w:sz="4" w:space="29" w:color="FFFFFF"/>
        </w:pBdr>
        <w:tabs>
          <w:tab w:val="left" w:pos="1440"/>
        </w:tabs>
        <w:autoSpaceDE w:val="0"/>
        <w:autoSpaceDN w:val="0"/>
        <w:spacing w:line="560" w:lineRule="exact"/>
        <w:ind w:firstLineChars="200" w:firstLine="640"/>
        <w:jc w:val="left"/>
        <w:rPr>
          <w:rFonts w:ascii="仿宋" w:eastAsia="仿宋" w:cs="仿宋_GB2312" w:hint="eastAsia"/>
          <w:b w:val="0"/>
          <w:bCs/>
          <w:sz w:val="32"/>
          <w:szCs w:val="32"/>
        </w:rPr>
      </w:pPr>
      <w:r>
        <w:rPr>
          <w:rFonts w:ascii="仿宋" w:eastAsia="仿宋" w:cs="仿宋_GB2312" w:hint="eastAsia"/>
          <w:b w:val="0"/>
          <w:bCs/>
          <w:sz w:val="32"/>
          <w:szCs w:val="32"/>
        </w:rPr>
        <w:t>8.协助开展烈士及退役军人荣誉奖励、军人公墓管理维护纪念活动等工作，依法承担英雄烈士保护相关工作，初核申报拟列入全县重点保护单位的烈士纪念建筑物名录，协助配合上级部门做好境外我国烈士和在华烈士纪念设施保护事宜，配合做好总结表彰和宣扬退役军人、退役军人工作单位和个人先进典型事迹工作。</w:t>
      </w:r>
    </w:p>
    <w:p>
      <w:pPr>
        <w:pBdr>
          <w:bottom w:val="single" w:sz="4" w:space="29" w:color="FFFFFF"/>
        </w:pBdr>
        <w:tabs>
          <w:tab w:val="left" w:pos="1440"/>
        </w:tabs>
        <w:autoSpaceDE w:val="0"/>
        <w:autoSpaceDN w:val="0"/>
        <w:spacing w:line="560" w:lineRule="exact"/>
        <w:ind w:firstLineChars="200" w:firstLine="640"/>
        <w:jc w:val="left"/>
        <w:rPr>
          <w:rFonts w:ascii="仿宋" w:eastAsia="仿宋" w:cs="仿宋_GB2312" w:hint="eastAsia"/>
          <w:b w:val="0"/>
          <w:bCs/>
          <w:sz w:val="32"/>
          <w:szCs w:val="32"/>
        </w:rPr>
      </w:pPr>
      <w:r>
        <w:rPr>
          <w:rFonts w:ascii="仿宋" w:eastAsia="仿宋" w:cs="仿宋_GB2312" w:hint="eastAsia"/>
          <w:b w:val="0"/>
          <w:bCs/>
          <w:sz w:val="32"/>
          <w:szCs w:val="32"/>
        </w:rPr>
        <w:t>9.指导并监督检查金川县退役军人相关法律法规和政策措施的落实，组织开展退役军人权益维护和有关人员的帮扶援助工作。</w:t>
      </w:r>
    </w:p>
    <w:p>
      <w:pPr>
        <w:pBdr>
          <w:bottom w:val="single" w:sz="4" w:space="29" w:color="FFFFFF"/>
        </w:pBdr>
        <w:tabs>
          <w:tab w:val="left" w:pos="1440"/>
        </w:tabs>
        <w:autoSpaceDE w:val="0"/>
        <w:autoSpaceDN w:val="0"/>
        <w:spacing w:line="560" w:lineRule="exact"/>
        <w:ind w:firstLineChars="200" w:firstLine="640"/>
        <w:jc w:val="left"/>
        <w:rPr>
          <w:rFonts w:ascii="仿宋" w:eastAsia="仿宋" w:cs="仿宋_GB2312" w:hint="eastAsia"/>
          <w:b w:val="0"/>
          <w:bCs/>
          <w:sz w:val="32"/>
          <w:szCs w:val="32"/>
        </w:rPr>
      </w:pPr>
      <w:r>
        <w:rPr>
          <w:rFonts w:ascii="仿宋" w:eastAsia="仿宋" w:cs="仿宋_GB2312" w:hint="eastAsia"/>
          <w:b w:val="0"/>
          <w:bCs/>
          <w:sz w:val="32"/>
          <w:szCs w:val="32"/>
        </w:rPr>
        <w:t>10.是职能转变。金川县退役军人事务局应加强退役军人思想政治工作和服务保障体系建设，建立健全集中统一、职责清晰的退役军人管理服务保障体制，协调各方力量更好为军人军属服务，维护军人军属合法权益，让军人成为全社会尊崇的职业，褒扬彰显退役军人为党、为国家和人民牺牲奉献的精神风范和价值导向，更好地为增强部队战斗力和凝聚力做好组织保障。</w:t>
      </w:r>
    </w:p>
    <w:p>
      <w:pPr>
        <w:pBdr>
          <w:bottom w:val="single" w:sz="4" w:space="29" w:color="FFFFFF"/>
        </w:pBdr>
        <w:tabs>
          <w:tab w:val="left" w:pos="1440"/>
        </w:tabs>
        <w:autoSpaceDE w:val="0"/>
        <w:autoSpaceDN w:val="0"/>
        <w:spacing w:line="560" w:lineRule="exact"/>
        <w:ind w:firstLineChars="200" w:firstLine="640"/>
        <w:jc w:val="left"/>
        <w:rPr>
          <w:rFonts w:ascii="仿宋" w:eastAsia="仿宋" w:cs="仿宋_GB2312" w:hint="eastAsia"/>
          <w:b w:val="0"/>
          <w:bCs/>
          <w:sz w:val="32"/>
          <w:szCs w:val="32"/>
        </w:rPr>
      </w:pPr>
      <w:r>
        <w:rPr>
          <w:rFonts w:ascii="仿宋" w:eastAsia="仿宋" w:cs="仿宋_GB2312" w:hint="eastAsia"/>
          <w:b w:val="0"/>
          <w:bCs/>
          <w:sz w:val="32"/>
          <w:szCs w:val="32"/>
        </w:rPr>
        <w:t>11.是负责本单位债务管理，制定具体管理办法，防范财政风险。</w:t>
      </w:r>
    </w:p>
    <w:p>
      <w:pPr>
        <w:pBdr>
          <w:bottom w:val="single" w:sz="4" w:space="29" w:color="FFFFFF"/>
        </w:pBdr>
        <w:tabs>
          <w:tab w:val="left" w:pos="1440"/>
        </w:tabs>
        <w:autoSpaceDE w:val="0"/>
        <w:autoSpaceDN w:val="0"/>
        <w:spacing w:line="560" w:lineRule="exact"/>
        <w:ind w:firstLineChars="200" w:firstLine="640"/>
        <w:jc w:val="left"/>
        <w:rPr>
          <w:rFonts w:ascii="仿宋" w:eastAsia="仿宋" w:cs="仿宋_GB2312" w:hint="eastAsia"/>
          <w:b w:val="0"/>
          <w:bCs/>
          <w:sz w:val="32"/>
          <w:szCs w:val="32"/>
        </w:rPr>
      </w:pPr>
      <w:r>
        <w:rPr>
          <w:rFonts w:ascii="仿宋" w:eastAsia="仿宋" w:cs="仿宋_GB2312" w:hint="eastAsia"/>
          <w:b w:val="0"/>
          <w:bCs/>
          <w:sz w:val="32"/>
          <w:szCs w:val="32"/>
        </w:rPr>
        <w:t>12.负责管理我局会计工作，监督和规范会计行为。</w:t>
      </w:r>
    </w:p>
    <w:p>
      <w:pPr>
        <w:pBdr>
          <w:bottom w:val="single" w:sz="4" w:space="29" w:color="FFFFFF"/>
        </w:pBdr>
        <w:tabs>
          <w:tab w:val="left" w:pos="1440"/>
        </w:tabs>
        <w:autoSpaceDE w:val="0"/>
        <w:autoSpaceDN w:val="0"/>
        <w:spacing w:line="560" w:lineRule="exact"/>
        <w:ind w:firstLineChars="200" w:firstLine="640"/>
        <w:jc w:val="left"/>
        <w:rPr>
          <w:rFonts w:ascii="仿宋" w:eastAsia="仿宋" w:cs="仿宋_GB2312" w:hint="eastAsia"/>
          <w:b w:val="0"/>
          <w:bCs/>
          <w:sz w:val="32"/>
          <w:szCs w:val="32"/>
        </w:rPr>
      </w:pPr>
      <w:r>
        <w:rPr>
          <w:rFonts w:ascii="仿宋" w:eastAsia="仿宋" w:cs="仿宋_GB2312" w:hint="eastAsia"/>
          <w:b w:val="0"/>
          <w:bCs/>
          <w:sz w:val="32"/>
          <w:szCs w:val="32"/>
        </w:rPr>
        <w:t>13.负责上报我局财政资金绩效评价。</w:t>
      </w:r>
    </w:p>
    <w:p>
      <w:pPr>
        <w:pBdr>
          <w:bottom w:val="single" w:sz="4" w:space="29" w:color="FFFFFF"/>
        </w:pBdr>
        <w:tabs>
          <w:tab w:val="left" w:pos="1440"/>
        </w:tabs>
        <w:autoSpaceDE w:val="0"/>
        <w:autoSpaceDN w:val="0"/>
        <w:spacing w:line="560" w:lineRule="exact"/>
        <w:ind w:firstLineChars="200" w:firstLine="640"/>
        <w:jc w:val="left"/>
        <w:rPr>
          <w:rFonts w:ascii="仿宋" w:eastAsia="仿宋" w:cs="仿宋_GB2312" w:hint="eastAsia"/>
          <w:b w:val="0"/>
          <w:bCs/>
          <w:sz w:val="32"/>
          <w:szCs w:val="32"/>
        </w:rPr>
      </w:pPr>
      <w:r>
        <w:rPr>
          <w:rFonts w:ascii="仿宋" w:eastAsia="仿宋" w:cs="仿宋_GB2312" w:hint="eastAsia"/>
          <w:b w:val="0"/>
          <w:bCs/>
          <w:sz w:val="32"/>
          <w:szCs w:val="32"/>
        </w:rPr>
        <w:t>14.自查财税法规、政策的执行情况，反映财政收支管理中的重大问题。坚决不出现违反财经法纪的行为。承担各项财政收支主体的责任。负责编制年度全乡预决算草案并组织执行。组织制定经费开支标准、定额，负责上报本局年度预决算。完善转移支付制度。</w:t>
      </w:r>
    </w:p>
    <w:p>
      <w:pPr>
        <w:pBdr>
          <w:bottom w:val="single" w:sz="4" w:space="29" w:color="FFFFFF"/>
        </w:pBdr>
        <w:tabs>
          <w:tab w:val="left" w:pos="1440"/>
        </w:tabs>
        <w:autoSpaceDE w:val="0"/>
        <w:autoSpaceDN w:val="0"/>
        <w:spacing w:line="560" w:lineRule="exact"/>
        <w:ind w:firstLineChars="200" w:firstLine="640"/>
        <w:jc w:val="left"/>
        <w:rPr>
          <w:rFonts w:ascii="仿宋" w:eastAsia="仿宋" w:cs="仿宋_GB2312" w:hint="eastAsia"/>
          <w:b w:val="0"/>
          <w:bCs/>
          <w:sz w:val="32"/>
          <w:szCs w:val="32"/>
        </w:rPr>
      </w:pPr>
      <w:r>
        <w:rPr>
          <w:rFonts w:ascii="仿宋" w:eastAsia="仿宋" w:cs="仿宋_GB2312" w:hint="eastAsia"/>
          <w:b w:val="0"/>
          <w:bCs/>
          <w:sz w:val="32"/>
          <w:szCs w:val="32"/>
        </w:rPr>
        <w:t>15.是办理县委</w:t>
      </w:r>
      <w:r>
        <w:rPr>
          <w:rFonts w:ascii="仿宋" w:eastAsia="仿宋" w:cs="仿宋_GB2312"/>
          <w:b w:val="0"/>
          <w:bCs/>
          <w:sz w:val="32"/>
          <w:szCs w:val="32"/>
        </w:rPr>
        <w:t>县</w:t>
      </w:r>
      <w:r>
        <w:rPr>
          <w:rFonts w:ascii="仿宋" w:eastAsia="仿宋" w:cs="仿宋_GB2312" w:hint="eastAsia"/>
          <w:b w:val="0"/>
          <w:bCs/>
          <w:sz w:val="32"/>
          <w:szCs w:val="32"/>
        </w:rPr>
        <w:t>政府交办的其他事项。</w:t>
      </w:r>
    </w:p>
    <w:p>
      <w:pPr>
        <w:pBdr>
          <w:bottom w:val="single" w:sz="4" w:space="29" w:color="FFFFFF"/>
        </w:pBdr>
        <w:tabs>
          <w:tab w:val="left" w:pos="1440"/>
        </w:tabs>
        <w:autoSpaceDE w:val="0"/>
        <w:autoSpaceDN w:val="0"/>
        <w:spacing w:line="560" w:lineRule="exact"/>
        <w:ind w:firstLineChars="200" w:firstLine="640"/>
        <w:jc w:val="left"/>
        <w:rPr>
          <w:rFonts w:ascii="Times New Roman" w:eastAsia="仿宋_GB2312" w:cs="Times New Roman" w:hAnsi="Times New Roman"/>
          <w:kern w:val="0"/>
          <w:sz w:val="32"/>
          <w:szCs w:val="32"/>
          <w:shd w:val="clear" w:color="auto" w:fill="FFFFFF"/>
          <w:lang w:val="zh-CN"/>
        </w:rPr>
      </w:pPr>
      <w:r>
        <w:rPr>
          <w:rFonts w:ascii="Times New Roman" w:eastAsia="楷体_GB2312" w:cs="Times New Roman" w:hAnsi="Times New Roman"/>
          <w:b/>
          <w:sz w:val="32"/>
          <w:szCs w:val="32"/>
          <w:lang w:val="zh-CN"/>
        </w:rPr>
        <w:t>（三）人员概况</w:t>
      </w:r>
      <w:r>
        <w:rPr>
          <w:rFonts w:ascii="Times New Roman" w:eastAsia="仿宋_GB2312" w:cs="Times New Roman" w:hAnsi="Times New Roman"/>
          <w:kern w:val="0"/>
          <w:sz w:val="32"/>
          <w:szCs w:val="32"/>
          <w:shd w:val="clear" w:color="auto" w:fill="FFFFFF"/>
          <w:lang w:val="zh-CN"/>
        </w:rPr>
        <w:t>。</w:t>
      </w:r>
    </w:p>
    <w:p>
      <w:pPr>
        <w:pBdr>
          <w:bottom w:val="single" w:sz="4" w:space="29" w:color="FFFFFF"/>
        </w:pBdr>
        <w:tabs>
          <w:tab w:val="left" w:pos="1440"/>
        </w:tabs>
        <w:autoSpaceDE w:val="0"/>
        <w:autoSpaceDN w:val="0"/>
        <w:spacing w:line="560" w:lineRule="exact"/>
        <w:ind w:firstLineChars="200" w:firstLine="640"/>
        <w:jc w:val="left"/>
        <w:rPr>
          <w:rFonts w:ascii="仿宋" w:eastAsia="仿宋" w:hint="eastAsia"/>
          <w:b w:val="0"/>
          <w:sz w:val="32"/>
          <w:szCs w:val="32"/>
          <w:lang w:val="en-US" w:eastAsia="zh-CN"/>
        </w:rPr>
      </w:pPr>
      <w:r>
        <w:rPr>
          <w:rFonts w:ascii="仿宋" w:eastAsia="仿宋" w:hint="eastAsia"/>
          <w:b w:val="0"/>
          <w:sz w:val="32"/>
          <w:szCs w:val="32"/>
          <w:lang w:val="en-US" w:eastAsia="zh-CN"/>
        </w:rPr>
        <w:t>金川县退役军人事务局：公务员编制4个，事业编制4个；2022年末，单位实有人数8人，其中：在职8人（公务员4人、事业管理4人）。</w:t>
      </w:r>
    </w:p>
    <w:p>
      <w:pPr>
        <w:numPr>
          <w:ilvl w:val="0"/>
          <w:numId w:val="4"/>
        </w:numPr>
        <w:pBdr>
          <w:bottom w:val="single" w:sz="4" w:space="29" w:color="FFFFFF"/>
        </w:pBdr>
        <w:tabs>
          <w:tab w:val="left" w:pos="1440"/>
        </w:tabs>
        <w:autoSpaceDE w:val="0"/>
        <w:autoSpaceDN w:val="0"/>
        <w:spacing w:line="560" w:lineRule="exact"/>
        <w:ind w:left="0" w:firstLineChars="200" w:firstLine="640"/>
        <w:jc w:val="left"/>
        <w:rPr>
          <w:rFonts w:ascii="仿宋" w:eastAsia="仿宋" w:cs="宋体" w:hint="eastAsia"/>
          <w:b w:val="0"/>
          <w:bCs/>
          <w:kern w:val="0"/>
          <w:sz w:val="32"/>
          <w:szCs w:val="32"/>
        </w:rPr>
      </w:pPr>
      <w:r>
        <w:rPr>
          <w:rFonts w:ascii="Times New Roman" w:eastAsia="黑体" w:cs="Times New Roman" w:hAnsi="Times New Roman"/>
          <w:kern w:val="0"/>
          <w:sz w:val="32"/>
          <w:szCs w:val="32"/>
          <w:shd w:val="clear" w:color="auto" w:fill="FFFFFF"/>
        </w:rPr>
        <w:t>二、部门财政资金收支情况</w:t>
      </w:r>
      <w:r>
        <w:rPr>
          <w:rFonts w:ascii="楷体" w:eastAsia="楷体" w:cs="楷体" w:hint="eastAsia"/>
          <w:b/>
          <w:bCs w:val="0"/>
          <w:color w:val="000000"/>
          <w:kern w:val="0"/>
          <w:sz w:val="32"/>
          <w:lang w:val="zh-CN"/>
        </w:rPr>
        <w:t>部门财政资金收入情</w:t>
      </w:r>
    </w:p>
    <w:p>
      <w:pPr>
        <w:pBdr>
          <w:bottom w:val="single" w:sz="4" w:space="29" w:color="FFFFFF"/>
        </w:pBdr>
        <w:tabs>
          <w:tab w:val="left" w:pos="0"/>
          <w:tab w:val="left" w:pos="1440"/>
        </w:tabs>
        <w:autoSpaceDE w:val="0"/>
        <w:autoSpaceDN w:val="0"/>
        <w:spacing w:line="560" w:lineRule="exact"/>
        <w:ind w:left="0" w:firstLineChars="300" w:firstLine="960"/>
        <w:jc w:val="left"/>
        <w:rPr>
          <w:rFonts w:ascii="仿宋" w:eastAsia="仿宋" w:cs="宋体" w:hint="eastAsia"/>
          <w:b w:val="0"/>
          <w:bCs/>
          <w:kern w:val="0"/>
          <w:sz w:val="32"/>
          <w:szCs w:val="32"/>
        </w:rPr>
      </w:pPr>
      <w:r>
        <w:rPr>
          <w:rFonts w:ascii="仿宋" w:eastAsia="仿宋" w:hint="eastAsia"/>
          <w:b w:val="0"/>
          <w:bCs/>
          <w:sz w:val="32"/>
          <w:szCs w:val="32"/>
        </w:rPr>
        <w:t>202</w:t>
      </w:r>
      <w:r>
        <w:rPr>
          <w:rFonts w:ascii="仿宋" w:eastAsia="仿宋" w:hint="eastAsia"/>
          <w:b w:val="0"/>
          <w:bCs/>
          <w:sz w:val="32"/>
          <w:szCs w:val="32"/>
          <w:lang w:val="en-US" w:eastAsia="zh-CN"/>
        </w:rPr>
        <w:t>2</w:t>
      </w:r>
      <w:r>
        <w:rPr>
          <w:rFonts w:ascii="仿宋" w:eastAsia="仿宋" w:hint="eastAsia"/>
          <w:b w:val="0"/>
          <w:bCs/>
          <w:sz w:val="32"/>
          <w:szCs w:val="32"/>
        </w:rPr>
        <w:t>年总收入</w:t>
      </w:r>
      <w:r>
        <w:rPr>
          <w:rFonts w:ascii="仿宋" w:eastAsia="仿宋" w:hint="eastAsia"/>
          <w:b w:val="0"/>
          <w:bCs/>
          <w:sz w:val="32"/>
          <w:szCs w:val="32"/>
          <w:lang w:val="en-US" w:eastAsia="zh-CN"/>
        </w:rPr>
        <w:t>1069.67</w:t>
      </w:r>
      <w:r>
        <w:rPr>
          <w:rFonts w:ascii="仿宋" w:eastAsia="仿宋" w:hint="eastAsia"/>
          <w:b w:val="0"/>
          <w:bCs/>
          <w:sz w:val="32"/>
          <w:szCs w:val="32"/>
        </w:rPr>
        <w:t>万元。其中:财政拨款收入</w:t>
      </w:r>
      <w:r>
        <w:rPr>
          <w:rFonts w:ascii="仿宋" w:eastAsia="仿宋" w:hint="eastAsia"/>
          <w:b w:val="0"/>
          <w:bCs/>
          <w:sz w:val="32"/>
          <w:szCs w:val="32"/>
          <w:lang w:val="en-US" w:eastAsia="zh-CN"/>
        </w:rPr>
        <w:t>1069.67</w:t>
      </w:r>
      <w:r>
        <w:rPr>
          <w:rFonts w:ascii="仿宋" w:eastAsia="仿宋" w:hint="eastAsia"/>
          <w:b w:val="0"/>
          <w:bCs/>
          <w:sz w:val="32"/>
          <w:szCs w:val="32"/>
        </w:rPr>
        <w:t>万元，占总收入的100%；</w:t>
      </w:r>
      <w:r>
        <w:rPr>
          <w:rFonts w:ascii="仿宋" w:eastAsia="仿宋" w:cs="宋体" w:hint="eastAsia"/>
          <w:b w:val="0"/>
          <w:bCs/>
          <w:kern w:val="0"/>
          <w:sz w:val="32"/>
          <w:szCs w:val="32"/>
        </w:rPr>
        <w:t>事业收入0万元；经营收入0万元；附属单位上缴收入0万元；其他收入0万元。</w:t>
      </w:r>
    </w:p>
    <w:p>
      <w:pPr>
        <w:numPr>
          <w:ilvl w:val="0"/>
          <w:numId w:val="4"/>
        </w:numPr>
        <w:pBdr>
          <w:bottom w:val="single" w:sz="4" w:space="29" w:color="FFFFFF"/>
        </w:pBdr>
        <w:tabs>
          <w:tab w:val="left" w:pos="1440"/>
        </w:tabs>
        <w:autoSpaceDE w:val="0"/>
        <w:autoSpaceDN w:val="0"/>
        <w:spacing w:line="560" w:lineRule="exact"/>
        <w:ind w:left="0" w:firstLineChars="200" w:firstLine="640"/>
        <w:jc w:val="left"/>
        <w:rPr>
          <w:rFonts w:ascii="楷体" w:eastAsia="楷体" w:cs="楷体" w:hint="eastAsia"/>
          <w:b/>
          <w:bCs w:val="0"/>
          <w:color w:val="000000"/>
          <w:kern w:val="0"/>
          <w:sz w:val="32"/>
        </w:rPr>
      </w:pPr>
      <w:r>
        <w:rPr>
          <w:rFonts w:ascii="楷体" w:eastAsia="楷体" w:cs="楷体" w:hint="eastAsia"/>
          <w:b/>
          <w:bCs w:val="0"/>
          <w:color w:val="000000"/>
          <w:kern w:val="0"/>
          <w:sz w:val="32"/>
        </w:rPr>
        <w:t>部门财政资金支出情况</w:t>
      </w:r>
    </w:p>
    <w:p>
      <w:pPr>
        <w:pBdr>
          <w:bottom w:val="single" w:sz="4" w:space="29" w:color="FFFFFF"/>
        </w:pBdr>
        <w:tabs>
          <w:tab w:val="left" w:pos="1440"/>
        </w:tabs>
        <w:autoSpaceDE w:val="0"/>
        <w:autoSpaceDN w:val="0"/>
        <w:spacing w:line="560" w:lineRule="exact"/>
        <w:ind w:left="0" w:firstLineChars="200" w:firstLine="640"/>
        <w:jc w:val="left"/>
        <w:rPr>
          <w:rFonts w:ascii="仿宋" w:eastAsia="仿宋" w:cs="楷体_GB2312" w:hint="eastAsia"/>
          <w:bCs/>
          <w:sz w:val="32"/>
          <w:szCs w:val="32"/>
        </w:rPr>
      </w:pPr>
      <w:r>
        <w:rPr>
          <w:rFonts w:ascii="仿宋" w:eastAsia="仿宋" w:cs="楷体_GB2312" w:hint="eastAsia"/>
          <w:bCs/>
          <w:sz w:val="32"/>
          <w:szCs w:val="32"/>
          <w:lang w:val="en-US" w:eastAsia="zh-CN"/>
        </w:rPr>
        <w:t>1.</w:t>
      </w:r>
      <w:r>
        <w:rPr>
          <w:rFonts w:ascii="仿宋" w:eastAsia="仿宋" w:cs="楷体_GB2312" w:hint="eastAsia"/>
          <w:bCs/>
          <w:sz w:val="32"/>
          <w:szCs w:val="32"/>
        </w:rPr>
        <w:t>一般公共预算财政拨款支出决算总体情况</w:t>
      </w:r>
    </w:p>
    <w:p>
      <w:pPr>
        <w:pBdr>
          <w:bottom w:val="single" w:sz="4" w:space="29" w:color="FFFFFF"/>
        </w:pBdr>
        <w:tabs>
          <w:tab w:val="left" w:pos="1440"/>
        </w:tabs>
        <w:autoSpaceDE w:val="0"/>
        <w:autoSpaceDN w:val="0"/>
        <w:spacing w:line="560" w:lineRule="exact"/>
        <w:jc w:val="left"/>
        <w:rPr>
          <w:rFonts w:ascii="仿宋" w:eastAsia="仿宋" w:cs="仿宋_GB2312" w:hint="eastAsia"/>
          <w:b w:val="0"/>
          <w:bCs/>
          <w:sz w:val="32"/>
          <w:szCs w:val="32"/>
        </w:rPr>
      </w:pPr>
      <w:r>
        <w:rPr>
          <w:rFonts w:ascii="仿宋" w:eastAsia="仿宋" w:cs="仿宋_GB2312" w:hint="eastAsia"/>
          <w:b w:val="0"/>
          <w:bCs/>
          <w:sz w:val="32"/>
          <w:szCs w:val="32"/>
        </w:rPr>
        <w:t>金川县退役军人事务局202</w:t>
      </w:r>
      <w:r>
        <w:rPr>
          <w:rFonts w:ascii="仿宋" w:eastAsia="仿宋" w:cs="仿宋_GB2312" w:hint="eastAsia"/>
          <w:b w:val="0"/>
          <w:bCs/>
          <w:sz w:val="32"/>
          <w:szCs w:val="32"/>
          <w:lang w:val="en-US" w:eastAsia="zh-CN"/>
        </w:rPr>
        <w:t>2</w:t>
      </w:r>
      <w:r>
        <w:rPr>
          <w:rFonts w:ascii="仿宋" w:eastAsia="仿宋" w:cs="仿宋_GB2312" w:hint="eastAsia"/>
          <w:b w:val="0"/>
          <w:bCs/>
          <w:sz w:val="32"/>
          <w:szCs w:val="32"/>
        </w:rPr>
        <w:t>年度财政拨款收入</w:t>
      </w:r>
      <w:r>
        <w:rPr>
          <w:rFonts w:ascii="仿宋" w:eastAsia="仿宋" w:cs="仿宋_GB2312" w:hint="eastAsia"/>
          <w:b w:val="0"/>
          <w:bCs/>
          <w:sz w:val="32"/>
          <w:szCs w:val="32"/>
          <w:lang w:val="en-US" w:eastAsia="zh-CN"/>
        </w:rPr>
        <w:t>1069.67</w:t>
      </w:r>
      <w:r>
        <w:rPr>
          <w:rFonts w:ascii="仿宋" w:eastAsia="仿宋" w:cs="仿宋_GB2312" w:hint="eastAsia"/>
          <w:b w:val="0"/>
          <w:bCs/>
          <w:sz w:val="32"/>
          <w:szCs w:val="32"/>
        </w:rPr>
        <w:t>万元，支出</w:t>
      </w:r>
      <w:r>
        <w:rPr>
          <w:rFonts w:ascii="仿宋" w:eastAsia="仿宋" w:cs="仿宋_GB2312" w:hint="eastAsia"/>
          <w:b w:val="0"/>
          <w:bCs/>
          <w:sz w:val="32"/>
          <w:szCs w:val="32"/>
          <w:lang w:val="en-US" w:eastAsia="zh-CN"/>
        </w:rPr>
        <w:t>1069.67</w:t>
      </w:r>
      <w:r>
        <w:rPr>
          <w:rFonts w:ascii="仿宋" w:eastAsia="仿宋" w:cs="仿宋_GB2312" w:hint="eastAsia"/>
          <w:b w:val="0"/>
          <w:bCs/>
          <w:sz w:val="32"/>
          <w:szCs w:val="32"/>
        </w:rPr>
        <w:t>万元。与</w:t>
      </w:r>
      <w:r>
        <w:rPr>
          <w:rFonts w:ascii="仿宋" w:eastAsia="仿宋" w:cs="仿宋_GB2312" w:hint="eastAsia"/>
          <w:b w:val="0"/>
          <w:bCs/>
          <w:sz w:val="32"/>
          <w:szCs w:val="32"/>
          <w:lang w:val="en-US" w:eastAsia="zh-CN"/>
        </w:rPr>
        <w:t>2021</w:t>
      </w:r>
      <w:r>
        <w:rPr>
          <w:rFonts w:ascii="仿宋" w:eastAsia="仿宋" w:cs="仿宋_GB2312" w:hint="eastAsia"/>
          <w:b w:val="0"/>
          <w:bCs/>
          <w:sz w:val="32"/>
          <w:szCs w:val="32"/>
        </w:rPr>
        <w:t>年决算收入</w:t>
      </w:r>
      <w:r>
        <w:rPr>
          <w:rFonts w:ascii="仿宋" w:eastAsia="仿宋" w:cs="仿宋_GB2312" w:hint="eastAsia"/>
          <w:b/>
          <w:bCs/>
          <w:sz w:val="32"/>
          <w:szCs w:val="32"/>
          <w:lang w:val="en-US" w:eastAsia="zh-CN"/>
        </w:rPr>
        <w:t>837.1</w:t>
      </w:r>
      <w:r>
        <w:rPr>
          <w:rFonts w:ascii="仿宋" w:eastAsia="仿宋" w:cs="仿宋_GB2312" w:hint="eastAsia"/>
          <w:b w:val="0"/>
          <w:bCs/>
          <w:sz w:val="32"/>
          <w:szCs w:val="32"/>
        </w:rPr>
        <w:t>万元，支出</w:t>
      </w:r>
      <w:r>
        <w:rPr>
          <w:rFonts w:ascii="仿宋" w:eastAsia="仿宋" w:cs="仿宋_GB2312" w:hint="eastAsia"/>
          <w:b/>
          <w:bCs/>
          <w:sz w:val="32"/>
          <w:szCs w:val="32"/>
          <w:lang w:val="en-US" w:eastAsia="zh-CN"/>
        </w:rPr>
        <w:t>894.98</w:t>
      </w:r>
      <w:r>
        <w:rPr>
          <w:rFonts w:ascii="仿宋" w:eastAsia="仿宋" w:cs="仿宋_GB2312" w:hint="eastAsia"/>
          <w:b w:val="0"/>
          <w:bCs/>
          <w:sz w:val="32"/>
          <w:szCs w:val="32"/>
        </w:rPr>
        <w:t>万元相比，财政拨款收入总计增加</w:t>
      </w:r>
      <w:r>
        <w:rPr>
          <w:rFonts w:ascii="仿宋" w:eastAsia="仿宋" w:cs="仿宋_GB2312" w:hint="eastAsia"/>
          <w:b w:val="0"/>
          <w:bCs/>
          <w:sz w:val="32"/>
          <w:szCs w:val="32"/>
          <w:lang w:val="en-US" w:eastAsia="zh-CN"/>
        </w:rPr>
        <w:t>232.57</w:t>
      </w:r>
      <w:r>
        <w:rPr>
          <w:rFonts w:ascii="仿宋" w:eastAsia="仿宋" w:cs="仿宋_GB2312" w:hint="eastAsia"/>
          <w:b w:val="0"/>
          <w:bCs/>
          <w:sz w:val="32"/>
          <w:szCs w:val="32"/>
        </w:rPr>
        <w:t>万元，增幅为</w:t>
      </w:r>
      <w:r>
        <w:rPr>
          <w:rFonts w:ascii="仿宋" w:eastAsia="仿宋" w:cs="仿宋_GB2312" w:hint="eastAsia"/>
          <w:b w:val="0"/>
          <w:bCs/>
          <w:color w:val="auto"/>
          <w:sz w:val="32"/>
          <w:szCs w:val="32"/>
          <w:lang w:val="en-US" w:eastAsia="zh-CN"/>
        </w:rPr>
        <w:t>28</w:t>
      </w:r>
      <w:r>
        <w:rPr>
          <w:rFonts w:ascii="仿宋" w:eastAsia="仿宋" w:cs="仿宋_GB2312" w:hint="eastAsia"/>
          <w:b w:val="0"/>
          <w:bCs/>
          <w:color w:val="auto"/>
          <w:sz w:val="32"/>
          <w:szCs w:val="32"/>
        </w:rPr>
        <w:t>%</w:t>
      </w:r>
      <w:r>
        <w:rPr>
          <w:rFonts w:ascii="仿宋" w:eastAsia="仿宋" w:cs="仿宋_GB2312" w:hint="eastAsia"/>
          <w:b w:val="0"/>
          <w:bCs/>
          <w:sz w:val="32"/>
          <w:szCs w:val="32"/>
        </w:rPr>
        <w:t>，支出总计增加</w:t>
      </w:r>
      <w:r>
        <w:rPr>
          <w:rFonts w:ascii="仿宋" w:eastAsia="仿宋" w:cs="仿宋_GB2312" w:hint="eastAsia"/>
          <w:b w:val="0"/>
          <w:bCs/>
          <w:sz w:val="32"/>
          <w:szCs w:val="32"/>
          <w:lang w:val="en-US" w:eastAsia="zh-CN"/>
        </w:rPr>
        <w:t>174.69</w:t>
      </w:r>
      <w:r>
        <w:rPr>
          <w:rFonts w:ascii="仿宋" w:eastAsia="仿宋" w:cs="仿宋_GB2312" w:hint="eastAsia"/>
          <w:b w:val="0"/>
          <w:bCs/>
          <w:sz w:val="32"/>
          <w:szCs w:val="32"/>
        </w:rPr>
        <w:t>万元，增幅为</w:t>
      </w:r>
      <w:r>
        <w:rPr>
          <w:rFonts w:ascii="仿宋" w:eastAsia="仿宋" w:cs="仿宋_GB2312" w:hint="eastAsia"/>
          <w:b w:val="0"/>
          <w:bCs/>
          <w:sz w:val="32"/>
          <w:szCs w:val="32"/>
          <w:lang w:val="en-US" w:eastAsia="zh-CN"/>
        </w:rPr>
        <w:t>20</w:t>
      </w:r>
      <w:r>
        <w:rPr>
          <w:rFonts w:ascii="仿宋" w:eastAsia="仿宋" w:cs="仿宋_GB2312" w:hint="eastAsia"/>
          <w:b w:val="0"/>
          <w:bCs/>
          <w:color w:val="auto"/>
          <w:sz w:val="32"/>
          <w:szCs w:val="32"/>
        </w:rPr>
        <w:t>%</w:t>
      </w:r>
      <w:r>
        <w:rPr>
          <w:rFonts w:ascii="仿宋" w:eastAsia="仿宋" w:cs="仿宋_GB2312" w:hint="eastAsia"/>
          <w:b w:val="0"/>
          <w:bCs/>
          <w:sz w:val="32"/>
          <w:szCs w:val="32"/>
        </w:rPr>
        <w:t>。</w:t>
      </w:r>
    </w:p>
    <w:p>
      <w:pPr>
        <w:pBdr>
          <w:bottom w:val="single" w:sz="4" w:space="29" w:color="FFFFFF"/>
        </w:pBdr>
        <w:tabs>
          <w:tab w:val="left" w:pos="1440"/>
        </w:tabs>
        <w:autoSpaceDE w:val="0"/>
        <w:autoSpaceDN w:val="0"/>
        <w:spacing w:line="560" w:lineRule="exact"/>
        <w:jc w:val="left"/>
        <w:rPr>
          <w:rFonts w:ascii="仿宋" w:eastAsia="仿宋" w:cs="楷体_GB2312" w:hint="eastAsia"/>
          <w:bCs/>
          <w:sz w:val="32"/>
          <w:szCs w:val="32"/>
        </w:rPr>
      </w:pPr>
      <w:r>
        <w:rPr>
          <w:rFonts w:ascii="仿宋" w:eastAsia="仿宋" w:cs="楷体_GB2312" w:hint="eastAsia"/>
          <w:bCs/>
          <w:sz w:val="32"/>
          <w:szCs w:val="32"/>
          <w:lang w:val="en-US" w:eastAsia="zh-CN"/>
        </w:rPr>
        <w:t xml:space="preserve">    2.</w:t>
      </w:r>
      <w:r>
        <w:rPr>
          <w:rFonts w:ascii="仿宋" w:eastAsia="仿宋" w:cs="楷体_GB2312" w:hint="eastAsia"/>
          <w:bCs/>
          <w:sz w:val="32"/>
          <w:szCs w:val="32"/>
        </w:rPr>
        <w:t>一般公共预算财政拨款支出决算结构情况</w:t>
      </w:r>
    </w:p>
    <w:p>
      <w:pPr>
        <w:pBdr>
          <w:bottom w:val="single" w:sz="4" w:space="29" w:color="FFFFFF"/>
        </w:pBdr>
        <w:tabs>
          <w:tab w:val="left" w:pos="1440"/>
        </w:tabs>
        <w:autoSpaceDE w:val="0"/>
        <w:autoSpaceDN w:val="0"/>
        <w:spacing w:line="560" w:lineRule="exact"/>
        <w:ind w:left="0" w:firstLineChars="200" w:firstLine="640"/>
        <w:jc w:val="left"/>
        <w:rPr>
          <w:rFonts w:ascii="仿宋" w:eastAsia="仿宋" w:cs="仿宋_GB2312" w:hint="eastAsia"/>
          <w:bCs/>
          <w:color w:val="auto"/>
          <w:sz w:val="32"/>
          <w:szCs w:val="32"/>
        </w:rPr>
      </w:pPr>
      <w:r>
        <w:rPr>
          <w:rFonts w:ascii="仿宋" w:eastAsia="仿宋" w:cs="仿宋_GB2312" w:hint="eastAsia"/>
          <w:b w:val="0"/>
          <w:bCs/>
          <w:sz w:val="32"/>
          <w:szCs w:val="32"/>
        </w:rPr>
        <w:t>退役军人事务局202</w:t>
      </w:r>
      <w:r>
        <w:rPr>
          <w:rFonts w:ascii="仿宋" w:eastAsia="仿宋" w:cs="仿宋_GB2312" w:hint="eastAsia"/>
          <w:b w:val="0"/>
          <w:bCs/>
          <w:sz w:val="32"/>
          <w:szCs w:val="32"/>
          <w:lang w:val="en-US" w:eastAsia="zh-CN"/>
        </w:rPr>
        <w:t>1</w:t>
      </w:r>
      <w:r>
        <w:rPr>
          <w:rFonts w:ascii="仿宋" w:eastAsia="仿宋" w:cs="仿宋_GB2312" w:hint="eastAsia"/>
          <w:b w:val="0"/>
          <w:bCs/>
          <w:sz w:val="32"/>
          <w:szCs w:val="32"/>
        </w:rPr>
        <w:t>年一般公共预算财政拨款支出合计</w:t>
      </w:r>
      <w:r>
        <w:rPr>
          <w:rFonts w:ascii="仿宋" w:eastAsia="仿宋" w:cs="仿宋_GB2312" w:hint="eastAsia"/>
          <w:b w:val="0"/>
          <w:bCs/>
          <w:sz w:val="32"/>
          <w:szCs w:val="32"/>
          <w:lang w:val="en-US" w:eastAsia="zh-CN"/>
        </w:rPr>
        <w:t>1069.67</w:t>
      </w:r>
      <w:r>
        <w:rPr>
          <w:rFonts w:ascii="仿宋" w:eastAsia="仿宋" w:cs="仿宋_GB2312" w:hint="eastAsia"/>
          <w:b w:val="0"/>
          <w:bCs/>
          <w:sz w:val="32"/>
          <w:szCs w:val="32"/>
        </w:rPr>
        <w:t>万元，</w:t>
      </w:r>
      <w:r>
        <w:rPr>
          <w:rFonts w:ascii="仿宋" w:eastAsia="仿宋" w:cs="仿宋_GB2312" w:hint="eastAsia"/>
          <w:b w:val="0"/>
          <w:bCs/>
          <w:color w:val="auto"/>
          <w:sz w:val="32"/>
          <w:szCs w:val="32"/>
        </w:rPr>
        <w:t>其中社会保障和就业支出</w:t>
      </w:r>
      <w:r>
        <w:rPr>
          <w:rFonts w:ascii="仿宋" w:eastAsia="仿宋" w:cs="仿宋_GB2312" w:hint="eastAsia"/>
          <w:b w:val="0"/>
          <w:bCs/>
          <w:color w:val="auto"/>
          <w:sz w:val="32"/>
          <w:szCs w:val="32"/>
          <w:lang w:val="en-US" w:eastAsia="zh-CN"/>
        </w:rPr>
        <w:t>861.11</w:t>
      </w:r>
      <w:r>
        <w:rPr>
          <w:rFonts w:ascii="仿宋" w:eastAsia="仿宋" w:cs="仿宋_GB2312" w:hint="eastAsia"/>
          <w:b w:val="0"/>
          <w:bCs/>
          <w:color w:val="auto"/>
          <w:sz w:val="32"/>
          <w:szCs w:val="32"/>
        </w:rPr>
        <w:t>万元，占</w:t>
      </w:r>
      <w:r>
        <w:rPr>
          <w:rFonts w:ascii="仿宋" w:eastAsia="仿宋" w:cs="仿宋_GB2312" w:hint="eastAsia"/>
          <w:b w:val="0"/>
          <w:bCs/>
          <w:color w:val="auto"/>
          <w:sz w:val="32"/>
          <w:szCs w:val="32"/>
          <w:lang w:val="en-US" w:eastAsia="zh-CN"/>
        </w:rPr>
        <w:t>81</w:t>
      </w:r>
      <w:r>
        <w:rPr>
          <w:rFonts w:ascii="仿宋" w:eastAsia="仿宋" w:cs="仿宋_GB2312" w:hint="eastAsia"/>
          <w:b w:val="0"/>
          <w:bCs/>
          <w:color w:val="auto"/>
          <w:sz w:val="32"/>
          <w:szCs w:val="32"/>
        </w:rPr>
        <w:t>%；卫生健康支出</w:t>
      </w:r>
      <w:r>
        <w:rPr>
          <w:rFonts w:ascii="仿宋" w:eastAsia="仿宋" w:cs="仿宋_GB2312" w:hint="eastAsia"/>
          <w:b w:val="0"/>
          <w:bCs/>
          <w:color w:val="auto"/>
          <w:sz w:val="32"/>
          <w:szCs w:val="32"/>
          <w:lang w:val="en-US" w:eastAsia="zh-CN"/>
        </w:rPr>
        <w:t>18.27</w:t>
      </w:r>
      <w:r>
        <w:rPr>
          <w:rFonts w:ascii="仿宋" w:eastAsia="仿宋" w:cs="仿宋_GB2312" w:hint="eastAsia"/>
          <w:b w:val="0"/>
          <w:bCs/>
          <w:color w:val="auto"/>
          <w:sz w:val="32"/>
          <w:szCs w:val="32"/>
        </w:rPr>
        <w:t>万元，占</w:t>
      </w:r>
      <w:r>
        <w:rPr>
          <w:rFonts w:ascii="仿宋" w:eastAsia="仿宋" w:cs="仿宋_GB2312" w:hint="eastAsia"/>
          <w:b w:val="0"/>
          <w:bCs/>
          <w:color w:val="auto"/>
          <w:sz w:val="32"/>
          <w:szCs w:val="32"/>
          <w:lang w:val="en-US" w:eastAsia="zh-CN"/>
        </w:rPr>
        <w:t>2</w:t>
      </w:r>
      <w:r>
        <w:rPr>
          <w:rFonts w:ascii="仿宋" w:eastAsia="仿宋" w:cs="仿宋_GB2312" w:hint="eastAsia"/>
          <w:b w:val="0"/>
          <w:bCs/>
          <w:color w:val="auto"/>
          <w:sz w:val="32"/>
          <w:szCs w:val="32"/>
        </w:rPr>
        <w:t>%；住房保障支出</w:t>
      </w:r>
      <w:r>
        <w:rPr>
          <w:rFonts w:ascii="仿宋" w:eastAsia="仿宋" w:cs="仿宋_GB2312" w:hint="eastAsia"/>
          <w:b w:val="0"/>
          <w:bCs/>
          <w:color w:val="auto"/>
          <w:sz w:val="32"/>
          <w:szCs w:val="32"/>
          <w:lang w:val="en-US" w:eastAsia="zh-CN"/>
        </w:rPr>
        <w:t>10.29</w:t>
      </w:r>
      <w:r>
        <w:rPr>
          <w:rFonts w:ascii="仿宋" w:eastAsia="仿宋" w:cs="仿宋_GB2312" w:hint="eastAsia"/>
          <w:b w:val="0"/>
          <w:bCs/>
          <w:color w:val="auto"/>
          <w:sz w:val="32"/>
          <w:szCs w:val="32"/>
        </w:rPr>
        <w:t>万元，占</w:t>
      </w:r>
      <w:r>
        <w:rPr>
          <w:rFonts w:ascii="仿宋" w:eastAsia="仿宋" w:cs="仿宋_GB2312" w:hint="eastAsia"/>
          <w:b w:val="0"/>
          <w:bCs/>
          <w:color w:val="auto"/>
          <w:sz w:val="32"/>
          <w:szCs w:val="32"/>
          <w:lang w:val="en-US" w:eastAsia="zh-CN"/>
        </w:rPr>
        <w:t>1%，其他支出180万元，占16%</w:t>
      </w:r>
      <w:r>
        <w:rPr>
          <w:rFonts w:ascii="仿宋" w:eastAsia="仿宋" w:cs="仿宋_GB2312" w:hint="eastAsia"/>
          <w:b w:val="0"/>
          <w:bCs/>
          <w:color w:val="auto"/>
          <w:sz w:val="32"/>
          <w:szCs w:val="32"/>
        </w:rPr>
        <w:t>；</w:t>
      </w:r>
    </w:p>
    <w:p>
      <w:pPr>
        <w:pBdr>
          <w:bottom w:val="single" w:sz="4" w:space="29" w:color="FFFFFF"/>
        </w:pBdr>
        <w:tabs>
          <w:tab w:val="left" w:pos="1440"/>
        </w:tabs>
        <w:autoSpaceDE w:val="0"/>
        <w:autoSpaceDN w:val="0"/>
        <w:spacing w:line="560" w:lineRule="exact"/>
        <w:ind w:left="0" w:firstLineChars="100" w:firstLine="320"/>
        <w:jc w:val="left"/>
        <w:rPr>
          <w:rFonts w:ascii="仿宋" w:eastAsia="仿宋" w:cs="黑体" w:hint="eastAsia"/>
          <w:bCs/>
          <w:sz w:val="32"/>
          <w:szCs w:val="32"/>
        </w:rPr>
      </w:pPr>
      <w:r>
        <w:rPr>
          <w:rFonts w:ascii="仿宋" w:eastAsia="仿宋" w:cs="黑体" w:hint="eastAsia"/>
          <w:bCs/>
          <w:sz w:val="32"/>
          <w:szCs w:val="32"/>
          <w:lang w:val="en-US" w:eastAsia="zh-CN"/>
        </w:rPr>
        <w:t>3.</w:t>
      </w:r>
      <w:r>
        <w:rPr>
          <w:rFonts w:ascii="仿宋" w:eastAsia="仿宋" w:cs="黑体" w:hint="eastAsia"/>
          <w:bCs/>
          <w:sz w:val="32"/>
          <w:szCs w:val="32"/>
        </w:rPr>
        <w:t>一般公共预算财政拨款基本支出决算情况</w:t>
      </w:r>
    </w:p>
    <w:p>
      <w:pPr>
        <w:pBdr>
          <w:bottom w:val="single" w:sz="4" w:space="29" w:color="FFFFFF"/>
        </w:pBdr>
        <w:tabs>
          <w:tab w:val="left" w:pos="1440"/>
        </w:tabs>
        <w:autoSpaceDE w:val="0"/>
        <w:autoSpaceDN w:val="0"/>
        <w:spacing w:line="560" w:lineRule="exact"/>
        <w:ind w:left="0" w:firstLineChars="200" w:firstLine="640"/>
        <w:jc w:val="left"/>
        <w:rPr>
          <w:rFonts w:ascii="仿宋" w:eastAsia="仿宋" w:cs="仿宋_GB2312" w:hint="eastAsia"/>
          <w:b w:val="0"/>
          <w:bCs/>
          <w:sz w:val="32"/>
          <w:szCs w:val="32"/>
        </w:rPr>
      </w:pPr>
      <w:r>
        <w:rPr>
          <w:rFonts w:ascii="仿宋" w:eastAsia="仿宋" w:cs="仿宋_GB2312" w:hint="eastAsia"/>
          <w:b w:val="0"/>
          <w:bCs/>
          <w:sz w:val="32"/>
          <w:szCs w:val="32"/>
        </w:rPr>
        <w:t>金川县退役军人事务局20</w:t>
      </w:r>
      <w:r>
        <w:rPr>
          <w:rFonts w:ascii="仿宋" w:eastAsia="仿宋" w:cs="仿宋_GB2312" w:hint="eastAsia"/>
          <w:b w:val="0"/>
          <w:bCs/>
          <w:sz w:val="32"/>
          <w:szCs w:val="32"/>
          <w:lang w:val="en-US" w:eastAsia="zh-CN"/>
        </w:rPr>
        <w:t>22</w:t>
      </w:r>
      <w:r>
        <w:rPr>
          <w:rFonts w:ascii="仿宋" w:eastAsia="仿宋" w:cs="仿宋_GB2312" w:hint="eastAsia"/>
          <w:b w:val="0"/>
          <w:bCs/>
          <w:sz w:val="32"/>
          <w:szCs w:val="32"/>
        </w:rPr>
        <w:t>年一般公共预算财政拨款基本支出</w:t>
      </w:r>
      <w:r>
        <w:rPr>
          <w:rFonts w:ascii="仿宋" w:eastAsia="仿宋" w:cs="仿宋_GB2312" w:hint="eastAsia"/>
          <w:b w:val="0"/>
          <w:bCs/>
          <w:sz w:val="32"/>
          <w:szCs w:val="32"/>
          <w:lang w:val="en-US" w:eastAsia="zh-CN"/>
        </w:rPr>
        <w:t>153.21</w:t>
      </w:r>
      <w:r>
        <w:rPr>
          <w:rFonts w:ascii="仿宋" w:eastAsia="仿宋" w:cs="仿宋_GB2312" w:hint="eastAsia"/>
          <w:b w:val="0"/>
          <w:bCs/>
          <w:sz w:val="32"/>
          <w:szCs w:val="32"/>
        </w:rPr>
        <w:t>万元，其中：</w:t>
      </w:r>
    </w:p>
    <w:p>
      <w:pPr>
        <w:pBdr>
          <w:bottom w:val="single" w:sz="4" w:space="29" w:color="FFFFFF"/>
        </w:pBdr>
        <w:tabs>
          <w:tab w:val="left" w:pos="1440"/>
        </w:tabs>
        <w:autoSpaceDE w:val="0"/>
        <w:autoSpaceDN w:val="0"/>
        <w:spacing w:line="560" w:lineRule="exact"/>
        <w:ind w:left="0" w:firstLineChars="200" w:firstLine="640"/>
        <w:jc w:val="left"/>
        <w:rPr>
          <w:rFonts w:ascii="仿宋" w:eastAsia="仿宋" w:cs="仿宋_GB2312" w:hint="eastAsia"/>
          <w:b w:val="0"/>
          <w:bCs/>
          <w:sz w:val="32"/>
          <w:szCs w:val="32"/>
        </w:rPr>
      </w:pPr>
      <w:r>
        <w:rPr>
          <w:rFonts w:ascii="仿宋" w:eastAsia="仿宋" w:cs="仿宋_GB2312" w:hint="eastAsia"/>
          <w:b w:val="0"/>
          <w:bCs/>
          <w:sz w:val="32"/>
          <w:szCs w:val="32"/>
        </w:rPr>
        <w:t>人员经费</w:t>
      </w:r>
      <w:r>
        <w:rPr>
          <w:rFonts w:ascii="仿宋" w:eastAsia="仿宋" w:cs="仿宋_GB2312" w:hint="eastAsia"/>
          <w:b w:val="0"/>
          <w:bCs/>
          <w:sz w:val="32"/>
          <w:szCs w:val="32"/>
          <w:lang w:val="en-US" w:eastAsia="zh-CN"/>
        </w:rPr>
        <w:t>140.81</w:t>
      </w:r>
      <w:r>
        <w:rPr>
          <w:rFonts w:ascii="仿宋" w:eastAsia="仿宋" w:cs="仿宋_GB2312" w:hint="eastAsia"/>
          <w:b w:val="0"/>
          <w:bCs/>
          <w:sz w:val="32"/>
          <w:szCs w:val="32"/>
        </w:rPr>
        <w:t>万元，主要包括：基本工资</w:t>
      </w:r>
      <w:r>
        <w:rPr>
          <w:rFonts w:ascii="仿宋" w:eastAsia="仿宋" w:cs="仿宋_GB2312" w:hint="eastAsia"/>
          <w:b w:val="0"/>
          <w:bCs/>
          <w:sz w:val="32"/>
          <w:szCs w:val="32"/>
          <w:lang w:val="en-US" w:eastAsia="zh-CN"/>
        </w:rPr>
        <w:t>31.23</w:t>
      </w:r>
      <w:r>
        <w:rPr>
          <w:rFonts w:ascii="仿宋" w:eastAsia="仿宋" w:cs="仿宋_GB2312" w:hint="eastAsia"/>
          <w:b w:val="0"/>
          <w:bCs/>
          <w:sz w:val="32"/>
          <w:szCs w:val="32"/>
        </w:rPr>
        <w:t>万元、津贴补贴</w:t>
      </w:r>
      <w:r>
        <w:rPr>
          <w:rFonts w:ascii="仿宋" w:eastAsia="仿宋" w:cs="仿宋_GB2312" w:hint="eastAsia"/>
          <w:b w:val="0"/>
          <w:bCs/>
          <w:sz w:val="32"/>
          <w:szCs w:val="32"/>
          <w:lang w:val="en-US" w:eastAsia="zh-CN"/>
        </w:rPr>
        <w:t>25.27</w:t>
      </w:r>
      <w:r>
        <w:rPr>
          <w:rFonts w:ascii="仿宋" w:eastAsia="仿宋" w:cs="仿宋_GB2312" w:hint="eastAsia"/>
          <w:b w:val="0"/>
          <w:bCs/>
          <w:sz w:val="32"/>
          <w:szCs w:val="32"/>
        </w:rPr>
        <w:t>万元、奖金</w:t>
      </w:r>
      <w:r>
        <w:rPr>
          <w:rFonts w:ascii="仿宋" w:eastAsia="仿宋" w:cs="仿宋_GB2312" w:hint="eastAsia"/>
          <w:b w:val="0"/>
          <w:bCs/>
          <w:sz w:val="32"/>
          <w:szCs w:val="32"/>
          <w:lang w:val="en-US" w:eastAsia="zh-CN"/>
        </w:rPr>
        <w:t>26.87</w:t>
      </w:r>
      <w:r>
        <w:rPr>
          <w:rFonts w:ascii="仿宋" w:eastAsia="仿宋" w:cs="仿宋_GB2312" w:hint="eastAsia"/>
          <w:b w:val="0"/>
          <w:bCs/>
          <w:sz w:val="32"/>
          <w:szCs w:val="32"/>
        </w:rPr>
        <w:t>万元、伙食补助费0万元、绩效工资</w:t>
      </w:r>
      <w:r>
        <w:rPr>
          <w:rFonts w:ascii="仿宋" w:eastAsia="仿宋" w:cs="仿宋_GB2312" w:hint="eastAsia"/>
          <w:b w:val="0"/>
          <w:bCs/>
          <w:sz w:val="32"/>
          <w:szCs w:val="32"/>
          <w:lang w:val="en-US" w:eastAsia="zh-CN"/>
        </w:rPr>
        <w:t>8.52</w:t>
      </w:r>
      <w:r>
        <w:rPr>
          <w:rFonts w:ascii="仿宋" w:eastAsia="仿宋" w:cs="仿宋_GB2312" w:hint="eastAsia"/>
          <w:b w:val="0"/>
          <w:bCs/>
          <w:sz w:val="32"/>
          <w:szCs w:val="32"/>
        </w:rPr>
        <w:t>万元、机关事业单位基本养老保险缴费</w:t>
      </w:r>
      <w:r>
        <w:rPr>
          <w:rFonts w:ascii="仿宋" w:eastAsia="仿宋" w:cs="仿宋_GB2312" w:hint="eastAsia"/>
          <w:b w:val="0"/>
          <w:bCs/>
          <w:sz w:val="32"/>
          <w:szCs w:val="32"/>
          <w:lang w:val="en-US" w:eastAsia="zh-CN"/>
        </w:rPr>
        <w:t>11.97</w:t>
      </w:r>
      <w:r>
        <w:rPr>
          <w:rFonts w:ascii="仿宋" w:eastAsia="仿宋" w:cs="仿宋_GB2312" w:hint="eastAsia"/>
          <w:b w:val="0"/>
          <w:bCs/>
          <w:sz w:val="32"/>
          <w:szCs w:val="32"/>
        </w:rPr>
        <w:t>万元、职业年金缴费</w:t>
      </w:r>
      <w:r>
        <w:rPr>
          <w:rFonts w:ascii="仿宋" w:eastAsia="仿宋" w:cs="仿宋_GB2312" w:hint="eastAsia"/>
          <w:b w:val="0"/>
          <w:bCs/>
          <w:sz w:val="32"/>
          <w:szCs w:val="32"/>
          <w:lang w:val="en-US" w:eastAsia="zh-CN"/>
        </w:rPr>
        <w:t>5.99</w:t>
      </w:r>
      <w:r>
        <w:rPr>
          <w:rFonts w:ascii="仿宋" w:eastAsia="仿宋" w:cs="仿宋_GB2312" w:hint="eastAsia"/>
          <w:b w:val="0"/>
          <w:bCs/>
          <w:sz w:val="32"/>
          <w:szCs w:val="32"/>
        </w:rPr>
        <w:t>万元、其他社会保障缴费</w:t>
      </w:r>
      <w:r>
        <w:rPr>
          <w:rFonts w:ascii="仿宋" w:eastAsia="仿宋" w:cs="仿宋_GB2312" w:hint="eastAsia"/>
          <w:b w:val="0"/>
          <w:bCs/>
          <w:sz w:val="32"/>
          <w:szCs w:val="32"/>
          <w:lang w:val="en-US" w:eastAsia="zh-CN"/>
        </w:rPr>
        <w:t>1.08</w:t>
      </w:r>
      <w:r>
        <w:rPr>
          <w:rFonts w:ascii="仿宋" w:eastAsia="仿宋" w:cs="仿宋_GB2312" w:hint="eastAsia"/>
          <w:b w:val="0"/>
          <w:bCs/>
          <w:sz w:val="32"/>
          <w:szCs w:val="32"/>
        </w:rPr>
        <w:t>万元、其他工资福利支出0万元、离休费0万元、退休费0万元、抚恤金0万元、奖励金</w:t>
      </w:r>
      <w:r>
        <w:rPr>
          <w:rFonts w:ascii="仿宋" w:eastAsia="仿宋" w:cs="仿宋_GB2312" w:hint="eastAsia"/>
          <w:b w:val="0"/>
          <w:bCs/>
          <w:sz w:val="32"/>
          <w:szCs w:val="32"/>
          <w:lang w:val="en-US" w:eastAsia="zh-CN"/>
        </w:rPr>
        <w:t>12.6</w:t>
      </w:r>
      <w:r>
        <w:rPr>
          <w:rFonts w:ascii="仿宋" w:eastAsia="仿宋" w:cs="仿宋_GB2312" w:hint="eastAsia"/>
          <w:b w:val="0"/>
          <w:bCs/>
          <w:sz w:val="32"/>
          <w:szCs w:val="32"/>
        </w:rPr>
        <w:t>万元、职工医疗补助</w:t>
      </w:r>
      <w:r>
        <w:rPr>
          <w:rFonts w:ascii="仿宋" w:eastAsia="仿宋" w:cs="仿宋_GB2312" w:hint="eastAsia"/>
          <w:b w:val="0"/>
          <w:bCs/>
          <w:sz w:val="32"/>
          <w:szCs w:val="32"/>
          <w:lang w:val="en-US" w:eastAsia="zh-CN"/>
        </w:rPr>
        <w:t>5.34</w:t>
      </w:r>
      <w:r>
        <w:rPr>
          <w:rFonts w:ascii="仿宋" w:eastAsia="仿宋" w:cs="仿宋_GB2312" w:hint="eastAsia"/>
          <w:b w:val="0"/>
          <w:bCs/>
          <w:sz w:val="32"/>
          <w:szCs w:val="32"/>
        </w:rPr>
        <w:t>万元、公务员医疗补助</w:t>
      </w:r>
      <w:r>
        <w:rPr>
          <w:rFonts w:ascii="仿宋" w:eastAsia="仿宋" w:cs="仿宋_GB2312" w:hint="eastAsia"/>
          <w:b w:val="0"/>
          <w:bCs/>
          <w:sz w:val="32"/>
          <w:szCs w:val="32"/>
          <w:lang w:val="en-US" w:eastAsia="zh-CN"/>
        </w:rPr>
        <w:t>0.73</w:t>
      </w:r>
      <w:r>
        <w:rPr>
          <w:rFonts w:ascii="仿宋" w:eastAsia="仿宋" w:cs="仿宋_GB2312" w:hint="eastAsia"/>
          <w:b w:val="0"/>
          <w:bCs/>
          <w:sz w:val="32"/>
          <w:szCs w:val="32"/>
        </w:rPr>
        <w:t>万元、</w:t>
      </w:r>
      <w:r>
        <w:rPr>
          <w:rFonts w:ascii="仿宋" w:eastAsia="仿宋" w:cs="仿宋_GB2312" w:hint="eastAsia"/>
          <w:b w:val="0"/>
          <w:bCs/>
          <w:sz w:val="32"/>
          <w:szCs w:val="32"/>
          <w:lang w:val="en-US" w:eastAsia="zh-CN"/>
        </w:rPr>
        <w:t>其他行政事业医疗支出0.5万元、</w:t>
      </w:r>
      <w:r>
        <w:rPr>
          <w:rFonts w:ascii="仿宋" w:eastAsia="仿宋" w:cs="仿宋_GB2312" w:hint="eastAsia"/>
          <w:b w:val="0"/>
          <w:bCs/>
          <w:sz w:val="32"/>
          <w:szCs w:val="32"/>
        </w:rPr>
        <w:t>生活补助0</w:t>
      </w:r>
      <w:r>
        <w:rPr>
          <w:rFonts w:ascii="仿宋" w:eastAsia="仿宋" w:cs="仿宋_GB2312" w:hint="eastAsia"/>
          <w:b w:val="0"/>
          <w:bCs/>
          <w:sz w:val="32"/>
          <w:szCs w:val="32"/>
          <w:lang w:val="en-US" w:eastAsia="zh-CN"/>
        </w:rPr>
        <w:t>.42</w:t>
      </w:r>
      <w:r>
        <w:rPr>
          <w:rFonts w:ascii="仿宋" w:eastAsia="仿宋" w:cs="仿宋_GB2312" w:hint="eastAsia"/>
          <w:b w:val="0"/>
          <w:bCs/>
          <w:sz w:val="32"/>
          <w:szCs w:val="32"/>
        </w:rPr>
        <w:t>万元、住房公积金</w:t>
      </w:r>
      <w:r>
        <w:rPr>
          <w:rFonts w:ascii="仿宋" w:eastAsia="仿宋" w:cs="仿宋_GB2312" w:hint="eastAsia"/>
          <w:b w:val="0"/>
          <w:bCs/>
          <w:sz w:val="32"/>
          <w:szCs w:val="32"/>
          <w:lang w:val="en-US" w:eastAsia="zh-CN"/>
        </w:rPr>
        <w:t>10.29</w:t>
      </w:r>
      <w:r>
        <w:rPr>
          <w:rFonts w:ascii="仿宋" w:eastAsia="仿宋" w:cs="仿宋_GB2312" w:hint="eastAsia"/>
          <w:b w:val="0"/>
          <w:bCs/>
          <w:sz w:val="32"/>
          <w:szCs w:val="32"/>
        </w:rPr>
        <w:t>万元、提租补贴0万元、购房补贴0万元。</w:t>
      </w:r>
    </w:p>
    <w:p>
      <w:pPr>
        <w:pBdr>
          <w:bottom w:val="single" w:sz="4" w:space="29" w:color="FFFFFF"/>
        </w:pBdr>
        <w:tabs>
          <w:tab w:val="left" w:pos="1440"/>
        </w:tabs>
        <w:autoSpaceDE w:val="0"/>
        <w:autoSpaceDN w:val="0"/>
        <w:spacing w:line="560" w:lineRule="exact"/>
        <w:ind w:left="0" w:firstLineChars="200" w:firstLine="640"/>
        <w:jc w:val="left"/>
        <w:rPr>
          <w:rFonts w:ascii="仿宋" w:eastAsia="仿宋" w:cs="仿宋_GB2312" w:hint="eastAsia"/>
          <w:b w:val="0"/>
          <w:bCs/>
          <w:sz w:val="32"/>
          <w:szCs w:val="32"/>
        </w:rPr>
      </w:pPr>
      <w:r>
        <w:rPr>
          <w:rFonts w:ascii="仿宋" w:eastAsia="仿宋" w:cs="仿宋_GB2312" w:hint="eastAsia"/>
          <w:b w:val="0"/>
          <w:bCs/>
          <w:sz w:val="32"/>
          <w:szCs w:val="32"/>
        </w:rPr>
        <w:t>公用经费</w:t>
      </w:r>
      <w:r>
        <w:rPr>
          <w:rFonts w:ascii="仿宋" w:eastAsia="仿宋" w:cs="仿宋_GB2312" w:hint="eastAsia"/>
          <w:b w:val="0"/>
          <w:bCs/>
          <w:sz w:val="32"/>
          <w:szCs w:val="32"/>
          <w:lang w:val="en-US" w:eastAsia="zh-CN"/>
        </w:rPr>
        <w:t>12.4</w:t>
      </w:r>
      <w:r>
        <w:rPr>
          <w:rFonts w:ascii="仿宋" w:eastAsia="仿宋" w:cs="仿宋_GB2312" w:hint="eastAsia"/>
          <w:b w:val="0"/>
          <w:bCs/>
          <w:sz w:val="32"/>
          <w:szCs w:val="32"/>
        </w:rPr>
        <w:t>万元，主要包括：办公费</w:t>
      </w:r>
      <w:r>
        <w:rPr>
          <w:rFonts w:ascii="仿宋" w:eastAsia="仿宋" w:cs="仿宋_GB2312" w:hint="eastAsia"/>
          <w:b w:val="0"/>
          <w:bCs/>
          <w:sz w:val="32"/>
          <w:szCs w:val="32"/>
          <w:lang w:val="en-US" w:eastAsia="zh-CN"/>
        </w:rPr>
        <w:t>2.59</w:t>
      </w:r>
      <w:r>
        <w:rPr>
          <w:rFonts w:ascii="仿宋" w:eastAsia="仿宋" w:cs="仿宋_GB2312" w:hint="eastAsia"/>
          <w:b w:val="0"/>
          <w:bCs/>
          <w:sz w:val="32"/>
          <w:szCs w:val="32"/>
        </w:rPr>
        <w:t>万元、印刷费0万元、咨询费0万元、手续费</w:t>
      </w:r>
      <w:r>
        <w:rPr>
          <w:rFonts w:ascii="仿宋" w:eastAsia="仿宋" w:cs="仿宋_GB2312" w:hint="eastAsia"/>
          <w:b w:val="0"/>
          <w:bCs/>
          <w:sz w:val="32"/>
          <w:szCs w:val="32"/>
          <w:lang w:val="en-US" w:eastAsia="zh-CN"/>
        </w:rPr>
        <w:t>0.03</w:t>
      </w:r>
      <w:r>
        <w:rPr>
          <w:rFonts w:ascii="仿宋" w:eastAsia="仿宋" w:cs="仿宋_GB2312" w:hint="eastAsia"/>
          <w:b w:val="0"/>
          <w:bCs/>
          <w:sz w:val="32"/>
          <w:szCs w:val="32"/>
        </w:rPr>
        <w:t>万元、水费0.0</w:t>
      </w:r>
      <w:r>
        <w:rPr>
          <w:rFonts w:ascii="仿宋" w:eastAsia="仿宋" w:cs="仿宋_GB2312" w:hint="eastAsia"/>
          <w:b w:val="0"/>
          <w:bCs/>
          <w:sz w:val="32"/>
          <w:szCs w:val="32"/>
          <w:lang w:val="en-US" w:eastAsia="zh-CN"/>
        </w:rPr>
        <w:t>8</w:t>
      </w:r>
      <w:r>
        <w:rPr>
          <w:rFonts w:ascii="仿宋" w:eastAsia="仿宋" w:cs="仿宋_GB2312" w:hint="eastAsia"/>
          <w:b w:val="0"/>
          <w:bCs/>
          <w:sz w:val="32"/>
          <w:szCs w:val="32"/>
        </w:rPr>
        <w:t>万元、电费</w:t>
      </w:r>
      <w:r>
        <w:rPr>
          <w:rFonts w:ascii="仿宋" w:eastAsia="仿宋" w:cs="仿宋_GB2312" w:hint="eastAsia"/>
          <w:b w:val="0"/>
          <w:bCs/>
          <w:sz w:val="32"/>
          <w:szCs w:val="32"/>
          <w:lang w:val="en-US" w:eastAsia="zh-CN"/>
        </w:rPr>
        <w:t>1</w:t>
      </w:r>
      <w:r>
        <w:rPr>
          <w:rFonts w:ascii="仿宋" w:eastAsia="仿宋" w:cs="仿宋_GB2312" w:hint="eastAsia"/>
          <w:b w:val="0"/>
          <w:bCs/>
          <w:sz w:val="32"/>
          <w:szCs w:val="32"/>
        </w:rPr>
        <w:t>万元、邮电费</w:t>
      </w:r>
      <w:r>
        <w:rPr>
          <w:rFonts w:ascii="仿宋" w:eastAsia="仿宋" w:cs="仿宋_GB2312" w:hint="eastAsia"/>
          <w:b w:val="0"/>
          <w:bCs/>
          <w:sz w:val="32"/>
          <w:szCs w:val="32"/>
          <w:lang w:val="en-US" w:eastAsia="zh-CN"/>
        </w:rPr>
        <w:t>1</w:t>
      </w:r>
      <w:r>
        <w:rPr>
          <w:rFonts w:ascii="仿宋" w:eastAsia="仿宋" w:cs="仿宋_GB2312" w:hint="eastAsia"/>
          <w:b w:val="0"/>
          <w:bCs/>
          <w:sz w:val="32"/>
          <w:szCs w:val="32"/>
        </w:rPr>
        <w:t>万元、取暖费0万元、物业管理费0万元、差旅费</w:t>
      </w:r>
      <w:r>
        <w:rPr>
          <w:rFonts w:ascii="仿宋" w:eastAsia="仿宋" w:cs="仿宋_GB2312" w:hint="eastAsia"/>
          <w:b w:val="0"/>
          <w:bCs/>
          <w:sz w:val="32"/>
          <w:szCs w:val="32"/>
          <w:lang w:val="en-US" w:eastAsia="zh-CN"/>
        </w:rPr>
        <w:t>3.5</w:t>
      </w:r>
      <w:r>
        <w:rPr>
          <w:rFonts w:ascii="仿宋" w:eastAsia="仿宋" w:cs="仿宋_GB2312" w:hint="eastAsia"/>
          <w:b w:val="0"/>
          <w:bCs/>
          <w:sz w:val="32"/>
          <w:szCs w:val="32"/>
        </w:rPr>
        <w:t>万元、</w:t>
      </w:r>
      <w:r>
        <w:rPr>
          <w:rFonts w:ascii="仿宋" w:eastAsia="仿宋" w:cs="仿宋_GB2312" w:hint="eastAsia"/>
          <w:b w:val="0"/>
          <w:bCs/>
          <w:sz w:val="32"/>
          <w:szCs w:val="32"/>
          <w:lang w:val="en-US" w:eastAsia="zh-CN"/>
        </w:rPr>
        <w:t>劳务费0.24万元、</w:t>
      </w:r>
      <w:r>
        <w:rPr>
          <w:rFonts w:ascii="仿宋" w:eastAsia="仿宋" w:cs="仿宋_GB2312" w:hint="eastAsia"/>
          <w:b w:val="0"/>
          <w:bCs/>
          <w:sz w:val="32"/>
          <w:szCs w:val="32"/>
        </w:rPr>
        <w:t>因公出国（境）费用0万元、公务用车维修（护）费</w:t>
      </w:r>
      <w:r>
        <w:rPr>
          <w:rFonts w:ascii="仿宋" w:eastAsia="仿宋" w:cs="仿宋_GB2312" w:hint="eastAsia"/>
          <w:b w:val="0"/>
          <w:bCs/>
          <w:sz w:val="32"/>
          <w:szCs w:val="32"/>
          <w:lang w:val="en-US" w:eastAsia="zh-CN"/>
        </w:rPr>
        <w:t>0</w:t>
      </w:r>
      <w:r>
        <w:rPr>
          <w:rFonts w:ascii="仿宋" w:eastAsia="仿宋" w:cs="仿宋_GB2312" w:hint="eastAsia"/>
          <w:b w:val="0"/>
          <w:bCs/>
          <w:sz w:val="32"/>
          <w:szCs w:val="32"/>
        </w:rPr>
        <w:t>万元、租赁费0万元、会议费0万元、培训费0万元、劳务费0万元、取暖费0万元、委托业务费0万元、工会经费0万元、福利费0万元、其他交通费</w:t>
      </w:r>
      <w:r>
        <w:rPr>
          <w:rFonts w:ascii="仿宋" w:eastAsia="仿宋" w:cs="仿宋_GB2312" w:hint="eastAsia"/>
          <w:b w:val="0"/>
          <w:bCs/>
          <w:sz w:val="32"/>
          <w:szCs w:val="32"/>
          <w:lang w:val="en-US" w:eastAsia="zh-CN"/>
        </w:rPr>
        <w:t>3.96</w:t>
      </w:r>
      <w:r>
        <w:rPr>
          <w:rFonts w:ascii="仿宋" w:eastAsia="仿宋" w:cs="仿宋_GB2312" w:hint="eastAsia"/>
          <w:b w:val="0"/>
          <w:bCs/>
          <w:sz w:val="32"/>
          <w:szCs w:val="32"/>
        </w:rPr>
        <w:t>万元、税金及附加费用0万元、接待费0万元，其他商品和服务支出0万元。</w:t>
      </w:r>
    </w:p>
    <w:p>
      <w:pPr>
        <w:pBdr>
          <w:bottom w:val="single" w:sz="4" w:space="29" w:color="FFFFFF"/>
        </w:pBdr>
        <w:tabs>
          <w:tab w:val="left" w:pos="1440"/>
        </w:tabs>
        <w:autoSpaceDE w:val="0"/>
        <w:autoSpaceDN w:val="0"/>
        <w:spacing w:line="560" w:lineRule="exact"/>
        <w:ind w:left="0" w:firstLineChars="200" w:firstLine="640"/>
        <w:jc w:val="left"/>
        <w:rPr>
          <w:rFonts w:ascii="仿宋" w:eastAsia="仿宋" w:cs="仿宋_GB2312" w:hint="eastAsia"/>
          <w:b w:val="0"/>
          <w:bCs/>
          <w:sz w:val="32"/>
          <w:szCs w:val="32"/>
        </w:rPr>
      </w:pPr>
      <w:r>
        <w:rPr>
          <w:rFonts w:ascii="仿宋" w:eastAsia="仿宋" w:cs="仿宋_GB2312" w:hint="eastAsia"/>
          <w:b w:val="0"/>
          <w:bCs/>
          <w:sz w:val="32"/>
          <w:szCs w:val="32"/>
        </w:rPr>
        <w:t>项目支出</w:t>
      </w:r>
      <w:r>
        <w:rPr>
          <w:rFonts w:ascii="仿宋" w:eastAsia="仿宋" w:cs="仿宋_GB2312" w:hint="eastAsia"/>
          <w:b w:val="0"/>
          <w:bCs/>
          <w:sz w:val="32"/>
          <w:szCs w:val="32"/>
          <w:lang w:val="en-US" w:eastAsia="zh-CN"/>
        </w:rPr>
        <w:t>916.46</w:t>
      </w:r>
      <w:r>
        <w:rPr>
          <w:rFonts w:ascii="仿宋" w:eastAsia="仿宋" w:cs="仿宋_GB2312" w:hint="eastAsia"/>
          <w:b w:val="0"/>
          <w:bCs/>
          <w:sz w:val="32"/>
          <w:szCs w:val="32"/>
        </w:rPr>
        <w:t>万元，主要包括：伤残抚恤</w:t>
      </w:r>
      <w:r>
        <w:rPr>
          <w:rFonts w:ascii="仿宋" w:eastAsia="仿宋" w:cs="仿宋_GB2312" w:hint="eastAsia"/>
          <w:b w:val="0"/>
          <w:bCs/>
          <w:sz w:val="32"/>
          <w:szCs w:val="32"/>
          <w:lang w:val="en-US" w:eastAsia="zh-CN"/>
        </w:rPr>
        <w:t>6.91</w:t>
      </w:r>
      <w:r>
        <w:rPr>
          <w:rFonts w:ascii="仿宋" w:eastAsia="仿宋" w:cs="仿宋_GB2312" w:hint="eastAsia"/>
          <w:b w:val="0"/>
          <w:bCs/>
          <w:sz w:val="32"/>
          <w:szCs w:val="32"/>
        </w:rPr>
        <w:t>万元、在乡复员、退伍军人生活补助</w:t>
      </w:r>
      <w:r>
        <w:rPr>
          <w:rFonts w:ascii="仿宋" w:eastAsia="仿宋" w:cs="仿宋_GB2312" w:hint="eastAsia"/>
          <w:b w:val="0"/>
          <w:bCs/>
          <w:sz w:val="32"/>
          <w:szCs w:val="32"/>
          <w:lang w:val="en-US" w:eastAsia="zh-CN"/>
        </w:rPr>
        <w:t>410.73</w:t>
      </w:r>
      <w:r>
        <w:rPr>
          <w:rFonts w:ascii="仿宋" w:eastAsia="仿宋" w:cs="仿宋_GB2312" w:hint="eastAsia"/>
          <w:b w:val="0"/>
          <w:bCs/>
          <w:sz w:val="32"/>
          <w:szCs w:val="32"/>
        </w:rPr>
        <w:t>万元、义务兵优待</w:t>
      </w:r>
      <w:r>
        <w:rPr>
          <w:rFonts w:ascii="仿宋" w:eastAsia="仿宋" w:cs="仿宋_GB2312" w:hint="eastAsia"/>
          <w:b w:val="0"/>
          <w:bCs/>
          <w:sz w:val="32"/>
          <w:szCs w:val="32"/>
          <w:lang w:val="en-US" w:eastAsia="zh-CN"/>
        </w:rPr>
        <w:t>71.22</w:t>
      </w:r>
      <w:r>
        <w:rPr>
          <w:rFonts w:ascii="仿宋" w:eastAsia="仿宋" w:cs="仿宋_GB2312" w:hint="eastAsia"/>
          <w:b w:val="0"/>
          <w:bCs/>
          <w:sz w:val="32"/>
          <w:szCs w:val="32"/>
        </w:rPr>
        <w:t>万元、</w:t>
      </w:r>
      <w:r>
        <w:rPr>
          <w:rFonts w:ascii="仿宋" w:eastAsia="仿宋" w:cs="仿宋_GB2312" w:hint="eastAsia"/>
          <w:b w:val="0"/>
          <w:bCs/>
          <w:sz w:val="32"/>
          <w:szCs w:val="32"/>
          <w:lang w:val="en-US" w:eastAsia="zh-CN"/>
        </w:rPr>
        <w:t>烈士纪念设施管理维护21.31万元、</w:t>
      </w:r>
      <w:r>
        <w:rPr>
          <w:rFonts w:ascii="仿宋" w:eastAsia="仿宋" w:cs="仿宋_GB2312" w:hint="eastAsia"/>
          <w:b w:val="0"/>
          <w:bCs/>
          <w:sz w:val="32"/>
          <w:szCs w:val="32"/>
        </w:rPr>
        <w:t>退役士兵安置</w:t>
      </w:r>
      <w:r>
        <w:rPr>
          <w:rFonts w:ascii="仿宋" w:eastAsia="仿宋" w:cs="仿宋_GB2312" w:hint="eastAsia"/>
          <w:b w:val="0"/>
          <w:bCs/>
          <w:sz w:val="32"/>
          <w:szCs w:val="32"/>
          <w:lang w:val="en-US" w:eastAsia="zh-CN"/>
        </w:rPr>
        <w:t>40</w:t>
      </w:r>
      <w:r>
        <w:rPr>
          <w:rFonts w:ascii="仿宋" w:eastAsia="仿宋" w:cs="仿宋_GB2312" w:hint="eastAsia"/>
          <w:b w:val="0"/>
          <w:bCs/>
          <w:sz w:val="32"/>
          <w:szCs w:val="32"/>
        </w:rPr>
        <w:t>万元、军队移交政府的离退休人员安置</w:t>
      </w:r>
      <w:r>
        <w:rPr>
          <w:rFonts w:ascii="仿宋" w:eastAsia="仿宋" w:cs="仿宋_GB2312" w:hint="eastAsia"/>
          <w:b w:val="0"/>
          <w:bCs/>
          <w:sz w:val="32"/>
          <w:szCs w:val="32"/>
          <w:lang w:val="en-US" w:eastAsia="zh-CN"/>
        </w:rPr>
        <w:t>29.67</w:t>
      </w:r>
      <w:r>
        <w:rPr>
          <w:rFonts w:ascii="仿宋" w:eastAsia="仿宋" w:cs="仿宋_GB2312" w:hint="eastAsia"/>
          <w:b w:val="0"/>
          <w:bCs/>
          <w:sz w:val="32"/>
          <w:szCs w:val="32"/>
        </w:rPr>
        <w:t>万元、军队移交政府离退休干部管理机构</w:t>
      </w:r>
      <w:r>
        <w:rPr>
          <w:rFonts w:ascii="仿宋" w:eastAsia="仿宋" w:cs="仿宋_GB2312" w:hint="eastAsia"/>
          <w:b w:val="0"/>
          <w:bCs/>
          <w:sz w:val="32"/>
          <w:szCs w:val="32"/>
          <w:lang w:val="en-US" w:eastAsia="zh-CN"/>
        </w:rPr>
        <w:t>3.21</w:t>
      </w:r>
      <w:r>
        <w:rPr>
          <w:rFonts w:ascii="仿宋" w:eastAsia="仿宋" w:cs="仿宋_GB2312" w:hint="eastAsia"/>
          <w:b w:val="0"/>
          <w:bCs/>
          <w:sz w:val="32"/>
          <w:szCs w:val="32"/>
        </w:rPr>
        <w:t>万元、</w:t>
      </w:r>
      <w:r>
        <w:rPr>
          <w:rFonts w:ascii="仿宋" w:eastAsia="仿宋" w:cs="仿宋_GB2312" w:hint="eastAsia"/>
          <w:b w:val="0"/>
          <w:bCs/>
          <w:sz w:val="32"/>
          <w:szCs w:val="32"/>
          <w:lang w:val="en-US" w:eastAsia="zh-CN"/>
        </w:rPr>
        <w:t>退役士兵管理教育0万元、</w:t>
      </w:r>
      <w:r>
        <w:rPr>
          <w:rFonts w:ascii="仿宋" w:eastAsia="仿宋" w:cs="仿宋_GB2312" w:hint="eastAsia"/>
          <w:b w:val="0"/>
          <w:bCs/>
          <w:sz w:val="32"/>
          <w:szCs w:val="32"/>
        </w:rPr>
        <w:t>军队专业干部安置</w:t>
      </w:r>
      <w:r>
        <w:rPr>
          <w:rFonts w:ascii="仿宋" w:eastAsia="仿宋" w:cs="仿宋_GB2312" w:hint="eastAsia"/>
          <w:b w:val="0"/>
          <w:bCs/>
          <w:sz w:val="32"/>
          <w:szCs w:val="32"/>
          <w:lang w:val="en-US" w:eastAsia="zh-CN"/>
        </w:rPr>
        <w:t>31.12</w:t>
      </w:r>
      <w:r>
        <w:rPr>
          <w:rFonts w:ascii="仿宋" w:eastAsia="仿宋" w:cs="仿宋_GB2312" w:hint="eastAsia"/>
          <w:b w:val="0"/>
          <w:bCs/>
          <w:sz w:val="32"/>
          <w:szCs w:val="32"/>
        </w:rPr>
        <w:t>万元、</w:t>
      </w:r>
      <w:r>
        <w:rPr>
          <w:rFonts w:ascii="仿宋" w:eastAsia="仿宋" w:cs="仿宋_GB2312" w:hint="eastAsia"/>
          <w:b w:val="0"/>
          <w:bCs/>
          <w:sz w:val="32"/>
          <w:szCs w:val="32"/>
          <w:lang w:val="en-US" w:eastAsia="zh-CN"/>
        </w:rPr>
        <w:t>其他退役安置支出0万元、</w:t>
      </w:r>
      <w:r>
        <w:rPr>
          <w:rFonts w:ascii="仿宋" w:eastAsia="仿宋" w:cs="仿宋_GB2312" w:hint="eastAsia"/>
          <w:b w:val="0"/>
          <w:bCs/>
          <w:sz w:val="32"/>
          <w:szCs w:val="32"/>
        </w:rPr>
        <w:t>拥军优属</w:t>
      </w:r>
      <w:r>
        <w:rPr>
          <w:rFonts w:ascii="仿宋" w:eastAsia="仿宋" w:cs="仿宋_GB2312" w:hint="eastAsia"/>
          <w:b w:val="0"/>
          <w:bCs/>
          <w:sz w:val="32"/>
          <w:szCs w:val="32"/>
          <w:lang w:val="en-US" w:eastAsia="zh-CN"/>
        </w:rPr>
        <w:t>104.63</w:t>
      </w:r>
      <w:r>
        <w:rPr>
          <w:rFonts w:ascii="仿宋" w:eastAsia="仿宋" w:cs="仿宋_GB2312" w:hint="eastAsia"/>
          <w:b w:val="0"/>
          <w:bCs/>
          <w:sz w:val="32"/>
          <w:szCs w:val="32"/>
        </w:rPr>
        <w:t>万元、其他退役军人事务管理支出</w:t>
      </w:r>
      <w:r>
        <w:rPr>
          <w:rFonts w:ascii="仿宋" w:eastAsia="仿宋" w:cs="仿宋_GB2312" w:hint="eastAsia"/>
          <w:b w:val="0"/>
          <w:bCs/>
          <w:sz w:val="32"/>
          <w:szCs w:val="32"/>
          <w:lang w:val="en-US" w:eastAsia="zh-CN"/>
        </w:rPr>
        <w:t>5</w:t>
      </w:r>
      <w:r>
        <w:rPr>
          <w:rFonts w:ascii="仿宋" w:eastAsia="仿宋" w:cs="仿宋_GB2312" w:hint="eastAsia"/>
          <w:b w:val="0"/>
          <w:bCs/>
          <w:sz w:val="32"/>
          <w:szCs w:val="32"/>
        </w:rPr>
        <w:t>万元、优抚对象医疗补助</w:t>
      </w:r>
      <w:r>
        <w:rPr>
          <w:rFonts w:ascii="仿宋" w:eastAsia="仿宋" w:cs="仿宋_GB2312" w:hint="eastAsia"/>
          <w:b w:val="0"/>
          <w:bCs/>
          <w:sz w:val="32"/>
          <w:szCs w:val="32"/>
          <w:lang w:val="en-US" w:eastAsia="zh-CN"/>
        </w:rPr>
        <w:t>11.68</w:t>
      </w:r>
      <w:r>
        <w:rPr>
          <w:rFonts w:ascii="仿宋" w:eastAsia="仿宋" w:cs="仿宋_GB2312" w:hint="eastAsia"/>
          <w:b w:val="0"/>
          <w:bCs/>
          <w:sz w:val="32"/>
          <w:szCs w:val="32"/>
        </w:rPr>
        <w:t>万元、</w:t>
      </w:r>
      <w:r>
        <w:rPr>
          <w:rFonts w:ascii="仿宋" w:eastAsia="仿宋" w:cs="仿宋_GB2312" w:hint="eastAsia"/>
          <w:b w:val="0"/>
          <w:bCs/>
          <w:sz w:val="32"/>
          <w:szCs w:val="32"/>
          <w:lang w:val="en-US" w:eastAsia="zh-CN"/>
        </w:rPr>
        <w:t>其他支出180</w:t>
      </w:r>
      <w:r>
        <w:rPr>
          <w:rFonts w:ascii="仿宋" w:eastAsia="仿宋" w:cs="仿宋_GB2312" w:hint="eastAsia"/>
          <w:b w:val="0"/>
          <w:bCs/>
          <w:sz w:val="32"/>
          <w:szCs w:val="32"/>
        </w:rPr>
        <w:t>万元。</w:t>
      </w:r>
    </w:p>
    <w:p>
      <w:pPr>
        <w:pBdr>
          <w:bottom w:val="single" w:sz="4" w:space="29" w:color="FFFFFF"/>
        </w:pBdr>
        <w:tabs>
          <w:tab w:val="left" w:pos="1440"/>
        </w:tabs>
        <w:autoSpaceDE w:val="0"/>
        <w:autoSpaceDN w:val="0"/>
        <w:spacing w:line="560" w:lineRule="exact"/>
        <w:ind w:firstLineChars="200" w:firstLine="640"/>
        <w:jc w:val="left"/>
        <w:rPr>
          <w:rFonts w:ascii="仿宋" w:eastAsia="仿宋" w:cs="黑体" w:hint="eastAsia"/>
          <w:b w:val="0"/>
          <w:bCs/>
          <w:sz w:val="32"/>
          <w:szCs w:val="32"/>
        </w:rPr>
      </w:pPr>
      <w:r>
        <w:rPr>
          <w:rFonts w:ascii="仿宋" w:eastAsia="仿宋" w:cs="黑体" w:hint="eastAsia"/>
          <w:bCs/>
          <w:sz w:val="32"/>
          <w:szCs w:val="32"/>
        </w:rPr>
        <w:t>4.“三公”经费财政拨款支出决算情况</w:t>
      </w:r>
    </w:p>
    <w:p>
      <w:pPr>
        <w:pBdr>
          <w:bottom w:val="single" w:sz="4" w:space="29" w:color="FFFFFF"/>
        </w:pBdr>
        <w:tabs>
          <w:tab w:val="left" w:pos="1440"/>
        </w:tabs>
        <w:autoSpaceDE w:val="0"/>
        <w:autoSpaceDN w:val="0"/>
        <w:spacing w:line="560" w:lineRule="exact"/>
        <w:ind w:firstLineChars="200" w:firstLine="640"/>
        <w:jc w:val="left"/>
        <w:rPr>
          <w:rFonts w:ascii="仿宋" w:eastAsia="仿宋" w:cs="楷体_GB2312" w:hint="eastAsia"/>
          <w:sz w:val="32"/>
          <w:szCs w:val="32"/>
        </w:rPr>
      </w:pPr>
      <w:r>
        <w:rPr>
          <w:rFonts w:ascii="仿宋" w:eastAsia="仿宋" w:cs="楷体_GB2312" w:hint="eastAsia"/>
          <w:sz w:val="32"/>
          <w:szCs w:val="32"/>
        </w:rPr>
        <w:t>一是“三公”经费财政拨款支出决算总体情况说明</w:t>
      </w:r>
    </w:p>
    <w:p>
      <w:pPr>
        <w:pBdr>
          <w:bottom w:val="single" w:sz="4" w:space="29" w:color="FFFFFF"/>
        </w:pBdr>
        <w:tabs>
          <w:tab w:val="left" w:pos="1440"/>
        </w:tabs>
        <w:autoSpaceDE w:val="0"/>
        <w:autoSpaceDN w:val="0"/>
        <w:spacing w:line="560" w:lineRule="exact"/>
        <w:ind w:firstLineChars="200" w:firstLine="640"/>
        <w:jc w:val="left"/>
        <w:rPr>
          <w:rFonts w:ascii="仿宋" w:eastAsia="仿宋" w:cs="仿宋_GB2312" w:hint="eastAsia"/>
          <w:b w:val="0"/>
          <w:bCs/>
          <w:sz w:val="32"/>
          <w:szCs w:val="32"/>
        </w:rPr>
      </w:pPr>
      <w:r>
        <w:rPr>
          <w:rFonts w:ascii="仿宋" w:eastAsia="仿宋" w:cs="仿宋_GB2312" w:hint="eastAsia"/>
          <w:b w:val="0"/>
          <w:bCs/>
          <w:sz w:val="32"/>
          <w:szCs w:val="32"/>
        </w:rPr>
        <w:t>202</w:t>
      </w:r>
      <w:r>
        <w:rPr>
          <w:rFonts w:ascii="仿宋" w:eastAsia="仿宋" w:cs="仿宋_GB2312" w:hint="eastAsia"/>
          <w:b w:val="0"/>
          <w:bCs/>
          <w:sz w:val="32"/>
          <w:szCs w:val="32"/>
          <w:lang w:val="en-US" w:eastAsia="zh-CN"/>
        </w:rPr>
        <w:t>2</w:t>
      </w:r>
      <w:r>
        <w:rPr>
          <w:rFonts w:ascii="仿宋" w:eastAsia="仿宋" w:cs="仿宋_GB2312" w:hint="eastAsia"/>
          <w:b w:val="0"/>
          <w:bCs/>
          <w:sz w:val="32"/>
          <w:szCs w:val="32"/>
        </w:rPr>
        <w:t>年度“三公”经费财政拨款支出决算中，因公出国（境）费支出决算0万元；公务用车运行维护费支出决算</w:t>
      </w:r>
      <w:r>
        <w:rPr>
          <w:rFonts w:ascii="仿宋" w:eastAsia="仿宋" w:cs="仿宋_GB2312" w:hint="eastAsia"/>
          <w:b w:val="0"/>
          <w:bCs/>
          <w:sz w:val="32"/>
          <w:szCs w:val="32"/>
          <w:lang w:val="en-US" w:eastAsia="zh-CN"/>
        </w:rPr>
        <w:t>0</w:t>
      </w:r>
      <w:r>
        <w:rPr>
          <w:rFonts w:ascii="仿宋" w:eastAsia="仿宋" w:cs="仿宋_GB2312" w:hint="eastAsia"/>
          <w:b w:val="0"/>
          <w:bCs/>
          <w:sz w:val="32"/>
          <w:szCs w:val="32"/>
        </w:rPr>
        <w:t>万元；公务接待费支出决算0万元。具体情况如下：</w:t>
      </w:r>
    </w:p>
    <w:p>
      <w:pPr>
        <w:numPr>
          <w:ilvl w:val="0"/>
          <w:numId w:val="5"/>
        </w:numPr>
        <w:pBdr>
          <w:bottom w:val="single" w:sz="4" w:space="29" w:color="FFFFFF"/>
        </w:pBdr>
        <w:tabs>
          <w:tab w:val="left" w:pos="1440"/>
        </w:tabs>
        <w:autoSpaceDE w:val="0"/>
        <w:autoSpaceDN w:val="0"/>
        <w:spacing w:line="560" w:lineRule="exact"/>
        <w:ind w:left="0" w:firstLineChars="200" w:firstLine="640"/>
        <w:jc w:val="left"/>
        <w:rPr>
          <w:rFonts w:ascii="仿宋" w:eastAsia="仿宋" w:cs="仿宋_GB2312" w:hint="eastAsia"/>
          <w:b w:val="0"/>
          <w:bCs/>
          <w:sz w:val="32"/>
          <w:szCs w:val="32"/>
        </w:rPr>
      </w:pPr>
      <w:r>
        <w:rPr>
          <w:rFonts w:ascii="仿宋" w:eastAsia="仿宋" w:cs="仿宋_GB2312" w:hint="eastAsia"/>
          <w:sz w:val="32"/>
          <w:szCs w:val="32"/>
        </w:rPr>
        <w:t>因公出国（境）经费</w:t>
      </w:r>
      <w:r>
        <w:rPr>
          <w:rFonts w:ascii="仿宋" w:eastAsia="仿宋" w:cs="仿宋_GB2312" w:hint="eastAsia"/>
          <w:sz w:val="32"/>
          <w:szCs w:val="32"/>
          <w:lang w:eastAsia="zh-CN"/>
        </w:rPr>
        <w:t>：</w:t>
      </w:r>
      <w:r>
        <w:rPr>
          <w:rFonts w:ascii="仿宋" w:eastAsia="仿宋" w:cs="仿宋_GB2312" w:hint="eastAsia"/>
          <w:b w:val="0"/>
          <w:bCs/>
          <w:sz w:val="32"/>
          <w:szCs w:val="32"/>
        </w:rPr>
        <w:t>202</w:t>
      </w:r>
      <w:r>
        <w:rPr>
          <w:rFonts w:ascii="仿宋" w:eastAsia="仿宋" w:cs="仿宋_GB2312" w:hint="eastAsia"/>
          <w:b w:val="0"/>
          <w:bCs/>
          <w:sz w:val="32"/>
          <w:szCs w:val="32"/>
          <w:lang w:val="en-US" w:eastAsia="zh-CN"/>
        </w:rPr>
        <w:t>2</w:t>
      </w:r>
      <w:r>
        <w:rPr>
          <w:rFonts w:ascii="仿宋" w:eastAsia="仿宋" w:cs="仿宋_GB2312" w:hint="eastAsia"/>
          <w:b w:val="0"/>
          <w:bCs/>
          <w:sz w:val="32"/>
          <w:szCs w:val="32"/>
        </w:rPr>
        <w:t>年因公出国（境）费0万元。全年安排因公出国（境）团组0次，出国（境）0人。</w:t>
      </w:r>
    </w:p>
    <w:p>
      <w:pPr>
        <w:numPr>
          <w:ilvl w:val="0"/>
          <w:numId w:val="5"/>
        </w:numPr>
        <w:pBdr>
          <w:bottom w:val="single" w:sz="4" w:space="29" w:color="FFFFFF"/>
        </w:pBdr>
        <w:tabs>
          <w:tab w:val="left" w:pos="1440"/>
        </w:tabs>
        <w:autoSpaceDE w:val="0"/>
        <w:autoSpaceDN w:val="0"/>
        <w:spacing w:line="560" w:lineRule="exact"/>
        <w:ind w:left="0" w:firstLineChars="200" w:firstLine="640"/>
        <w:jc w:val="left"/>
        <w:rPr>
          <w:lang w:val="en-US" w:eastAsia="zh-CN"/>
        </w:rPr>
      </w:pPr>
      <w:r>
        <w:rPr>
          <w:rFonts w:ascii="仿宋" w:eastAsia="仿宋" w:cs="仿宋_GB2312" w:hint="eastAsia"/>
          <w:sz w:val="32"/>
          <w:szCs w:val="32"/>
        </w:rPr>
        <w:t>公务用车运行维护费</w:t>
      </w:r>
      <w:r>
        <w:rPr>
          <w:rFonts w:ascii="仿宋" w:eastAsia="仿宋" w:cs="仿宋_GB2312" w:hint="eastAsia"/>
          <w:sz w:val="32"/>
          <w:szCs w:val="32"/>
          <w:lang w:eastAsia="zh-CN"/>
        </w:rPr>
        <w:t>：</w:t>
      </w:r>
      <w:r>
        <w:rPr>
          <w:rFonts w:ascii="仿宋" w:eastAsia="仿宋" w:cs="仿宋_GB2312" w:hint="eastAsia"/>
          <w:b w:val="0"/>
          <w:bCs/>
          <w:sz w:val="32"/>
          <w:szCs w:val="32"/>
        </w:rPr>
        <w:t>202</w:t>
      </w:r>
      <w:r>
        <w:rPr>
          <w:rFonts w:ascii="仿宋" w:eastAsia="仿宋" w:cs="仿宋_GB2312" w:hint="eastAsia"/>
          <w:b w:val="0"/>
          <w:bCs/>
          <w:sz w:val="32"/>
          <w:szCs w:val="32"/>
          <w:lang w:val="en-US" w:eastAsia="zh-CN"/>
        </w:rPr>
        <w:t>2</w:t>
      </w:r>
      <w:r>
        <w:rPr>
          <w:rFonts w:ascii="仿宋" w:eastAsia="仿宋" w:cs="仿宋_GB2312" w:hint="eastAsia"/>
          <w:b w:val="0"/>
          <w:bCs/>
          <w:sz w:val="32"/>
          <w:szCs w:val="32"/>
        </w:rPr>
        <w:t>年</w:t>
      </w:r>
      <w:r>
        <w:rPr>
          <w:rFonts w:ascii="仿宋" w:eastAsia="仿宋" w:cs="仿宋_GB2312" w:hint="eastAsia"/>
          <w:b w:val="0"/>
          <w:bCs/>
          <w:sz w:val="32"/>
          <w:szCs w:val="32"/>
          <w:lang w:val="en-US" w:eastAsia="zh-CN"/>
        </w:rPr>
        <w:t>预算</w:t>
      </w:r>
      <w:r>
        <w:rPr>
          <w:rFonts w:ascii="仿宋" w:eastAsia="仿宋" w:cs="仿宋_GB2312" w:hint="eastAsia"/>
          <w:b w:val="0"/>
          <w:bCs/>
          <w:sz w:val="32"/>
          <w:szCs w:val="32"/>
        </w:rPr>
        <w:t>公务用车运行维护费</w:t>
      </w:r>
      <w:r>
        <w:rPr>
          <w:rFonts w:ascii="仿宋" w:eastAsia="仿宋" w:cs="仿宋_GB2312" w:hint="eastAsia"/>
          <w:b w:val="0"/>
          <w:bCs/>
          <w:sz w:val="32"/>
          <w:szCs w:val="32"/>
          <w:lang w:val="en-US" w:eastAsia="zh-CN"/>
        </w:rPr>
        <w:t>4</w:t>
      </w:r>
      <w:r>
        <w:rPr>
          <w:rFonts w:ascii="仿宋" w:eastAsia="仿宋" w:cs="仿宋_GB2312" w:hint="eastAsia"/>
          <w:b w:val="0"/>
          <w:bCs/>
          <w:sz w:val="32"/>
          <w:szCs w:val="32"/>
        </w:rPr>
        <w:t>万元.其中：公务用车购置支出0万元。全年按规定更新购置公务用车0辆，其中：轿车0辆、金额0万元，越野车0辆、金额0万元，载客汽车0辆、金额0万元。</w:t>
      </w:r>
      <w:r>
        <w:rPr>
          <w:rFonts w:ascii="仿宋" w:eastAsia="仿宋" w:cs="仿宋_GB2312" w:hint="eastAsia"/>
          <w:sz w:val="32"/>
          <w:szCs w:val="32"/>
        </w:rPr>
        <w:t>公务接待费</w:t>
      </w:r>
      <w:r>
        <w:rPr>
          <w:rFonts w:ascii="仿宋" w:eastAsia="仿宋" w:cs="仿宋_GB2312" w:hint="eastAsia"/>
          <w:sz w:val="32"/>
          <w:szCs w:val="32"/>
          <w:lang w:eastAsia="zh-CN"/>
        </w:rPr>
        <w:t>：</w:t>
      </w:r>
      <w:r>
        <w:rPr>
          <w:rFonts w:ascii="仿宋" w:eastAsia="仿宋" w:cs="仿宋_GB2312" w:hint="eastAsia"/>
          <w:b w:val="0"/>
          <w:bCs/>
          <w:sz w:val="32"/>
          <w:szCs w:val="32"/>
        </w:rPr>
        <w:t>202</w:t>
      </w:r>
      <w:r>
        <w:rPr>
          <w:rFonts w:ascii="仿宋" w:eastAsia="仿宋" w:cs="仿宋_GB2312" w:hint="eastAsia"/>
          <w:b w:val="0"/>
          <w:bCs/>
          <w:sz w:val="32"/>
          <w:szCs w:val="32"/>
          <w:lang w:val="en-US" w:eastAsia="zh-CN"/>
        </w:rPr>
        <w:t>2</w:t>
      </w:r>
      <w:r>
        <w:rPr>
          <w:rFonts w:ascii="仿宋" w:eastAsia="仿宋" w:cs="仿宋_GB2312" w:hint="eastAsia"/>
          <w:b w:val="0"/>
          <w:bCs/>
          <w:sz w:val="32"/>
          <w:szCs w:val="32"/>
        </w:rPr>
        <w:t>年公务接待费支出为0万元。</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黑体" w:cs="Times New Roman" w:hAnsi="Times New Roman"/>
          <w:kern w:val="0"/>
          <w:sz w:val="32"/>
          <w:szCs w:val="32"/>
          <w:shd w:val="clear" w:color="auto" w:fill="FFFFFF"/>
        </w:rPr>
      </w:pPr>
      <w:r>
        <w:rPr>
          <w:rFonts w:ascii="Times New Roman" w:eastAsia="黑体" w:cs="Times New Roman" w:hAnsi="Times New Roman"/>
          <w:kern w:val="0"/>
          <w:sz w:val="32"/>
          <w:szCs w:val="32"/>
          <w:shd w:val="clear" w:color="auto" w:fill="FFFFFF"/>
        </w:rPr>
        <w:t>三、部门整体预算绩效管理情况</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（一）部门预算项目绩效管理。</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rPr>
      </w:pPr>
      <w:r>
        <w:rPr>
          <w:rFonts w:ascii="Times New Roman" w:eastAsia="仿宋_GB2312" w:cs="Times New Roman" w:hAnsi="Times New Roman"/>
          <w:bCs/>
          <w:kern w:val="0"/>
          <w:sz w:val="32"/>
          <w:szCs w:val="32"/>
          <w:shd w:val="clear" w:color="auto" w:fill="FFFFFF"/>
          <w:lang w:val="zh-CN"/>
        </w:rPr>
        <w:t>预算编制按照规定做到了细化，内容真实、完整。各项收入均列入部门预算，按要求编制了政府采购预算，结余结转资金规范化管理，按规定及时公开了部门预算。</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rPr>
      </w:pPr>
      <w:r>
        <w:rPr>
          <w:rFonts w:ascii="Times New Roman" w:eastAsia="仿宋_GB2312" w:cs="Times New Roman" w:hAnsi="Times New Roman"/>
          <w:bCs/>
          <w:kern w:val="0"/>
          <w:sz w:val="32"/>
          <w:szCs w:val="32"/>
          <w:shd w:val="clear" w:color="auto" w:fill="FFFFFF"/>
          <w:lang w:val="zh-CN" w:eastAsia="zh-CN"/>
        </w:rPr>
        <w:t>我</w:t>
      </w:r>
      <w:r>
        <w:rPr>
          <w:rFonts w:eastAsia="仿宋_GB2312" w:cs="Times New Roman" w:hint="eastAsia"/>
          <w:bCs/>
          <w:kern w:val="0"/>
          <w:sz w:val="32"/>
          <w:szCs w:val="32"/>
          <w:shd w:val="clear" w:color="auto" w:fill="FFFFFF"/>
          <w:lang w:val="en-US" w:eastAsia="zh-CN"/>
        </w:rPr>
        <w:t>局</w:t>
      </w:r>
      <w:r>
        <w:rPr>
          <w:rFonts w:ascii="Times New Roman" w:eastAsia="仿宋_GB2312" w:cs="Times New Roman" w:hAnsi="Times New Roman"/>
          <w:bCs/>
          <w:kern w:val="0"/>
          <w:sz w:val="32"/>
          <w:szCs w:val="32"/>
          <w:shd w:val="clear" w:color="auto" w:fill="FFFFFF"/>
          <w:lang w:val="zh-CN" w:eastAsia="zh-CN"/>
        </w:rPr>
        <w:t>通过建立完善的内控制度，</w:t>
      </w:r>
      <w:r>
        <w:rPr>
          <w:rFonts w:ascii="Times New Roman" w:eastAsia="仿宋_GB2312" w:cs="Times New Roman" w:hAnsi="Times New Roman"/>
          <w:bCs/>
          <w:kern w:val="0"/>
          <w:sz w:val="32"/>
          <w:szCs w:val="32"/>
          <w:shd w:val="clear" w:color="auto" w:fill="FFFFFF"/>
          <w:lang w:val="zh-CN"/>
        </w:rPr>
        <w:t>所有</w:t>
      </w:r>
      <w:r>
        <w:rPr>
          <w:rFonts w:ascii="Times New Roman" w:eastAsia="仿宋_GB2312" w:cs="Times New Roman" w:hAnsi="Times New Roman"/>
          <w:bCs/>
          <w:kern w:val="0"/>
          <w:sz w:val="32"/>
          <w:szCs w:val="32"/>
          <w:shd w:val="clear" w:color="auto" w:fill="FFFFFF"/>
          <w:lang w:val="zh-CN" w:eastAsia="zh-CN"/>
        </w:rPr>
        <w:t>经费</w:t>
      </w:r>
      <w:r>
        <w:rPr>
          <w:rFonts w:ascii="Times New Roman" w:eastAsia="仿宋_GB2312" w:cs="Times New Roman" w:hAnsi="Times New Roman"/>
          <w:bCs/>
          <w:kern w:val="0"/>
          <w:sz w:val="32"/>
          <w:szCs w:val="32"/>
          <w:shd w:val="clear" w:color="auto" w:fill="FFFFFF"/>
          <w:lang w:val="zh-CN"/>
        </w:rPr>
        <w:t>支出均</w:t>
      </w:r>
      <w:r>
        <w:rPr>
          <w:rFonts w:ascii="Times New Roman" w:eastAsia="仿宋_GB2312" w:cs="Times New Roman" w:hAnsi="Times New Roman"/>
          <w:bCs/>
          <w:kern w:val="0"/>
          <w:sz w:val="32"/>
          <w:szCs w:val="32"/>
          <w:shd w:val="clear" w:color="auto" w:fill="FFFFFF"/>
          <w:lang w:val="zh-CN" w:eastAsia="zh-CN"/>
        </w:rPr>
        <w:t>严格</w:t>
      </w:r>
      <w:r>
        <w:rPr>
          <w:rFonts w:ascii="Times New Roman" w:eastAsia="仿宋_GB2312" w:cs="Times New Roman" w:hAnsi="Times New Roman"/>
          <w:bCs/>
          <w:kern w:val="0"/>
          <w:sz w:val="32"/>
          <w:szCs w:val="32"/>
          <w:shd w:val="clear" w:color="auto" w:fill="FFFFFF"/>
          <w:lang w:val="zh-CN"/>
        </w:rPr>
        <w:t>履行</w:t>
      </w:r>
      <w:r>
        <w:rPr>
          <w:rFonts w:ascii="Times New Roman" w:eastAsia="仿宋_GB2312" w:cs="Times New Roman" w:hAnsi="Times New Roman"/>
          <w:bCs/>
          <w:kern w:val="0"/>
          <w:sz w:val="32"/>
          <w:szCs w:val="32"/>
          <w:shd w:val="clear" w:color="auto" w:fill="FFFFFF"/>
          <w:lang w:val="zh-CN" w:eastAsia="zh-CN"/>
        </w:rPr>
        <w:t>报账</w:t>
      </w:r>
      <w:r>
        <w:rPr>
          <w:rFonts w:ascii="Times New Roman" w:eastAsia="仿宋_GB2312" w:cs="Times New Roman" w:hAnsi="Times New Roman"/>
          <w:bCs/>
          <w:kern w:val="0"/>
          <w:sz w:val="32"/>
          <w:szCs w:val="32"/>
          <w:shd w:val="clear" w:color="auto" w:fill="FFFFFF"/>
          <w:lang w:val="zh-CN"/>
        </w:rPr>
        <w:t>审批手续。基本支出严格执行国家的有关政策及规定，无</w:t>
      </w:r>
      <w:r>
        <w:rPr>
          <w:rFonts w:ascii="Times New Roman" w:eastAsia="仿宋_GB2312" w:cs="Times New Roman" w:hAnsi="Times New Roman"/>
          <w:bCs/>
          <w:kern w:val="0"/>
          <w:sz w:val="32"/>
          <w:szCs w:val="32"/>
          <w:shd w:val="clear" w:color="auto" w:fill="FFFFFF"/>
          <w:lang w:val="zh-CN" w:eastAsia="zh-CN"/>
        </w:rPr>
        <w:t>违规</w:t>
      </w:r>
      <w:r>
        <w:rPr>
          <w:rFonts w:ascii="Times New Roman" w:eastAsia="仿宋_GB2312" w:cs="Times New Roman" w:hAnsi="Times New Roman"/>
          <w:bCs/>
          <w:kern w:val="0"/>
          <w:sz w:val="32"/>
          <w:szCs w:val="32"/>
          <w:shd w:val="clear" w:color="auto" w:fill="FFFFFF"/>
          <w:lang w:val="zh-CN"/>
        </w:rPr>
        <w:t>扩大开支范围和提高开支标准</w:t>
      </w:r>
      <w:r>
        <w:rPr>
          <w:rFonts w:ascii="Times New Roman" w:eastAsia="仿宋_GB2312" w:cs="Times New Roman" w:hAnsi="Times New Roman"/>
          <w:bCs/>
          <w:kern w:val="0"/>
          <w:sz w:val="32"/>
          <w:szCs w:val="32"/>
          <w:shd w:val="clear" w:color="auto" w:fill="FFFFFF"/>
          <w:lang w:val="zh-CN" w:eastAsia="zh-CN"/>
        </w:rPr>
        <w:t>的情况</w:t>
      </w:r>
      <w:r>
        <w:rPr>
          <w:rFonts w:ascii="Times New Roman" w:eastAsia="仿宋_GB2312" w:cs="Times New Roman" w:hAnsi="Times New Roman"/>
          <w:bCs/>
          <w:kern w:val="0"/>
          <w:sz w:val="32"/>
          <w:szCs w:val="32"/>
          <w:shd w:val="clear" w:color="auto" w:fill="FFFFFF"/>
          <w:lang w:val="zh-CN"/>
        </w:rPr>
        <w:t>，单位津补贴、奖金和福利均按照国家或地方的规定发放，无滥发奖金、补贴或福利现象。项目支出均按照批准的项目和用途以及项目实施方案执行</w:t>
      </w:r>
      <w:r>
        <w:rPr>
          <w:rFonts w:ascii="Times New Roman" w:eastAsia="仿宋_GB2312" w:cs="Times New Roman" w:hAnsi="Times New Roman"/>
          <w:bCs/>
          <w:kern w:val="0"/>
          <w:sz w:val="32"/>
          <w:szCs w:val="32"/>
          <w:shd w:val="clear" w:color="auto" w:fill="FFFFFF"/>
          <w:lang w:val="zh-CN" w:eastAsia="zh-CN"/>
        </w:rPr>
        <w:t>。按照国家相关法律规定真实完整的进行预决算编报和信息公开，根据预算执行进度及时进行部门绩效自我评价并依法接受财政监督审查。</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kern w:val="0"/>
          <w:sz w:val="32"/>
          <w:szCs w:val="32"/>
          <w:shd w:val="clear" w:color="auto" w:fill="FFFFFF"/>
          <w:lang w:val="zh-CN"/>
        </w:rPr>
      </w:pPr>
      <w:r>
        <w:rPr>
          <w:rFonts w:ascii="Times New Roman" w:eastAsia="楷体_GB2312" w:cs="Times New Roman" w:hAnsi="Times New Roman"/>
          <w:b/>
          <w:sz w:val="32"/>
          <w:szCs w:val="32"/>
          <w:lang w:val="zh-CN"/>
        </w:rPr>
        <w:t>（二）结果应用情况。</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rPr>
      </w:pPr>
      <w:r>
        <w:rPr>
          <w:rFonts w:ascii="Times New Roman" w:eastAsia="仿宋_GB2312" w:cs="Times New Roman" w:hAnsi="Times New Roman"/>
          <w:bCs/>
          <w:kern w:val="0"/>
          <w:sz w:val="32"/>
          <w:szCs w:val="32"/>
          <w:shd w:val="clear" w:color="auto" w:fill="FFFFFF"/>
          <w:lang w:val="zh-CN"/>
        </w:rPr>
        <w:t>我</w:t>
      </w:r>
      <w:r>
        <w:rPr>
          <w:rFonts w:eastAsia="仿宋_GB2312" w:cs="Times New Roman" w:hint="eastAsia"/>
          <w:bCs/>
          <w:kern w:val="0"/>
          <w:sz w:val="32"/>
          <w:szCs w:val="32"/>
          <w:shd w:val="clear" w:color="auto" w:fill="FFFFFF"/>
          <w:lang w:val="en-US" w:eastAsia="zh-CN"/>
        </w:rPr>
        <w:t>局</w:t>
      </w:r>
      <w:r>
        <w:rPr>
          <w:rFonts w:ascii="Times New Roman" w:eastAsia="仿宋_GB2312" w:cs="Times New Roman" w:hAnsi="Times New Roman"/>
          <w:bCs/>
          <w:kern w:val="0"/>
          <w:sz w:val="32"/>
          <w:szCs w:val="32"/>
          <w:shd w:val="clear" w:color="auto" w:fill="FFFFFF"/>
          <w:lang w:val="zh-CN"/>
        </w:rPr>
        <w:t>202</w:t>
      </w:r>
      <w:r>
        <w:rPr>
          <w:rFonts w:eastAsia="仿宋_GB2312" w:cs="Times New Roman" w:hint="eastAsia"/>
          <w:bCs/>
          <w:kern w:val="0"/>
          <w:sz w:val="32"/>
          <w:szCs w:val="32"/>
          <w:shd w:val="clear" w:color="auto" w:fill="FFFFFF"/>
          <w:lang w:val="en-US" w:eastAsia="zh-CN"/>
        </w:rPr>
        <w:t>2</w:t>
      </w:r>
      <w:r>
        <w:rPr>
          <w:rFonts w:ascii="Times New Roman" w:eastAsia="仿宋_GB2312" w:cs="Times New Roman" w:hAnsi="Times New Roman"/>
          <w:bCs/>
          <w:kern w:val="0"/>
          <w:sz w:val="32"/>
          <w:szCs w:val="32"/>
          <w:shd w:val="clear" w:color="auto" w:fill="FFFFFF"/>
          <w:lang w:val="zh-CN"/>
        </w:rPr>
        <w:t>年度整体支出绩效评价合格，并按规定将自评情况及时报送财政部门备案，对于自评过程中发现的不足及问题，我</w:t>
      </w:r>
      <w:r>
        <w:rPr>
          <w:rFonts w:eastAsia="仿宋_GB2312" w:cs="Times New Roman" w:hint="eastAsia"/>
          <w:bCs/>
          <w:kern w:val="0"/>
          <w:sz w:val="32"/>
          <w:szCs w:val="32"/>
          <w:shd w:val="clear" w:color="auto" w:fill="FFFFFF"/>
          <w:lang w:val="en-US" w:eastAsia="zh-CN"/>
        </w:rPr>
        <w:t>局</w:t>
      </w:r>
      <w:r>
        <w:rPr>
          <w:rFonts w:ascii="Times New Roman" w:eastAsia="仿宋_GB2312" w:cs="Times New Roman" w:hAnsi="Times New Roman"/>
          <w:bCs/>
          <w:kern w:val="0"/>
          <w:sz w:val="32"/>
          <w:szCs w:val="32"/>
          <w:shd w:val="clear" w:color="auto" w:fill="FFFFFF"/>
          <w:lang w:val="zh-CN"/>
        </w:rPr>
        <w:t>积极整改，力求下一年度通过完善相关政策制度，建立更加切合实际的绩效评价体系。</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（三）自评质量</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eastAsia="zh-CN"/>
        </w:rPr>
      </w:pPr>
      <w:r>
        <w:rPr>
          <w:rFonts w:ascii="Times New Roman" w:eastAsia="仿宋_GB2312" w:cs="Times New Roman" w:hAnsi="Times New Roman"/>
          <w:b/>
          <w:bCs/>
          <w:kern w:val="0"/>
          <w:sz w:val="32"/>
          <w:szCs w:val="32"/>
          <w:shd w:val="clear" w:color="auto" w:fill="FFFFFF"/>
          <w:lang w:val="zh-CN" w:eastAsia="zh-CN"/>
        </w:rPr>
        <w:t>1.预算编制。</w:t>
      </w:r>
      <w:r>
        <w:rPr>
          <w:rFonts w:ascii="Times New Roman" w:eastAsia="仿宋_GB2312" w:cs="Times New Roman" w:hAnsi="Times New Roman"/>
          <w:bCs/>
          <w:kern w:val="0"/>
          <w:sz w:val="32"/>
          <w:szCs w:val="32"/>
          <w:shd w:val="clear" w:color="auto" w:fill="FFFFFF"/>
          <w:lang w:val="zh-CN" w:eastAsia="zh-CN"/>
        </w:rPr>
        <w:t>一是做到了绩效目标编制要素齐全，质量适中，绩效指标细化量化；二是做到了绩效目标实际实现程度与预期目标的偏离度小于10%，全年整体效应良好；三是做到了年初预算编制科学合理，全年预算调剂金额占比有效控制在10%以内，预算编制准确率达标。</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eastAsia="zh-CN"/>
        </w:rPr>
      </w:pPr>
      <w:r>
        <w:rPr>
          <w:rFonts w:ascii="Times New Roman" w:eastAsia="仿宋_GB2312" w:cs="Times New Roman" w:hAnsi="Times New Roman"/>
          <w:b/>
          <w:bCs/>
          <w:kern w:val="0"/>
          <w:sz w:val="32"/>
          <w:szCs w:val="32"/>
          <w:shd w:val="clear" w:color="auto" w:fill="FFFFFF"/>
          <w:lang w:val="zh-CN"/>
        </w:rPr>
        <w:t>2.预算执行。</w:t>
      </w:r>
      <w:r>
        <w:rPr>
          <w:rFonts w:ascii="Times New Roman" w:eastAsia="仿宋_GB2312" w:cs="Times New Roman" w:hAnsi="Times New Roman"/>
          <w:bCs/>
          <w:kern w:val="0"/>
          <w:sz w:val="32"/>
          <w:szCs w:val="32"/>
          <w:shd w:val="clear" w:color="auto" w:fill="FFFFFF"/>
          <w:lang w:val="zh-CN" w:eastAsia="zh-CN"/>
        </w:rPr>
        <w:t>支出控制方面，日常公用经费、项目支出中“办公费、印刷费、水费、电费、物业管理费”等科目预决算偏差度小于10%控制标准，支出控制科学合理；执行进度方面，全年在6月、9月、11月进行测算，实际支出进度分别达到</w:t>
      </w:r>
      <w:r>
        <w:rPr>
          <w:rFonts w:eastAsia="仿宋_GB2312" w:cs="Times New Roman" w:hint="eastAsia"/>
          <w:bCs/>
          <w:kern w:val="0"/>
          <w:sz w:val="32"/>
          <w:szCs w:val="32"/>
          <w:shd w:val="clear" w:color="auto" w:fill="FFFFFF"/>
          <w:lang w:val="en-US" w:eastAsia="zh-CN"/>
        </w:rPr>
        <w:t>68.09</w:t>
      </w:r>
      <w:r>
        <w:rPr>
          <w:rFonts w:ascii="Times New Roman" w:eastAsia="仿宋_GB2312" w:cs="Times New Roman" w:hAnsi="Times New Roman"/>
          <w:bCs/>
          <w:kern w:val="0"/>
          <w:sz w:val="32"/>
          <w:szCs w:val="32"/>
          <w:shd w:val="clear" w:color="auto" w:fill="FFFFFF"/>
          <w:lang w:val="zh-CN" w:eastAsia="zh-CN"/>
        </w:rPr>
        <w:t>%、</w:t>
      </w:r>
      <w:r>
        <w:rPr>
          <w:rFonts w:eastAsia="仿宋_GB2312" w:cs="Times New Roman" w:hint="eastAsia"/>
          <w:bCs/>
          <w:kern w:val="0"/>
          <w:sz w:val="32"/>
          <w:szCs w:val="32"/>
          <w:shd w:val="clear" w:color="auto" w:fill="FFFFFF"/>
          <w:lang w:val="en-US" w:eastAsia="zh-CN"/>
        </w:rPr>
        <w:t>84.51</w:t>
      </w:r>
      <w:r>
        <w:rPr>
          <w:rFonts w:ascii="Times New Roman" w:eastAsia="仿宋_GB2312" w:cs="Times New Roman" w:hAnsi="Times New Roman"/>
          <w:bCs/>
          <w:kern w:val="0"/>
          <w:sz w:val="32"/>
          <w:szCs w:val="32"/>
          <w:shd w:val="clear" w:color="auto" w:fill="FFFFFF"/>
          <w:lang w:val="zh-CN" w:eastAsia="zh-CN"/>
        </w:rPr>
        <w:t>%、</w:t>
      </w:r>
      <w:r>
        <w:rPr>
          <w:rFonts w:eastAsia="仿宋_GB2312" w:cs="Times New Roman" w:hint="eastAsia"/>
          <w:bCs/>
          <w:kern w:val="0"/>
          <w:sz w:val="32"/>
          <w:szCs w:val="32"/>
          <w:shd w:val="clear" w:color="auto" w:fill="FFFFFF"/>
          <w:lang w:val="en-US" w:eastAsia="zh-CN"/>
        </w:rPr>
        <w:t>85.81</w:t>
      </w:r>
      <w:r>
        <w:rPr>
          <w:rFonts w:ascii="Times New Roman" w:eastAsia="仿宋_GB2312" w:cs="Times New Roman" w:hAnsi="Times New Roman"/>
          <w:bCs/>
          <w:kern w:val="0"/>
          <w:sz w:val="32"/>
          <w:szCs w:val="32"/>
          <w:shd w:val="clear" w:color="auto" w:fill="FFFFFF"/>
          <w:lang w:val="zh-CN" w:eastAsia="zh-CN"/>
        </w:rPr>
        <w:t>%，执行进度完全高于阶段性量化指标，预算执行良好。</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rPr>
      </w:pPr>
      <w:r>
        <w:rPr>
          <w:rFonts w:ascii="Times New Roman" w:eastAsia="仿宋_GB2312" w:cs="Times New Roman" w:hAnsi="Times New Roman"/>
          <w:b/>
          <w:bCs/>
          <w:kern w:val="0"/>
          <w:sz w:val="32"/>
          <w:szCs w:val="32"/>
          <w:shd w:val="clear" w:color="auto" w:fill="FFFFFF"/>
          <w:lang w:val="zh-CN"/>
        </w:rPr>
        <w:t>3.预算完成。</w:t>
      </w:r>
      <w:r>
        <w:rPr>
          <w:rFonts w:ascii="Times New Roman" w:eastAsia="仿宋_GB2312" w:cs="Times New Roman" w:hAnsi="Times New Roman"/>
          <w:bCs/>
          <w:kern w:val="0"/>
          <w:sz w:val="32"/>
          <w:szCs w:val="32"/>
          <w:shd w:val="clear" w:color="auto" w:fill="FFFFFF"/>
          <w:lang w:val="zh-CN" w:eastAsia="zh-CN"/>
        </w:rPr>
        <w:t>截止202</w:t>
      </w:r>
      <w:r>
        <w:rPr>
          <w:rFonts w:eastAsia="仿宋_GB2312" w:cs="Times New Roman" w:hint="eastAsia"/>
          <w:bCs/>
          <w:kern w:val="0"/>
          <w:sz w:val="32"/>
          <w:szCs w:val="32"/>
          <w:shd w:val="clear" w:color="auto" w:fill="FFFFFF"/>
          <w:lang w:val="en-US" w:eastAsia="zh-CN"/>
        </w:rPr>
        <w:t>2</w:t>
      </w:r>
      <w:r>
        <w:rPr>
          <w:rFonts w:ascii="Times New Roman" w:eastAsia="仿宋_GB2312" w:cs="Times New Roman" w:hAnsi="Times New Roman"/>
          <w:bCs/>
          <w:kern w:val="0"/>
          <w:sz w:val="32"/>
          <w:szCs w:val="32"/>
          <w:shd w:val="clear" w:color="auto" w:fill="FFFFFF"/>
          <w:lang w:val="zh-CN" w:eastAsia="zh-CN"/>
        </w:rPr>
        <w:t>年12月31日，全年预算完成率达到</w:t>
      </w:r>
      <w:r>
        <w:rPr>
          <w:rFonts w:eastAsia="仿宋_GB2312" w:cs="Times New Roman" w:hint="eastAsia"/>
          <w:bCs/>
          <w:kern w:val="0"/>
          <w:sz w:val="32"/>
          <w:szCs w:val="32"/>
          <w:shd w:val="clear" w:color="auto" w:fill="FFFFFF"/>
          <w:lang w:val="en-US" w:eastAsia="zh-CN"/>
        </w:rPr>
        <w:t>98.82</w:t>
      </w:r>
      <w:r>
        <w:rPr>
          <w:rFonts w:ascii="Times New Roman" w:eastAsia="仿宋_GB2312" w:cs="Times New Roman" w:hAnsi="Times New Roman"/>
          <w:bCs/>
          <w:kern w:val="0"/>
          <w:sz w:val="32"/>
          <w:szCs w:val="32"/>
          <w:shd w:val="clear" w:color="auto" w:fill="FFFFFF"/>
          <w:lang w:val="zh-CN" w:eastAsia="zh-CN"/>
        </w:rPr>
        <w:t>%，整体支出实现了年初既定目标，未收到审计、财政等监督部门关于预算管理方面违纪违规问题通报，预算管理合规。</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黑体" w:cs="Times New Roman" w:hAnsi="Times New Roman"/>
          <w:kern w:val="0"/>
          <w:sz w:val="32"/>
          <w:szCs w:val="32"/>
          <w:shd w:val="clear" w:color="auto" w:fill="FFFFFF"/>
        </w:rPr>
      </w:pPr>
      <w:r>
        <w:rPr>
          <w:rFonts w:ascii="Times New Roman" w:eastAsia="黑体" w:cs="Times New Roman" w:hAnsi="Times New Roman"/>
          <w:kern w:val="0"/>
          <w:sz w:val="32"/>
          <w:szCs w:val="32"/>
          <w:shd w:val="clear" w:color="auto" w:fill="FFFFFF"/>
        </w:rPr>
        <w:t>四、评价结论及建议</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（一）评价结论。</w:t>
      </w:r>
    </w:p>
    <w:p>
      <w:pPr>
        <w:pBdr>
          <w:bottom w:val="single" w:sz="4" w:space="29" w:color="FFFFFF"/>
        </w:pBdr>
        <w:tabs>
          <w:tab w:val="left" w:pos="1440"/>
        </w:tabs>
        <w:autoSpaceDE w:val="0"/>
        <w:autoSpaceDN w:val="0"/>
        <w:spacing w:line="560" w:lineRule="exact"/>
        <w:ind w:firstLineChars="200" w:firstLine="640"/>
        <w:jc w:val="left"/>
        <w:rPr>
          <w:rFonts w:ascii="仿宋" w:eastAsia="仿宋" w:cs="仿宋_GB2312" w:hint="eastAsia"/>
          <w:b w:val="0"/>
          <w:bCs/>
          <w:sz w:val="32"/>
          <w:szCs w:val="32"/>
        </w:rPr>
      </w:pPr>
      <w:r>
        <w:rPr>
          <w:rFonts w:ascii="仿宋" w:eastAsia="仿宋" w:cs="仿宋_GB2312" w:hint="eastAsia"/>
          <w:b w:val="0"/>
          <w:bCs/>
          <w:sz w:val="32"/>
          <w:szCs w:val="32"/>
        </w:rPr>
        <w:t>整体评价良好，预算支出和决算支出情况相符。</w:t>
      </w:r>
    </w:p>
    <w:p>
      <w:pPr>
        <w:pBdr>
          <w:bottom w:val="single" w:sz="4" w:space="29" w:color="FFFFFF"/>
        </w:pBdr>
        <w:tabs>
          <w:tab w:val="left" w:pos="1440"/>
        </w:tabs>
        <w:autoSpaceDE w:val="0"/>
        <w:autoSpaceDN w:val="0"/>
        <w:spacing w:line="560" w:lineRule="exact"/>
        <w:ind w:firstLineChars="200" w:firstLine="640"/>
        <w:jc w:val="left"/>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（二）存在问题。</w:t>
      </w:r>
    </w:p>
    <w:p>
      <w:pPr>
        <w:pBdr>
          <w:bottom w:val="single" w:sz="4" w:space="29" w:color="FFFFFF"/>
        </w:pBdr>
        <w:tabs>
          <w:tab w:val="left" w:pos="1440"/>
        </w:tabs>
        <w:autoSpaceDE w:val="0"/>
        <w:autoSpaceDN w:val="0"/>
        <w:spacing w:line="560" w:lineRule="exact"/>
        <w:ind w:firstLineChars="200" w:firstLine="640"/>
        <w:jc w:val="left"/>
        <w:rPr>
          <w:rFonts w:ascii="仿宋" w:eastAsia="仿宋" w:cs="仿宋" w:hint="eastAsia"/>
          <w:b w:val="0"/>
          <w:bCs/>
          <w:sz w:val="32"/>
          <w:szCs w:val="32"/>
        </w:rPr>
      </w:pPr>
      <w:r>
        <w:rPr>
          <w:rFonts w:ascii="仿宋" w:eastAsia="仿宋" w:cs="仿宋" w:hint="eastAsia"/>
          <w:b w:val="0"/>
          <w:bCs/>
          <w:sz w:val="32"/>
          <w:szCs w:val="32"/>
          <w:lang w:val="zh-CN"/>
        </w:rPr>
        <w:t>通过对我</w:t>
      </w:r>
      <w:r>
        <w:rPr>
          <w:rFonts w:ascii="仿宋" w:eastAsia="仿宋" w:cs="仿宋" w:hint="eastAsia"/>
          <w:b w:val="0"/>
          <w:bCs/>
          <w:sz w:val="32"/>
          <w:szCs w:val="32"/>
        </w:rPr>
        <w:t>单位</w:t>
      </w:r>
      <w:r>
        <w:rPr>
          <w:rFonts w:ascii="仿宋" w:eastAsia="仿宋" w:cs="仿宋" w:hint="eastAsia"/>
          <w:b w:val="0"/>
          <w:bCs/>
          <w:sz w:val="32"/>
          <w:szCs w:val="32"/>
          <w:lang w:val="zh-CN"/>
        </w:rPr>
        <w:t>整体支出情况的分析，反映出目前整体支出的预算编制、执行和管理过程中，</w:t>
      </w:r>
      <w:r>
        <w:rPr>
          <w:rFonts w:ascii="仿宋" w:eastAsia="仿宋" w:cs="仿宋" w:hint="eastAsia"/>
          <w:b w:val="0"/>
          <w:bCs/>
          <w:sz w:val="32"/>
          <w:szCs w:val="32"/>
        </w:rPr>
        <w:t>主要存在两点不足。一是</w:t>
      </w:r>
      <w:r>
        <w:rPr>
          <w:rFonts w:ascii="仿宋" w:eastAsia="仿宋" w:cs="仿宋" w:hint="eastAsia"/>
          <w:b w:val="0"/>
          <w:bCs/>
          <w:sz w:val="32"/>
          <w:szCs w:val="32"/>
          <w:lang w:val="en-US" w:eastAsia="zh-CN"/>
        </w:rPr>
        <w:t>项目</w:t>
      </w:r>
      <w:r>
        <w:rPr>
          <w:rFonts w:ascii="仿宋" w:eastAsia="仿宋" w:cs="仿宋" w:hint="eastAsia"/>
          <w:b w:val="0"/>
          <w:bCs/>
          <w:sz w:val="32"/>
          <w:szCs w:val="32"/>
        </w:rPr>
        <w:t>支出进度较缓；二是部门决算上报处理效率还需继续提升。</w:t>
      </w:r>
    </w:p>
    <w:p>
      <w:pPr>
        <w:numPr>
          <w:ilvl w:val="0"/>
          <w:numId w:val="4"/>
        </w:numPr>
        <w:pBdr>
          <w:bottom w:val="single" w:sz="4" w:space="29" w:color="FFFFFF"/>
        </w:pBdr>
        <w:tabs>
          <w:tab w:val="clear" w:pos="0"/>
          <w:tab w:val="left" w:pos="1440"/>
        </w:tabs>
        <w:autoSpaceDE w:val="0"/>
        <w:autoSpaceDN w:val="0"/>
        <w:spacing w:line="560" w:lineRule="exact"/>
        <w:ind w:left="0" w:firstLineChars="200" w:firstLine="640"/>
        <w:jc w:val="left"/>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改进建议。</w:t>
      </w:r>
    </w:p>
    <w:p>
      <w:pPr>
        <w:pBdr>
          <w:bottom w:val="single" w:sz="4" w:space="29" w:color="FFFFFF"/>
        </w:pBdr>
        <w:tabs>
          <w:tab w:val="left" w:pos="1440"/>
        </w:tabs>
        <w:autoSpaceDE w:val="0"/>
        <w:autoSpaceDN w:val="0"/>
        <w:spacing w:line="560" w:lineRule="exact"/>
        <w:ind w:left="0" w:firstLineChars="200" w:firstLine="640"/>
        <w:jc w:val="left"/>
        <w:rPr>
          <w:rFonts w:ascii="Times New Roman" w:eastAsia="仿宋_GB2312" w:cs="Times New Roman" w:hAnsi="Times New Roman"/>
          <w:bCs/>
          <w:kern w:val="0"/>
          <w:sz w:val="32"/>
          <w:szCs w:val="32"/>
          <w:shd w:val="clear" w:color="auto" w:fill="FFFFFF"/>
          <w:lang w:val="zh-CN"/>
        </w:rPr>
      </w:pPr>
      <w:r>
        <w:rPr>
          <w:rFonts w:ascii="Times New Roman" w:eastAsia="仿宋_GB2312" w:cs="Times New Roman" w:hAnsi="Times New Roman"/>
          <w:bCs/>
          <w:kern w:val="0"/>
          <w:sz w:val="32"/>
          <w:szCs w:val="32"/>
          <w:shd w:val="clear" w:color="auto" w:fill="FFFFFF"/>
          <w:lang w:val="zh-CN"/>
        </w:rPr>
        <w:t>我</w:t>
      </w:r>
      <w:r>
        <w:rPr>
          <w:rFonts w:eastAsia="仿宋_GB2312" w:cs="Times New Roman" w:hint="eastAsia"/>
          <w:bCs/>
          <w:kern w:val="0"/>
          <w:sz w:val="32"/>
          <w:szCs w:val="32"/>
          <w:shd w:val="clear" w:color="auto" w:fill="FFFFFF"/>
          <w:lang w:val="en-US" w:eastAsia="zh-CN"/>
        </w:rPr>
        <w:t>局</w:t>
      </w:r>
      <w:r>
        <w:rPr>
          <w:rFonts w:ascii="Times New Roman" w:eastAsia="仿宋_GB2312" w:cs="Times New Roman" w:hAnsi="Times New Roman"/>
          <w:bCs/>
          <w:kern w:val="0"/>
          <w:sz w:val="32"/>
          <w:szCs w:val="32"/>
          <w:shd w:val="clear" w:color="auto" w:fill="FFFFFF"/>
          <w:lang w:val="zh-CN"/>
        </w:rPr>
        <w:t>将积极对接财政部门作出技术调整，优化预算测算标准，科学审批年度预算汇编，使资金真正能够因地制宜，发挥实效。进一步做好预算编制前提调研准备工作，根据实际需要积极评估测算，尽量减少减轻资金闲置或低使用率现象，启用预算执行绩效监控机制，及时提示项目管理部门按照绩效目标开展实施。</w:t>
      </w: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lang w:val="zh-CN"/>
        </w:rPr>
      </w:pPr>
      <w:r>
        <w:rPr>
          <w:rFonts w:ascii="Times New Roman" w:cs="Times New Roman" w:hAnsi="Times New Roman"/>
          <w:sz w:val="32"/>
          <w:szCs w:val="32"/>
          <w:shd w:val="clear" w:color="auto" w:fill="FFFFFF"/>
          <w:lang w:val="zh-CN"/>
        </w:rPr>
        <w:t>附件</w:t>
      </w:r>
    </w:p>
    <w:p>
      <w:pPr>
        <w:keepNext w:val="0"/>
        <w:keepLines w:val="0"/>
        <w:widowControl/>
        <w:suppressLineNumbers w:val="0"/>
        <w:jc w:val="center"/>
        <w:rPr>
          <w:rFonts w:ascii="方正小标宋简体" w:eastAsia="方正小标宋简体" w:cs="方正小标宋简体" w:hint="eastAsia"/>
          <w:color w:val="000000"/>
          <w:kern w:val="0"/>
          <w:sz w:val="43"/>
          <w:szCs w:val="43"/>
          <w:lang w:val="en-US" w:eastAsia="zh-CN"/>
        </w:rPr>
      </w:pPr>
      <w:r>
        <w:rPr>
          <w:rFonts w:ascii="方正小标宋简体" w:eastAsia="方正小标宋简体" w:cs="方正小标宋简体" w:hint="eastAsia"/>
          <w:color w:val="000000"/>
          <w:kern w:val="0"/>
          <w:sz w:val="43"/>
          <w:szCs w:val="43"/>
          <w:lang w:val="en-US" w:eastAsia="zh-CN"/>
        </w:rPr>
        <w:t>2022年优抚对象补贴专项经费</w:t>
      </w:r>
    </w:p>
    <w:p>
      <w:pPr>
        <w:keepNext w:val="0"/>
        <w:keepLines w:val="0"/>
        <w:widowControl/>
        <w:suppressLineNumbers w:val="0"/>
        <w:jc w:val="center"/>
      </w:pPr>
      <w:r>
        <w:rPr>
          <w:rFonts w:ascii="方正小标宋简体" w:eastAsia="方正小标宋简体" w:cs="方正小标宋简体" w:hint="eastAsia"/>
          <w:color w:val="000000"/>
          <w:kern w:val="0"/>
          <w:sz w:val="43"/>
          <w:szCs w:val="43"/>
          <w:lang w:val="en-US" w:eastAsia="zh-CN"/>
        </w:rPr>
        <w:t>项目支出绩效评价报告</w:t>
      </w:r>
    </w:p>
    <w:p>
      <w:pPr>
        <w:pStyle w:val="26"/>
        <w:keepNext w:val="0"/>
        <w:keepLines w:val="0"/>
        <w:widowControl/>
        <w:numPr>
          <w:ilvl w:val="0"/>
          <w:numId w:val="6"/>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黑体" w:eastAsia="黑体" w:cs="黑体" w:hint="eastAsia"/>
          <w:color w:val="000000"/>
          <w:sz w:val="31"/>
          <w:szCs w:val="31"/>
        </w:rPr>
      </w:pPr>
      <w:r>
        <w:rPr>
          <w:rFonts w:ascii="黑体" w:eastAsia="黑体" w:cs="黑体" w:hint="eastAsia"/>
          <w:color w:val="000000"/>
          <w:sz w:val="31"/>
          <w:szCs w:val="31"/>
        </w:rPr>
        <w:t>内容摘要</w:t>
      </w:r>
    </w:p>
    <w:p>
      <w:pPr>
        <w:snapToGrid w:val="0"/>
        <w:spacing w:line="600" w:lineRule="exact"/>
        <w:ind w:leftChars="200" w:left="2660" w:hangingChars="800" w:hanging="2240"/>
        <w:rPr>
          <w:rFonts w:ascii="仿宋_GB2312" w:eastAsia="仿宋_GB2312" w:cs="Times New Roman"/>
          <w:sz w:val="32"/>
          <w:szCs w:val="32"/>
          <w:lang w:val="en-US" w:eastAsia="zh-CN"/>
        </w:rPr>
      </w:pPr>
      <w:r>
        <w:rPr>
          <w:rFonts w:ascii="黑体" w:eastAsia="黑体" w:cs="黑体" w:hint="eastAsia"/>
          <w:color w:val="000000"/>
          <w:kern w:val="0"/>
          <w:sz w:val="28"/>
          <w:szCs w:val="28"/>
          <w:lang w:val="en-US" w:eastAsia="zh-CN"/>
        </w:rPr>
        <w:t>（一）项目名称：</w:t>
      </w:r>
      <w:r>
        <w:rPr>
          <w:rFonts w:ascii="仿宋_GB2312" w:eastAsia="仿宋_GB2312" w:cs="Times New Roman" w:hint="eastAsia"/>
          <w:sz w:val="32"/>
          <w:szCs w:val="32"/>
          <w:lang w:val="en-US" w:eastAsia="zh-CN"/>
        </w:rPr>
        <w:t>2022年优抚对象抚恤专项经费</w:t>
      </w:r>
    </w:p>
    <w:p>
      <w:pPr>
        <w:snapToGrid w:val="0"/>
        <w:spacing w:line="600" w:lineRule="exact"/>
        <w:ind w:firstLineChars="200" w:firstLine="560"/>
        <w:rPr>
          <w:rFonts w:ascii="Times New Roman" w:eastAsia="楷体_GB2312" w:hAnsi="Times New Roman"/>
          <w:szCs w:val="32"/>
          <w:u w:val="single"/>
          <w:lang w:val="en-US" w:eastAsia="zh-CN"/>
        </w:rPr>
      </w:pPr>
      <w:r>
        <w:rPr>
          <w:rFonts w:ascii="黑体" w:eastAsia="黑体" w:cs="黑体" w:hint="eastAsia"/>
          <w:color w:val="000000"/>
          <w:kern w:val="0"/>
          <w:sz w:val="28"/>
          <w:szCs w:val="28"/>
          <w:lang w:val="en-US" w:eastAsia="zh-CN"/>
        </w:rPr>
        <w:t>（二）项目单位：</w:t>
      </w:r>
      <w:r>
        <w:rPr>
          <w:rFonts w:ascii="仿宋_GB2312" w:eastAsia="仿宋_GB2312" w:cs="Times New Roman" w:hint="eastAsia"/>
          <w:sz w:val="32"/>
          <w:szCs w:val="32"/>
          <w:lang w:val="en-US" w:eastAsia="zh-CN"/>
        </w:rPr>
        <w:t>金川县退役军人事务局</w:t>
      </w:r>
    </w:p>
    <w:p>
      <w:pPr>
        <w:snapToGrid w:val="0"/>
        <w:spacing w:line="600" w:lineRule="exact"/>
        <w:ind w:firstLineChars="200" w:firstLine="560"/>
        <w:rPr>
          <w:rFonts w:ascii="仿宋_GB2312" w:eastAsia="仿宋_GB2312" w:cs="Times New Roman" w:hint="eastAsia"/>
          <w:sz w:val="32"/>
          <w:szCs w:val="32"/>
          <w:lang w:val="en-US" w:eastAsia="zh-CN"/>
        </w:rPr>
      </w:pPr>
      <w:r>
        <w:rPr>
          <w:rFonts w:ascii="黑体" w:eastAsia="黑体" w:cs="黑体" w:hint="eastAsia"/>
          <w:color w:val="000000"/>
          <w:kern w:val="0"/>
          <w:sz w:val="28"/>
          <w:szCs w:val="28"/>
          <w:lang w:val="en-US" w:eastAsia="zh-CN"/>
        </w:rPr>
        <w:t>（三）项目属性：</w:t>
      </w:r>
      <w:r>
        <w:rPr>
          <w:rFonts w:ascii="仿宋_GB2312" w:eastAsia="仿宋_GB2312" w:cs="Times New Roman" w:hint="eastAsia"/>
          <w:sz w:val="32"/>
          <w:szCs w:val="32"/>
          <w:lang w:val="en-US" w:eastAsia="zh-CN"/>
        </w:rPr>
        <w:t>延续性项目</w:t>
      </w:r>
    </w:p>
    <w:p>
      <w:pPr>
        <w:snapToGrid w:val="0"/>
        <w:spacing w:line="600" w:lineRule="exact"/>
        <w:ind w:firstLineChars="200" w:firstLine="560"/>
        <w:rPr>
          <w:rFonts w:ascii="仿宋_GB2312" w:eastAsia="仿宋_GB2312" w:cs="Times New Roman"/>
          <w:sz w:val="32"/>
          <w:szCs w:val="32"/>
          <w:lang w:val="en-US" w:eastAsia="zh-CN"/>
        </w:rPr>
      </w:pPr>
      <w:r>
        <w:rPr>
          <w:rFonts w:ascii="黑体" w:eastAsia="黑体" w:cs="黑体" w:hint="eastAsia"/>
          <w:color w:val="000000"/>
          <w:kern w:val="0"/>
          <w:sz w:val="28"/>
          <w:szCs w:val="28"/>
          <w:lang w:val="en-US" w:eastAsia="zh-CN"/>
        </w:rPr>
        <w:t>（四）项目起止年限：</w:t>
      </w:r>
      <w:r>
        <w:rPr>
          <w:rFonts w:ascii="仿宋_GB2312" w:eastAsia="仿宋_GB2312" w:cs="Times New Roman" w:hint="eastAsia"/>
          <w:sz w:val="32"/>
          <w:szCs w:val="32"/>
          <w:lang w:val="en-US" w:eastAsia="zh-CN"/>
        </w:rPr>
        <w:t>2022年-2022年</w:t>
      </w:r>
    </w:p>
    <w:p>
      <w:pPr>
        <w:snapToGrid w:val="0"/>
        <w:spacing w:line="600" w:lineRule="exact"/>
        <w:ind w:firstLineChars="200" w:firstLine="560"/>
        <w:rPr>
          <w:rFonts w:ascii="Times New Roman" w:eastAsia="楷体_GB2312" w:hAnsi="Times New Roman"/>
          <w:szCs w:val="32"/>
          <w:lang w:val="en-US" w:eastAsia="zh-CN"/>
        </w:rPr>
      </w:pPr>
      <w:r>
        <w:rPr>
          <w:rFonts w:ascii="黑体" w:eastAsia="黑体" w:cs="黑体" w:hint="eastAsia"/>
          <w:color w:val="000000"/>
          <w:kern w:val="0"/>
          <w:sz w:val="28"/>
          <w:szCs w:val="28"/>
          <w:lang w:val="en-US" w:eastAsia="zh-CN"/>
        </w:rPr>
        <w:t>（五）资金申请情况：</w:t>
      </w:r>
      <w:r>
        <w:rPr>
          <w:rFonts w:ascii="仿宋_GB2312" w:eastAsia="仿宋_GB2312" w:cs="Times New Roman" w:hint="eastAsia"/>
          <w:sz w:val="32"/>
          <w:szCs w:val="32"/>
          <w:lang w:val="en-US" w:eastAsia="zh-CN"/>
        </w:rPr>
        <w:t>全额申请</w:t>
      </w:r>
    </w:p>
    <w:p>
      <w:pPr>
        <w:snapToGrid w:val="0"/>
        <w:spacing w:line="600" w:lineRule="exact"/>
        <w:ind w:firstLineChars="200" w:firstLine="560"/>
        <w:rPr>
          <w:rFonts w:ascii="黑体" w:eastAsia="黑体" w:cs="黑体" w:hint="eastAsia"/>
          <w:color w:val="000000"/>
          <w:kern w:val="0"/>
          <w:sz w:val="28"/>
          <w:szCs w:val="28"/>
          <w:lang w:val="en-US" w:eastAsia="zh-CN"/>
        </w:rPr>
      </w:pPr>
      <w:r>
        <w:rPr>
          <w:rFonts w:ascii="黑体" w:eastAsia="黑体" w:cs="黑体" w:hint="eastAsia"/>
          <w:color w:val="000000"/>
          <w:kern w:val="0"/>
          <w:sz w:val="28"/>
          <w:szCs w:val="28"/>
          <w:lang w:val="en-US" w:eastAsia="zh-CN"/>
        </w:rPr>
        <w:t>（六）项目概况：</w:t>
      </w:r>
    </w:p>
    <w:p>
      <w:pPr>
        <w:snapToGrid w:val="0"/>
        <w:spacing w:line="600" w:lineRule="exact"/>
        <w:ind w:firstLineChars="200" w:firstLine="640"/>
        <w:rPr>
          <w:rFonts w:ascii="仿宋_GB2312" w:eastAsia="仿宋_GB2312" w:hint="eastAsia"/>
          <w:sz w:val="32"/>
          <w:szCs w:val="32"/>
          <w:lang w:eastAsia="zh-CN"/>
        </w:rPr>
      </w:pPr>
      <w:r>
        <w:rPr>
          <w:rFonts w:ascii="仿宋_GB2312" w:eastAsia="仿宋_GB2312" w:hint="eastAsia"/>
          <w:sz w:val="32"/>
          <w:szCs w:val="32"/>
        </w:rPr>
        <w:t>根据</w:t>
      </w:r>
      <w:r>
        <w:rPr>
          <w:rFonts w:ascii="仿宋_GB2312" w:eastAsia="仿宋_GB2312" w:hint="eastAsia"/>
          <w:sz w:val="32"/>
          <w:szCs w:val="32"/>
          <w:lang w:eastAsia="zh-CN"/>
        </w:rPr>
        <w:t>《金川县财政局关于提前下达</w:t>
      </w:r>
      <w:r>
        <w:rPr>
          <w:rFonts w:ascii="仿宋_GB2312" w:eastAsia="仿宋_GB2312" w:hint="eastAsia"/>
          <w:sz w:val="32"/>
          <w:szCs w:val="32"/>
          <w:lang w:val="en-US" w:eastAsia="zh-CN"/>
        </w:rPr>
        <w:t>2022年中央、省和州级财政优抚对象抚恤补助经费</w:t>
      </w:r>
      <w:r>
        <w:rPr>
          <w:rFonts w:ascii="仿宋_GB2312" w:eastAsia="仿宋_GB2312" w:hint="eastAsia"/>
          <w:sz w:val="32"/>
          <w:szCs w:val="32"/>
          <w:lang w:eastAsia="zh-CN"/>
        </w:rPr>
        <w:t>的通知》阿州财社（2022）7号  阿州财社（2022）95号 阿州财社〔2022〕111号金财预【2022】001号及县级预算文件精神，优抚对象抚恤补助经费</w:t>
      </w:r>
      <w:r>
        <w:rPr>
          <w:rFonts w:ascii="仿宋_GB2312" w:eastAsia="仿宋_GB2312" w:hint="eastAsia"/>
          <w:sz w:val="32"/>
          <w:szCs w:val="32"/>
        </w:rPr>
        <w:t>用于</w:t>
      </w:r>
      <w:r>
        <w:rPr>
          <w:rFonts w:ascii="仿宋_GB2312" w:eastAsia="仿宋_GB2312" w:hint="eastAsia"/>
          <w:sz w:val="32"/>
          <w:szCs w:val="32"/>
          <w:lang w:eastAsia="zh-CN"/>
        </w:rPr>
        <w:t>：一是伤残人员（含残疾军人、伤残人民警察、伤残国家机关工作人员）、“三红”、“三属”、在乡复员军人、带病回乡退伍军人、参战退役人员及符合条件的</w:t>
      </w:r>
      <w:r>
        <w:rPr>
          <w:rFonts w:ascii="仿宋_GB2312" w:eastAsia="仿宋_GB2312" w:hint="eastAsia"/>
          <w:sz w:val="32"/>
          <w:szCs w:val="32"/>
          <w:lang w:val="en-US" w:eastAsia="zh-CN"/>
        </w:rPr>
        <w:t>60岁以上</w:t>
      </w:r>
      <w:r>
        <w:rPr>
          <w:rFonts w:ascii="仿宋_GB2312" w:eastAsia="仿宋_GB2312" w:hint="eastAsia"/>
          <w:sz w:val="32"/>
          <w:szCs w:val="32"/>
          <w:lang w:eastAsia="zh-CN"/>
        </w:rPr>
        <w:t>农村籍退役士兵、老烈士子女等人员抚恤和生活补助支出。</w:t>
      </w:r>
    </w:p>
    <w:p>
      <w:pPr>
        <w:pStyle w:val="26"/>
        <w:keepNext w:val="0"/>
        <w:keepLines w:val="0"/>
        <w:widowControl/>
        <w:numPr>
          <w:ilvl w:val="0"/>
          <w:numId w:val="6"/>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黑体" w:eastAsia="黑体" w:cs="黑体" w:hint="eastAsia"/>
          <w:color w:val="000000"/>
          <w:sz w:val="31"/>
          <w:szCs w:val="31"/>
        </w:rPr>
      </w:pPr>
      <w:r>
        <w:rPr>
          <w:rFonts w:ascii="黑体" w:eastAsia="黑体" w:cs="黑体" w:hint="eastAsia"/>
          <w:color w:val="000000"/>
          <w:sz w:val="31"/>
          <w:szCs w:val="31"/>
        </w:rPr>
        <w:t>评价工作开展及项目情况</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Chars="200" w:firstLine="640"/>
        <w:rPr>
          <w:rFonts w:ascii="仿宋_GB2312" w:eastAsia="仿宋_GB2312" w:cs="仿宋_GB2312" w:hint="eastAsia"/>
          <w:color w:val="000000"/>
          <w:sz w:val="31"/>
          <w:szCs w:val="31"/>
        </w:rPr>
      </w:pPr>
      <w:r>
        <w:rPr>
          <w:rFonts w:ascii="仿宋_GB2312" w:eastAsia="仿宋_GB2312" w:cs="仿宋_GB2312" w:hint="eastAsia"/>
          <w:sz w:val="32"/>
          <w:szCs w:val="32"/>
          <w:lang w:val="en-US" w:eastAsia="zh-CN"/>
        </w:rPr>
        <w:t>根据《金川县财政局 关于开展2023年部门、政策和项目支出绩效评价工作的通知》（【2023】32号）文件要求，我单位通过成立领导小组、召开座谈会的方式开展</w:t>
      </w:r>
      <w:r>
        <w:rPr>
          <w:rFonts w:ascii="仿宋_GB2312" w:eastAsia="仿宋_GB2312" w:cs="仿宋_GB2312" w:hint="eastAsia"/>
          <w:color w:val="000000"/>
          <w:sz w:val="31"/>
          <w:szCs w:val="31"/>
        </w:rPr>
        <w:t>项目</w:t>
      </w:r>
      <w:r>
        <w:rPr>
          <w:rFonts w:ascii="仿宋_GB2312" w:eastAsia="仿宋_GB2312" w:cs="仿宋_GB2312" w:hint="eastAsia"/>
          <w:color w:val="000000"/>
          <w:sz w:val="31"/>
          <w:szCs w:val="31"/>
          <w:lang w:val="en-US" w:eastAsia="zh-CN"/>
        </w:rPr>
        <w:t>自评</w:t>
      </w:r>
      <w:r>
        <w:rPr>
          <w:rFonts w:ascii="仿宋_GB2312" w:eastAsia="仿宋_GB2312" w:cs="仿宋_GB2312" w:hint="eastAsia"/>
          <w:sz w:val="32"/>
          <w:szCs w:val="32"/>
          <w:lang w:val="en-US" w:eastAsia="zh-CN"/>
        </w:rPr>
        <w:t>。我单位成立了以主任杨俊毅为组长，分管副主任张晓珍为副组长，财务室人员为成员的自评工作领导小组。收集</w:t>
      </w:r>
      <w:r>
        <w:rPr>
          <w:rFonts w:ascii="仿宋_GB2312" w:eastAsia="仿宋_GB2312" w:cs="Times New Roman" w:hint="eastAsia"/>
          <w:sz w:val="32"/>
          <w:szCs w:val="32"/>
          <w:lang w:val="en-US" w:eastAsia="zh-CN"/>
        </w:rPr>
        <w:t>2022年州级财政优抚对象抚恤补助专项经费</w:t>
      </w:r>
      <w:r>
        <w:rPr>
          <w:rFonts w:ascii="仿宋_GB2312" w:eastAsia="仿宋_GB2312" w:cs="仿宋_GB2312" w:hint="eastAsia"/>
          <w:sz w:val="32"/>
          <w:szCs w:val="32"/>
          <w:lang w:val="en-US" w:eastAsia="zh-CN"/>
        </w:rPr>
        <w:t>项目相关基础资料，查阅资料、收集数据等信息，通过采用成本效益分析法、比较法、因素分析法、最低成本法、公众评判法等，对项目的立项必要性、投入经济性、目标合理性、方案可行性以及筹资合规性实施评估。深入论证分析后，形成项目支出绩效评估</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lang w:val="en-US" w:eastAsia="zh-CN"/>
        </w:rPr>
        <w:t>三</w:t>
      </w:r>
      <w:r>
        <w:rPr>
          <w:rFonts w:ascii="黑体" w:eastAsia="黑体" w:cs="黑体" w:hint="eastAsia"/>
          <w:color w:val="000000"/>
          <w:sz w:val="31"/>
          <w:szCs w:val="31"/>
        </w:rPr>
        <w:t>、评价结论及绩效分析</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b/>
          <w:color w:val="000000"/>
          <w:sz w:val="31"/>
          <w:szCs w:val="31"/>
        </w:rPr>
        <w:t>（一）评价结论</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sz w:val="32"/>
          <w:szCs w:val="32"/>
          <w:lang w:val="en-US" w:eastAsia="zh-CN"/>
        </w:rPr>
        <w:t>通过对项目的立项必要性、投入经济性、目标合理性、方案可行性以及筹资合规性等实施深入评估，</w:t>
      </w:r>
      <w:r>
        <w:rPr>
          <w:rFonts w:ascii="仿宋_GB2312" w:eastAsia="仿宋_GB2312" w:cs="Times New Roman" w:hint="eastAsia"/>
          <w:sz w:val="32"/>
          <w:szCs w:val="32"/>
          <w:lang w:val="en-US" w:eastAsia="zh-CN"/>
        </w:rPr>
        <w:t>2022年优抚对象抚恤补助专项经费项目财政支出目标明确、具体，决策程序科学、有效，项目管理完善，项目目标和效果基本达成。通过指标的自评汇总分析，我单位项目绩效自评为93分。</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b/>
          <w:color w:val="000000"/>
          <w:sz w:val="31"/>
          <w:szCs w:val="31"/>
        </w:rPr>
        <w:t>（二）绩效分析</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仿宋_GB2312" w:eastAsia="仿宋_GB2312" w:cs="仿宋_GB2312" w:hint="eastAsia"/>
          <w:color w:val="000000"/>
          <w:sz w:val="31"/>
          <w:szCs w:val="31"/>
        </w:rPr>
        <w:t>1.项目决策</w:t>
      </w:r>
    </w:p>
    <w:p>
      <w:pPr>
        <w:snapToGrid w:val="0"/>
        <w:spacing w:line="600" w:lineRule="atLeast"/>
        <w:ind w:firstLineChars="196" w:firstLine="627"/>
        <w:jc w:val="left"/>
        <w:rPr>
          <w:rFonts w:ascii="仿宋_GB2312" w:eastAsia="仿宋_GB2312" w:cs="仿宋_GB2312" w:hint="eastAsia"/>
          <w:kern w:val="0"/>
          <w:sz w:val="32"/>
          <w:szCs w:val="32"/>
          <w:lang w:val="en-US" w:eastAsia="zh-CN"/>
        </w:rPr>
      </w:pPr>
      <w:r>
        <w:rPr>
          <w:rFonts w:ascii="仿宋_GB2312" w:eastAsia="仿宋_GB2312" w:cs="仿宋_GB2312" w:hint="eastAsia"/>
          <w:kern w:val="0"/>
          <w:sz w:val="32"/>
          <w:szCs w:val="32"/>
          <w:lang w:val="en-US" w:eastAsia="zh-CN"/>
        </w:rPr>
        <w:t>按照《阿坝州退役军人事务局 阿坝州财政局 关于转发《四川省退役军人事务厅 四川省财政厅关于调整部分优抚对象等人员抚恤和生活补助标准的通知》的通知文件及退役军人事务部 财政部关于调整部分优抚对象等人员抚恤和生活补助标准的通知退役军人部发〔2022〕64号文件相关内容，一是为保障国家对军人的抚恤和优待，激励军人保卫祖国、建设祖国的奉献精神，加强国防和军队建设用于伤残人员、“三红”“三属”在乡老复员军人、带病回乡退役军人、在农村和城镇无工作单位且家庭生活困难的参战退役人员、部分原8023部队及其他参加核试验军队退役人员以及符合条件的农村籍退役士兵、老烈士子女、参与铀矿开采军队退役人员等人员抚恤和生活补助支出。二是</w:t>
      </w:r>
      <w:r>
        <w:rPr>
          <w:rFonts w:ascii="仿宋_GB2312" w:eastAsia="仿宋_GB2312" w:cs="仿宋_GB2312"/>
          <w:kern w:val="0"/>
          <w:sz w:val="32"/>
          <w:szCs w:val="32"/>
          <w:lang w:val="en-US" w:eastAsia="zh-CN"/>
        </w:rPr>
        <w:t>中华人民共和国成立前</w:t>
      </w:r>
      <w:r>
        <w:rPr>
          <w:rFonts w:ascii="仿宋_GB2312" w:eastAsia="仿宋_GB2312" w:cs="仿宋_GB2312" w:hint="eastAsia"/>
          <w:kern w:val="0"/>
          <w:sz w:val="32"/>
          <w:szCs w:val="32"/>
          <w:lang w:val="en-US" w:eastAsia="zh-CN"/>
        </w:rPr>
        <w:t>入党的农村籍老党员和未享受离退休待遇的城镇老党员生活补贴补助支出。三是义务兵优待金项目的开展有助于提高入伍积极性，增强当兵光荣的荣誉感，进一步增进全民国防观念和拥军优属意识。</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仿宋_GB2312" w:eastAsia="仿宋_GB2312" w:cs="仿宋_GB2312" w:hint="eastAsia"/>
          <w:color w:val="000000"/>
          <w:sz w:val="31"/>
          <w:szCs w:val="31"/>
        </w:rPr>
        <w:t>2.项目实施</w:t>
      </w:r>
    </w:p>
    <w:p>
      <w:pPr>
        <w:keepNext w:val="0"/>
        <w:keepLines w:val="0"/>
        <w:pageBreakBefore w:val="0"/>
        <w:widowControl w:val="0"/>
        <w:kinsoku/>
        <w:wordWrap/>
        <w:overflowPunct/>
        <w:topLinePunct w:val="0"/>
        <w:autoSpaceDE/>
        <w:autoSpaceDN/>
        <w:bidi w:val="0"/>
        <w:adjustRightInd/>
        <w:snapToGrid w:val="0"/>
        <w:spacing w:line="600" w:lineRule="exact"/>
        <w:ind w:firstLineChars="200" w:firstLine="640"/>
        <w:jc w:val="both"/>
        <w:textAlignment w:val="auto"/>
        <w:rPr>
          <w:rFonts w:ascii="仿宋_GB2312" w:eastAsia="仿宋_GB2312" w:cs="仿宋_GB2312" w:hint="eastAsia"/>
          <w:color w:val="000000"/>
          <w:sz w:val="31"/>
          <w:szCs w:val="31"/>
        </w:rPr>
      </w:pPr>
      <w:r>
        <w:rPr>
          <w:rFonts w:ascii="仿宋_GB2312" w:eastAsia="仿宋_GB2312" w:cs="Times New Roman" w:hint="eastAsia"/>
          <w:sz w:val="32"/>
          <w:szCs w:val="32"/>
          <w:lang w:val="en-US" w:eastAsia="zh-CN"/>
        </w:rPr>
        <w:t>该项目资金共计492.32万元，该专项资金包括中央资金315.18万元，省级资金24.99万元，州级资金36.82万元，县级资金114.63万元。2022年12月31日前及时全额兑现2022年抚恤补助资金为487.397万元；其中优抚对象抚恤补助资金支付416.18万元，义务兵优待金支付71.217万元。该专项</w:t>
      </w:r>
      <w:r>
        <w:rPr>
          <w:rFonts w:ascii="仿宋_GB2312" w:eastAsia="仿宋_GB2312" w:cs="Times New Roman" w:hint="eastAsia"/>
          <w:sz w:val="32"/>
          <w:szCs w:val="32"/>
          <w:lang w:val="zh-CN" w:eastAsia="zh-CN"/>
        </w:rPr>
        <w:t>项目资金申报、批复符合资金管理办法等相关规定。</w:t>
      </w:r>
      <w:r>
        <w:rPr>
          <w:rFonts w:ascii="仿宋_GB2312" w:eastAsia="仿宋_GB2312" w:cs="Times New Roman" w:hint="eastAsia"/>
          <w:sz w:val="32"/>
          <w:szCs w:val="32"/>
          <w:lang w:val="en-US" w:eastAsia="zh-CN"/>
        </w:rPr>
        <w:t>资金支付金额以及用途与</w:t>
      </w:r>
      <w:r>
        <w:rPr>
          <w:rFonts w:ascii="仿宋_GB2312" w:eastAsia="仿宋_GB2312" w:cs="Times New Roman" w:hint="eastAsia"/>
          <w:sz w:val="32"/>
          <w:szCs w:val="32"/>
          <w:lang w:val="zh-CN" w:eastAsia="zh-CN"/>
        </w:rPr>
        <w:t>预算相符，</w:t>
      </w:r>
      <w:r>
        <w:rPr>
          <w:rFonts w:ascii="仿宋_GB2312" w:eastAsia="仿宋_GB2312" w:cs="Times New Roman" w:hint="eastAsia"/>
          <w:sz w:val="32"/>
          <w:szCs w:val="32"/>
          <w:lang w:val="en-US" w:eastAsia="zh-CN"/>
        </w:rPr>
        <w:t>符合相关法律法规，属于财政支持范围。</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仿宋_GB2312" w:eastAsia="仿宋_GB2312" w:cs="仿宋_GB2312" w:hint="eastAsia"/>
          <w:color w:val="000000"/>
          <w:sz w:val="31"/>
          <w:szCs w:val="31"/>
        </w:rPr>
        <w:t>3.项目绩效</w:t>
      </w:r>
    </w:p>
    <w:p>
      <w:pPr>
        <w:pageBreakBefore w:val="0"/>
        <w:widowControl w:val="0"/>
        <w:kinsoku/>
        <w:wordWrap/>
        <w:overflowPunct/>
        <w:topLinePunct w:val="0"/>
        <w:bidi w:val="0"/>
        <w:spacing w:line="576" w:lineRule="exact"/>
        <w:ind w:firstLineChars="200" w:firstLine="640"/>
        <w:jc w:val="left"/>
        <w:rPr>
          <w:rFonts w:ascii="仿宋_GB2312" w:eastAsia="仿宋_GB2312" w:cs="Times New Roman" w:hint="eastAsia"/>
          <w:sz w:val="32"/>
          <w:szCs w:val="32"/>
          <w:lang w:val="en-US" w:eastAsia="zh-CN"/>
        </w:rPr>
      </w:pPr>
      <w:r>
        <w:rPr>
          <w:rFonts w:ascii="仿宋_GB2312" w:eastAsia="仿宋_GB2312" w:cs="Times New Roman" w:hint="eastAsia"/>
          <w:sz w:val="32"/>
          <w:szCs w:val="32"/>
          <w:lang w:val="en-US" w:eastAsia="zh-CN"/>
        </w:rPr>
        <w:t>2022年优抚对象抚恤补助专项经费项目共计设置12个绩效指标，其中设置了3个产出指标、1个效益指标、1个满意度指标、7个成本指标。其中，产出指标：优抚对象抚恤补助发放正确率达到100%，优抚对象抚恤补助项目于12月底前完成，资金及时拨付到位，拨付率达100%；效益指标：</w:t>
      </w:r>
      <w:r>
        <w:rPr>
          <w:rFonts w:ascii="仿宋_GB2312" w:eastAsia="仿宋_GB2312" w:hint="eastAsia"/>
          <w:sz w:val="32"/>
          <w:szCs w:val="32"/>
          <w:lang w:val="en-US" w:eastAsia="zh-CN"/>
        </w:rPr>
        <w:t>有效的解决了退役军人存在的资金困难，减轻了家庭困难，提高了收入保障，不同程度缓解了社会压力，促进国家稳定。也为退役军人群体送去了党和国家的温暖，营造了拥军爱军浓厚氛围，让开展退役军人工作成为全社会最尊崇的职业打下了坚实基础;</w:t>
      </w:r>
      <w:r>
        <w:rPr>
          <w:rFonts w:ascii="仿宋_GB2312" w:eastAsia="仿宋_GB2312" w:cs="Times New Roman" w:hint="eastAsia"/>
          <w:sz w:val="32"/>
          <w:szCs w:val="32"/>
          <w:lang w:val="en-US" w:eastAsia="zh-CN"/>
        </w:rPr>
        <w:t>满意度指标：优抚对象满意度达</w:t>
      </w:r>
      <w:r>
        <w:rPr>
          <w:rFonts w:ascii="微软雅黑" w:eastAsia="微软雅黑" w:cs="微软雅黑" w:hint="eastAsia"/>
          <w:sz w:val="32"/>
          <w:szCs w:val="32"/>
          <w:lang w:val="en-US" w:eastAsia="zh-CN"/>
        </w:rPr>
        <w:t>≥</w:t>
      </w:r>
      <w:r>
        <w:rPr>
          <w:rFonts w:ascii="仿宋_GB2312" w:eastAsia="仿宋_GB2312" w:cs="仿宋_GB2312" w:hint="eastAsia"/>
          <w:sz w:val="32"/>
          <w:szCs w:val="32"/>
          <w:lang w:val="en-US" w:eastAsia="zh-CN"/>
        </w:rPr>
        <w:t>96</w:t>
      </w:r>
      <w:r>
        <w:rPr>
          <w:rFonts w:ascii="仿宋_GB2312" w:eastAsia="仿宋_GB2312" w:cs="Times New Roman" w:hint="eastAsia"/>
          <w:sz w:val="32"/>
          <w:szCs w:val="32"/>
          <w:lang w:val="en-US" w:eastAsia="zh-CN"/>
        </w:rPr>
        <w:t>%。各项指标完成较好，按时按量完成优抚对象抚恤补助支出。</w:t>
      </w:r>
    </w:p>
    <w:p>
      <w:pPr>
        <w:pStyle w:val="30"/>
        <w:rPr>
          <w:rFonts w:ascii="仿宋_GB2312" w:eastAsia="仿宋_GB2312" w:cs="Times New Roman" w:hint="eastAsia"/>
          <w:sz w:val="32"/>
          <w:szCs w:val="32"/>
          <w:lang w:val="en-US" w:eastAsia="zh-CN"/>
        </w:rPr>
      </w:pPr>
    </w:p>
    <w:p>
      <w:pPr>
        <w:rPr>
          <w:rFonts w:ascii="仿宋_GB2312" w:eastAsia="仿宋_GB2312" w:cs="Times New Roman" w:hint="eastAsia"/>
          <w:sz w:val="32"/>
          <w:szCs w:val="32"/>
          <w:lang w:val="en-US" w:eastAsia="zh-CN"/>
        </w:rPr>
      </w:pPr>
    </w:p>
    <w:p>
      <w:pPr>
        <w:pStyle w:val="30"/>
        <w:rPr>
          <w:rFonts w:ascii="仿宋_GB2312" w:eastAsia="仿宋_GB2312" w:cs="Times New Roman" w:hint="eastAsia"/>
          <w:sz w:val="32"/>
          <w:szCs w:val="32"/>
          <w:lang w:val="en-US" w:eastAsia="zh-CN"/>
        </w:rPr>
      </w:pPr>
    </w:p>
    <w:p>
      <w:pPr>
        <w:rPr>
          <w:rFonts w:ascii="仿宋_GB2312" w:eastAsia="仿宋_GB2312" w:cs="Times New Roman" w:hint="eastAsia"/>
          <w:sz w:val="32"/>
          <w:szCs w:val="32"/>
          <w:lang w:val="en-US" w:eastAsia="zh-CN"/>
        </w:rPr>
      </w:pPr>
    </w:p>
    <w:p>
      <w:pPr>
        <w:pStyle w:val="30"/>
        <w:rPr>
          <w:rFonts w:ascii="仿宋_GB2312" w:eastAsia="仿宋_GB2312" w:cs="Times New Roman" w:hint="eastAsia"/>
          <w:sz w:val="32"/>
          <w:szCs w:val="32"/>
          <w:lang w:val="en-US" w:eastAsia="zh-CN"/>
        </w:rPr>
      </w:pPr>
    </w:p>
    <w:p>
      <w:pPr>
        <w:rPr>
          <w:rFonts w:ascii="仿宋_GB2312" w:eastAsia="仿宋_GB2312" w:cs="Times New Roman" w:hint="eastAsia"/>
          <w:sz w:val="32"/>
          <w:szCs w:val="32"/>
          <w:lang w:val="en-US" w:eastAsia="zh-CN"/>
        </w:rPr>
      </w:pPr>
    </w:p>
    <w:p>
      <w:pPr>
        <w:pStyle w:val="30"/>
        <w:rPr>
          <w:rFonts w:ascii="仿宋_GB2312" w:eastAsia="仿宋_GB2312" w:cs="Times New Roman" w:hint="eastAsia"/>
          <w:sz w:val="32"/>
          <w:szCs w:val="32"/>
          <w:lang w:val="en-US" w:eastAsia="zh-CN"/>
        </w:rPr>
      </w:pPr>
    </w:p>
    <w:tbl>
      <w:tblPr>
        <w:tblpPr w:leftFromText="180" w:rightFromText="180" w:vertAnchor="text" w:horzAnchor="page" w:tblpX="1281" w:tblpY="660"/>
        <w:tblOverlap w:val="never"/>
        <w:tblW w:w="9811"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482"/>
        <w:gridCol w:w="1380"/>
        <w:gridCol w:w="1555"/>
        <w:gridCol w:w="1526"/>
        <w:gridCol w:w="1224"/>
        <w:gridCol w:w="2410"/>
        <w:gridCol w:w="234"/>
      </w:tblGrid>
      <w:tr>
        <w:trPr>
          <w:trHeight w:val="675"/>
        </w:trPr>
        <w:tc>
          <w:tcPr>
            <w:tcW w:w="9577" w:type="dxa"/>
            <w:gridSpan w:val="6"/>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ind w:firstLineChars="400" w:firstLine="960"/>
              <w:textAlignment w:val="center"/>
              <w:rPr>
                <w:rFonts w:ascii="仿宋" w:eastAsia="仿宋" w:cs="仿宋" w:hint="eastAsia"/>
                <w:b/>
                <w:sz w:val="24"/>
                <w:szCs w:val="24"/>
              </w:rPr>
            </w:pPr>
          </w:p>
          <w:p>
            <w:pPr>
              <w:keepNext w:val="0"/>
              <w:keepLines w:val="0"/>
              <w:pageBreakBefore w:val="0"/>
              <w:widowControl/>
              <w:kinsoku/>
              <w:wordWrap/>
              <w:overflowPunct/>
              <w:topLinePunct w:val="0"/>
              <w:autoSpaceDE/>
              <w:autoSpaceDN/>
              <w:bidi w:val="0"/>
              <w:adjustRightInd/>
              <w:snapToGrid/>
              <w:spacing w:line="160" w:lineRule="atLeast"/>
              <w:ind w:firstLineChars="400" w:firstLine="960"/>
              <w:textAlignment w:val="center"/>
              <w:rPr>
                <w:rFonts w:ascii="仿宋" w:eastAsia="仿宋" w:cs="仿宋" w:hint="eastAsia"/>
                <w:b/>
                <w:sz w:val="24"/>
                <w:szCs w:val="24"/>
              </w:rPr>
            </w:pPr>
          </w:p>
          <w:p>
            <w:pPr>
              <w:keepNext w:val="0"/>
              <w:keepLines w:val="0"/>
              <w:pageBreakBefore w:val="0"/>
              <w:widowControl/>
              <w:kinsoku/>
              <w:wordWrap/>
              <w:overflowPunct/>
              <w:topLinePunct w:val="0"/>
              <w:autoSpaceDE/>
              <w:autoSpaceDN/>
              <w:bidi w:val="0"/>
              <w:adjustRightInd/>
              <w:snapToGrid/>
              <w:spacing w:line="160" w:lineRule="atLeast"/>
              <w:textAlignment w:val="center"/>
              <w:rPr>
                <w:rFonts w:ascii="仿宋" w:eastAsia="仿宋" w:cs="仿宋" w:hint="eastAsia"/>
                <w:b/>
                <w:sz w:val="24"/>
                <w:szCs w:val="24"/>
              </w:rPr>
            </w:pPr>
          </w:p>
          <w:p>
            <w:pPr>
              <w:keepNext w:val="0"/>
              <w:keepLines w:val="0"/>
              <w:pageBreakBefore w:val="0"/>
              <w:widowControl/>
              <w:kinsoku/>
              <w:wordWrap/>
              <w:overflowPunct/>
              <w:topLinePunct w:val="0"/>
              <w:autoSpaceDE/>
              <w:autoSpaceDN/>
              <w:bidi w:val="0"/>
              <w:adjustRightInd/>
              <w:snapToGrid/>
              <w:spacing w:line="160" w:lineRule="atLeast"/>
              <w:ind w:firstLineChars="400" w:firstLine="960"/>
              <w:textAlignment w:val="center"/>
              <w:rPr>
                <w:rFonts w:ascii="仿宋" w:eastAsia="仿宋" w:cs="仿宋" w:hint="eastAsia"/>
                <w:b/>
                <w:sz w:val="24"/>
                <w:szCs w:val="24"/>
              </w:rPr>
            </w:pPr>
            <w:r>
              <w:rPr>
                <w:rFonts w:ascii="仿宋" w:eastAsia="仿宋" w:cs="仿宋" w:hint="eastAsia"/>
                <w:b/>
                <w:sz w:val="24"/>
                <w:szCs w:val="24"/>
              </w:rPr>
              <w:t>202</w:t>
            </w:r>
            <w:r>
              <w:rPr>
                <w:rFonts w:ascii="仿宋" w:eastAsia="仿宋" w:cs="仿宋" w:hint="eastAsia"/>
                <w:b/>
                <w:sz w:val="24"/>
                <w:szCs w:val="24"/>
                <w:lang w:val="en-US" w:eastAsia="zh-CN"/>
              </w:rPr>
              <w:t>2</w:t>
            </w:r>
            <w:r>
              <w:rPr>
                <w:rFonts w:ascii="仿宋" w:eastAsia="仿宋" w:cs="仿宋" w:hint="eastAsia"/>
                <w:b/>
                <w:sz w:val="24"/>
                <w:szCs w:val="24"/>
              </w:rPr>
              <w:t>年100万元以上（含）特定目标类部门预算项目绩效目标自评</w:t>
            </w:r>
          </w:p>
        </w:tc>
        <w:tc>
          <w:tcPr>
            <w:tcW w:w="234" w:type="dxa"/>
            <w:tcBorders>
              <w:top w:val="nil"/>
              <w:left w:val="nil"/>
              <w:bottom w:val="nil"/>
              <w:right w:val="nil"/>
            </w:tcBorders>
            <w:shd w:val="clear" w:color="auto" w:fill="auto"/>
            <w:noWrap/>
            <w:vAlign w:val="center"/>
          </w:tcPr>
          <w:p>
            <w:pPr>
              <w:pageBreakBefore w:val="0"/>
              <w:widowControl/>
              <w:kinsoku/>
              <w:wordWrap/>
              <w:overflowPunct/>
              <w:topLinePunct w:val="0"/>
              <w:bidi w:val="0"/>
              <w:spacing w:line="576" w:lineRule="exact"/>
              <w:jc w:val="center"/>
              <w:textAlignment w:val="center"/>
              <w:rPr>
                <w:rFonts w:ascii="Times New Roman" w:cs="Times New Roman" w:hAnsi="Times New Roman"/>
                <w:b/>
                <w:kern w:val="0"/>
                <w:sz w:val="32"/>
                <w:szCs w:val="32"/>
              </w:rPr>
            </w:pPr>
          </w:p>
        </w:tc>
      </w:tr>
      <w:tr>
        <w:trPr>
          <w:trHeight w:val="299"/>
          <w:gridAfter w:val="1"/>
          <w:wAfter w:w="234" w:type="dxa"/>
        </w:trPr>
        <w:tc>
          <w:tcPr>
            <w:tcW w:w="286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1"/>
                <w:szCs w:val="21"/>
              </w:rPr>
            </w:pPr>
            <w:r>
              <w:rPr>
                <w:rFonts w:ascii="仿宋" w:eastAsia="仿宋" w:cs="仿宋" w:hint="eastAsia"/>
                <w:kern w:val="0"/>
                <w:sz w:val="21"/>
                <w:szCs w:val="21"/>
              </w:rPr>
              <w:t>主管部门及代码</w:t>
            </w:r>
          </w:p>
        </w:tc>
        <w:tc>
          <w:tcPr>
            <w:tcW w:w="308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textAlignment w:val="center"/>
              <w:rPr>
                <w:rFonts w:ascii="仿宋" w:eastAsia="仿宋" w:cs="仿宋" w:hint="eastAsia"/>
                <w:sz w:val="21"/>
                <w:szCs w:val="21"/>
                <w:lang w:val="en-US" w:eastAsia="zh-CN"/>
              </w:rPr>
            </w:pPr>
            <w:r>
              <w:rPr>
                <w:rFonts w:ascii="仿宋" w:eastAsia="仿宋" w:cs="仿宋" w:hint="eastAsia"/>
                <w:color w:val="auto"/>
                <w:sz w:val="21"/>
                <w:szCs w:val="21"/>
                <w:lang w:val="en-US" w:eastAsia="zh-CN"/>
              </w:rPr>
              <w:t>金川县退役军人事务局177</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1"/>
                <w:szCs w:val="21"/>
              </w:rPr>
            </w:pPr>
            <w:r>
              <w:rPr>
                <w:rFonts w:ascii="仿宋" w:eastAsia="仿宋" w:cs="仿宋" w:hint="eastAsia"/>
                <w:kern w:val="0"/>
                <w:sz w:val="21"/>
                <w:szCs w:val="21"/>
              </w:rPr>
              <w:t>实施单位</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1"/>
                <w:szCs w:val="21"/>
                <w:lang w:val="en-US" w:eastAsia="zh-CN"/>
              </w:rPr>
            </w:pPr>
            <w:r>
              <w:rPr>
                <w:rFonts w:ascii="仿宋" w:eastAsia="仿宋" w:cs="仿宋" w:hint="eastAsia"/>
                <w:color w:val="auto"/>
                <w:sz w:val="21"/>
                <w:szCs w:val="21"/>
                <w:lang w:val="en-US" w:eastAsia="zh-CN"/>
              </w:rPr>
              <w:t>金川县退役军人事务局</w:t>
            </w:r>
          </w:p>
        </w:tc>
      </w:tr>
      <w:tr>
        <w:trPr>
          <w:trHeight w:val="341"/>
          <w:gridAfter w:val="1"/>
          <w:wAfter w:w="234" w:type="dxa"/>
        </w:trPr>
        <w:tc>
          <w:tcPr>
            <w:tcW w:w="286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1"/>
                <w:szCs w:val="21"/>
                <w:lang w:eastAsia="zh-CN"/>
              </w:rPr>
            </w:pPr>
            <w:r>
              <w:rPr>
                <w:rFonts w:ascii="仿宋" w:eastAsia="仿宋" w:cs="仿宋" w:hint="eastAsia"/>
                <w:kern w:val="0"/>
                <w:sz w:val="21"/>
                <w:szCs w:val="21"/>
              </w:rPr>
              <w:t>项目预算</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1"/>
                <w:szCs w:val="21"/>
                <w:lang w:eastAsia="zh-CN"/>
              </w:rPr>
            </w:pPr>
            <w:r>
              <w:rPr>
                <w:rFonts w:ascii="仿宋" w:eastAsia="仿宋" w:cs="仿宋" w:hint="eastAsia"/>
                <w:kern w:val="0"/>
                <w:sz w:val="21"/>
                <w:szCs w:val="21"/>
              </w:rPr>
              <w:t>执行情况</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1"/>
                <w:szCs w:val="21"/>
              </w:rPr>
            </w:pPr>
            <w:r>
              <w:rPr>
                <w:rFonts w:ascii="仿宋" w:eastAsia="仿宋" w:cs="仿宋" w:hint="eastAsia"/>
                <w:kern w:val="0"/>
                <w:sz w:val="21"/>
                <w:szCs w:val="21"/>
              </w:rPr>
              <w:t>（万元）</w:t>
            </w:r>
          </w:p>
        </w:tc>
        <w:tc>
          <w:tcPr>
            <w:tcW w:w="15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left"/>
              <w:textAlignment w:val="center"/>
              <w:rPr>
                <w:rFonts w:ascii="仿宋" w:eastAsia="仿宋" w:cs="仿宋" w:hint="eastAsia"/>
                <w:sz w:val="21"/>
                <w:szCs w:val="21"/>
              </w:rPr>
            </w:pPr>
            <w:r>
              <w:rPr>
                <w:rFonts w:ascii="仿宋" w:eastAsia="仿宋" w:cs="仿宋" w:hint="eastAsia"/>
                <w:kern w:val="0"/>
                <w:sz w:val="21"/>
                <w:szCs w:val="21"/>
              </w:rPr>
              <w:t xml:space="preserve"> 预算数：</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left"/>
              <w:textAlignment w:val="center"/>
              <w:rPr>
                <w:rFonts w:ascii="仿宋" w:eastAsia="仿宋" w:cs="仿宋"/>
                <w:sz w:val="21"/>
                <w:szCs w:val="21"/>
                <w:lang w:val="en-US" w:eastAsia="zh-CN"/>
              </w:rPr>
            </w:pPr>
            <w:r>
              <w:rPr>
                <w:rFonts w:ascii="仿宋" w:eastAsia="仿宋" w:cs="仿宋" w:hint="eastAsia"/>
                <w:sz w:val="21"/>
                <w:szCs w:val="21"/>
                <w:lang w:val="en-US" w:eastAsia="zh-CN"/>
              </w:rPr>
              <w:t>492.32</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left"/>
              <w:textAlignment w:val="center"/>
              <w:rPr>
                <w:rFonts w:ascii="仿宋" w:eastAsia="仿宋" w:cs="仿宋" w:hint="eastAsia"/>
                <w:sz w:val="21"/>
                <w:szCs w:val="21"/>
              </w:rPr>
            </w:pPr>
            <w:r>
              <w:rPr>
                <w:rFonts w:ascii="仿宋" w:eastAsia="仿宋" w:cs="仿宋" w:hint="eastAsia"/>
                <w:kern w:val="0"/>
                <w:sz w:val="21"/>
                <w:szCs w:val="21"/>
              </w:rPr>
              <w:t xml:space="preserve"> 执行数：</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left"/>
              <w:textAlignment w:val="center"/>
              <w:rPr>
                <w:rFonts w:ascii="仿宋" w:eastAsia="仿宋" w:cs="仿宋"/>
                <w:sz w:val="21"/>
                <w:szCs w:val="21"/>
                <w:lang w:val="en-US"/>
              </w:rPr>
            </w:pPr>
            <w:r>
              <w:rPr>
                <w:rFonts w:ascii="仿宋" w:eastAsia="仿宋" w:cs="仿宋" w:hint="eastAsia"/>
                <w:sz w:val="21"/>
                <w:szCs w:val="21"/>
                <w:lang w:val="en-US" w:eastAsia="zh-CN" w:bidi="ar-SA"/>
              </w:rPr>
              <w:t>416.18</w:t>
            </w:r>
          </w:p>
        </w:tc>
      </w:tr>
      <w:tr>
        <w:trPr>
          <w:trHeight w:val="555"/>
          <w:gridAfter w:val="1"/>
          <w:wAfter w:w="234" w:type="dxa"/>
        </w:trPr>
        <w:tc>
          <w:tcPr>
            <w:tcW w:w="2862"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left"/>
              <w:textAlignment w:val="center"/>
              <w:rPr>
                <w:rFonts w:ascii="仿宋" w:eastAsia="仿宋" w:cs="仿宋" w:hint="eastAsia"/>
                <w:kern w:val="0"/>
                <w:sz w:val="21"/>
                <w:szCs w:val="21"/>
              </w:rPr>
            </w:pPr>
            <w:r>
              <w:rPr>
                <w:rFonts w:ascii="仿宋" w:eastAsia="仿宋" w:cs="仿宋" w:hint="eastAsia"/>
                <w:kern w:val="0"/>
                <w:sz w:val="21"/>
                <w:szCs w:val="21"/>
              </w:rPr>
              <w:t>其中：</w:t>
            </w:r>
          </w:p>
          <w:p>
            <w:pPr>
              <w:keepNext w:val="0"/>
              <w:keepLines w:val="0"/>
              <w:pageBreakBefore w:val="0"/>
              <w:widowControl/>
              <w:kinsoku/>
              <w:wordWrap/>
              <w:overflowPunct/>
              <w:topLinePunct w:val="0"/>
              <w:autoSpaceDE/>
              <w:autoSpaceDN/>
              <w:bidi w:val="0"/>
              <w:adjustRightInd/>
              <w:snapToGrid/>
              <w:spacing w:line="160" w:lineRule="atLeast"/>
              <w:jc w:val="left"/>
              <w:textAlignment w:val="center"/>
              <w:rPr>
                <w:rFonts w:ascii="仿宋" w:eastAsia="仿宋" w:cs="仿宋" w:hint="eastAsia"/>
                <w:sz w:val="21"/>
                <w:szCs w:val="21"/>
              </w:rPr>
            </w:pPr>
            <w:r>
              <w:rPr>
                <w:rFonts w:ascii="仿宋" w:eastAsia="仿宋" w:cs="仿宋" w:hint="eastAsia"/>
                <w:kern w:val="0"/>
                <w:sz w:val="21"/>
                <w:szCs w:val="21"/>
              </w:rPr>
              <w:t>财政拨款</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left"/>
              <w:textAlignment w:val="center"/>
              <w:rPr>
                <w:rFonts w:ascii="仿宋" w:eastAsia="仿宋" w:cs="仿宋"/>
                <w:sz w:val="21"/>
                <w:szCs w:val="21"/>
                <w:lang w:val="en-US" w:eastAsia="zh-CN"/>
              </w:rPr>
            </w:pPr>
            <w:r>
              <w:rPr>
                <w:rFonts w:ascii="仿宋" w:eastAsia="仿宋" w:cs="仿宋" w:hint="eastAsia"/>
                <w:sz w:val="21"/>
                <w:szCs w:val="21"/>
                <w:lang w:val="en-US" w:eastAsia="zh-CN"/>
              </w:rPr>
              <w:t>492.32</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left"/>
              <w:textAlignment w:val="center"/>
              <w:rPr>
                <w:rFonts w:ascii="仿宋" w:eastAsia="仿宋" w:cs="仿宋" w:hint="eastAsia"/>
                <w:kern w:val="0"/>
                <w:sz w:val="21"/>
                <w:szCs w:val="21"/>
              </w:rPr>
            </w:pPr>
            <w:r>
              <w:rPr>
                <w:rFonts w:ascii="仿宋" w:eastAsia="仿宋" w:cs="仿宋" w:hint="eastAsia"/>
                <w:kern w:val="0"/>
                <w:sz w:val="21"/>
                <w:szCs w:val="21"/>
              </w:rPr>
              <w:t>其中：</w:t>
            </w:r>
          </w:p>
          <w:p>
            <w:pPr>
              <w:keepNext w:val="0"/>
              <w:keepLines w:val="0"/>
              <w:pageBreakBefore w:val="0"/>
              <w:widowControl/>
              <w:kinsoku/>
              <w:wordWrap/>
              <w:overflowPunct/>
              <w:topLinePunct w:val="0"/>
              <w:autoSpaceDE/>
              <w:autoSpaceDN/>
              <w:bidi w:val="0"/>
              <w:adjustRightInd/>
              <w:snapToGrid/>
              <w:spacing w:line="160" w:lineRule="atLeast"/>
              <w:jc w:val="left"/>
              <w:textAlignment w:val="center"/>
              <w:rPr>
                <w:rFonts w:ascii="仿宋" w:eastAsia="仿宋" w:cs="仿宋" w:hint="eastAsia"/>
                <w:sz w:val="21"/>
                <w:szCs w:val="21"/>
              </w:rPr>
            </w:pPr>
            <w:r>
              <w:rPr>
                <w:rFonts w:ascii="仿宋" w:eastAsia="仿宋" w:cs="仿宋" w:hint="eastAsia"/>
                <w:kern w:val="0"/>
                <w:sz w:val="21"/>
                <w:szCs w:val="21"/>
              </w:rPr>
              <w:t>财政拨款</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textAlignment w:val="center"/>
              <w:rPr>
                <w:rFonts w:ascii="仿宋" w:eastAsia="仿宋" w:cs="仿宋"/>
                <w:sz w:val="21"/>
                <w:szCs w:val="21"/>
                <w:lang w:val="en-US" w:eastAsia="zh-CN"/>
              </w:rPr>
            </w:pPr>
            <w:r>
              <w:rPr>
                <w:rFonts w:ascii="仿宋" w:eastAsia="仿宋" w:cs="仿宋" w:hint="eastAsia"/>
                <w:sz w:val="21"/>
                <w:szCs w:val="21"/>
                <w:lang w:val="en-US" w:eastAsia="zh-CN"/>
              </w:rPr>
              <w:t>416.18</w:t>
            </w:r>
          </w:p>
        </w:tc>
      </w:tr>
      <w:tr>
        <w:trPr>
          <w:trHeight w:val="341"/>
          <w:gridAfter w:val="1"/>
          <w:wAfter w:w="234" w:type="dxa"/>
        </w:trPr>
        <w:tc>
          <w:tcPr>
            <w:tcW w:w="2862"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left"/>
              <w:textAlignment w:val="center"/>
              <w:rPr>
                <w:rFonts w:ascii="仿宋" w:eastAsia="仿宋" w:cs="仿宋" w:hint="eastAsia"/>
                <w:sz w:val="21"/>
                <w:szCs w:val="21"/>
              </w:rPr>
            </w:pPr>
            <w:r>
              <w:rPr>
                <w:rFonts w:ascii="仿宋" w:eastAsia="仿宋" w:cs="仿宋" w:hint="eastAsia"/>
                <w:kern w:val="0"/>
                <w:sz w:val="21"/>
                <w:szCs w:val="21"/>
              </w:rPr>
              <w:t>其他资金</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left"/>
              <w:textAlignment w:val="center"/>
              <w:rPr>
                <w:rFonts w:ascii="仿宋" w:eastAsia="仿宋" w:cs="仿宋" w:hint="eastAsia"/>
                <w:sz w:val="21"/>
                <w:szCs w:val="21"/>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left"/>
              <w:textAlignment w:val="center"/>
              <w:rPr>
                <w:rFonts w:ascii="仿宋" w:eastAsia="仿宋" w:cs="仿宋" w:hint="eastAsia"/>
                <w:sz w:val="21"/>
                <w:szCs w:val="21"/>
              </w:rPr>
            </w:pPr>
            <w:r>
              <w:rPr>
                <w:rFonts w:ascii="仿宋" w:eastAsia="仿宋" w:cs="仿宋" w:hint="eastAsia"/>
                <w:kern w:val="0"/>
                <w:sz w:val="21"/>
                <w:szCs w:val="21"/>
              </w:rPr>
              <w:t>其他资金</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1"/>
                <w:szCs w:val="21"/>
              </w:rPr>
            </w:pPr>
          </w:p>
        </w:tc>
      </w:tr>
      <w:tr>
        <w:trPr>
          <w:trHeight w:val="217"/>
          <w:gridAfter w:val="1"/>
          <w:wAfter w:w="234" w:type="dxa"/>
        </w:trPr>
        <w:tc>
          <w:tcPr>
            <w:tcW w:w="14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both"/>
              <w:textAlignment w:val="center"/>
              <w:rPr>
                <w:rFonts w:ascii="仿宋" w:eastAsia="仿宋" w:cs="仿宋" w:hint="eastAsia"/>
                <w:sz w:val="21"/>
                <w:szCs w:val="21"/>
              </w:rPr>
            </w:pPr>
            <w:r>
              <w:rPr>
                <w:rFonts w:ascii="仿宋" w:eastAsia="仿宋" w:cs="仿宋" w:hint="eastAsia"/>
                <w:kern w:val="0"/>
                <w:sz w:val="21"/>
                <w:szCs w:val="21"/>
              </w:rPr>
              <w:t>年度总体</w:t>
            </w:r>
            <w:r>
              <w:rPr>
                <w:rFonts w:ascii="仿宋" w:eastAsia="仿宋" w:cs="仿宋" w:hint="eastAsia"/>
                <w:kern w:val="0"/>
                <w:sz w:val="21"/>
                <w:szCs w:val="21"/>
                <w:lang w:val="en-US" w:eastAsia="zh-CN"/>
              </w:rPr>
              <w:t>目</w:t>
            </w:r>
            <w:r>
              <w:rPr>
                <w:rFonts w:ascii="仿宋" w:eastAsia="仿宋" w:cs="仿宋" w:hint="eastAsia"/>
                <w:kern w:val="0"/>
                <w:sz w:val="21"/>
                <w:szCs w:val="21"/>
              </w:rPr>
              <w:t>标完成情况</w:t>
            </w:r>
          </w:p>
        </w:tc>
        <w:tc>
          <w:tcPr>
            <w:tcW w:w="44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1"/>
                <w:szCs w:val="21"/>
              </w:rPr>
            </w:pPr>
            <w:r>
              <w:rPr>
                <w:rFonts w:ascii="仿宋" w:eastAsia="仿宋" w:cs="仿宋" w:hint="eastAsia"/>
                <w:kern w:val="0"/>
                <w:sz w:val="21"/>
                <w:szCs w:val="21"/>
              </w:rPr>
              <w:t>预期目标</w:t>
            </w:r>
          </w:p>
        </w:tc>
        <w:tc>
          <w:tcPr>
            <w:tcW w:w="36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1"/>
                <w:szCs w:val="21"/>
              </w:rPr>
            </w:pPr>
            <w:r>
              <w:rPr>
                <w:rFonts w:ascii="仿宋" w:eastAsia="仿宋" w:cs="仿宋" w:hint="eastAsia"/>
                <w:kern w:val="0"/>
                <w:sz w:val="21"/>
                <w:szCs w:val="21"/>
              </w:rPr>
              <w:t>目标实际完成情况</w:t>
            </w:r>
          </w:p>
        </w:tc>
      </w:tr>
      <w:tr>
        <w:trPr>
          <w:trHeight w:val="797"/>
          <w:gridAfter w:val="1"/>
          <w:wAfter w:w="234" w:type="dxa"/>
        </w:trPr>
        <w:tc>
          <w:tcPr>
            <w:tcW w:w="148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461" w:type="dxa"/>
            <w:gridSpan w:val="3"/>
            <w:tcBorders>
              <w:top w:val="single" w:sz="4" w:space="0" w:color="000000"/>
              <w:left w:val="single" w:sz="4" w:space="0" w:color="000000"/>
              <w:bottom w:val="single" w:sz="4" w:space="0" w:color="000000"/>
              <w:right w:val="single" w:sz="4" w:space="0" w:color="000000"/>
            </w:tcBorders>
            <w:shd w:val="clear" w:color="auto" w:fill="auto"/>
            <w:noWrap/>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i w:val="0"/>
                <w:iCs w:val="0"/>
                <w:color w:val="000000"/>
                <w:kern w:val="0"/>
                <w:sz w:val="15"/>
                <w:szCs w:val="15"/>
                <w:u w:val="none"/>
                <w:lang w:val="en-US" w:eastAsia="zh-CN"/>
              </w:rPr>
            </w:pPr>
            <w:r>
              <w:rPr>
                <w:rFonts w:ascii="仿宋" w:eastAsia="仿宋" w:cs="仿宋" w:hint="eastAsia"/>
                <w:i w:val="0"/>
                <w:iCs w:val="0"/>
                <w:color w:val="000000"/>
                <w:kern w:val="0"/>
                <w:sz w:val="15"/>
                <w:szCs w:val="15"/>
                <w:u w:val="none"/>
                <w:lang w:val="en-US" w:eastAsia="zh-CN"/>
              </w:rPr>
              <w:t>一是为保障国家对军人的抚恤和优待，激励军人保卫祖国、建设祖国的奉献精神，加强国防和军队建设用于伤残人员、“三红”“三属”在乡老复员军人、带病回乡退役军人、在农村和城镇无工作单位且家庭生活困难的参战退役人员、部分原8023部队及其他参加核试验军队退役人员以及符合条件的农村籍退役士兵、老烈士子女、参与铀矿开采军队退役人员等人员抚恤和生活补助支出。二是</w:t>
            </w:r>
            <w:r>
              <w:rPr>
                <w:rFonts w:ascii="仿宋" w:eastAsia="仿宋" w:cs="仿宋"/>
                <w:i w:val="0"/>
                <w:iCs w:val="0"/>
                <w:color w:val="000000"/>
                <w:kern w:val="0"/>
                <w:sz w:val="15"/>
                <w:szCs w:val="15"/>
                <w:u w:val="none"/>
                <w:lang w:val="en-US" w:eastAsia="zh-CN"/>
              </w:rPr>
              <w:t>中华人民共和国成立前</w:t>
            </w:r>
            <w:bookmarkStart w:id="87" w:name="_GoBack"/>
            <w:bookmarkEnd w:id="87"/>
            <w:r>
              <w:rPr>
                <w:rFonts w:ascii="仿宋" w:eastAsia="仿宋" w:cs="仿宋" w:hint="eastAsia"/>
                <w:i w:val="0"/>
                <w:iCs w:val="0"/>
                <w:color w:val="000000"/>
                <w:kern w:val="0"/>
                <w:sz w:val="15"/>
                <w:szCs w:val="15"/>
                <w:u w:val="none"/>
                <w:lang w:val="en-US" w:eastAsia="zh-CN"/>
              </w:rPr>
              <w:t>入党的农村籍老党员和未享受离退休待遇的城镇老党员生活补贴补助支出。三是义务兵优待金项目的开展有助于提高入伍积极性，增强当兵光荣的荣誉感，进一步增进全民国防观念和拥军优属意识。</w:t>
            </w:r>
          </w:p>
          <w:p>
            <w:pPr>
              <w:keepNext w:val="0"/>
              <w:keepLines w:val="0"/>
              <w:pageBreakBefore w:val="0"/>
              <w:widowControl/>
              <w:kinsoku/>
              <w:wordWrap/>
              <w:overflowPunct/>
              <w:topLinePunct w:val="0"/>
              <w:autoSpaceDE/>
              <w:autoSpaceDN/>
              <w:bidi w:val="0"/>
              <w:adjustRightInd/>
              <w:snapToGrid/>
              <w:spacing w:line="160" w:lineRule="atLeast"/>
              <w:jc w:val="left"/>
              <w:textAlignment w:val="top"/>
              <w:rPr>
                <w:rFonts w:ascii="仿宋" w:eastAsia="仿宋" w:cs="仿宋" w:hint="eastAsia"/>
                <w:sz w:val="21"/>
                <w:szCs w:val="21"/>
                <w:lang w:val="en-US" w:eastAsia="zh-CN"/>
              </w:rPr>
            </w:pPr>
          </w:p>
        </w:tc>
        <w:tc>
          <w:tcPr>
            <w:tcW w:w="3634" w:type="dxa"/>
            <w:gridSpan w:val="2"/>
            <w:tcBorders>
              <w:top w:val="single" w:sz="4" w:space="0" w:color="000000"/>
              <w:left w:val="single" w:sz="4" w:space="0" w:color="000000"/>
              <w:bottom w:val="single" w:sz="4" w:space="0" w:color="000000"/>
              <w:right w:val="single" w:sz="4" w:space="0" w:color="000000"/>
            </w:tcBorders>
            <w:shd w:val="clear" w:color="auto" w:fill="auto"/>
            <w:noWrap/>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i w:val="0"/>
                <w:iCs w:val="0"/>
                <w:color w:val="000000"/>
                <w:kern w:val="0"/>
                <w:sz w:val="15"/>
                <w:szCs w:val="15"/>
                <w:u w:val="none"/>
                <w:lang w:val="en-US" w:eastAsia="zh-CN"/>
              </w:rPr>
            </w:pPr>
            <w:r>
              <w:rPr>
                <w:rFonts w:ascii="仿宋" w:eastAsia="仿宋" w:cs="仿宋" w:hint="eastAsia"/>
                <w:i w:val="0"/>
                <w:iCs w:val="0"/>
                <w:color w:val="000000"/>
                <w:kern w:val="0"/>
                <w:sz w:val="15"/>
                <w:szCs w:val="15"/>
                <w:u w:val="none"/>
                <w:lang w:val="en-US" w:eastAsia="zh-CN"/>
              </w:rPr>
              <w:t>切实解决了退役军人存在的资金困难，减轻了家庭困难，提高了收入保障，不同程度缓解了社会压力，促进国家稳定。也为退役军人群体送去了党和国家的温暖，营造了拥军爱军浓厚氛围，让开展退役军人工作成为全社会最尊崇的职业打下了坚实基础。</w:t>
            </w:r>
          </w:p>
          <w:p>
            <w:pPr>
              <w:keepNext w:val="0"/>
              <w:keepLines w:val="0"/>
              <w:pageBreakBefore w:val="0"/>
              <w:widowControl/>
              <w:kinsoku/>
              <w:wordWrap/>
              <w:overflowPunct/>
              <w:topLinePunct w:val="0"/>
              <w:autoSpaceDE/>
              <w:autoSpaceDN/>
              <w:bidi w:val="0"/>
              <w:adjustRightInd/>
              <w:snapToGrid/>
              <w:spacing w:line="160" w:lineRule="atLeast"/>
              <w:jc w:val="left"/>
              <w:textAlignment w:val="top"/>
              <w:rPr>
                <w:rFonts w:ascii="仿宋" w:eastAsia="仿宋" w:cs="仿宋" w:hint="eastAsia"/>
                <w:sz w:val="21"/>
                <w:szCs w:val="21"/>
              </w:rPr>
            </w:pPr>
          </w:p>
        </w:tc>
      </w:tr>
      <w:tr>
        <w:trPr>
          <w:trHeight w:val="693"/>
          <w:gridAfter w:val="1"/>
          <w:wAfter w:w="234" w:type="dxa"/>
        </w:trPr>
        <w:tc>
          <w:tcPr>
            <w:tcW w:w="1482"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1"/>
                <w:szCs w:val="21"/>
              </w:rPr>
            </w:pPr>
            <w:r>
              <w:rPr>
                <w:rFonts w:ascii="仿宋" w:eastAsia="仿宋" w:cs="仿宋" w:hint="eastAsia"/>
                <w:kern w:val="0"/>
                <w:sz w:val="21"/>
                <w:szCs w:val="21"/>
              </w:rPr>
              <w:t>年度绩效指标完成情况</w:t>
            </w:r>
          </w:p>
        </w:tc>
        <w:tc>
          <w:tcPr>
            <w:tcW w:w="1380" w:type="dxa"/>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1"/>
                <w:szCs w:val="21"/>
              </w:rPr>
            </w:pPr>
            <w:r>
              <w:rPr>
                <w:rFonts w:ascii="仿宋" w:eastAsia="仿宋" w:cs="仿宋" w:hint="eastAsia"/>
                <w:kern w:val="0"/>
                <w:sz w:val="21"/>
                <w:szCs w:val="21"/>
              </w:rPr>
              <w:t>一级</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1"/>
                <w:szCs w:val="21"/>
              </w:rPr>
            </w:pPr>
            <w:r>
              <w:rPr>
                <w:rFonts w:ascii="仿宋" w:eastAsia="仿宋" w:cs="仿宋" w:hint="eastAsia"/>
                <w:kern w:val="0"/>
                <w:sz w:val="21"/>
                <w:szCs w:val="21"/>
              </w:rPr>
              <w:t>指标</w:t>
            </w:r>
          </w:p>
        </w:tc>
        <w:tc>
          <w:tcPr>
            <w:tcW w:w="15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1"/>
                <w:szCs w:val="21"/>
              </w:rPr>
            </w:pPr>
            <w:r>
              <w:rPr>
                <w:rFonts w:ascii="仿宋" w:eastAsia="仿宋" w:cs="仿宋" w:hint="eastAsia"/>
                <w:kern w:val="0"/>
                <w:sz w:val="21"/>
                <w:szCs w:val="21"/>
              </w:rPr>
              <w:t>二级</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1"/>
                <w:szCs w:val="21"/>
              </w:rPr>
            </w:pPr>
            <w:r>
              <w:rPr>
                <w:rFonts w:ascii="仿宋" w:eastAsia="仿宋" w:cs="仿宋" w:hint="eastAsia"/>
                <w:kern w:val="0"/>
                <w:sz w:val="21"/>
                <w:szCs w:val="21"/>
              </w:rPr>
              <w:t>指标</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kern w:val="0"/>
                <w:sz w:val="21"/>
                <w:szCs w:val="21"/>
              </w:rPr>
            </w:pPr>
            <w:r>
              <w:rPr>
                <w:rFonts w:ascii="仿宋" w:eastAsia="仿宋" w:cs="仿宋" w:hint="eastAsia"/>
                <w:kern w:val="0"/>
                <w:sz w:val="21"/>
                <w:szCs w:val="21"/>
              </w:rPr>
              <w:t>三级</w:t>
            </w:r>
          </w:p>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1"/>
                <w:szCs w:val="21"/>
              </w:rPr>
            </w:pPr>
            <w:r>
              <w:rPr>
                <w:rFonts w:ascii="仿宋" w:eastAsia="仿宋" w:cs="仿宋" w:hint="eastAsia"/>
                <w:kern w:val="0"/>
                <w:sz w:val="21"/>
                <w:szCs w:val="21"/>
              </w:rPr>
              <w:t>指标</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1"/>
                <w:szCs w:val="21"/>
              </w:rPr>
            </w:pPr>
            <w:r>
              <w:rPr>
                <w:rFonts w:ascii="仿宋" w:eastAsia="仿宋" w:cs="仿宋" w:hint="eastAsia"/>
                <w:kern w:val="0"/>
                <w:sz w:val="21"/>
                <w:szCs w:val="21"/>
              </w:rPr>
              <w:t>预期指标值</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center"/>
              <w:rPr>
                <w:rFonts w:ascii="仿宋" w:eastAsia="仿宋" w:cs="仿宋" w:hint="eastAsia"/>
                <w:sz w:val="21"/>
                <w:szCs w:val="21"/>
              </w:rPr>
            </w:pPr>
            <w:r>
              <w:rPr>
                <w:rFonts w:ascii="仿宋" w:eastAsia="仿宋" w:cs="仿宋" w:hint="eastAsia"/>
                <w:kern w:val="0"/>
                <w:sz w:val="21"/>
                <w:szCs w:val="21"/>
              </w:rPr>
              <w:t>实际完成指标值</w:t>
            </w:r>
          </w:p>
        </w:tc>
      </w:tr>
      <w:tr>
        <w:trPr>
          <w:trHeight w:val="415"/>
          <w:gridAfter w:val="1"/>
          <w:wAfter w:w="234" w:type="dxa"/>
        </w:trPr>
        <w:tc>
          <w:tcPr>
            <w:tcW w:w="1482" w:type="dxa"/>
            <w:vMerge/>
            <w:tcBorders>
              <w:top w:val="nil"/>
              <w:left w:val="single" w:sz="4" w:space="0" w:color="000000"/>
              <w:bottom w:val="nil"/>
              <w:right w:val="single" w:sz="4" w:space="0" w:color="000000"/>
            </w:tcBorders>
            <w:shd w:val="clear" w:color="auto" w:fill="auto"/>
            <w:noWrap/>
            <w:vAlign w:val="center"/>
          </w:tcPr>
          <w:p/>
        </w:tc>
        <w:tc>
          <w:tcPr>
            <w:tcW w:w="138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kern w:val="0"/>
                <w:sz w:val="21"/>
                <w:szCs w:val="21"/>
              </w:rPr>
            </w:pPr>
            <w:r>
              <w:rPr>
                <w:rFonts w:ascii="仿宋" w:eastAsia="仿宋" w:cs="仿宋" w:hint="eastAsia"/>
                <w:kern w:val="0"/>
                <w:sz w:val="21"/>
                <w:szCs w:val="21"/>
              </w:rPr>
              <w:t>完成</w:t>
            </w:r>
          </w:p>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1"/>
                <w:szCs w:val="21"/>
              </w:rPr>
            </w:pPr>
            <w:r>
              <w:rPr>
                <w:rFonts w:ascii="仿宋" w:eastAsia="仿宋" w:cs="仿宋" w:hint="eastAsia"/>
                <w:kern w:val="0"/>
                <w:sz w:val="21"/>
                <w:szCs w:val="21"/>
              </w:rPr>
              <w:t>指标</w:t>
            </w:r>
          </w:p>
        </w:tc>
        <w:tc>
          <w:tcPr>
            <w:tcW w:w="155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1"/>
                <w:szCs w:val="21"/>
              </w:rPr>
            </w:pPr>
            <w:r>
              <w:rPr>
                <w:rFonts w:ascii="仿宋" w:eastAsia="仿宋" w:cs="仿宋" w:hint="eastAsia"/>
                <w:kern w:val="0"/>
                <w:sz w:val="21"/>
                <w:szCs w:val="21"/>
              </w:rPr>
              <w:t>数量指标</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1"/>
                <w:szCs w:val="21"/>
              </w:rPr>
            </w:pPr>
            <w:r>
              <w:rPr>
                <w:rFonts w:ascii="仿宋" w:eastAsia="仿宋" w:cs="仿宋" w:hint="eastAsia"/>
                <w:i w:val="0"/>
                <w:iCs w:val="0"/>
                <w:color w:val="000000"/>
                <w:kern w:val="0"/>
                <w:sz w:val="21"/>
                <w:szCs w:val="21"/>
                <w:u w:val="none"/>
                <w:lang w:val="en-US" w:eastAsia="zh-CN"/>
              </w:rPr>
              <w:t>优抚对象抚恤补助项目</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1"/>
                <w:szCs w:val="21"/>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1"/>
                <w:szCs w:val="21"/>
                <w:lang w:val="en-US" w:eastAsia="zh-CN"/>
              </w:rPr>
            </w:pPr>
            <w:r>
              <w:rPr>
                <w:rFonts w:ascii="仿宋" w:eastAsia="仿宋" w:cs="仿宋" w:hint="eastAsia"/>
                <w:sz w:val="21"/>
                <w:szCs w:val="21"/>
                <w:lang w:val="en-US" w:eastAsia="zh-CN"/>
              </w:rPr>
              <w:t>1项</w:t>
            </w:r>
          </w:p>
        </w:tc>
      </w:tr>
      <w:tr>
        <w:trPr>
          <w:trHeight w:val="415"/>
          <w:gridAfter w:val="1"/>
          <w:wAfter w:w="234" w:type="dxa"/>
        </w:trPr>
        <w:tc>
          <w:tcPr>
            <w:tcW w:w="1482" w:type="dxa"/>
            <w:vMerge/>
            <w:tcBorders>
              <w:top w:val="nil"/>
              <w:left w:val="single" w:sz="4" w:space="0" w:color="000000"/>
              <w:bottom w:val="nil"/>
              <w:right w:val="single" w:sz="4" w:space="0" w:color="000000"/>
            </w:tcBorders>
            <w:shd w:val="clear" w:color="auto" w:fill="auto"/>
            <w:noWrap/>
            <w:vAlign w:val="center"/>
          </w:tcPr>
          <w:p/>
        </w:tc>
        <w:tc>
          <w:tcPr>
            <w:tcW w:w="1380"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55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1"/>
                <w:szCs w:val="21"/>
              </w:rPr>
            </w:pPr>
            <w:r>
              <w:rPr>
                <w:rFonts w:ascii="仿宋" w:eastAsia="仿宋" w:cs="仿宋" w:hint="eastAsia"/>
                <w:kern w:val="0"/>
                <w:sz w:val="21"/>
                <w:szCs w:val="21"/>
              </w:rPr>
              <w:t>质量指标</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sz w:val="21"/>
                <w:szCs w:val="21"/>
                <w:lang w:val="en-US"/>
              </w:rPr>
            </w:pPr>
            <w:r>
              <w:rPr>
                <w:rFonts w:ascii="仿宋" w:eastAsia="仿宋" w:cs="仿宋" w:hint="eastAsia"/>
                <w:i w:val="0"/>
                <w:iCs w:val="0"/>
                <w:color w:val="000000"/>
                <w:kern w:val="0"/>
                <w:sz w:val="21"/>
                <w:szCs w:val="21"/>
                <w:u w:val="none"/>
                <w:lang w:val="en-US" w:eastAsia="zh-CN"/>
              </w:rPr>
              <w:t>拨付优抚资金的正确率</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1"/>
                <w:szCs w:val="21"/>
              </w:rPr>
            </w:pPr>
            <w:r>
              <w:rPr>
                <w:rFonts w:ascii="Arial" w:eastAsia="仿宋" w:cs="Arial" w:hAnsi="Arial"/>
                <w:sz w:val="21"/>
                <w:szCs w:val="21"/>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1"/>
                <w:szCs w:val="21"/>
                <w:lang w:val="en-US" w:eastAsia="zh-CN"/>
              </w:rPr>
            </w:pPr>
            <w:r>
              <w:rPr>
                <w:rFonts w:ascii="仿宋" w:eastAsia="仿宋" w:cs="仿宋" w:hint="eastAsia"/>
                <w:sz w:val="21"/>
                <w:szCs w:val="21"/>
                <w:lang w:val="en-US" w:eastAsia="zh-CN"/>
              </w:rPr>
              <w:t>100%</w:t>
            </w:r>
          </w:p>
        </w:tc>
      </w:tr>
      <w:tr>
        <w:trPr>
          <w:trHeight w:val="415"/>
          <w:gridAfter w:val="1"/>
          <w:wAfter w:w="234" w:type="dxa"/>
        </w:trPr>
        <w:tc>
          <w:tcPr>
            <w:tcW w:w="1482" w:type="dxa"/>
            <w:vMerge/>
            <w:tcBorders>
              <w:top w:val="nil"/>
              <w:left w:val="single" w:sz="4" w:space="0" w:color="000000"/>
              <w:bottom w:val="nil"/>
              <w:right w:val="single" w:sz="4" w:space="0" w:color="000000"/>
            </w:tcBorders>
            <w:shd w:val="clear" w:color="auto" w:fill="auto"/>
            <w:noWrap/>
            <w:vAlign w:val="center"/>
          </w:tcPr>
          <w:p/>
        </w:tc>
        <w:tc>
          <w:tcPr>
            <w:tcW w:w="1380"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55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1"/>
                <w:szCs w:val="21"/>
              </w:rPr>
            </w:pPr>
            <w:r>
              <w:rPr>
                <w:rFonts w:ascii="仿宋" w:eastAsia="仿宋" w:cs="仿宋" w:hint="eastAsia"/>
                <w:kern w:val="0"/>
                <w:sz w:val="21"/>
                <w:szCs w:val="21"/>
              </w:rPr>
              <w:t>时效指标</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1"/>
                <w:szCs w:val="21"/>
              </w:rPr>
            </w:pPr>
            <w:r>
              <w:rPr>
                <w:rFonts w:ascii="仿宋" w:eastAsia="仿宋" w:cs="仿宋" w:hint="eastAsia"/>
                <w:i w:val="0"/>
                <w:iCs w:val="0"/>
                <w:color w:val="000000"/>
                <w:kern w:val="0"/>
                <w:sz w:val="21"/>
                <w:szCs w:val="21"/>
                <w:u w:val="none"/>
                <w:lang w:val="en-US" w:eastAsia="zh-CN"/>
              </w:rPr>
              <w:t>按照相关规定优抚资金每月拨付率</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1"/>
                <w:szCs w:val="21"/>
              </w:rPr>
            </w:pPr>
            <w:r>
              <w:rPr>
                <w:rFonts w:ascii="Arial" w:eastAsia="仿宋" w:cs="Arial" w:hAnsi="Arial"/>
                <w:sz w:val="21"/>
                <w:szCs w:val="21"/>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1"/>
                <w:szCs w:val="21"/>
              </w:rPr>
            </w:pPr>
            <w:r>
              <w:rPr>
                <w:rFonts w:ascii="仿宋" w:eastAsia="仿宋" w:cs="仿宋" w:hint="eastAsia"/>
                <w:sz w:val="21"/>
                <w:szCs w:val="21"/>
                <w:lang w:val="en-US" w:eastAsia="zh-CN"/>
              </w:rPr>
              <w:t>100%</w:t>
            </w:r>
          </w:p>
        </w:tc>
      </w:tr>
      <w:tr>
        <w:trPr>
          <w:trHeight w:val="480"/>
          <w:gridAfter w:val="1"/>
          <w:wAfter w:w="234" w:type="dxa"/>
        </w:trPr>
        <w:tc>
          <w:tcPr>
            <w:tcW w:w="1482" w:type="dxa"/>
            <w:vMerge/>
            <w:tcBorders>
              <w:top w:val="nil"/>
              <w:left w:val="single" w:sz="4" w:space="0" w:color="000000"/>
              <w:bottom w:val="nil"/>
              <w:right w:val="single" w:sz="4" w:space="0" w:color="000000"/>
            </w:tcBorders>
            <w:shd w:val="clear" w:color="auto" w:fill="auto"/>
            <w:noWrap/>
            <w:vAlign w:val="center"/>
          </w:tcPr>
          <w:p/>
        </w:tc>
        <w:tc>
          <w:tcPr>
            <w:tcW w:w="1380"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55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1"/>
                <w:szCs w:val="21"/>
              </w:rPr>
            </w:pPr>
            <w:r>
              <w:rPr>
                <w:rFonts w:ascii="仿宋" w:eastAsia="仿宋" w:cs="仿宋" w:hint="eastAsia"/>
                <w:kern w:val="0"/>
                <w:sz w:val="21"/>
                <w:szCs w:val="21"/>
              </w:rPr>
              <w:t>成本指标</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1"/>
                <w:szCs w:val="21"/>
              </w:rPr>
            </w:pPr>
            <w:r>
              <w:rPr>
                <w:rFonts w:ascii="仿宋" w:eastAsia="仿宋" w:cs="仿宋" w:hint="eastAsia"/>
                <w:i w:val="0"/>
                <w:iCs w:val="0"/>
                <w:color w:val="000000"/>
                <w:kern w:val="0"/>
                <w:sz w:val="21"/>
                <w:szCs w:val="21"/>
                <w:u w:val="none"/>
                <w:lang w:val="en-US" w:eastAsia="zh-CN"/>
              </w:rPr>
              <w:t>优抚对象夫婿补助资金</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1"/>
                <w:szCs w:val="21"/>
              </w:rPr>
            </w:pPr>
            <w:r>
              <w:rPr>
                <w:rFonts w:ascii="Arial" w:eastAsia="仿宋" w:cs="Arial" w:hAnsi="Arial"/>
                <w:sz w:val="21"/>
                <w:szCs w:val="21"/>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sz w:val="21"/>
                <w:szCs w:val="21"/>
                <w:lang w:val="en-US" w:eastAsia="zh-CN"/>
              </w:rPr>
            </w:pPr>
            <w:r>
              <w:rPr>
                <w:rFonts w:ascii="仿宋" w:eastAsia="仿宋" w:cs="仿宋" w:hint="eastAsia"/>
                <w:sz w:val="21"/>
                <w:szCs w:val="21"/>
                <w:lang w:val="en-US" w:eastAsia="zh-CN"/>
              </w:rPr>
              <w:t>492.32万</w:t>
            </w:r>
          </w:p>
        </w:tc>
      </w:tr>
      <w:tr>
        <w:trPr>
          <w:trHeight w:val="480"/>
          <w:gridAfter w:val="1"/>
          <w:wAfter w:w="234" w:type="dxa"/>
        </w:trPr>
        <w:tc>
          <w:tcPr>
            <w:tcW w:w="1482" w:type="dxa"/>
            <w:vMerge/>
            <w:tcBorders>
              <w:top w:val="nil"/>
              <w:left w:val="single" w:sz="4" w:space="0" w:color="000000"/>
              <w:bottom w:val="nil"/>
              <w:right w:val="single" w:sz="4" w:space="0" w:color="000000"/>
            </w:tcBorders>
            <w:shd w:val="clear" w:color="auto" w:fill="auto"/>
            <w:noWrap/>
            <w:vAlign w:val="center"/>
          </w:tcPr>
          <w:p/>
        </w:tc>
        <w:tc>
          <w:tcPr>
            <w:tcW w:w="1380"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55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left"/>
              <w:textAlignment w:val="bottom"/>
              <w:rPr>
                <w:rFonts w:ascii="仿宋" w:eastAsia="仿宋" w:cs="仿宋" w:hint="eastAsia"/>
                <w:sz w:val="21"/>
                <w:szCs w:val="21"/>
              </w:rPr>
            </w:pPr>
            <w:r>
              <w:rPr>
                <w:rFonts w:ascii="仿宋" w:eastAsia="仿宋" w:cs="仿宋" w:hint="eastAsia"/>
                <w:kern w:val="0"/>
                <w:sz w:val="21"/>
                <w:szCs w:val="21"/>
              </w:rPr>
              <w:t>社会效益 指标</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i w:val="0"/>
                <w:iCs w:val="0"/>
                <w:color w:val="000000"/>
                <w:kern w:val="0"/>
                <w:sz w:val="21"/>
                <w:szCs w:val="21"/>
                <w:u w:val="none"/>
                <w:lang w:val="en-US" w:eastAsia="zh-CN"/>
              </w:rPr>
            </w:pPr>
            <w:r>
              <w:rPr>
                <w:rFonts w:ascii="仿宋" w:eastAsia="仿宋" w:cs="仿宋" w:hint="eastAsia"/>
                <w:i w:val="0"/>
                <w:iCs w:val="0"/>
                <w:color w:val="000000"/>
                <w:kern w:val="0"/>
                <w:sz w:val="21"/>
                <w:szCs w:val="21"/>
                <w:u w:val="none"/>
                <w:lang w:val="en-US" w:eastAsia="zh-CN"/>
              </w:rPr>
              <w:t>优抚对象的幸福感、获得感、荣誉感</w:t>
            </w:r>
          </w:p>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1"/>
                <w:szCs w:val="21"/>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1"/>
                <w:szCs w:val="21"/>
                <w:lang w:val="en-US" w:eastAsia="zh-CN"/>
              </w:rPr>
            </w:pPr>
            <w:r>
              <w:rPr>
                <w:rFonts w:ascii="仿宋" w:eastAsia="仿宋" w:cs="仿宋" w:hint="eastAsia"/>
                <w:sz w:val="21"/>
                <w:szCs w:val="21"/>
                <w:lang w:val="en-US" w:eastAsia="zh-CN"/>
              </w:rPr>
              <w:t>优良中差</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1"/>
                <w:szCs w:val="21"/>
                <w:lang w:val="en-US" w:eastAsia="zh-CN"/>
              </w:rPr>
            </w:pPr>
            <w:r>
              <w:rPr>
                <w:rFonts w:ascii="仿宋" w:eastAsia="仿宋" w:cs="仿宋" w:hint="eastAsia"/>
                <w:sz w:val="21"/>
                <w:szCs w:val="21"/>
                <w:lang w:val="en-US" w:eastAsia="zh-CN"/>
              </w:rPr>
              <w:t>良</w:t>
            </w:r>
          </w:p>
        </w:tc>
      </w:tr>
      <w:tr>
        <w:trPr>
          <w:trHeight w:val="530"/>
          <w:gridAfter w:val="1"/>
          <w:wAfter w:w="234" w:type="dxa"/>
        </w:trPr>
        <w:tc>
          <w:tcPr>
            <w:tcW w:w="1482" w:type="dxa"/>
            <w:vMerge/>
            <w:tcBorders>
              <w:top w:val="nil"/>
              <w:left w:val="single" w:sz="4" w:space="0" w:color="000000"/>
              <w:bottom w:val="single" w:sz="4" w:space="0" w:color="000000"/>
              <w:right w:val="single" w:sz="4" w:space="0" w:color="000000"/>
            </w:tcBorders>
            <w:shd w:val="clear" w:color="auto" w:fill="auto"/>
            <w:noWrap/>
            <w:vAlign w:val="center"/>
          </w:tc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kern w:val="0"/>
                <w:sz w:val="21"/>
                <w:szCs w:val="21"/>
                <w:lang w:eastAsia="zh-CN"/>
              </w:rPr>
            </w:pPr>
            <w:r>
              <w:rPr>
                <w:rFonts w:ascii="仿宋" w:eastAsia="仿宋" w:cs="仿宋" w:hint="eastAsia"/>
                <w:kern w:val="0"/>
                <w:sz w:val="21"/>
                <w:szCs w:val="21"/>
              </w:rPr>
              <w:t>满意</w:t>
            </w:r>
          </w:p>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1"/>
                <w:szCs w:val="21"/>
              </w:rPr>
            </w:pPr>
            <w:r>
              <w:rPr>
                <w:rFonts w:ascii="仿宋" w:eastAsia="仿宋" w:cs="仿宋" w:hint="eastAsia"/>
                <w:kern w:val="0"/>
                <w:sz w:val="21"/>
                <w:szCs w:val="21"/>
              </w:rPr>
              <w:t>度指标</w:t>
            </w:r>
          </w:p>
        </w:tc>
        <w:tc>
          <w:tcPr>
            <w:tcW w:w="155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kern w:val="0"/>
                <w:sz w:val="21"/>
                <w:szCs w:val="21"/>
              </w:rPr>
            </w:pPr>
            <w:r>
              <w:rPr>
                <w:rFonts w:ascii="仿宋" w:eastAsia="仿宋" w:cs="仿宋" w:hint="eastAsia"/>
                <w:kern w:val="0"/>
                <w:sz w:val="21"/>
                <w:szCs w:val="21"/>
              </w:rPr>
              <w:t>满意度</w:t>
            </w:r>
          </w:p>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1"/>
                <w:szCs w:val="21"/>
              </w:rPr>
            </w:pPr>
            <w:r>
              <w:rPr>
                <w:rFonts w:ascii="仿宋" w:eastAsia="仿宋" w:cs="仿宋" w:hint="eastAsia"/>
                <w:kern w:val="0"/>
                <w:sz w:val="21"/>
                <w:szCs w:val="21"/>
              </w:rPr>
              <w:t>指标</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1"/>
                <w:szCs w:val="21"/>
                <w:lang w:val="en-US" w:eastAsia="zh-CN"/>
              </w:rPr>
            </w:pPr>
            <w:r>
              <w:rPr>
                <w:rFonts w:ascii="仿宋" w:eastAsia="仿宋" w:cs="仿宋" w:hint="eastAsia"/>
                <w:sz w:val="21"/>
                <w:szCs w:val="21"/>
                <w:lang w:val="en-US" w:eastAsia="zh-CN"/>
              </w:rPr>
              <w:t>服务对象满意度</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1"/>
                <w:szCs w:val="21"/>
                <w:lang w:val="en-US" w:eastAsia="zh-CN"/>
              </w:rPr>
            </w:pPr>
            <w:r>
              <w:rPr>
                <w:rFonts w:ascii="仿宋" w:eastAsia="仿宋" w:cs="仿宋" w:hint="eastAsia"/>
                <w:sz w:val="21"/>
                <w:szCs w:val="21"/>
                <w:lang w:val="en-US" w:eastAsia="zh-CN"/>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60" w:lineRule="atLeast"/>
              <w:jc w:val="center"/>
              <w:textAlignment w:val="bottom"/>
              <w:rPr>
                <w:rFonts w:ascii="仿宋" w:eastAsia="仿宋" w:cs="仿宋" w:hint="eastAsia"/>
                <w:sz w:val="21"/>
                <w:szCs w:val="21"/>
                <w:lang w:val="en-US" w:eastAsia="zh-CN"/>
              </w:rPr>
            </w:pPr>
            <w:r>
              <w:rPr>
                <w:rFonts w:ascii="仿宋" w:eastAsia="仿宋" w:cs="仿宋" w:hint="eastAsia"/>
                <w:sz w:val="21"/>
                <w:szCs w:val="21"/>
                <w:lang w:val="en-US" w:eastAsia="zh-CN"/>
              </w:rPr>
              <w:t>95</w:t>
            </w:r>
          </w:p>
        </w:tc>
      </w:tr>
    </w:tbl>
    <w:p>
      <w:pPr>
        <w:pStyle w:val="16"/>
        <w:pageBreakBefore w:val="0"/>
        <w:widowControl w:val="0"/>
        <w:kinsoku/>
        <w:wordWrap/>
        <w:overflowPunct/>
        <w:topLinePunct w:val="0"/>
        <w:bidi w:val="0"/>
        <w:spacing w:beforeLines="0" w:before="93" w:line="576" w:lineRule="exact"/>
        <w:rPr>
          <w:rFonts w:ascii="Times New Roman" w:cs="Times New Roman" w:hAnsi="Times New Roman" w:hint="eastAsia"/>
          <w:sz w:val="32"/>
          <w:szCs w:val="32"/>
          <w:shd w:val="clear" w:color="auto" w:fill="FFFFFF"/>
          <w:lang w:val="en-US" w:eastAsia="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hint="eastAsia"/>
          <w:sz w:val="32"/>
          <w:szCs w:val="32"/>
          <w:shd w:val="clear" w:color="auto" w:fill="FFFFFF"/>
          <w:lang w:val="en-US" w:eastAsia="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hint="eastAsia"/>
          <w:sz w:val="32"/>
          <w:szCs w:val="32"/>
          <w:shd w:val="clear" w:color="auto" w:fill="FFFFFF"/>
          <w:lang w:val="en-US" w:eastAsia="zh-CN"/>
        </w:rPr>
      </w:pPr>
      <w:r>
        <w:rPr>
          <w:rFonts w:ascii="Times New Roman" w:cs="Times New Roman" w:hAnsi="Times New Roman" w:hint="eastAsia"/>
          <w:sz w:val="32"/>
          <w:szCs w:val="32"/>
          <w:shd w:val="clear" w:color="auto" w:fill="FFFFFF"/>
          <w:lang w:val="en-US" w:eastAsia="zh-CN"/>
        </w:rPr>
        <w:t>附件</w:t>
      </w:r>
    </w:p>
    <w:p>
      <w:pPr>
        <w:pageBreakBefore w:val="0"/>
        <w:widowControl w:val="0"/>
        <w:kinsoku/>
        <w:wordWrap/>
        <w:overflowPunct/>
        <w:topLinePunct w:val="0"/>
        <w:bidi w:val="0"/>
        <w:spacing w:line="576" w:lineRule="exact"/>
        <w:jc w:val="center"/>
        <w:rPr>
          <w:rFonts w:ascii="Times New Roman" w:eastAsia="方正小标宋简体" w:cs="Times New Roman" w:hAnsi="Times New Roman"/>
          <w:sz w:val="40"/>
          <w:szCs w:val="40"/>
        </w:rPr>
      </w:pPr>
    </w:p>
    <w:p>
      <w:pPr>
        <w:pageBreakBefore w:val="0"/>
        <w:widowControl w:val="0"/>
        <w:kinsoku/>
        <w:wordWrap/>
        <w:overflowPunct/>
        <w:topLinePunct w:val="0"/>
        <w:bidi w:val="0"/>
        <w:spacing w:line="576" w:lineRule="exact"/>
        <w:jc w:val="center"/>
        <w:rPr>
          <w:rFonts w:ascii="Times New Roman" w:eastAsia="方正小标宋简体" w:cs="Times New Roman" w:hAnsi="Times New Roman"/>
          <w:sz w:val="40"/>
          <w:szCs w:val="40"/>
          <w:lang w:val="zh-CN"/>
        </w:rPr>
      </w:pPr>
      <w:r>
        <w:rPr>
          <w:rFonts w:ascii="Times New Roman" w:eastAsia="方正小标宋简体" w:cs="Times New Roman" w:hAnsi="Times New Roman"/>
          <w:sz w:val="40"/>
          <w:szCs w:val="40"/>
        </w:rPr>
        <w:t>2022年</w:t>
      </w:r>
      <w:r>
        <w:rPr>
          <w:rFonts w:ascii="Times New Roman" w:eastAsia="方正小标宋简体" w:cs="Times New Roman" w:hAnsi="Times New Roman"/>
          <w:sz w:val="40"/>
          <w:szCs w:val="40"/>
          <w:lang w:val="zh-CN"/>
        </w:rPr>
        <w:t>专项预算项目支出绩效自评报告</w:t>
      </w:r>
    </w:p>
    <w:p>
      <w:pPr>
        <w:pageBreakBefore w:val="0"/>
        <w:widowControl w:val="0"/>
        <w:kinsoku/>
        <w:wordWrap/>
        <w:overflowPunct/>
        <w:topLinePunct w:val="0"/>
        <w:bidi w:val="0"/>
        <w:spacing w:line="576" w:lineRule="exact"/>
        <w:jc w:val="center"/>
        <w:rPr>
          <w:rFonts w:ascii="Times New Roman" w:cs="Times New Roman" w:hAnsi="Times New Roman"/>
        </w:rPr>
      </w:pPr>
      <w:r>
        <w:rPr>
          <w:rFonts w:ascii="Times New Roman" w:cs="Times New Roman" w:hAnsi="Times New Roman"/>
          <w:sz w:val="32"/>
          <w:szCs w:val="32"/>
          <w:lang w:val="zh-CN"/>
        </w:rPr>
        <w:t>（</w:t>
      </w:r>
      <w:r>
        <w:rPr>
          <w:rFonts w:ascii="Times New Roman" w:eastAsia="楷体_GB2312" w:cs="Times New Roman" w:hAnsi="Times New Roman" w:hint="eastAsia"/>
          <w:b w:val="0"/>
          <w:bCs/>
          <w:kern w:val="2"/>
          <w:sz w:val="32"/>
          <w:szCs w:val="32"/>
          <w:lang w:val="en-US" w:eastAsia="zh-CN" w:bidi="ar-SA"/>
        </w:rPr>
        <w:t>烈士纪念设施修缮改造</w:t>
      </w:r>
      <w:r>
        <w:rPr>
          <w:rFonts w:ascii="Times New Roman" w:eastAsia="楷体_GB2312" w:cs="Times New Roman" w:hAnsi="Times New Roman" w:hint="eastAsia"/>
          <w:b w:val="0"/>
          <w:bCs/>
          <w:kern w:val="2"/>
          <w:sz w:val="32"/>
          <w:szCs w:val="32"/>
          <w:lang w:val="zh-CN" w:eastAsia="zh-CN" w:bidi="ar-SA"/>
        </w:rPr>
        <w:t>项目</w:t>
      </w:r>
      <w:r>
        <w:rPr>
          <w:rFonts w:ascii="Times New Roman" w:cs="Times New Roman" w:hAnsi="Times New Roman"/>
          <w:sz w:val="32"/>
          <w:szCs w:val="32"/>
          <w:lang w:val="zh-CN"/>
        </w:rPr>
        <w:t>）</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一、项目概况</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b/>
          <w:color w:val="000000"/>
          <w:sz w:val="31"/>
          <w:szCs w:val="31"/>
        </w:rPr>
        <w:t>（一）项目基本情况。</w:t>
      </w:r>
    </w:p>
    <w:p>
      <w:pPr>
        <w:adjustRightInd w:val="0"/>
        <w:snapToGrid w:val="0"/>
        <w:spacing w:line="600" w:lineRule="exact"/>
        <w:ind w:firstLineChars="200" w:firstLine="640"/>
        <w:rPr>
          <w:rFonts w:ascii="Times New Roman" w:eastAsia="仿宋_GB2312" w:cs="Times New Roman" w:hAnsi="Times New Roman" w:hint="eastAsia"/>
          <w:b w:val="0"/>
          <w:bCs w:val="0"/>
          <w:color w:val="auto"/>
          <w:kern w:val="2"/>
          <w:sz w:val="32"/>
          <w:szCs w:val="32"/>
          <w:lang w:val="en-US" w:eastAsia="zh-CN" w:bidi="ar-SA"/>
        </w:rPr>
      </w:pPr>
      <w:r>
        <w:rPr>
          <w:rFonts w:ascii="Times New Roman" w:eastAsia="仿宋_GB2312" w:cs="Times New Roman" w:hAnsi="Times New Roman"/>
          <w:b/>
          <w:bCs/>
          <w:kern w:val="2"/>
          <w:sz w:val="32"/>
          <w:szCs w:val="32"/>
          <w:lang w:val="zh-CN" w:eastAsia="zh-CN" w:bidi="ar-SA"/>
        </w:rPr>
        <w:t>1</w:t>
      </w:r>
      <w:r>
        <w:rPr>
          <w:rFonts w:ascii="Times New Roman" w:eastAsia="仿宋_GB2312" w:cs="Times New Roman" w:hAnsi="Times New Roman" w:hint="eastAsia"/>
          <w:b/>
          <w:bCs/>
          <w:kern w:val="2"/>
          <w:sz w:val="32"/>
          <w:szCs w:val="32"/>
          <w:lang w:val="zh-CN" w:eastAsia="zh-CN" w:bidi="ar-SA"/>
        </w:rPr>
        <w:t>.项目立项：</w:t>
      </w:r>
      <w:r>
        <w:rPr>
          <w:rFonts w:ascii="仿宋_GB2312" w:eastAsia="仿宋_GB2312" w:cs="仿宋_GB2312" w:hint="eastAsia"/>
          <w:color w:val="000000"/>
          <w:kern w:val="0"/>
          <w:sz w:val="31"/>
          <w:szCs w:val="31"/>
          <w:lang w:val="en-US" w:eastAsia="zh-CN"/>
        </w:rPr>
        <w:t>金川县烈士纪念设施修缮改造项目2022年4月20日金川县退役军人事务局发金退役军人[2022]72号《金川县退役军人事务局关于金川县烈士陵园烈士纪念设施修缮改造项目申请实施的请示》。2022年5月11日金川县发展改革和经济商务信息化局发金发改经信行审[2022]169号《金川县发展改革和经济商务信息化局关于金川县烈士陵园纪念设施修缮改造项目实施方案的批复》。</w:t>
      </w:r>
      <w:r>
        <w:rPr>
          <w:rFonts w:ascii="仿宋_GB2312" w:eastAsia="仿宋_GB2312" w:cs="仿宋_GB2312" w:hint="eastAsia"/>
          <w:color w:val="auto"/>
          <w:kern w:val="0"/>
          <w:sz w:val="31"/>
          <w:szCs w:val="31"/>
          <w:lang w:val="en-US" w:eastAsia="zh-CN"/>
        </w:rPr>
        <w:t xml:space="preserve">2022年7月20日进行招标，湖北殷祖古建集团有限公司中标，中标金额人民币大写：壹佰捌拾肆万柒仟叁佰陆拾元叁角伍分。2022年9月1日开工，2022年11月10日竣工。   </w:t>
      </w:r>
      <w:r>
        <w:rPr>
          <w:rFonts w:ascii="Times New Roman" w:eastAsia="仿宋_GB2312" w:cs="Times New Roman" w:hAnsi="Times New Roman" w:hint="eastAsia"/>
          <w:b w:val="0"/>
          <w:bCs w:val="0"/>
          <w:color w:val="auto"/>
          <w:kern w:val="2"/>
          <w:sz w:val="32"/>
          <w:szCs w:val="32"/>
          <w:lang w:val="en-US" w:eastAsia="zh-CN" w:bidi="ar-SA"/>
        </w:rPr>
        <w:t xml:space="preserve">     </w:t>
      </w:r>
    </w:p>
    <w:p>
      <w:pPr>
        <w:adjustRightInd w:val="0"/>
        <w:snapToGrid w:val="0"/>
        <w:spacing w:line="600" w:lineRule="exact"/>
        <w:ind w:firstLineChars="200" w:firstLine="640"/>
        <w:rPr>
          <w:rFonts w:ascii="Times New Roman" w:eastAsia="仿宋_GB2312" w:cs="Times New Roman" w:hAnsi="Times New Roman"/>
          <w:b w:val="0"/>
          <w:bCs w:val="0"/>
          <w:kern w:val="2"/>
          <w:sz w:val="32"/>
          <w:szCs w:val="32"/>
          <w:lang w:val="en-US" w:eastAsia="zh-CN" w:bidi="ar-SA"/>
        </w:rPr>
      </w:pPr>
      <w:r>
        <w:rPr>
          <w:rFonts w:ascii="Times New Roman" w:eastAsia="仿宋_GB2312" w:cs="Times New Roman" w:hAnsi="Times New Roman" w:hint="eastAsia"/>
          <w:b/>
          <w:bCs/>
          <w:kern w:val="2"/>
          <w:sz w:val="32"/>
          <w:szCs w:val="32"/>
          <w:lang w:val="zh-CN" w:eastAsia="zh-CN" w:bidi="ar-SA"/>
        </w:rPr>
        <w:t>资金申报的依据：</w:t>
      </w:r>
      <w:r>
        <w:rPr>
          <w:rFonts w:ascii="Times New Roman" w:eastAsia="仿宋_GB2312" w:cs="Times New Roman" w:hAnsi="Times New Roman" w:hint="eastAsia"/>
          <w:b w:val="0"/>
          <w:bCs w:val="0"/>
          <w:kern w:val="2"/>
          <w:sz w:val="32"/>
          <w:szCs w:val="32"/>
          <w:lang w:val="en-US" w:eastAsia="zh-CN" w:bidi="ar-SA"/>
        </w:rPr>
        <w:t xml:space="preserve">2022年5月13日，金川县财政局发(金财社【2022】35号)文件《金川县财政局关于下达2022年烈士纪念设施修缮改造有关事项的通知》 及（金财社【2022】53号）文件《金川县财政局关于下达2022州级财政优抚安置事业单位补助资金的通知》。                                                       </w:t>
      </w:r>
    </w:p>
    <w:p>
      <w:pPr>
        <w:adjustRightInd w:val="0"/>
        <w:snapToGrid w:val="0"/>
        <w:spacing w:line="600" w:lineRule="exact"/>
        <w:ind w:left="0" w:firstLineChars="200" w:firstLine="640"/>
        <w:rPr>
          <w:rFonts w:hint="eastAsia"/>
          <w:b/>
          <w:bCs/>
          <w:lang w:val="zh-CN"/>
        </w:rPr>
      </w:pPr>
      <w:r>
        <w:rPr>
          <w:rFonts w:ascii="Times New Roman" w:eastAsia="仿宋_GB2312" w:cs="Times New Roman" w:hAnsi="Times New Roman" w:hint="eastAsia"/>
          <w:b/>
          <w:bCs/>
          <w:kern w:val="2"/>
          <w:sz w:val="32"/>
          <w:szCs w:val="32"/>
          <w:lang w:val="en-US" w:eastAsia="zh-CN" w:bidi="ar-SA"/>
        </w:rPr>
        <w:t>2.</w:t>
      </w:r>
      <w:r>
        <w:rPr>
          <w:rFonts w:ascii="Times New Roman" w:eastAsia="仿宋_GB2312" w:cs="Times New Roman" w:hAnsi="Times New Roman" w:hint="eastAsia"/>
          <w:b/>
          <w:bCs/>
          <w:kern w:val="2"/>
          <w:sz w:val="32"/>
          <w:szCs w:val="32"/>
          <w:lang w:val="zh-CN" w:eastAsia="zh-CN" w:bidi="ar-SA"/>
        </w:rPr>
        <w:t>资金管理办法制定情况，资金支持具体项目的条件、范围与支持方式概况。</w:t>
      </w:r>
    </w:p>
    <w:p>
      <w:pPr>
        <w:numPr>
          <w:ilvl w:val="0"/>
          <w:numId w:val="7"/>
        </w:numPr>
        <w:adjustRightInd w:val="0"/>
        <w:snapToGrid w:val="0"/>
        <w:spacing w:line="600" w:lineRule="exact"/>
        <w:ind w:left="0" w:firstLineChars="200" w:firstLine="620"/>
        <w:rPr>
          <w:rFonts w:ascii="仿宋_GB2312" w:eastAsia="仿宋_GB2312" w:cs="仿宋_GB2312" w:hint="eastAsia"/>
          <w:color w:val="000000"/>
          <w:kern w:val="0"/>
          <w:sz w:val="31"/>
          <w:szCs w:val="31"/>
          <w:lang w:val="en-US"/>
        </w:rPr>
      </w:pPr>
      <w:r>
        <w:rPr>
          <w:rFonts w:ascii="仿宋_GB2312" w:eastAsia="仿宋_GB2312" w:cs="仿宋_GB2312" w:hint="eastAsia"/>
          <w:color w:val="000000"/>
          <w:kern w:val="0"/>
          <w:sz w:val="31"/>
          <w:szCs w:val="31"/>
          <w:lang w:val="en-US" w:eastAsia="zh-CN"/>
        </w:rPr>
        <w:t>严格按照财政拨款资金管理办法使用的有关规定执行，切实加强资金监管，提高资金使用效益。 .严格执行《四川省财政资金管理办法》，项目资金实行县级财政报账制管理,做到资金安排到项目、日常管理到项目、支出核算到项目，按项目建设进度核拨资金，确保资金及时足额到位。 建立专项资金使用公示制按照公开、公平、公正的原则，对资金的分配和使用定期进行公示。补助资金规模、补助标准、补助环节、受益对象必须在项目实施单位进行实名张榜公示。自觉接受社会和群众监督，不断密切党群、干群关系， 建立专项资金管理审计制。项目实施完成后，相关审计部门应及时会同财政、纪检、监察部门对资金使用情况进行专项审计。</w:t>
      </w:r>
    </w:p>
    <w:p>
      <w:pPr>
        <w:numPr>
          <w:ilvl w:val="0"/>
          <w:numId w:val="7"/>
        </w:numPr>
        <w:adjustRightInd w:val="0"/>
        <w:snapToGrid w:val="0"/>
        <w:spacing w:line="600" w:lineRule="exact"/>
        <w:ind w:left="0" w:firstLineChars="200" w:firstLine="620"/>
        <w:rPr>
          <w:rFonts w:ascii="仿宋_GB2312" w:eastAsia="仿宋_GB2312" w:cs="仿宋_GB2312" w:hint="eastAsia"/>
          <w:color w:val="000000"/>
          <w:kern w:val="0"/>
          <w:sz w:val="31"/>
          <w:szCs w:val="31"/>
          <w:lang w:val="en-US"/>
        </w:rPr>
      </w:pPr>
      <w:r>
        <w:rPr>
          <w:rFonts w:ascii="仿宋_GB2312" w:eastAsia="仿宋_GB2312" w:cs="仿宋_GB2312" w:hint="eastAsia"/>
          <w:color w:val="000000"/>
          <w:kern w:val="0"/>
          <w:sz w:val="31"/>
          <w:szCs w:val="31"/>
          <w:lang w:val="zh-CN" w:eastAsia="zh-CN"/>
        </w:rPr>
        <w:t>资金支持具体项目的条件、范围与支持方式：</w:t>
      </w:r>
      <w:r>
        <w:rPr>
          <w:rFonts w:ascii="仿宋_GB2312" w:eastAsia="仿宋_GB2312" w:cs="仿宋_GB2312" w:hint="eastAsia"/>
          <w:color w:val="000000"/>
          <w:kern w:val="0"/>
          <w:sz w:val="31"/>
          <w:szCs w:val="31"/>
          <w:lang w:val="en-US" w:eastAsia="zh-CN"/>
        </w:rPr>
        <w:t>按照签订的合同实施，施工方进场后支付50%的预付款，</w:t>
      </w:r>
      <w:r>
        <w:rPr>
          <w:rFonts w:ascii="仿宋_GB2312" w:eastAsia="仿宋_GB2312" w:cs="仿宋_GB2312" w:hint="eastAsia"/>
          <w:color w:val="000000"/>
          <w:kern w:val="0"/>
          <w:sz w:val="31"/>
          <w:szCs w:val="31"/>
          <w:lang w:val="zh-CN" w:eastAsia="zh-CN"/>
        </w:rPr>
        <w:t>工程</w:t>
      </w:r>
      <w:r>
        <w:rPr>
          <w:rFonts w:ascii="仿宋_GB2312" w:eastAsia="仿宋_GB2312" w:cs="仿宋_GB2312" w:hint="eastAsia"/>
          <w:color w:val="000000"/>
          <w:kern w:val="0"/>
          <w:sz w:val="31"/>
          <w:szCs w:val="31"/>
          <w:lang w:val="en-US" w:eastAsia="zh-CN"/>
        </w:rPr>
        <w:t>竣工验收合格并结算后再支付剩余的工程款。</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b/>
          <w:color w:val="000000"/>
          <w:sz w:val="31"/>
          <w:szCs w:val="31"/>
        </w:rPr>
        <w:t>（二）项目绩效目标。</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20"/>
        <w:textAlignment w:val="auto"/>
        <w:rPr>
          <w:rFonts w:ascii="仿宋_GB2312" w:eastAsia="仿宋_GB2312" w:cs="仿宋_GB2312" w:hint="eastAsia"/>
          <w:color w:val="000000"/>
          <w:kern w:val="0"/>
          <w:sz w:val="31"/>
          <w:szCs w:val="31"/>
          <w:lang w:val="en-US" w:eastAsia="zh-CN"/>
        </w:rPr>
      </w:pPr>
      <w:r>
        <w:rPr>
          <w:rFonts w:ascii="仿宋_GB2312" w:eastAsia="仿宋_GB2312" w:cs="仿宋_GB2312" w:hint="eastAsia"/>
          <w:b/>
          <w:bCs/>
          <w:color w:val="000000"/>
          <w:kern w:val="0"/>
          <w:sz w:val="31"/>
          <w:szCs w:val="31"/>
          <w:lang w:val="zh-CN"/>
        </w:rPr>
        <w:t>1.项目主要内容。</w:t>
      </w:r>
      <w:r>
        <w:rPr>
          <w:rFonts w:ascii="仿宋_GB2312" w:eastAsia="仿宋_GB2312" w:cs="仿宋_GB2312" w:hint="eastAsia"/>
          <w:color w:val="000000"/>
          <w:kern w:val="0"/>
          <w:sz w:val="31"/>
          <w:szCs w:val="31"/>
          <w:lang w:val="en-US"/>
        </w:rPr>
        <w:t>该资金主要用于</w:t>
      </w:r>
      <w:r>
        <w:rPr>
          <w:rFonts w:ascii="仿宋_GB2312" w:eastAsia="仿宋_GB2312" w:cs="仿宋_GB2312" w:hint="eastAsia"/>
          <w:color w:val="000000"/>
          <w:kern w:val="0"/>
          <w:sz w:val="31"/>
          <w:szCs w:val="31"/>
          <w:lang w:val="en-US" w:eastAsia="zh-CN"/>
        </w:rPr>
        <w:t>金川县烈士陵园纪念设施修缮改造</w:t>
      </w:r>
      <w:r>
        <w:rPr>
          <w:rFonts w:ascii="仿宋_GB2312" w:eastAsia="仿宋_GB2312" w:cs="仿宋_GB2312" w:hint="eastAsia"/>
          <w:color w:val="000000"/>
          <w:kern w:val="0"/>
          <w:sz w:val="31"/>
          <w:szCs w:val="31"/>
          <w:lang w:val="en-US"/>
        </w:rPr>
        <w:t>等方面</w:t>
      </w:r>
      <w:r>
        <w:rPr>
          <w:rFonts w:ascii="仿宋_GB2312" w:eastAsia="仿宋_GB2312" w:cs="仿宋_GB2312" w:hint="eastAsia"/>
          <w:color w:val="000000"/>
          <w:kern w:val="0"/>
          <w:sz w:val="31"/>
          <w:szCs w:val="31"/>
          <w:lang w:val="en-US" w:eastAsia="zh-CN"/>
        </w:rPr>
        <w:t>：修缮陵园、大门、业务用房、陈列馆、步道、纪念碑亭、厕所、墓区、入口广场、烈士纪念碑、梯步等等内容。</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20"/>
        <w:textAlignment w:val="auto"/>
        <w:rPr>
          <w:rFonts w:ascii="仿宋_GB2312" w:eastAsia="仿宋_GB2312" w:cs="仿宋_GB2312" w:hint="eastAsia"/>
          <w:color w:val="000000"/>
          <w:kern w:val="0"/>
          <w:sz w:val="31"/>
          <w:szCs w:val="31"/>
          <w:lang w:val="en-US" w:eastAsia="zh-CN"/>
        </w:rPr>
      </w:pPr>
      <w:r>
        <w:rPr>
          <w:rFonts w:ascii="仿宋_GB2312" w:eastAsia="仿宋_GB2312" w:cs="仿宋_GB2312" w:hint="eastAsia"/>
          <w:b/>
          <w:bCs/>
          <w:color w:val="000000"/>
          <w:kern w:val="0"/>
          <w:sz w:val="31"/>
          <w:szCs w:val="31"/>
          <w:lang w:val="zh-CN" w:eastAsia="zh-CN"/>
        </w:rPr>
        <w:t>2.</w:t>
      </w:r>
      <w:r>
        <w:rPr>
          <w:rFonts w:ascii="仿宋_GB2312" w:eastAsia="仿宋_GB2312" w:cs="仿宋_GB2312" w:hint="eastAsia"/>
          <w:b/>
          <w:bCs/>
          <w:color w:val="000000"/>
          <w:kern w:val="0"/>
          <w:sz w:val="31"/>
          <w:szCs w:val="31"/>
          <w:lang w:val="en-US" w:eastAsia="zh-CN"/>
        </w:rPr>
        <w:t>绩效目标设置情况。</w:t>
      </w:r>
      <w:r>
        <w:rPr>
          <w:rFonts w:ascii="仿宋_GB2312" w:eastAsia="仿宋_GB2312" w:cs="仿宋_GB2312" w:hint="eastAsia"/>
          <w:color w:val="000000"/>
          <w:kern w:val="0"/>
          <w:sz w:val="31"/>
          <w:szCs w:val="31"/>
          <w:lang w:val="en-US" w:eastAsia="zh-CN"/>
        </w:rPr>
        <w:t>资金项目绩效目标详见下表：</w:t>
      </w:r>
    </w:p>
    <w:tbl>
      <w:tblPr>
        <w:jc w:val="cente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1400"/>
        <w:gridCol w:w="1723"/>
        <w:gridCol w:w="3905"/>
        <w:gridCol w:w="1373"/>
      </w:tblGrid>
      <w:tr>
        <w:trPr>
          <w:trHeight w:hRule="exact" w:val="454"/>
        </w:trPr>
        <w:tc>
          <w:tcPr>
            <w:tcW w:w="8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eastAsia="宋体"/>
                <w:b/>
                <w:bCs/>
                <w:color w:val="000000"/>
                <w:sz w:val="21"/>
                <w:szCs w:val="21"/>
              </w:rPr>
            </w:pPr>
            <w:r>
              <w:rPr>
                <w:rFonts w:eastAsia="宋体"/>
                <w:b/>
                <w:bCs/>
                <w:color w:val="000000"/>
                <w:kern w:val="0"/>
                <w:sz w:val="21"/>
                <w:szCs w:val="21"/>
              </w:rPr>
              <w:t>一级指标</w:t>
            </w:r>
          </w:p>
        </w:tc>
        <w:tc>
          <w:tcPr>
            <w:tcW w:w="10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eastAsia="宋体"/>
                <w:b/>
                <w:bCs/>
                <w:color w:val="000000"/>
                <w:sz w:val="21"/>
                <w:szCs w:val="21"/>
              </w:rPr>
            </w:pPr>
            <w:r>
              <w:rPr>
                <w:rFonts w:eastAsia="宋体"/>
                <w:b/>
                <w:bCs/>
                <w:color w:val="000000"/>
                <w:kern w:val="0"/>
                <w:sz w:val="21"/>
                <w:szCs w:val="21"/>
              </w:rPr>
              <w:t>二级指标</w:t>
            </w:r>
          </w:p>
        </w:tc>
        <w:tc>
          <w:tcPr>
            <w:tcW w:w="23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eastAsia="宋体"/>
                <w:b/>
                <w:bCs/>
                <w:color w:val="000000"/>
                <w:sz w:val="21"/>
                <w:szCs w:val="21"/>
              </w:rPr>
            </w:pPr>
            <w:r>
              <w:rPr>
                <w:rFonts w:eastAsia="宋体"/>
                <w:b/>
                <w:bCs/>
                <w:color w:val="000000"/>
                <w:kern w:val="0"/>
                <w:sz w:val="21"/>
                <w:szCs w:val="21"/>
              </w:rPr>
              <w:t>三级指标</w:t>
            </w:r>
          </w:p>
        </w:tc>
        <w:tc>
          <w:tcPr>
            <w:tcW w:w="8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eastAsia="宋体"/>
                <w:b/>
                <w:bCs/>
                <w:color w:val="000000"/>
                <w:sz w:val="21"/>
                <w:szCs w:val="21"/>
              </w:rPr>
            </w:pPr>
            <w:r>
              <w:rPr>
                <w:rFonts w:eastAsia="宋体"/>
                <w:b/>
                <w:bCs/>
                <w:color w:val="000000"/>
                <w:kern w:val="0"/>
                <w:sz w:val="21"/>
                <w:szCs w:val="21"/>
              </w:rPr>
              <w:t>指标值</w:t>
            </w:r>
          </w:p>
        </w:tc>
      </w:tr>
      <w:tr>
        <w:trPr>
          <w:trHeight w:hRule="exact" w:val="454"/>
        </w:trPr>
        <w:tc>
          <w:tcPr>
            <w:tcW w:w="833"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eastAsia="宋体"/>
                <w:color w:val="000000"/>
                <w:sz w:val="21"/>
                <w:szCs w:val="21"/>
              </w:rPr>
            </w:pPr>
            <w:r>
              <w:rPr>
                <w:rFonts w:eastAsia="宋体"/>
                <w:color w:val="000000"/>
                <w:kern w:val="0"/>
                <w:sz w:val="21"/>
                <w:szCs w:val="21"/>
              </w:rPr>
              <w:t>产出指标</w:t>
            </w:r>
          </w:p>
        </w:tc>
        <w:tc>
          <w:tcPr>
            <w:tcW w:w="10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eastAsia="宋体"/>
                <w:color w:val="000000"/>
                <w:sz w:val="21"/>
                <w:szCs w:val="21"/>
              </w:rPr>
            </w:pPr>
            <w:r>
              <w:rPr>
                <w:rFonts w:eastAsia="宋体"/>
                <w:color w:val="000000"/>
                <w:kern w:val="0"/>
                <w:sz w:val="21"/>
                <w:szCs w:val="21"/>
              </w:rPr>
              <w:t>数量指标</w:t>
            </w:r>
          </w:p>
        </w:tc>
        <w:tc>
          <w:tcPr>
            <w:tcW w:w="23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等线" w:eastAsia="等线" w:cs="等线"/>
                <w:i w:val="0"/>
                <w:iCs w:val="0"/>
                <w:color w:val="000000"/>
                <w:kern w:val="2"/>
                <w:sz w:val="18"/>
                <w:szCs w:val="18"/>
                <w:u w:val="none"/>
                <w:lang w:val="en-US" w:eastAsia="zh-CN" w:bidi="ar-SA"/>
              </w:rPr>
            </w:pPr>
            <w:r>
              <w:rPr>
                <w:rFonts w:ascii="等线" w:eastAsia="等线" w:cs="等线"/>
                <w:i w:val="0"/>
                <w:iCs w:val="0"/>
                <w:color w:val="000000"/>
                <w:kern w:val="0"/>
                <w:sz w:val="18"/>
                <w:szCs w:val="18"/>
                <w:u w:val="none"/>
                <w:lang w:val="en-US" w:eastAsia="zh-CN"/>
              </w:rPr>
              <w:t>烈士陵园修缮改造项目</w:t>
            </w:r>
          </w:p>
        </w:tc>
        <w:tc>
          <w:tcPr>
            <w:tcW w:w="8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left"/>
              <w:textAlignment w:val="center"/>
              <w:rPr>
                <w:rFonts w:eastAsia="宋体" w:hint="eastAsia"/>
                <w:color w:val="000000"/>
                <w:sz w:val="21"/>
                <w:szCs w:val="21"/>
                <w:lang w:val="en-US" w:eastAsia="zh-CN"/>
              </w:rPr>
            </w:pPr>
            <w:r>
              <w:rPr>
                <w:rFonts w:eastAsia="宋体" w:hint="eastAsia"/>
                <w:color w:val="000000"/>
                <w:sz w:val="21"/>
                <w:szCs w:val="21"/>
                <w:lang w:val="en-US" w:eastAsia="zh-CN"/>
              </w:rPr>
              <w:t>1</w:t>
            </w:r>
          </w:p>
        </w:tc>
      </w:tr>
      <w:tr>
        <w:trPr>
          <w:trHeight w:hRule="exact" w:val="625"/>
        </w:trPr>
        <w:tc>
          <w:tcPr>
            <w:tcW w:w="833"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2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eastAsia="宋体"/>
                <w:color w:val="000000"/>
                <w:sz w:val="21"/>
                <w:szCs w:val="21"/>
              </w:rPr>
            </w:pPr>
            <w:r>
              <w:rPr>
                <w:rFonts w:eastAsia="宋体"/>
                <w:color w:val="000000"/>
                <w:kern w:val="0"/>
                <w:sz w:val="21"/>
                <w:szCs w:val="21"/>
              </w:rPr>
              <w:t>质量指标</w:t>
            </w:r>
          </w:p>
        </w:tc>
        <w:tc>
          <w:tcPr>
            <w:tcW w:w="23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等线" w:eastAsia="等线" w:cs="等线"/>
                <w:i w:val="0"/>
                <w:iCs w:val="0"/>
                <w:color w:val="000000"/>
                <w:kern w:val="2"/>
                <w:sz w:val="18"/>
                <w:szCs w:val="18"/>
                <w:u w:val="none"/>
                <w:lang w:val="en-US" w:eastAsia="zh-CN" w:bidi="ar-SA"/>
              </w:rPr>
            </w:pPr>
            <w:r>
              <w:rPr>
                <w:rFonts w:ascii="等线" w:eastAsia="等线" w:cs="等线"/>
                <w:i w:val="0"/>
                <w:iCs w:val="0"/>
                <w:color w:val="000000"/>
                <w:kern w:val="0"/>
                <w:sz w:val="18"/>
                <w:szCs w:val="18"/>
                <w:u w:val="none"/>
                <w:lang w:val="en-US" w:eastAsia="zh-CN"/>
              </w:rPr>
              <w:t>按照《阿坝州雷士纪念设施提质改造建设技术导则》，修缮改造项目达标率》</w:t>
            </w:r>
          </w:p>
        </w:tc>
        <w:tc>
          <w:tcPr>
            <w:tcW w:w="8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left"/>
              <w:textAlignment w:val="center"/>
              <w:rPr>
                <w:rFonts w:eastAsia="宋体"/>
                <w:color w:val="000000"/>
                <w:sz w:val="21"/>
                <w:szCs w:val="21"/>
                <w:lang w:val="en-US" w:eastAsia="zh-CN"/>
              </w:rPr>
            </w:pPr>
            <w:r>
              <w:rPr>
                <w:rFonts w:eastAsia="宋体" w:hint="eastAsia"/>
                <w:color w:val="000000"/>
                <w:sz w:val="21"/>
                <w:szCs w:val="21"/>
                <w:lang w:val="en-US" w:eastAsia="zh-CN"/>
              </w:rPr>
              <w:t>100%</w:t>
            </w:r>
          </w:p>
        </w:tc>
      </w:tr>
      <w:tr>
        <w:trPr>
          <w:trHeight w:hRule="exact" w:val="434"/>
        </w:trPr>
        <w:tc>
          <w:tcPr>
            <w:tcW w:w="833"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2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3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eastAsia="宋体"/>
                <w:color w:val="000000"/>
                <w:sz w:val="21"/>
                <w:szCs w:val="21"/>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eastAsia="宋体"/>
                <w:color w:val="000000"/>
                <w:sz w:val="21"/>
                <w:szCs w:val="21"/>
              </w:rPr>
            </w:pPr>
          </w:p>
        </w:tc>
      </w:tr>
      <w:tr>
        <w:trPr>
          <w:trHeight w:hRule="exact" w:val="454"/>
        </w:trPr>
        <w:tc>
          <w:tcPr>
            <w:tcW w:w="833"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eastAsia="宋体"/>
                <w:color w:val="000000"/>
                <w:sz w:val="21"/>
                <w:szCs w:val="21"/>
              </w:rPr>
            </w:pPr>
            <w:r>
              <w:rPr>
                <w:rFonts w:eastAsia="宋体"/>
                <w:color w:val="000000"/>
                <w:kern w:val="0"/>
                <w:sz w:val="21"/>
                <w:szCs w:val="21"/>
              </w:rPr>
              <w:t>时效指标</w:t>
            </w:r>
          </w:p>
        </w:tc>
        <w:tc>
          <w:tcPr>
            <w:tcW w:w="23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等线" w:eastAsia="等线" w:cs="等线"/>
                <w:i w:val="0"/>
                <w:iCs w:val="0"/>
                <w:color w:val="000000"/>
                <w:kern w:val="2"/>
                <w:sz w:val="18"/>
                <w:szCs w:val="18"/>
                <w:u w:val="none"/>
                <w:lang w:val="en-US" w:eastAsia="zh-CN" w:bidi="ar-SA"/>
              </w:rPr>
            </w:pPr>
            <w:r>
              <w:rPr>
                <w:rFonts w:ascii="等线" w:eastAsia="等线" w:cs="等线"/>
                <w:i w:val="0"/>
                <w:iCs w:val="0"/>
                <w:color w:val="000000"/>
                <w:kern w:val="0"/>
                <w:sz w:val="18"/>
                <w:szCs w:val="18"/>
                <w:u w:val="none"/>
                <w:lang w:val="en-US" w:eastAsia="zh-CN"/>
              </w:rPr>
              <w:t>2022年12月底之前修缮改造资金拨付率</w:t>
            </w:r>
          </w:p>
        </w:tc>
        <w:tc>
          <w:tcPr>
            <w:tcW w:w="8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both"/>
              <w:textAlignment w:val="center"/>
              <w:rPr>
                <w:rFonts w:eastAsia="宋体"/>
                <w:color w:val="000000"/>
                <w:sz w:val="21"/>
                <w:szCs w:val="21"/>
                <w:lang w:val="en-US" w:eastAsia="zh-CN"/>
              </w:rPr>
            </w:pPr>
            <w:r>
              <w:rPr>
                <w:rFonts w:eastAsia="宋体" w:hint="eastAsia"/>
                <w:color w:val="000000"/>
                <w:sz w:val="21"/>
                <w:szCs w:val="21"/>
                <w:lang w:val="en-US" w:eastAsia="zh-CN"/>
              </w:rPr>
              <w:t>100%</w:t>
            </w:r>
          </w:p>
        </w:tc>
      </w:tr>
      <w:tr>
        <w:trPr>
          <w:trHeight w:hRule="exact" w:val="454"/>
        </w:trPr>
        <w:tc>
          <w:tcPr>
            <w:tcW w:w="8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eastAsia="宋体"/>
                <w:color w:val="000000"/>
                <w:sz w:val="21"/>
                <w:szCs w:val="21"/>
              </w:rPr>
            </w:pPr>
            <w:r>
              <w:rPr>
                <w:rFonts w:eastAsia="宋体"/>
                <w:color w:val="000000"/>
                <w:kern w:val="0"/>
                <w:sz w:val="21"/>
                <w:szCs w:val="21"/>
              </w:rPr>
              <w:t>效益指标</w:t>
            </w:r>
          </w:p>
        </w:tc>
        <w:tc>
          <w:tcPr>
            <w:tcW w:w="10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eastAsia="宋体"/>
                <w:color w:val="000000"/>
                <w:sz w:val="21"/>
                <w:szCs w:val="21"/>
              </w:rPr>
            </w:pPr>
            <w:r>
              <w:rPr>
                <w:rFonts w:eastAsia="宋体"/>
                <w:color w:val="000000"/>
                <w:kern w:val="0"/>
                <w:sz w:val="21"/>
                <w:szCs w:val="21"/>
              </w:rPr>
              <w:t>社会效益指标</w:t>
            </w:r>
          </w:p>
        </w:tc>
        <w:tc>
          <w:tcPr>
            <w:tcW w:w="23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等线" w:eastAsia="等线" w:cs="等线"/>
                <w:i w:val="0"/>
                <w:iCs w:val="0"/>
                <w:color w:val="000000"/>
                <w:kern w:val="2"/>
                <w:sz w:val="18"/>
                <w:szCs w:val="18"/>
                <w:u w:val="none"/>
                <w:lang w:val="en-US" w:eastAsia="zh-CN" w:bidi="ar-SA"/>
              </w:rPr>
            </w:pPr>
            <w:r>
              <w:rPr>
                <w:rFonts w:ascii="等线" w:eastAsia="等线" w:cs="等线"/>
                <w:i w:val="0"/>
                <w:iCs w:val="0"/>
                <w:color w:val="000000"/>
                <w:kern w:val="0"/>
                <w:sz w:val="18"/>
                <w:szCs w:val="18"/>
                <w:u w:val="none"/>
                <w:lang w:val="en-US" w:eastAsia="zh-CN"/>
              </w:rPr>
              <w:t>促进历史纪念设施服务能力提升</w:t>
            </w:r>
          </w:p>
        </w:tc>
        <w:tc>
          <w:tcPr>
            <w:tcW w:w="8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等线" w:eastAsia="等线" w:cs="等线"/>
                <w:i w:val="0"/>
                <w:iCs w:val="0"/>
                <w:color w:val="000000"/>
                <w:kern w:val="2"/>
                <w:sz w:val="18"/>
                <w:szCs w:val="18"/>
                <w:u w:val="none"/>
                <w:lang w:val="en-US" w:eastAsia="zh-CN" w:bidi="ar-SA"/>
              </w:rPr>
            </w:pPr>
            <w:r>
              <w:rPr>
                <w:rFonts w:ascii="等线" w:eastAsia="等线" w:cs="等线"/>
                <w:i w:val="0"/>
                <w:iCs w:val="0"/>
                <w:color w:val="000000"/>
                <w:kern w:val="0"/>
                <w:sz w:val="18"/>
                <w:szCs w:val="18"/>
                <w:u w:val="none"/>
                <w:lang w:val="en-US" w:eastAsia="zh-CN"/>
              </w:rPr>
              <w:t>≥</w:t>
            </w:r>
            <w:r>
              <w:rPr>
                <w:rFonts w:ascii="等线" w:eastAsia="等线" w:cs="等线" w:hint="eastAsia"/>
                <w:i w:val="0"/>
                <w:iCs w:val="0"/>
                <w:color w:val="000000"/>
                <w:kern w:val="0"/>
                <w:sz w:val="18"/>
                <w:szCs w:val="18"/>
                <w:u w:val="none"/>
                <w:lang w:val="en-US" w:eastAsia="zh-CN"/>
              </w:rPr>
              <w:t>98</w:t>
            </w:r>
          </w:p>
        </w:tc>
      </w:tr>
      <w:tr>
        <w:trPr>
          <w:trHeight w:hRule="exact" w:val="664"/>
        </w:trPr>
        <w:tc>
          <w:tcPr>
            <w:tcW w:w="8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eastAsia="宋体"/>
                <w:color w:val="000000"/>
                <w:sz w:val="21"/>
                <w:szCs w:val="21"/>
              </w:rPr>
            </w:pPr>
            <w:r>
              <w:rPr>
                <w:rFonts w:eastAsia="宋体"/>
                <w:color w:val="000000"/>
                <w:kern w:val="0"/>
                <w:sz w:val="21"/>
                <w:szCs w:val="21"/>
              </w:rPr>
              <w:t>满意度指标</w:t>
            </w:r>
          </w:p>
        </w:tc>
        <w:tc>
          <w:tcPr>
            <w:tcW w:w="10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textAlignment w:val="center"/>
              <w:rPr>
                <w:rFonts w:eastAsia="宋体"/>
                <w:color w:val="000000"/>
                <w:sz w:val="21"/>
                <w:szCs w:val="21"/>
              </w:rPr>
            </w:pPr>
            <w:r>
              <w:rPr>
                <w:rFonts w:eastAsia="宋体"/>
                <w:color w:val="000000"/>
                <w:kern w:val="0"/>
                <w:sz w:val="21"/>
                <w:szCs w:val="21"/>
              </w:rPr>
              <w:t>服务对象满意度指标</w:t>
            </w:r>
          </w:p>
        </w:tc>
        <w:tc>
          <w:tcPr>
            <w:tcW w:w="232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等线" w:eastAsia="等线" w:cs="等线"/>
                <w:i w:val="0"/>
                <w:iCs w:val="0"/>
                <w:color w:val="000000"/>
                <w:kern w:val="2"/>
                <w:sz w:val="18"/>
                <w:szCs w:val="18"/>
                <w:u w:val="none"/>
                <w:lang w:val="en-US" w:eastAsia="zh-CN" w:bidi="ar-SA"/>
              </w:rPr>
            </w:pPr>
            <w:r>
              <w:rPr>
                <w:rFonts w:ascii="等线" w:eastAsia="等线" w:cs="等线"/>
                <w:i w:val="0"/>
                <w:iCs w:val="0"/>
                <w:color w:val="000000"/>
                <w:kern w:val="0"/>
                <w:sz w:val="18"/>
                <w:szCs w:val="18"/>
                <w:u w:val="none"/>
                <w:lang w:val="en-US" w:eastAsia="zh-CN"/>
              </w:rPr>
              <w:t>烈士亲属满意度</w:t>
            </w:r>
          </w:p>
        </w:tc>
        <w:tc>
          <w:tcPr>
            <w:tcW w:w="8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等线" w:eastAsia="等线" w:cs="等线"/>
                <w:i w:val="0"/>
                <w:iCs w:val="0"/>
                <w:color w:val="000000"/>
                <w:kern w:val="2"/>
                <w:sz w:val="18"/>
                <w:szCs w:val="18"/>
                <w:u w:val="none"/>
                <w:lang w:val="en-US" w:eastAsia="zh-CN" w:bidi="ar-SA"/>
              </w:rPr>
            </w:pPr>
            <w:r>
              <w:rPr>
                <w:rFonts w:ascii="等线" w:eastAsia="等线" w:cs="等线"/>
                <w:i w:val="0"/>
                <w:iCs w:val="0"/>
                <w:color w:val="000000"/>
                <w:kern w:val="0"/>
                <w:sz w:val="18"/>
                <w:szCs w:val="18"/>
                <w:u w:val="none"/>
                <w:lang w:val="en-US" w:eastAsia="zh-CN"/>
              </w:rPr>
              <w:t>≥</w:t>
            </w:r>
            <w:r>
              <w:rPr>
                <w:rFonts w:ascii="等线" w:eastAsia="等线" w:cs="等线" w:hint="eastAsia"/>
                <w:i w:val="0"/>
                <w:iCs w:val="0"/>
                <w:color w:val="000000"/>
                <w:kern w:val="0"/>
                <w:sz w:val="18"/>
                <w:szCs w:val="18"/>
                <w:u w:val="none"/>
                <w:lang w:val="en-US" w:eastAsia="zh-CN"/>
              </w:rPr>
              <w:t>95</w:t>
            </w:r>
          </w:p>
        </w:tc>
      </w:tr>
    </w:tbl>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b/>
          <w:color w:val="000000"/>
          <w:sz w:val="31"/>
          <w:szCs w:val="31"/>
        </w:rPr>
        <w:t>（三）项目自评步骤及方法。</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20"/>
        <w:textAlignment w:val="auto"/>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（一）自评方式</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20"/>
        <w:textAlignment w:val="auto"/>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按照有关规定和工作安排，我单位委托设计公司，进行实地勘测、测算、设计等，形成项目建议书，深入论证分析后，形成绩效评估报告。</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20"/>
        <w:textAlignment w:val="auto"/>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（二）自评方法</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20"/>
        <w:textAlignment w:val="auto"/>
      </w:pPr>
      <w:r>
        <w:rPr>
          <w:rFonts w:ascii="仿宋_GB2312" w:eastAsia="仿宋_GB2312" w:cs="仿宋_GB2312" w:hint="eastAsia"/>
          <w:color w:val="000000"/>
          <w:kern w:val="0"/>
          <w:sz w:val="31"/>
          <w:szCs w:val="31"/>
          <w:lang w:val="en-US" w:eastAsia="zh-CN"/>
        </w:rPr>
        <w:t>本项目采用成本效益分析法、比较法、因素分析法、最低成本法等，对项目的立项必要性、投入经济性、目标合理性、方案可行性实施评估。</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二、项目资金申报及使用情况</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b/>
          <w:color w:val="000000"/>
          <w:sz w:val="31"/>
          <w:szCs w:val="31"/>
        </w:rPr>
        <w:t>（一）项目资金申报及批复情况。</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color w:val="000000"/>
          <w:sz w:val="31"/>
          <w:szCs w:val="31"/>
          <w:lang w:val="en-US" w:eastAsia="zh-CN"/>
        </w:rPr>
        <w:t>金川县烈士陵园纪念设施修缮改造项目，经我局在2022年5月14日向县人民政府及财政局审批通过</w:t>
      </w:r>
      <w:r>
        <w:rPr>
          <w:rFonts w:ascii="仿宋_GB2312" w:eastAsia="仿宋_GB2312" w:cs="仿宋_GB2312" w:hint="eastAsia"/>
          <w:color w:val="000000"/>
          <w:sz w:val="31"/>
          <w:szCs w:val="31"/>
          <w:lang w:eastAsia="zh-CN"/>
        </w:rPr>
        <w:t>，</w:t>
      </w:r>
      <w:r>
        <w:rPr>
          <w:rFonts w:ascii="仿宋_GB2312" w:eastAsia="仿宋_GB2312" w:cs="仿宋_GB2312" w:hint="eastAsia"/>
          <w:color w:val="000000"/>
          <w:sz w:val="31"/>
          <w:szCs w:val="31"/>
          <w:lang w:val="en-US" w:eastAsia="zh-CN"/>
        </w:rPr>
        <w:t>该项目</w:t>
      </w:r>
      <w:r>
        <w:rPr>
          <w:rFonts w:ascii="仿宋_GB2312" w:eastAsia="仿宋_GB2312" w:cs="仿宋_GB2312" w:hint="eastAsia"/>
          <w:color w:val="000000"/>
          <w:sz w:val="31"/>
          <w:szCs w:val="31"/>
          <w:lang w:eastAsia="zh-CN"/>
        </w:rPr>
        <w:t>属于财政支持范围，符合</w:t>
      </w:r>
      <w:r>
        <w:rPr>
          <w:rFonts w:ascii="仿宋_GB2312" w:eastAsia="仿宋_GB2312" w:cs="仿宋_GB2312" w:hint="eastAsia"/>
          <w:color w:val="000000"/>
          <w:sz w:val="31"/>
          <w:szCs w:val="31"/>
          <w:lang w:val="en-US" w:eastAsia="zh-CN"/>
        </w:rPr>
        <w:t>相关</w:t>
      </w:r>
      <w:r>
        <w:rPr>
          <w:rFonts w:ascii="仿宋_GB2312" w:eastAsia="仿宋_GB2312" w:cs="仿宋_GB2312" w:hint="eastAsia"/>
          <w:color w:val="000000"/>
          <w:sz w:val="31"/>
          <w:szCs w:val="31"/>
          <w:lang w:eastAsia="zh-CN"/>
        </w:rPr>
        <w:t>法律法规规定。</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b/>
          <w:color w:val="000000"/>
          <w:sz w:val="31"/>
          <w:szCs w:val="31"/>
        </w:rPr>
        <w:t>（二）资金计划、到位及使用情况（可用表格形式反映）。</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楷体_GB2312" w:eastAsia="楷体_GB2312" w:cs="楷体_GB2312" w:hint="eastAsia"/>
          <w:color w:val="000000"/>
          <w:sz w:val="31"/>
          <w:szCs w:val="31"/>
        </w:rPr>
        <w:t>1．资金计划。</w:t>
      </w:r>
      <w:r>
        <w:rPr>
          <w:rFonts w:ascii="仿宋_GB2312" w:eastAsia="仿宋_GB2312" w:cs="仿宋_GB2312" w:hint="eastAsia"/>
          <w:color w:val="000000"/>
          <w:sz w:val="31"/>
          <w:szCs w:val="31"/>
          <w:lang w:val="zh-CN"/>
        </w:rPr>
        <w:t>本项目资金包含</w:t>
      </w:r>
      <w:r>
        <w:rPr>
          <w:rFonts w:ascii="仿宋_GB2312" w:eastAsia="仿宋_GB2312" w:cs="仿宋_GB2312" w:hint="eastAsia"/>
          <w:color w:val="000000"/>
          <w:sz w:val="31"/>
          <w:szCs w:val="31"/>
        </w:rPr>
        <w:t>中央补助资金</w:t>
      </w:r>
      <w:r>
        <w:rPr>
          <w:rFonts w:ascii="仿宋_GB2312" w:eastAsia="仿宋_GB2312" w:cs="仿宋_GB2312" w:hint="eastAsia"/>
          <w:color w:val="000000"/>
          <w:sz w:val="31"/>
          <w:szCs w:val="31"/>
          <w:lang w:val="en-US" w:eastAsia="zh-CN"/>
        </w:rPr>
        <w:t>0</w:t>
      </w:r>
      <w:r>
        <w:rPr>
          <w:rFonts w:ascii="仿宋_GB2312" w:eastAsia="仿宋_GB2312" w:cs="仿宋_GB2312" w:hint="eastAsia"/>
          <w:color w:val="000000"/>
          <w:sz w:val="31"/>
          <w:szCs w:val="31"/>
        </w:rPr>
        <w:t>万元，省级补助资金</w:t>
      </w:r>
      <w:r>
        <w:rPr>
          <w:rFonts w:ascii="仿宋_GB2312" w:eastAsia="仿宋_GB2312" w:cs="仿宋_GB2312" w:hint="eastAsia"/>
          <w:color w:val="000000"/>
          <w:sz w:val="31"/>
          <w:szCs w:val="31"/>
          <w:lang w:val="en-US" w:eastAsia="zh-CN"/>
        </w:rPr>
        <w:t>180</w:t>
      </w:r>
      <w:r>
        <w:rPr>
          <w:rFonts w:ascii="仿宋_GB2312" w:eastAsia="仿宋_GB2312" w:cs="仿宋_GB2312" w:hint="eastAsia"/>
          <w:color w:val="000000"/>
          <w:sz w:val="31"/>
          <w:szCs w:val="31"/>
        </w:rPr>
        <w:t>万元，</w:t>
      </w:r>
      <w:r>
        <w:rPr>
          <w:rFonts w:ascii="仿宋_GB2312" w:eastAsia="仿宋_GB2312" w:cs="仿宋_GB2312" w:hint="eastAsia"/>
          <w:color w:val="000000"/>
          <w:sz w:val="31"/>
          <w:szCs w:val="31"/>
          <w:lang w:val="en-US"/>
        </w:rPr>
        <w:t>市（州）级补助</w:t>
      </w:r>
      <w:r>
        <w:rPr>
          <w:rFonts w:ascii="仿宋_GB2312" w:eastAsia="仿宋_GB2312" w:cs="仿宋_GB2312" w:hint="eastAsia"/>
          <w:color w:val="000000"/>
          <w:sz w:val="31"/>
          <w:szCs w:val="31"/>
        </w:rPr>
        <w:t>配套资金</w:t>
      </w:r>
      <w:r>
        <w:rPr>
          <w:rFonts w:ascii="仿宋_GB2312" w:eastAsia="仿宋_GB2312" w:cs="仿宋_GB2312" w:hint="eastAsia"/>
          <w:color w:val="000000"/>
          <w:sz w:val="31"/>
          <w:szCs w:val="31"/>
          <w:lang w:val="en-US" w:eastAsia="zh-CN"/>
        </w:rPr>
        <w:t>10</w:t>
      </w:r>
      <w:r>
        <w:rPr>
          <w:rFonts w:ascii="仿宋_GB2312" w:eastAsia="仿宋_GB2312" w:cs="仿宋_GB2312" w:hint="eastAsia"/>
          <w:color w:val="000000"/>
          <w:sz w:val="31"/>
          <w:szCs w:val="31"/>
        </w:rPr>
        <w:t>万元，</w:t>
      </w:r>
      <w:r>
        <w:rPr>
          <w:rFonts w:ascii="仿宋_GB2312" w:eastAsia="仿宋_GB2312" w:cs="仿宋_GB2312" w:hint="eastAsia"/>
          <w:color w:val="000000"/>
          <w:sz w:val="31"/>
          <w:szCs w:val="31"/>
          <w:lang w:val="en-US"/>
        </w:rPr>
        <w:t>本级配套</w:t>
      </w:r>
      <w:r>
        <w:rPr>
          <w:rFonts w:ascii="仿宋_GB2312" w:eastAsia="仿宋_GB2312" w:cs="仿宋_GB2312" w:hint="eastAsia"/>
          <w:color w:val="000000"/>
          <w:sz w:val="31"/>
          <w:szCs w:val="31"/>
          <w:lang w:val="en-US" w:eastAsia="zh-CN"/>
        </w:rPr>
        <w:t>17.3</w:t>
      </w:r>
      <w:r>
        <w:rPr>
          <w:rFonts w:ascii="仿宋_GB2312" w:eastAsia="仿宋_GB2312" w:cs="仿宋_GB2312" w:hint="eastAsia"/>
          <w:color w:val="000000"/>
          <w:sz w:val="31"/>
          <w:szCs w:val="31"/>
          <w:lang w:val="en-US"/>
        </w:rPr>
        <w:t>万元，</w:t>
      </w:r>
      <w:r>
        <w:rPr>
          <w:rFonts w:ascii="仿宋_GB2312" w:eastAsia="仿宋_GB2312" w:cs="仿宋_GB2312" w:hint="eastAsia"/>
          <w:color w:val="000000"/>
          <w:sz w:val="31"/>
          <w:szCs w:val="31"/>
        </w:rPr>
        <w:t>上年结余资金</w:t>
      </w:r>
      <w:r>
        <w:rPr>
          <w:rFonts w:ascii="仿宋_GB2312" w:eastAsia="仿宋_GB2312" w:cs="仿宋_GB2312" w:hint="eastAsia"/>
          <w:color w:val="000000"/>
          <w:sz w:val="31"/>
          <w:szCs w:val="31"/>
          <w:lang w:val="en-US" w:eastAsia="zh-CN"/>
        </w:rPr>
        <w:t xml:space="preserve">0万元 </w:t>
      </w:r>
      <w:r>
        <w:rPr>
          <w:rFonts w:ascii="仿宋_GB2312" w:eastAsia="仿宋_GB2312" w:cs="仿宋_GB2312" w:hint="eastAsia"/>
          <w:color w:val="000000"/>
          <w:sz w:val="31"/>
          <w:szCs w:val="31"/>
        </w:rPr>
        <w:t>。</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lang w:val="en-US"/>
        </w:rPr>
      </w:pPr>
      <w:r>
        <w:rPr>
          <w:rFonts w:ascii="楷体_GB2312" w:eastAsia="楷体_GB2312" w:cs="楷体_GB2312" w:hint="eastAsia"/>
          <w:color w:val="000000"/>
          <w:sz w:val="31"/>
          <w:szCs w:val="31"/>
        </w:rPr>
        <w:t>2．资金到位。</w:t>
      </w:r>
      <w:r>
        <w:rPr>
          <w:rFonts w:ascii="仿宋_GB2312" w:eastAsia="仿宋_GB2312" w:cs="仿宋_GB2312" w:hint="eastAsia"/>
          <w:color w:val="000000"/>
          <w:sz w:val="31"/>
          <w:szCs w:val="31"/>
          <w:lang w:val="zh-CN"/>
        </w:rPr>
        <w:t>本项目</w:t>
      </w:r>
      <w:r>
        <w:rPr>
          <w:rFonts w:ascii="仿宋_GB2312" w:eastAsia="仿宋_GB2312" w:cs="仿宋_GB2312"/>
          <w:color w:val="000000"/>
          <w:sz w:val="31"/>
          <w:szCs w:val="31"/>
          <w:lang w:val="en-US"/>
        </w:rPr>
        <w:t>202</w:t>
      </w:r>
      <w:r>
        <w:rPr>
          <w:rFonts w:ascii="仿宋_GB2312" w:eastAsia="仿宋_GB2312" w:cs="仿宋_GB2312" w:hint="eastAsia"/>
          <w:color w:val="000000"/>
          <w:sz w:val="31"/>
          <w:szCs w:val="31"/>
          <w:lang w:val="en-US" w:eastAsia="zh-CN"/>
        </w:rPr>
        <w:t>2</w:t>
      </w:r>
      <w:r>
        <w:rPr>
          <w:rFonts w:ascii="仿宋_GB2312" w:eastAsia="仿宋_GB2312" w:cs="仿宋_GB2312" w:hint="eastAsia"/>
          <w:color w:val="000000"/>
          <w:sz w:val="31"/>
          <w:szCs w:val="31"/>
          <w:lang w:val="en-US"/>
        </w:rPr>
        <w:t>年</w:t>
      </w:r>
      <w:r>
        <w:rPr>
          <w:rFonts w:ascii="仿宋_GB2312" w:eastAsia="仿宋_GB2312" w:cs="仿宋_GB2312" w:hint="eastAsia"/>
          <w:color w:val="000000"/>
          <w:sz w:val="31"/>
          <w:szCs w:val="31"/>
          <w:lang w:val="zh-CN"/>
        </w:rPr>
        <w:t>资金</w:t>
      </w:r>
      <w:r>
        <w:rPr>
          <w:rFonts w:ascii="仿宋_GB2312" w:eastAsia="仿宋_GB2312" w:cs="仿宋_GB2312" w:hint="eastAsia"/>
          <w:color w:val="000000"/>
          <w:sz w:val="31"/>
          <w:szCs w:val="31"/>
          <w:lang w:val="en-US"/>
        </w:rPr>
        <w:t>到位共计</w:t>
      </w:r>
      <w:r>
        <w:rPr>
          <w:rFonts w:ascii="仿宋_GB2312" w:eastAsia="仿宋_GB2312" w:cs="仿宋_GB2312" w:hint="eastAsia"/>
          <w:color w:val="000000"/>
          <w:sz w:val="31"/>
          <w:szCs w:val="31"/>
          <w:lang w:val="en-US" w:eastAsia="zh-CN"/>
        </w:rPr>
        <w:t>207.3</w:t>
      </w:r>
      <w:r>
        <w:rPr>
          <w:rFonts w:ascii="仿宋_GB2312" w:eastAsia="仿宋_GB2312" w:cs="仿宋_GB2312" w:hint="eastAsia"/>
          <w:color w:val="000000"/>
          <w:sz w:val="31"/>
          <w:szCs w:val="31"/>
          <w:lang w:val="en-US"/>
        </w:rPr>
        <w:t>万元，其中中央补助资金</w:t>
      </w:r>
      <w:r>
        <w:rPr>
          <w:rFonts w:ascii="仿宋_GB2312" w:eastAsia="仿宋_GB2312" w:cs="仿宋_GB2312" w:hint="eastAsia"/>
          <w:color w:val="000000"/>
          <w:sz w:val="31"/>
          <w:szCs w:val="31"/>
          <w:lang w:val="en-US" w:eastAsia="zh-CN"/>
        </w:rPr>
        <w:t>0</w:t>
      </w:r>
      <w:r>
        <w:rPr>
          <w:rFonts w:ascii="仿宋_GB2312" w:eastAsia="仿宋_GB2312" w:cs="仿宋_GB2312" w:hint="eastAsia"/>
          <w:color w:val="000000"/>
          <w:sz w:val="31"/>
          <w:szCs w:val="31"/>
          <w:lang w:val="en-US"/>
        </w:rPr>
        <w:t>万元，省级补助资金</w:t>
      </w:r>
      <w:r>
        <w:rPr>
          <w:rFonts w:ascii="仿宋_GB2312" w:eastAsia="仿宋_GB2312" w:cs="仿宋_GB2312" w:hint="eastAsia"/>
          <w:color w:val="000000"/>
          <w:sz w:val="31"/>
          <w:szCs w:val="31"/>
          <w:lang w:val="en-US" w:eastAsia="zh-CN"/>
        </w:rPr>
        <w:t>180</w:t>
      </w:r>
      <w:r>
        <w:rPr>
          <w:rFonts w:ascii="仿宋_GB2312" w:eastAsia="仿宋_GB2312" w:cs="仿宋_GB2312" w:hint="eastAsia"/>
          <w:color w:val="000000"/>
          <w:sz w:val="31"/>
          <w:szCs w:val="31"/>
          <w:lang w:val="en-US"/>
        </w:rPr>
        <w:t>万元，市（州）级补助配套资金</w:t>
      </w:r>
      <w:r>
        <w:rPr>
          <w:rFonts w:ascii="仿宋_GB2312" w:eastAsia="仿宋_GB2312" w:cs="仿宋_GB2312" w:hint="eastAsia"/>
          <w:color w:val="000000"/>
          <w:sz w:val="31"/>
          <w:szCs w:val="31"/>
          <w:lang w:val="en-US" w:eastAsia="zh-CN"/>
        </w:rPr>
        <w:t>10</w:t>
      </w:r>
      <w:r>
        <w:rPr>
          <w:rFonts w:ascii="仿宋_GB2312" w:eastAsia="仿宋_GB2312" w:cs="仿宋_GB2312" w:hint="eastAsia"/>
          <w:color w:val="000000"/>
          <w:sz w:val="31"/>
          <w:szCs w:val="31"/>
          <w:lang w:val="en-US"/>
        </w:rPr>
        <w:t>万元，本级配套</w:t>
      </w:r>
      <w:r>
        <w:rPr>
          <w:rFonts w:ascii="仿宋_GB2312" w:eastAsia="仿宋_GB2312" w:cs="仿宋_GB2312" w:hint="eastAsia"/>
          <w:color w:val="000000"/>
          <w:sz w:val="31"/>
          <w:szCs w:val="31"/>
          <w:lang w:val="en-US" w:eastAsia="zh-CN"/>
        </w:rPr>
        <w:t>17.3</w:t>
      </w:r>
      <w:r>
        <w:rPr>
          <w:rFonts w:ascii="仿宋_GB2312" w:eastAsia="仿宋_GB2312" w:cs="仿宋_GB2312" w:hint="eastAsia"/>
          <w:color w:val="000000"/>
          <w:sz w:val="31"/>
          <w:szCs w:val="31"/>
          <w:lang w:val="en-US"/>
        </w:rPr>
        <w:t>万元。</w:t>
      </w:r>
    </w:p>
    <w:p>
      <w:pPr>
        <w:adjustRightInd w:val="0"/>
        <w:snapToGrid w:val="0"/>
        <w:spacing w:line="600" w:lineRule="exact"/>
        <w:ind w:firstLineChars="200" w:firstLine="620"/>
        <w:rPr>
          <w:rFonts w:ascii="仿宋_GB2312" w:eastAsia="仿宋_GB2312" w:cs="仿宋_GB2312"/>
          <w:color w:val="000000"/>
          <w:kern w:val="0"/>
          <w:sz w:val="31"/>
          <w:szCs w:val="31"/>
          <w:lang w:val="en-US"/>
        </w:rPr>
      </w:pPr>
      <w:r>
        <w:rPr>
          <w:rFonts w:ascii="楷体_GB2312" w:eastAsia="楷体_GB2312" w:cs="楷体_GB2312" w:hint="eastAsia"/>
          <w:color w:val="000000"/>
          <w:sz w:val="31"/>
          <w:szCs w:val="31"/>
        </w:rPr>
        <w:t>3．资金使用。</w:t>
      </w:r>
      <w:r>
        <w:rPr>
          <w:rFonts w:ascii="仿宋_GB2312" w:eastAsia="仿宋_GB2312" w:cs="仿宋_GB2312" w:hint="eastAsia"/>
          <w:color w:val="000000"/>
          <w:kern w:val="0"/>
          <w:sz w:val="31"/>
          <w:szCs w:val="31"/>
          <w:lang w:val="en-US"/>
        </w:rPr>
        <w:t>截至</w:t>
      </w:r>
      <w:r>
        <w:rPr>
          <w:rFonts w:ascii="仿宋_GB2312" w:eastAsia="仿宋_GB2312" w:cs="仿宋_GB2312"/>
          <w:color w:val="000000"/>
          <w:kern w:val="0"/>
          <w:sz w:val="31"/>
          <w:szCs w:val="31"/>
          <w:lang w:val="en-US"/>
        </w:rPr>
        <w:t>2022</w:t>
      </w:r>
      <w:r>
        <w:rPr>
          <w:rFonts w:ascii="仿宋_GB2312" w:eastAsia="仿宋_GB2312" w:cs="仿宋_GB2312" w:hint="eastAsia"/>
          <w:color w:val="000000"/>
          <w:kern w:val="0"/>
          <w:sz w:val="31"/>
          <w:szCs w:val="31"/>
          <w:lang w:val="en-US"/>
        </w:rPr>
        <w:t>年</w:t>
      </w:r>
      <w:r>
        <w:rPr>
          <w:rFonts w:ascii="仿宋_GB2312" w:eastAsia="仿宋_GB2312" w:cs="仿宋_GB2312" w:hint="eastAsia"/>
          <w:color w:val="000000"/>
          <w:kern w:val="0"/>
          <w:sz w:val="31"/>
          <w:szCs w:val="31"/>
          <w:lang w:val="en-US" w:eastAsia="zh-CN"/>
        </w:rPr>
        <w:t>12</w:t>
      </w:r>
      <w:r>
        <w:rPr>
          <w:rFonts w:ascii="仿宋_GB2312" w:eastAsia="仿宋_GB2312" w:cs="仿宋_GB2312" w:hint="eastAsia"/>
          <w:color w:val="000000"/>
          <w:kern w:val="0"/>
          <w:sz w:val="31"/>
          <w:szCs w:val="31"/>
          <w:lang w:val="en-US"/>
        </w:rPr>
        <w:t>月</w:t>
      </w:r>
      <w:r>
        <w:rPr>
          <w:rFonts w:ascii="仿宋_GB2312" w:eastAsia="仿宋_GB2312" w:cs="仿宋_GB2312" w:hint="eastAsia"/>
          <w:color w:val="000000"/>
          <w:kern w:val="0"/>
          <w:sz w:val="31"/>
          <w:szCs w:val="31"/>
          <w:lang w:val="en-US" w:eastAsia="zh-CN"/>
        </w:rPr>
        <w:t>31</w:t>
      </w:r>
      <w:r>
        <w:rPr>
          <w:rFonts w:ascii="仿宋_GB2312" w:eastAsia="仿宋_GB2312" w:cs="仿宋_GB2312" w:hint="eastAsia"/>
          <w:color w:val="000000"/>
          <w:kern w:val="0"/>
          <w:sz w:val="31"/>
          <w:szCs w:val="31"/>
          <w:lang w:val="en-US"/>
        </w:rPr>
        <w:t>日，共使用补助资金</w:t>
      </w:r>
      <w:r>
        <w:rPr>
          <w:rFonts w:ascii="仿宋_GB2312" w:eastAsia="仿宋_GB2312" w:cs="仿宋_GB2312" w:hint="eastAsia"/>
          <w:color w:val="000000"/>
          <w:kern w:val="0"/>
          <w:sz w:val="31"/>
          <w:szCs w:val="31"/>
          <w:lang w:val="en-US" w:eastAsia="zh-CN"/>
        </w:rPr>
        <w:t>201.73</w:t>
      </w:r>
      <w:r>
        <w:rPr>
          <w:rFonts w:ascii="仿宋_GB2312" w:eastAsia="仿宋_GB2312" w:cs="仿宋_GB2312"/>
          <w:color w:val="000000"/>
          <w:kern w:val="0"/>
          <w:sz w:val="31"/>
          <w:szCs w:val="31"/>
          <w:lang w:val="en-US"/>
        </w:rPr>
        <w:t>万元，其中中央资金</w:t>
      </w:r>
      <w:r>
        <w:rPr>
          <w:rFonts w:ascii="仿宋_GB2312" w:eastAsia="仿宋_GB2312" w:cs="仿宋_GB2312" w:hint="eastAsia"/>
          <w:color w:val="000000"/>
          <w:kern w:val="0"/>
          <w:sz w:val="31"/>
          <w:szCs w:val="31"/>
          <w:lang w:val="en-US" w:eastAsia="zh-CN"/>
        </w:rPr>
        <w:t>0</w:t>
      </w:r>
      <w:r>
        <w:rPr>
          <w:rFonts w:ascii="仿宋_GB2312" w:eastAsia="仿宋_GB2312" w:cs="仿宋_GB2312"/>
          <w:color w:val="000000"/>
          <w:kern w:val="0"/>
          <w:sz w:val="31"/>
          <w:szCs w:val="31"/>
          <w:lang w:val="en-US"/>
        </w:rPr>
        <w:t>万元</w:t>
      </w:r>
      <w:r>
        <w:rPr>
          <w:rFonts w:ascii="仿宋_GB2312" w:eastAsia="仿宋_GB2312" w:cs="仿宋_GB2312" w:hint="eastAsia"/>
          <w:color w:val="000000"/>
          <w:kern w:val="0"/>
          <w:sz w:val="31"/>
          <w:szCs w:val="31"/>
          <w:lang w:val="en-US" w:eastAsia="zh-CN"/>
        </w:rPr>
        <w:t>.</w:t>
      </w:r>
      <w:r>
        <w:rPr>
          <w:rFonts w:ascii="仿宋_GB2312" w:eastAsia="仿宋_GB2312" w:cs="仿宋_GB2312"/>
          <w:color w:val="000000"/>
          <w:kern w:val="0"/>
          <w:sz w:val="31"/>
          <w:szCs w:val="31"/>
          <w:lang w:val="en-US"/>
        </w:rPr>
        <w:t>省级补助资金</w:t>
      </w:r>
      <w:r>
        <w:rPr>
          <w:rFonts w:ascii="仿宋_GB2312" w:eastAsia="仿宋_GB2312" w:cs="仿宋_GB2312" w:hint="eastAsia"/>
          <w:color w:val="000000"/>
          <w:kern w:val="0"/>
          <w:sz w:val="31"/>
          <w:szCs w:val="31"/>
          <w:lang w:val="en-US" w:eastAsia="zh-CN"/>
        </w:rPr>
        <w:t>180</w:t>
      </w:r>
      <w:r>
        <w:rPr>
          <w:rFonts w:ascii="仿宋_GB2312" w:eastAsia="仿宋_GB2312" w:cs="仿宋_GB2312"/>
          <w:color w:val="000000"/>
          <w:kern w:val="0"/>
          <w:sz w:val="31"/>
          <w:szCs w:val="31"/>
          <w:lang w:val="en-US"/>
        </w:rPr>
        <w:t>万元，</w:t>
      </w:r>
      <w:r>
        <w:rPr>
          <w:rFonts w:ascii="仿宋_GB2312" w:eastAsia="仿宋_GB2312" w:cs="仿宋_GB2312" w:hint="eastAsia"/>
          <w:color w:val="000000"/>
          <w:kern w:val="0"/>
          <w:sz w:val="31"/>
          <w:szCs w:val="31"/>
          <w:lang w:val="en-US"/>
        </w:rPr>
        <w:t>市（州）级补助</w:t>
      </w:r>
      <w:r>
        <w:rPr>
          <w:rFonts w:ascii="仿宋_GB2312" w:eastAsia="仿宋_GB2312" w:cs="仿宋_GB2312"/>
          <w:color w:val="000000"/>
          <w:kern w:val="0"/>
          <w:sz w:val="31"/>
          <w:szCs w:val="31"/>
          <w:lang w:val="en-US"/>
        </w:rPr>
        <w:t>配套资金</w:t>
      </w:r>
      <w:r>
        <w:rPr>
          <w:rFonts w:ascii="仿宋_GB2312" w:eastAsia="仿宋_GB2312" w:cs="仿宋_GB2312" w:hint="eastAsia"/>
          <w:color w:val="000000"/>
          <w:kern w:val="0"/>
          <w:sz w:val="31"/>
          <w:szCs w:val="31"/>
          <w:lang w:val="en-US" w:eastAsia="zh-CN"/>
        </w:rPr>
        <w:t>4.43</w:t>
      </w:r>
      <w:r>
        <w:rPr>
          <w:rFonts w:ascii="仿宋_GB2312" w:eastAsia="仿宋_GB2312" w:cs="仿宋_GB2312"/>
          <w:color w:val="000000"/>
          <w:kern w:val="0"/>
          <w:sz w:val="31"/>
          <w:szCs w:val="31"/>
          <w:lang w:val="en-US"/>
        </w:rPr>
        <w:t>万元，</w:t>
      </w:r>
      <w:r>
        <w:rPr>
          <w:rFonts w:ascii="仿宋_GB2312" w:eastAsia="仿宋_GB2312" w:cs="仿宋_GB2312" w:hint="eastAsia"/>
          <w:color w:val="000000"/>
          <w:kern w:val="0"/>
          <w:sz w:val="31"/>
          <w:szCs w:val="31"/>
          <w:lang w:val="en-US"/>
        </w:rPr>
        <w:t>本级配套</w:t>
      </w:r>
      <w:r>
        <w:rPr>
          <w:rFonts w:ascii="仿宋_GB2312" w:eastAsia="仿宋_GB2312" w:cs="仿宋_GB2312" w:hint="eastAsia"/>
          <w:color w:val="000000"/>
          <w:kern w:val="0"/>
          <w:sz w:val="31"/>
          <w:szCs w:val="31"/>
          <w:lang w:val="en-US" w:eastAsia="zh-CN"/>
        </w:rPr>
        <w:t>17.3</w:t>
      </w:r>
      <w:r>
        <w:rPr>
          <w:rFonts w:ascii="仿宋_GB2312" w:eastAsia="仿宋_GB2312" w:cs="仿宋_GB2312" w:hint="eastAsia"/>
          <w:color w:val="000000"/>
          <w:kern w:val="0"/>
          <w:sz w:val="31"/>
          <w:szCs w:val="31"/>
          <w:lang w:val="en-US"/>
        </w:rPr>
        <w:t>万元。其中待摊费用（设计费用、环评费用、监理费用）支付</w:t>
      </w:r>
      <w:r>
        <w:rPr>
          <w:rFonts w:ascii="仿宋_GB2312" w:eastAsia="仿宋_GB2312" w:cs="仿宋_GB2312" w:hint="eastAsia"/>
          <w:color w:val="000000"/>
          <w:kern w:val="0"/>
          <w:sz w:val="31"/>
          <w:szCs w:val="31"/>
          <w:lang w:val="en-US" w:eastAsia="zh-CN"/>
        </w:rPr>
        <w:t>0</w:t>
      </w:r>
      <w:r>
        <w:rPr>
          <w:rFonts w:ascii="仿宋_GB2312" w:eastAsia="仿宋_GB2312" w:cs="仿宋_GB2312" w:hint="eastAsia"/>
          <w:color w:val="000000"/>
          <w:kern w:val="0"/>
          <w:sz w:val="31"/>
          <w:szCs w:val="31"/>
          <w:lang w:val="en-US"/>
        </w:rPr>
        <w:t>万元，工程费用支付</w:t>
      </w:r>
      <w:r>
        <w:rPr>
          <w:rFonts w:ascii="仿宋_GB2312" w:eastAsia="仿宋_GB2312" w:cs="仿宋_GB2312" w:hint="eastAsia"/>
          <w:color w:val="000000"/>
          <w:kern w:val="0"/>
          <w:sz w:val="31"/>
          <w:szCs w:val="31"/>
          <w:lang w:val="en-US" w:eastAsia="zh-CN"/>
        </w:rPr>
        <w:t>0</w:t>
      </w:r>
      <w:r>
        <w:rPr>
          <w:rFonts w:ascii="仿宋_GB2312" w:eastAsia="仿宋_GB2312" w:cs="仿宋_GB2312" w:hint="eastAsia"/>
          <w:color w:val="000000"/>
          <w:kern w:val="0"/>
          <w:sz w:val="31"/>
          <w:szCs w:val="31"/>
          <w:lang w:val="en-US"/>
        </w:rPr>
        <w:t>万元，应付未付</w:t>
      </w:r>
      <w:r>
        <w:rPr>
          <w:rFonts w:ascii="仿宋_GB2312" w:eastAsia="仿宋_GB2312" w:cs="仿宋_GB2312" w:hint="eastAsia"/>
          <w:color w:val="000000"/>
          <w:kern w:val="0"/>
          <w:sz w:val="31"/>
          <w:szCs w:val="31"/>
          <w:lang w:val="en-US" w:eastAsia="zh-CN"/>
        </w:rPr>
        <w:t>0</w:t>
      </w:r>
      <w:r>
        <w:rPr>
          <w:rFonts w:ascii="仿宋_GB2312" w:eastAsia="仿宋_GB2312" w:cs="仿宋_GB2312" w:hint="eastAsia"/>
          <w:color w:val="000000"/>
          <w:kern w:val="0"/>
          <w:sz w:val="31"/>
          <w:szCs w:val="31"/>
          <w:lang w:val="en-US"/>
        </w:rPr>
        <w:t>万元。</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楷体_GB2312" w:eastAsia="楷体_GB2312" w:cs="楷体_GB2312" w:hint="eastAsia"/>
          <w:b/>
          <w:color w:val="000000"/>
          <w:sz w:val="31"/>
          <w:szCs w:val="31"/>
        </w:rPr>
      </w:pPr>
      <w:r>
        <w:rPr>
          <w:rFonts w:ascii="楷体_GB2312" w:eastAsia="楷体_GB2312" w:cs="楷体_GB2312" w:hint="eastAsia"/>
          <w:b/>
          <w:color w:val="000000"/>
          <w:sz w:val="31"/>
          <w:szCs w:val="31"/>
        </w:rPr>
        <w:t>（三）项目财务管理情况。</w:t>
      </w:r>
    </w:p>
    <w:p>
      <w:pPr>
        <w:adjustRightInd w:val="0"/>
        <w:snapToGrid w:val="0"/>
        <w:spacing w:line="600" w:lineRule="exact"/>
        <w:ind w:firstLineChars="200" w:firstLine="62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1.严格按照财政拨款资金管理办法使用的有关规定执行，切实加强资金监管，提高资金使用效益。</w:t>
      </w:r>
    </w:p>
    <w:p>
      <w:pPr>
        <w:adjustRightInd w:val="0"/>
        <w:snapToGrid w:val="0"/>
        <w:spacing w:line="600" w:lineRule="exact"/>
        <w:ind w:firstLineChars="200" w:firstLine="62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2.严格执行《四川省财政资金管理办法》，项目资金实行县级财政报账制管理，做到资金安排到项目、日常管理到项目、支出核算到项目，同时要严格按照州委、州政府关于印发《2022年全州33件民生实事实施方案》、阿坝州退役军人事务局《关于加快推进2022年烈士纪念设施修缮改造项目有关事项的通知》，7月份项目资金拨款达到50%，12月份资金拨付达到100%。</w:t>
      </w:r>
    </w:p>
    <w:p>
      <w:pPr>
        <w:adjustRightInd w:val="0"/>
        <w:snapToGrid w:val="0"/>
        <w:spacing w:line="600" w:lineRule="exact"/>
        <w:ind w:firstLineChars="200" w:firstLine="62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3.建立专项资金使用公示制。按照公开、公平、公正的原则，对资金的分配和使用定期进行公示。自觉接受社会和群众监督，不断密切党群、干群关系。</w:t>
      </w:r>
    </w:p>
    <w:p>
      <w:pPr>
        <w:adjustRightInd w:val="0"/>
        <w:snapToGrid w:val="0"/>
        <w:spacing w:line="600" w:lineRule="exact"/>
        <w:ind w:firstLineChars="200" w:firstLine="620"/>
        <w:rPr>
          <w:rFonts w:ascii="楷体_GB2312" w:eastAsia="楷体_GB2312" w:cs="楷体_GB2312" w:hint="eastAsia"/>
          <w:b/>
          <w:color w:val="000000"/>
          <w:sz w:val="31"/>
          <w:szCs w:val="31"/>
        </w:rPr>
      </w:pPr>
      <w:r>
        <w:rPr>
          <w:rFonts w:ascii="仿宋_GB2312" w:eastAsia="仿宋_GB2312" w:cs="仿宋_GB2312" w:hint="eastAsia"/>
          <w:color w:val="000000"/>
          <w:kern w:val="0"/>
          <w:sz w:val="31"/>
          <w:szCs w:val="31"/>
          <w:lang w:val="en-US" w:eastAsia="zh-CN"/>
        </w:rPr>
        <w:t>4.建立专项资金管理审计制。项目实施完成后，相关审计部门应及时会同财政、纪检、监察等部门对资金使用情况进行专项审计。对转移、挪用、拖欠、挤占、贪污等违纪违法行为，要严肃查处，并追究相关责任人的责任。</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三、项目实施及管理情况</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楷体_GB2312" w:eastAsia="楷体_GB2312" w:cs="楷体_GB2312" w:hint="eastAsia"/>
          <w:b/>
          <w:color w:val="000000"/>
          <w:sz w:val="31"/>
          <w:szCs w:val="31"/>
        </w:rPr>
      </w:pPr>
      <w:r>
        <w:rPr>
          <w:rFonts w:ascii="楷体_GB2312" w:eastAsia="楷体_GB2312" w:cs="楷体_GB2312" w:hint="eastAsia"/>
          <w:b/>
          <w:color w:val="000000"/>
          <w:sz w:val="31"/>
          <w:szCs w:val="31"/>
        </w:rPr>
        <w:t>（一）项目组织架构及实施流程。</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 w:eastAsia="仿宋" w:cs="Times New Roman" w:hint="eastAsia"/>
          <w:color w:val="auto"/>
          <w:sz w:val="32"/>
          <w:szCs w:val="32"/>
          <w:lang w:val="en-US" w:eastAsia="zh-CN"/>
        </w:rPr>
      </w:pPr>
      <w:r>
        <w:rPr>
          <w:rFonts w:ascii="仿宋" w:eastAsia="仿宋" w:cs="Times New Roman" w:hint="eastAsia"/>
          <w:color w:val="auto"/>
          <w:sz w:val="32"/>
          <w:szCs w:val="32"/>
          <w:lang w:val="en-US" w:eastAsia="zh-CN"/>
        </w:rPr>
        <w:t>2022年6月在政府采购网发布意向公告，2022年7月举行政府集中采购，经过集中采购，</w:t>
      </w:r>
      <w:r>
        <w:rPr>
          <w:rFonts w:ascii="仿宋_GB2312" w:eastAsia="仿宋_GB2312" w:cs="仿宋_GB2312" w:hint="eastAsia"/>
          <w:color w:val="auto"/>
          <w:kern w:val="0"/>
          <w:sz w:val="31"/>
          <w:szCs w:val="31"/>
          <w:lang w:val="en-US" w:eastAsia="zh-CN"/>
        </w:rPr>
        <w:t>湖北殷祖古建集团有限公司</w:t>
      </w:r>
      <w:r>
        <w:rPr>
          <w:rFonts w:ascii="仿宋" w:eastAsia="仿宋" w:cs="Times New Roman" w:hint="eastAsia"/>
          <w:color w:val="auto"/>
          <w:sz w:val="32"/>
          <w:szCs w:val="32"/>
          <w:lang w:val="en-US" w:eastAsia="zh-CN"/>
        </w:rPr>
        <w:t>以人民币大写：</w:t>
      </w:r>
      <w:r>
        <w:rPr>
          <w:rFonts w:ascii="仿宋_GB2312" w:eastAsia="仿宋_GB2312" w:cs="仿宋_GB2312" w:hint="eastAsia"/>
          <w:color w:val="auto"/>
          <w:kern w:val="0"/>
          <w:sz w:val="31"/>
          <w:szCs w:val="31"/>
          <w:lang w:val="en-US" w:eastAsia="zh-CN"/>
        </w:rPr>
        <w:t>壹佰捌拾肆万柒仟叁佰陆拾元叁角伍分</w:t>
      </w:r>
      <w:r>
        <w:rPr>
          <w:rFonts w:ascii="仿宋" w:eastAsia="仿宋" w:cs="Times New Roman" w:hint="eastAsia"/>
          <w:color w:val="auto"/>
          <w:sz w:val="32"/>
          <w:szCs w:val="32"/>
          <w:lang w:val="en-US" w:eastAsia="zh-CN"/>
        </w:rPr>
        <w:t>中标。</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20"/>
        <w:textAlignment w:val="auto"/>
        <w:rPr>
          <w:rFonts w:ascii="楷体_GB2312" w:eastAsia="楷体_GB2312" w:cs="楷体_GB2312" w:hint="eastAsia"/>
          <w:b/>
          <w:color w:val="000000"/>
          <w:sz w:val="31"/>
          <w:szCs w:val="31"/>
        </w:rPr>
      </w:pPr>
      <w:r>
        <w:rPr>
          <w:rFonts w:ascii="楷体_GB2312" w:eastAsia="楷体_GB2312" w:cs="楷体_GB2312" w:hint="eastAsia"/>
          <w:b/>
          <w:color w:val="000000"/>
          <w:sz w:val="31"/>
          <w:szCs w:val="31"/>
        </w:rPr>
        <w:t>（二）项目管理情况。</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 w:eastAsia="仿宋" w:cs="Times New Roman" w:hint="eastAsia"/>
          <w:sz w:val="32"/>
          <w:szCs w:val="32"/>
          <w:lang w:val="en-US"/>
        </w:rPr>
      </w:pPr>
      <w:r>
        <w:rPr>
          <w:rFonts w:ascii="仿宋" w:eastAsia="仿宋" w:cs="Times New Roman" w:hint="eastAsia"/>
          <w:sz w:val="32"/>
          <w:szCs w:val="32"/>
          <w:lang w:val="en-US"/>
        </w:rPr>
        <w:t>成立项目领导小组情况、项目日常管理情况</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 w:eastAsia="仿宋" w:cs="Times New Roman" w:hint="eastAsia"/>
          <w:sz w:val="32"/>
          <w:szCs w:val="32"/>
          <w:lang w:val="en-US" w:eastAsia="zh-CN"/>
        </w:rPr>
      </w:pPr>
      <w:r>
        <w:rPr>
          <w:rFonts w:ascii="仿宋" w:eastAsia="仿宋" w:cs="Times New Roman" w:hint="eastAsia"/>
          <w:sz w:val="32"/>
          <w:szCs w:val="32"/>
          <w:lang w:val="en-US" w:eastAsia="zh-CN"/>
        </w:rPr>
        <w:t>为了保障整修工程顺利实施，确保工程质量，特成立项目实施领导小组，在工程实施全过程进行统一指挥、监督管理。小组成员如下：</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 w:eastAsia="仿宋" w:cs="Times New Roman" w:hint="eastAsia"/>
          <w:sz w:val="32"/>
          <w:szCs w:val="32"/>
          <w:lang w:val="en-US" w:eastAsia="zh-CN"/>
        </w:rPr>
      </w:pPr>
      <w:r>
        <w:rPr>
          <w:rFonts w:ascii="仿宋" w:eastAsia="仿宋" w:cs="Times New Roman" w:hint="eastAsia"/>
          <w:sz w:val="32"/>
          <w:szCs w:val="32"/>
          <w:lang w:val="en-US" w:eastAsia="zh-CN"/>
        </w:rPr>
        <w:t>组  长：杨俊毅（退役军人事务局党组书记、局长）</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 w:eastAsia="仿宋" w:cs="Times New Roman" w:hint="eastAsia"/>
          <w:sz w:val="32"/>
          <w:szCs w:val="32"/>
          <w:lang w:val="en-US" w:eastAsia="zh-CN"/>
        </w:rPr>
      </w:pPr>
      <w:r>
        <w:rPr>
          <w:rFonts w:ascii="仿宋" w:eastAsia="仿宋" w:cs="Times New Roman" w:hint="eastAsia"/>
          <w:sz w:val="32"/>
          <w:szCs w:val="32"/>
          <w:lang w:val="en-US" w:eastAsia="zh-CN"/>
        </w:rPr>
        <w:t>副组长：赵明银（退役军人事务局党组成员、副局长）</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 w:eastAsia="仿宋" w:cs="Times New Roman" w:hint="eastAsia"/>
          <w:sz w:val="32"/>
          <w:szCs w:val="32"/>
          <w:lang w:val="en-US" w:eastAsia="zh-CN"/>
        </w:rPr>
      </w:pPr>
      <w:r>
        <w:rPr>
          <w:rFonts w:ascii="仿宋" w:eastAsia="仿宋" w:cs="Times New Roman" w:hint="eastAsia"/>
          <w:sz w:val="32"/>
          <w:szCs w:val="32"/>
          <w:lang w:val="en-US" w:eastAsia="zh-CN"/>
        </w:rPr>
        <w:t xml:space="preserve">        张晓珍（退役军人事务局党组成员、副局长）</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 w:eastAsia="仿宋" w:cs="Times New Roman"/>
          <w:sz w:val="32"/>
          <w:szCs w:val="32"/>
          <w:lang w:val="en-US" w:eastAsia="zh-CN"/>
        </w:rPr>
      </w:pPr>
      <w:r>
        <w:rPr>
          <w:rFonts w:ascii="仿宋" w:eastAsia="仿宋" w:cs="Times New Roman" w:hint="eastAsia"/>
          <w:sz w:val="32"/>
          <w:szCs w:val="32"/>
          <w:lang w:val="en-US" w:eastAsia="zh-CN"/>
        </w:rPr>
        <w:t>成  员：王赛玢（退役军人事务局办公室主任）</w:t>
      </w:r>
    </w:p>
    <w:p>
      <w:pPr>
        <w:keepNext w:val="0"/>
        <w:keepLines w:val="0"/>
        <w:pageBreakBefore w:val="0"/>
        <w:widowControl w:val="0"/>
        <w:kinsoku/>
        <w:wordWrap/>
        <w:overflowPunct/>
        <w:topLinePunct w:val="0"/>
        <w:autoSpaceDE/>
        <w:autoSpaceDN/>
        <w:bidi w:val="0"/>
        <w:adjustRightInd/>
        <w:snapToGrid/>
        <w:spacing w:line="540" w:lineRule="exact"/>
        <w:ind w:firstLineChars="600" w:firstLine="1920"/>
        <w:textAlignment w:val="auto"/>
        <w:rPr>
          <w:rFonts w:ascii="仿宋" w:eastAsia="仿宋" w:cs="Times New Roman" w:hint="eastAsia"/>
          <w:sz w:val="32"/>
          <w:szCs w:val="32"/>
          <w:lang w:val="en-US" w:eastAsia="zh-CN"/>
        </w:rPr>
      </w:pPr>
      <w:r>
        <w:rPr>
          <w:rFonts w:ascii="仿宋" w:eastAsia="仿宋" w:cs="Times New Roman" w:hint="eastAsia"/>
          <w:sz w:val="32"/>
          <w:szCs w:val="32"/>
          <w:lang w:val="en-US" w:eastAsia="zh-CN"/>
        </w:rPr>
        <w:t>范蓉艳（退役军人事务局出纳）</w:t>
      </w:r>
    </w:p>
    <w:p>
      <w:pPr>
        <w:keepNext w:val="0"/>
        <w:keepLines w:val="0"/>
        <w:pageBreakBefore w:val="0"/>
        <w:widowControl w:val="0"/>
        <w:kinsoku/>
        <w:wordWrap/>
        <w:overflowPunct/>
        <w:topLinePunct w:val="0"/>
        <w:autoSpaceDE/>
        <w:autoSpaceDN/>
        <w:bidi w:val="0"/>
        <w:adjustRightInd/>
        <w:snapToGrid/>
        <w:spacing w:line="540" w:lineRule="exact"/>
        <w:ind w:firstLineChars="600" w:firstLine="1920"/>
        <w:textAlignment w:val="auto"/>
        <w:rPr>
          <w:rFonts w:ascii="仿宋" w:eastAsia="仿宋" w:cs="Times New Roman" w:hint="eastAsia"/>
          <w:sz w:val="32"/>
          <w:szCs w:val="32"/>
          <w:lang w:val="en-US" w:eastAsia="zh-CN"/>
        </w:rPr>
      </w:pPr>
      <w:r>
        <w:rPr>
          <w:rFonts w:ascii="仿宋" w:eastAsia="仿宋" w:cs="Times New Roman" w:hint="eastAsia"/>
          <w:sz w:val="32"/>
          <w:szCs w:val="32"/>
          <w:lang w:val="en-US" w:eastAsia="zh-CN"/>
        </w:rPr>
        <w:t>张  丽（退役军人事务局会计）</w:t>
      </w:r>
    </w:p>
    <w:p>
      <w:pPr>
        <w:keepNext w:val="0"/>
        <w:keepLines w:val="0"/>
        <w:pageBreakBefore w:val="0"/>
        <w:widowControl w:val="0"/>
        <w:kinsoku/>
        <w:wordWrap/>
        <w:overflowPunct/>
        <w:topLinePunct w:val="0"/>
        <w:autoSpaceDE/>
        <w:autoSpaceDN/>
        <w:bidi w:val="0"/>
        <w:adjustRightInd/>
        <w:snapToGrid/>
        <w:spacing w:line="540" w:lineRule="exact"/>
        <w:ind w:firstLineChars="600" w:firstLine="1920"/>
        <w:textAlignment w:val="auto"/>
        <w:rPr>
          <w:color w:val="0000FF"/>
        </w:rPr>
      </w:pPr>
      <w:r>
        <w:rPr>
          <w:rFonts w:ascii="仿宋" w:eastAsia="仿宋" w:cs="Times New Roman" w:hint="eastAsia"/>
          <w:sz w:val="32"/>
          <w:szCs w:val="32"/>
          <w:lang w:val="en-US" w:eastAsia="zh-CN"/>
        </w:rPr>
        <w:t>唐济枢（退役军人事务局工作人员）</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20"/>
        <w:textAlignment w:val="auto"/>
      </w:pPr>
      <w:r>
        <w:rPr>
          <w:rFonts w:ascii="楷体_GB2312" w:eastAsia="楷体_GB2312" w:cs="楷体_GB2312" w:hint="eastAsia"/>
          <w:b/>
          <w:color w:val="000000"/>
          <w:kern w:val="0"/>
          <w:sz w:val="31"/>
          <w:szCs w:val="31"/>
          <w:lang w:val="en-US" w:eastAsia="zh-CN"/>
        </w:rPr>
        <w:t>（三）项目监管情况。</w:t>
      </w:r>
      <w:r>
        <w:rPr>
          <w:rFonts w:ascii="仿宋_GB2312" w:eastAsia="仿宋_GB2312" w:cs="仿宋_GB2312" w:hint="eastAsia"/>
          <w:color w:val="000000"/>
          <w:kern w:val="0"/>
          <w:sz w:val="31"/>
          <w:szCs w:val="31"/>
          <w:lang w:val="en-US" w:eastAsia="zh-CN"/>
        </w:rPr>
        <w:t>项目实施接受县级相关职能部门的监督检查。项目实施的内容、资金来源、用途、项目推进时限、推进情况等纳入退役军人事务局政务公开内容，张榜公布，做到公开、公平、公正，自觉接受社会和群众的监督，做到让群众满意。</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四、项目绩效情况</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b/>
          <w:color w:val="000000"/>
          <w:sz w:val="31"/>
          <w:szCs w:val="31"/>
        </w:rPr>
        <w:t>（一）项目完成情况。</w:t>
      </w:r>
    </w:p>
    <w:p>
      <w:pPr>
        <w:adjustRightInd w:val="0"/>
        <w:snapToGrid w:val="0"/>
        <w:spacing w:line="600" w:lineRule="exact"/>
        <w:ind w:firstLineChars="200" w:firstLine="620"/>
        <w:rPr>
          <w:rFonts w:ascii="仿宋_GB2312" w:eastAsia="仿宋_GB2312" w:cs="仿宋_GB2312" w:hint="eastAsia"/>
          <w:color w:val="000000"/>
          <w:kern w:val="0"/>
          <w:sz w:val="31"/>
          <w:szCs w:val="31"/>
          <w:lang w:val="en-US"/>
        </w:rPr>
      </w:pPr>
      <w:r>
        <w:rPr>
          <w:rFonts w:ascii="仿宋_GB2312" w:eastAsia="仿宋_GB2312" w:cs="仿宋_GB2312" w:hint="eastAsia"/>
          <w:color w:val="000000"/>
          <w:kern w:val="0"/>
          <w:sz w:val="31"/>
          <w:szCs w:val="31"/>
          <w:lang w:val="en-US" w:eastAsia="zh-CN"/>
        </w:rPr>
        <w:t>总体上看，补助资金项目基本完成各项绩效目标：项目决策科学合理，项目实施合理、使用合规、执行有效，完成预算、目标完成、完成及时，社会满意，功能性、配套性较好，质量达标等</w:t>
      </w:r>
      <w:r>
        <w:rPr>
          <w:rFonts w:ascii="仿宋_GB2312" w:eastAsia="仿宋_GB2312" w:cs="仿宋_GB2312" w:hint="eastAsia"/>
          <w:color w:val="000000"/>
          <w:kern w:val="0"/>
          <w:sz w:val="31"/>
          <w:szCs w:val="31"/>
          <w:lang w:val="en-US"/>
        </w:rPr>
        <w:t>。</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b/>
          <w:color w:val="000000"/>
          <w:sz w:val="31"/>
          <w:szCs w:val="31"/>
        </w:rPr>
        <w:t>（二）项目效益情况。</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 w:eastAsia="仿宋" w:cs="Times New Roman" w:hint="eastAsia"/>
          <w:b/>
          <w:bCs/>
          <w:sz w:val="32"/>
          <w:szCs w:val="32"/>
          <w:lang w:val="zh-CN" w:eastAsia="zh-CN"/>
        </w:rPr>
      </w:pPr>
      <w:r>
        <w:rPr>
          <w:rFonts w:ascii="仿宋" w:eastAsia="仿宋" w:cs="Times New Roman" w:hint="eastAsia"/>
          <w:b/>
          <w:bCs/>
          <w:sz w:val="32"/>
          <w:szCs w:val="32"/>
          <w:lang w:val="zh-CN" w:eastAsia="zh-CN"/>
        </w:rPr>
        <w:t>1.项目经济效益。</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 w:eastAsia="仿宋" w:cs="Times New Roman" w:hint="eastAsia"/>
          <w:sz w:val="32"/>
          <w:szCs w:val="32"/>
          <w:lang w:val="zh-CN" w:eastAsia="zh-CN"/>
        </w:rPr>
      </w:pPr>
      <w:r>
        <w:rPr>
          <w:rFonts w:ascii="仿宋" w:eastAsia="仿宋" w:cs="Times New Roman" w:hint="eastAsia"/>
          <w:sz w:val="32"/>
          <w:szCs w:val="32"/>
          <w:lang w:val="zh-CN" w:eastAsia="zh-CN"/>
        </w:rPr>
        <w:t>该项目属于公益类，因此无经济效益</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 w:eastAsia="仿宋" w:cs="Times New Roman" w:hint="eastAsia"/>
          <w:b/>
          <w:bCs/>
          <w:sz w:val="32"/>
          <w:szCs w:val="32"/>
          <w:lang w:val="en-US" w:eastAsia="zh-CN"/>
        </w:rPr>
      </w:pPr>
      <w:r>
        <w:rPr>
          <w:rFonts w:ascii="仿宋" w:eastAsia="仿宋" w:cs="Times New Roman" w:hint="eastAsia"/>
          <w:b/>
          <w:bCs/>
          <w:sz w:val="32"/>
          <w:szCs w:val="32"/>
          <w:lang w:val="en-US" w:eastAsia="zh-CN"/>
        </w:rPr>
        <w:t>2.</w:t>
      </w:r>
      <w:r>
        <w:rPr>
          <w:rFonts w:ascii="仿宋" w:eastAsia="仿宋" w:cs="Times New Roman" w:hint="eastAsia"/>
          <w:b/>
          <w:bCs/>
          <w:sz w:val="32"/>
          <w:szCs w:val="32"/>
          <w:lang w:val="zh-CN" w:eastAsia="zh-CN"/>
        </w:rPr>
        <w:t>项目社会效益</w:t>
      </w:r>
      <w:r>
        <w:rPr>
          <w:rFonts w:ascii="仿宋" w:eastAsia="仿宋" w:cs="Times New Roman" w:hint="eastAsia"/>
          <w:b/>
          <w:bCs/>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 w:eastAsia="仿宋" w:cs="Times New Roman"/>
          <w:sz w:val="32"/>
          <w:szCs w:val="32"/>
          <w:lang w:val="en-US" w:eastAsia="zh-CN"/>
        </w:rPr>
      </w:pPr>
      <w:r>
        <w:rPr>
          <w:rFonts w:ascii="仿宋" w:eastAsia="仿宋" w:cs="Times New Roman" w:hint="eastAsia"/>
          <w:sz w:val="32"/>
          <w:szCs w:val="32"/>
          <w:lang w:val="en-US" w:eastAsia="zh-CN"/>
        </w:rPr>
        <w:t>站在金川县烈士陵园中，隔河眺望，县城全景尽收眼底，习习和风吹拂，令人心旷神怡，更是游览观光之妙地；烈士陵园记录了全县人民以无私无畏的牺牲精神，竭尽全力支持红军，在极度艰苦的岁月，军民鱼水情深，患难与共的革命印记；烈士陵园安葬着数百名英烈，陈列馆所陈列的革命事迹、人物介绍、图片等是非常宝贵的旅游资源和精神财富。项目完成后，我县英雄烈士纪念设施整体面貌得到全面提升和改善，烈士陵园红色教育功能得到更好的使用和发挥。</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 w:eastAsia="仿宋" w:cs="Times New Roman" w:hint="eastAsia"/>
          <w:b/>
          <w:bCs/>
          <w:sz w:val="32"/>
          <w:szCs w:val="32"/>
          <w:lang w:val="en-US" w:eastAsia="zh-CN"/>
        </w:rPr>
      </w:pPr>
      <w:r>
        <w:rPr>
          <w:rFonts w:ascii="仿宋" w:eastAsia="仿宋" w:cs="Times New Roman" w:hint="eastAsia"/>
          <w:b/>
          <w:bCs/>
          <w:sz w:val="32"/>
          <w:szCs w:val="32"/>
          <w:lang w:val="en-US" w:eastAsia="zh-CN"/>
        </w:rPr>
        <w:t>3.</w:t>
      </w:r>
      <w:r>
        <w:rPr>
          <w:rFonts w:ascii="仿宋" w:eastAsia="仿宋" w:cs="Times New Roman" w:hint="eastAsia"/>
          <w:b/>
          <w:bCs/>
          <w:sz w:val="32"/>
          <w:szCs w:val="32"/>
          <w:lang w:val="en-US"/>
        </w:rPr>
        <w:t>满意度。</w:t>
      </w:r>
    </w:p>
    <w:p>
      <w:pPr>
        <w:adjustRightInd w:val="0"/>
        <w:snapToGrid w:val="0"/>
        <w:spacing w:line="600" w:lineRule="exact"/>
        <w:ind w:left="0" w:firstLineChars="200" w:firstLine="640"/>
        <w:rPr>
          <w:rFonts w:ascii="仿宋" w:eastAsia="仿宋" w:cs="Times New Roman" w:hint="eastAsia"/>
          <w:b w:val="0"/>
          <w:kern w:val="2"/>
          <w:sz w:val="32"/>
          <w:szCs w:val="32"/>
          <w:lang w:val="en-US" w:eastAsia="zh-CN" w:bidi="ar-SA"/>
        </w:rPr>
      </w:pPr>
      <w:r>
        <w:rPr>
          <w:rFonts w:ascii="仿宋" w:eastAsia="仿宋" w:cs="Times New Roman" w:hint="eastAsia"/>
          <w:b w:val="0"/>
          <w:kern w:val="2"/>
          <w:sz w:val="32"/>
          <w:szCs w:val="32"/>
          <w:lang w:val="en-US" w:eastAsia="zh-CN" w:bidi="ar-SA"/>
        </w:rPr>
        <w:t>经过调研政策和项目相关方在政策实施过程中的满意值，政策在顶层设计、制度构建、管理实施及成效各环节的情况得出结论为：满意。</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五、评价结论及建议</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b/>
          <w:color w:val="000000"/>
          <w:sz w:val="31"/>
          <w:szCs w:val="31"/>
        </w:rPr>
        <w:t>（一）评价结论。</w:t>
      </w:r>
    </w:p>
    <w:p>
      <w:pPr>
        <w:ind w:firstLineChars="200" w:firstLine="640"/>
        <w:rPr>
          <w:rFonts w:ascii="Times New Roman" w:eastAsia="仿宋_GB2312" w:hAnsi="Times New Roman"/>
          <w:color w:val="auto"/>
          <w:sz w:val="32"/>
          <w:szCs w:val="32"/>
        </w:rPr>
      </w:pPr>
      <w:r>
        <w:rPr>
          <w:rFonts w:ascii="仿宋_GB2312" w:eastAsia="仿宋_GB2312" w:cs="仿宋_GB2312" w:hint="eastAsia"/>
          <w:bCs/>
          <w:color w:val="auto"/>
          <w:sz w:val="32"/>
          <w:szCs w:val="32"/>
          <w:lang w:eastAsia="zh-CN"/>
        </w:rPr>
        <w:t>评估等级</w:t>
      </w:r>
      <w:r>
        <w:rPr>
          <w:rFonts w:eastAsia="仿宋_GB2312" w:cs="仿宋_GB2312" w:hint="eastAsia"/>
          <w:color w:val="auto"/>
          <w:sz w:val="32"/>
          <w:szCs w:val="32"/>
          <w:lang w:val="en-US" w:eastAsia="zh-CN"/>
        </w:rPr>
        <w:t>为优，</w:t>
      </w:r>
      <w:r>
        <w:rPr>
          <w:rFonts w:eastAsia="仿宋_GB2312" w:cs="仿宋_GB2312" w:hint="eastAsia"/>
          <w:color w:val="auto"/>
          <w:sz w:val="32"/>
          <w:szCs w:val="32"/>
        </w:rPr>
        <w:t>绩效目标明确，年度工作目标一致，受益群众的定位明确，有确定的服务对象或受益对象，评估项目具有公共性，属于财政支持范围</w:t>
      </w:r>
      <w:r>
        <w:rPr>
          <w:rFonts w:cs="仿宋_GB2312" w:hint="eastAsia"/>
          <w:color w:val="auto"/>
          <w:sz w:val="32"/>
          <w:szCs w:val="32"/>
          <w:lang w:val="en-US" w:eastAsia="zh-CN"/>
        </w:rPr>
        <w:t>。</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b/>
          <w:color w:val="000000"/>
          <w:sz w:val="31"/>
          <w:szCs w:val="31"/>
        </w:rPr>
        <w:t>（二）存在的问题。</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Times New Roman" w:eastAsia="仿宋_GB2312" w:cs="Times New Roman" w:hAnsi="Times New Roman"/>
          <w:i w:val="0"/>
          <w:iCs w:val="0"/>
          <w:caps w:val="0"/>
          <w:smallCaps w:val="0"/>
          <w:color w:val="333333"/>
          <w:spacing w:val="0"/>
          <w:sz w:val="32"/>
          <w:szCs w:val="32"/>
          <w:shd w:val="clear" w:color="auto" w:fill="FFFFFF"/>
        </w:rPr>
      </w:pPr>
      <w:r>
        <w:rPr>
          <w:rFonts w:ascii="Times New Roman" w:eastAsia="仿宋_GB2312" w:cs="Times New Roman" w:hAnsi="Times New Roman"/>
          <w:i w:val="0"/>
          <w:iCs w:val="0"/>
          <w:caps w:val="0"/>
          <w:smallCaps w:val="0"/>
          <w:color w:val="333333"/>
          <w:spacing w:val="0"/>
          <w:sz w:val="32"/>
          <w:szCs w:val="32"/>
          <w:shd w:val="clear" w:color="auto" w:fill="FFFFFF"/>
        </w:rPr>
        <w:t>绩效目标编制有待进一步完善。在编制绩效目标时对绩效指标进行</w:t>
      </w:r>
      <w:r>
        <w:rPr>
          <w:rFonts w:ascii="Times New Roman" w:eastAsia="仿宋_GB2312" w:cs="Times New Roman" w:hAnsi="Times New Roman"/>
          <w:i w:val="0"/>
          <w:iCs w:val="0"/>
          <w:caps w:val="0"/>
          <w:smallCaps w:val="0"/>
          <w:color w:val="333333"/>
          <w:spacing w:val="0"/>
          <w:sz w:val="32"/>
          <w:szCs w:val="32"/>
          <w:shd w:val="clear" w:color="auto" w:fill="FFFFFF"/>
          <w:lang w:eastAsia="zh-CN"/>
        </w:rPr>
        <w:t>细化</w:t>
      </w:r>
      <w:r>
        <w:rPr>
          <w:rFonts w:ascii="Times New Roman" w:eastAsia="仿宋_GB2312" w:cs="Times New Roman" w:hAnsi="Times New Roman"/>
          <w:i w:val="0"/>
          <w:iCs w:val="0"/>
          <w:caps w:val="0"/>
          <w:smallCaps w:val="0"/>
          <w:color w:val="333333"/>
          <w:spacing w:val="0"/>
          <w:sz w:val="32"/>
          <w:szCs w:val="32"/>
          <w:shd w:val="clear" w:color="auto" w:fill="FFFFFF"/>
        </w:rPr>
        <w:t>，设立</w:t>
      </w:r>
      <w:r>
        <w:rPr>
          <w:rFonts w:ascii="Times New Roman" w:eastAsia="仿宋_GB2312" w:cs="Times New Roman" w:hAnsi="Times New Roman"/>
          <w:i w:val="0"/>
          <w:iCs w:val="0"/>
          <w:caps w:val="0"/>
          <w:smallCaps w:val="0"/>
          <w:color w:val="333333"/>
          <w:spacing w:val="0"/>
          <w:sz w:val="32"/>
          <w:szCs w:val="32"/>
          <w:shd w:val="clear" w:color="auto" w:fill="FFFFFF"/>
          <w:lang w:eastAsia="zh-CN"/>
        </w:rPr>
        <w:t>更明确的</w:t>
      </w:r>
      <w:r>
        <w:rPr>
          <w:rFonts w:ascii="Times New Roman" w:eastAsia="仿宋_GB2312" w:cs="Times New Roman" w:hAnsi="Times New Roman"/>
          <w:i w:val="0"/>
          <w:iCs w:val="0"/>
          <w:caps w:val="0"/>
          <w:smallCaps w:val="0"/>
          <w:color w:val="333333"/>
          <w:spacing w:val="0"/>
          <w:sz w:val="32"/>
          <w:szCs w:val="32"/>
          <w:shd w:val="clear" w:color="auto" w:fill="FFFFFF"/>
        </w:rPr>
        <w:t>绩效指标，以便于进行绩效考核。</w:t>
      </w:r>
    </w:p>
    <w:p>
      <w:pPr>
        <w:pStyle w:val="26"/>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楷体_GB2312" w:eastAsia="楷体_GB2312" w:cs="楷体_GB2312" w:hint="eastAsia"/>
          <w:b/>
          <w:color w:val="000000"/>
          <w:sz w:val="31"/>
          <w:szCs w:val="31"/>
        </w:rPr>
        <w:t>（三）相关建议。</w:t>
      </w:r>
    </w:p>
    <w:p>
      <w:pPr>
        <w:pageBreakBefore w:val="0"/>
        <w:widowControl w:val="0"/>
        <w:kinsoku/>
        <w:wordWrap/>
        <w:overflowPunct/>
        <w:topLinePunct w:val="0"/>
        <w:bidi w:val="0"/>
        <w:adjustRightInd w:val="0"/>
        <w:snapToGrid w:val="0"/>
        <w:spacing w:line="576" w:lineRule="exact"/>
        <w:ind w:firstLineChars="200" w:firstLine="640"/>
        <w:rPr>
          <w:rFonts w:ascii="Times New Roman" w:eastAsia="仿宋_GB2312" w:cs="Times New Roman" w:hAnsi="Times New Roman"/>
          <w:i w:val="0"/>
          <w:iCs w:val="0"/>
          <w:caps w:val="0"/>
          <w:smallCaps w:val="0"/>
          <w:color w:val="333333"/>
          <w:spacing w:val="0"/>
          <w:sz w:val="32"/>
          <w:szCs w:val="32"/>
          <w:shd w:val="clear" w:color="auto" w:fill="FFFFFF"/>
        </w:rPr>
      </w:pPr>
      <w:r>
        <w:rPr>
          <w:rFonts w:ascii="Times New Roman" w:eastAsia="仿宋_GB2312" w:cs="Times New Roman" w:hAnsi="Times New Roman"/>
          <w:i w:val="0"/>
          <w:iCs w:val="0"/>
          <w:caps w:val="0"/>
          <w:smallCaps w:val="0"/>
          <w:color w:val="333333"/>
          <w:spacing w:val="0"/>
          <w:sz w:val="32"/>
          <w:szCs w:val="32"/>
          <w:shd w:val="clear" w:color="auto" w:fill="FFFFFF"/>
        </w:rPr>
        <w:t>做好项目实施的</w:t>
      </w:r>
      <w:r>
        <w:rPr>
          <w:rFonts w:ascii="Times New Roman" w:eastAsia="仿宋_GB2312" w:cs="Times New Roman" w:hAnsi="Times New Roman"/>
          <w:i w:val="0"/>
          <w:iCs w:val="0"/>
          <w:caps w:val="0"/>
          <w:smallCaps w:val="0"/>
          <w:color w:val="333333"/>
          <w:spacing w:val="0"/>
          <w:sz w:val="32"/>
          <w:szCs w:val="32"/>
          <w:shd w:val="clear" w:color="auto" w:fill="FFFFFF"/>
          <w:lang w:eastAsia="zh-CN"/>
        </w:rPr>
        <w:t>全流程</w:t>
      </w:r>
      <w:r>
        <w:rPr>
          <w:rFonts w:ascii="Times New Roman" w:eastAsia="仿宋_GB2312" w:cs="Times New Roman" w:hAnsi="Times New Roman"/>
          <w:i w:val="0"/>
          <w:iCs w:val="0"/>
          <w:caps w:val="0"/>
          <w:smallCaps w:val="0"/>
          <w:color w:val="333333"/>
          <w:spacing w:val="0"/>
          <w:sz w:val="32"/>
          <w:szCs w:val="32"/>
          <w:shd w:val="clear" w:color="auto" w:fill="FFFFFF"/>
        </w:rPr>
        <w:t>跟踪</w:t>
      </w:r>
      <w:r>
        <w:rPr>
          <w:rFonts w:ascii="Times New Roman" w:eastAsia="仿宋_GB2312" w:cs="Times New Roman" w:hAnsi="Times New Roman"/>
          <w:i w:val="0"/>
          <w:iCs w:val="0"/>
          <w:caps w:val="0"/>
          <w:smallCaps w:val="0"/>
          <w:color w:val="333333"/>
          <w:spacing w:val="0"/>
          <w:sz w:val="32"/>
          <w:szCs w:val="32"/>
          <w:shd w:val="clear" w:color="auto" w:fill="FFFFFF"/>
          <w:lang w:eastAsia="zh-CN"/>
        </w:rPr>
        <w:t>、</w:t>
      </w:r>
      <w:r>
        <w:rPr>
          <w:rFonts w:ascii="Times New Roman" w:eastAsia="仿宋_GB2312" w:cs="Times New Roman" w:hAnsi="Times New Roman"/>
          <w:i w:val="0"/>
          <w:iCs w:val="0"/>
          <w:caps w:val="0"/>
          <w:smallCaps w:val="0"/>
          <w:color w:val="333333"/>
          <w:spacing w:val="0"/>
          <w:sz w:val="32"/>
          <w:szCs w:val="32"/>
          <w:shd w:val="clear" w:color="auto" w:fill="FFFFFF"/>
        </w:rPr>
        <w:t>检查工作。</w:t>
      </w:r>
      <w:r>
        <w:rPr>
          <w:rFonts w:ascii="Times New Roman" w:eastAsia="仿宋_GB2312" w:cs="Times New Roman" w:hAnsi="Times New Roman"/>
          <w:i w:val="0"/>
          <w:iCs w:val="0"/>
          <w:caps w:val="0"/>
          <w:smallCaps w:val="0"/>
          <w:color w:val="333333"/>
          <w:spacing w:val="0"/>
          <w:sz w:val="32"/>
          <w:szCs w:val="32"/>
          <w:shd w:val="clear" w:color="auto" w:fill="FFFFFF"/>
          <w:lang w:eastAsia="zh-CN"/>
        </w:rPr>
        <w:t>定期对项目资金进行安全及绩效情况跟踪检查，对项目实施进度缓慢、绩效目标差的项目进行调整或资金收回财政部门，保证资金使用效能。</w:t>
      </w:r>
      <w:r>
        <w:rPr>
          <w:rFonts w:ascii="Times New Roman" w:eastAsia="仿宋_GB2312" w:cs="Times New Roman" w:hAnsi="Times New Roman"/>
          <w:i w:val="0"/>
          <w:iCs w:val="0"/>
          <w:caps w:val="0"/>
          <w:smallCaps w:val="0"/>
          <w:color w:val="333333"/>
          <w:spacing w:val="0"/>
          <w:sz w:val="32"/>
          <w:szCs w:val="32"/>
          <w:shd w:val="clear" w:color="auto" w:fill="FFFFFF"/>
        </w:rPr>
        <w:t>加强部门预算整体绩效管理的指导和培训，</w:t>
      </w:r>
      <w:r>
        <w:rPr>
          <w:rFonts w:ascii="Times New Roman" w:eastAsia="仿宋_GB2312" w:cs="Times New Roman" w:hAnsi="Times New Roman"/>
          <w:i w:val="0"/>
          <w:iCs w:val="0"/>
          <w:caps w:val="0"/>
          <w:smallCaps w:val="0"/>
          <w:color w:val="333333"/>
          <w:spacing w:val="0"/>
          <w:sz w:val="32"/>
          <w:szCs w:val="32"/>
          <w:shd w:val="clear" w:color="auto" w:fill="FFFFFF"/>
          <w:lang w:eastAsia="zh-CN"/>
        </w:rPr>
        <w:t>进一步提升</w:t>
      </w:r>
      <w:r>
        <w:rPr>
          <w:rFonts w:ascii="Times New Roman" w:eastAsia="仿宋_GB2312" w:cs="Times New Roman" w:hAnsi="Times New Roman"/>
          <w:i w:val="0"/>
          <w:iCs w:val="0"/>
          <w:caps w:val="0"/>
          <w:smallCaps w:val="0"/>
          <w:color w:val="333333"/>
          <w:spacing w:val="0"/>
          <w:sz w:val="32"/>
          <w:szCs w:val="32"/>
          <w:shd w:val="clear" w:color="auto" w:fill="FFFFFF"/>
        </w:rPr>
        <w:t>绩效管理业务人员绩效管理能力</w:t>
      </w:r>
      <w:r>
        <w:rPr>
          <w:rFonts w:ascii="Times New Roman" w:eastAsia="仿宋_GB2312" w:cs="Times New Roman" w:hAnsi="Times New Roman"/>
          <w:i w:val="0"/>
          <w:iCs w:val="0"/>
          <w:caps w:val="0"/>
          <w:smallCaps w:val="0"/>
          <w:color w:val="333333"/>
          <w:spacing w:val="0"/>
          <w:sz w:val="32"/>
          <w:szCs w:val="32"/>
          <w:shd w:val="clear" w:color="auto" w:fill="FFFFFF"/>
          <w:lang w:eastAsia="zh-CN"/>
        </w:rPr>
        <w:t>及业务能力</w:t>
      </w:r>
      <w:r>
        <w:rPr>
          <w:rFonts w:ascii="Times New Roman" w:eastAsia="仿宋_GB2312" w:cs="Times New Roman" w:hAnsi="Times New Roman"/>
          <w:i w:val="0"/>
          <w:iCs w:val="0"/>
          <w:caps w:val="0"/>
          <w:smallCaps w:val="0"/>
          <w:color w:val="333333"/>
          <w:spacing w:val="0"/>
          <w:sz w:val="32"/>
          <w:szCs w:val="32"/>
          <w:shd w:val="clear" w:color="auto" w:fill="FFFFFF"/>
        </w:rPr>
        <w:t>。</w:t>
      </w:r>
    </w:p>
    <w:p>
      <w:pPr>
        <w:pStyle w:val="30"/>
        <w:rPr>
          <w:rFonts w:ascii="Times New Roman" w:eastAsia="仿宋_GB2312" w:cs="Times New Roman" w:hAnsi="Times New Roman"/>
          <w:i w:val="0"/>
          <w:iCs w:val="0"/>
          <w:caps w:val="0"/>
          <w:smallCaps w:val="0"/>
          <w:color w:val="333333"/>
          <w:spacing w:val="0"/>
          <w:sz w:val="32"/>
          <w:szCs w:val="32"/>
          <w:shd w:val="clear" w:color="auto" w:fill="FFFFFF"/>
        </w:rPr>
      </w:pPr>
    </w:p>
    <w:p>
      <w:pPr>
        <w:rPr>
          <w:rFonts w:ascii="Times New Roman" w:eastAsia="仿宋_GB2312" w:cs="Times New Roman" w:hAnsi="Times New Roman"/>
          <w:i w:val="0"/>
          <w:iCs w:val="0"/>
          <w:caps w:val="0"/>
          <w:smallCaps w:val="0"/>
          <w:color w:val="333333"/>
          <w:spacing w:val="0"/>
          <w:sz w:val="32"/>
          <w:szCs w:val="32"/>
          <w:shd w:val="clear" w:color="auto" w:fill="FFFFFF"/>
        </w:rPr>
      </w:pPr>
    </w:p>
    <w:p>
      <w:pPr>
        <w:pStyle w:val="30"/>
        <w:rPr>
          <w:rFonts w:ascii="Times New Roman" w:eastAsia="仿宋_GB2312" w:cs="Times New Roman" w:hAnsi="Times New Roman"/>
          <w:i w:val="0"/>
          <w:iCs w:val="0"/>
          <w:caps w:val="0"/>
          <w:smallCaps w:val="0"/>
          <w:color w:val="333333"/>
          <w:spacing w:val="0"/>
          <w:sz w:val="32"/>
          <w:szCs w:val="32"/>
          <w:shd w:val="clear" w:color="auto" w:fill="FFFFFF"/>
        </w:rPr>
      </w:pPr>
    </w:p>
    <w:p>
      <w:pPr>
        <w:rPr>
          <w:rFonts w:ascii="Times New Roman" w:eastAsia="仿宋_GB2312" w:cs="Times New Roman" w:hAnsi="Times New Roman"/>
          <w:i w:val="0"/>
          <w:iCs w:val="0"/>
          <w:caps w:val="0"/>
          <w:smallCaps w:val="0"/>
          <w:color w:val="333333"/>
          <w:spacing w:val="0"/>
          <w:sz w:val="32"/>
          <w:szCs w:val="32"/>
          <w:shd w:val="clear" w:color="auto" w:fill="FFFFFF"/>
        </w:rPr>
      </w:pPr>
    </w:p>
    <w:p>
      <w:pPr>
        <w:pStyle w:val="30"/>
        <w:rPr>
          <w:rFonts w:ascii="Times New Roman" w:eastAsia="仿宋_GB2312" w:cs="Times New Roman" w:hAnsi="Times New Roman"/>
          <w:i w:val="0"/>
          <w:iCs w:val="0"/>
          <w:caps w:val="0"/>
          <w:smallCaps w:val="0"/>
          <w:color w:val="333333"/>
          <w:spacing w:val="0"/>
          <w:sz w:val="32"/>
          <w:szCs w:val="32"/>
          <w:shd w:val="clear" w:color="auto" w:fill="FFFFFF"/>
        </w:rPr>
      </w:pPr>
    </w:p>
    <w:p>
      <w:pPr>
        <w:pStyle w:val="30"/>
        <w:rPr>
          <w:lang w:val="zh-CN"/>
        </w:rPr>
      </w:pPr>
    </w:p>
    <w:p>
      <w:pPr>
        <w:rPr>
          <w:lang w:val="zh-CN"/>
        </w:rPr>
      </w:pPr>
    </w:p>
    <w:p>
      <w:pPr>
        <w:pStyle w:val="15"/>
        <w:rPr>
          <w:lang w:val="zh-CN"/>
        </w:rPr>
      </w:pPr>
    </w:p>
    <w:p>
      <w:pPr>
        <w:rPr>
          <w:lang w:val="zh-CN"/>
        </w:rPr>
      </w:pPr>
    </w:p>
    <w:p>
      <w:pPr>
        <w:pStyle w:val="15"/>
        <w:rPr>
          <w:lang w:val="zh-CN"/>
        </w:rPr>
      </w:pPr>
    </w:p>
    <w:p>
      <w:pPr>
        <w:rPr>
          <w:lang w:val="zh-CN"/>
        </w:rPr>
      </w:pPr>
    </w:p>
    <w:tbl>
      <w:tblPr>
        <w:tblpPr w:leftFromText="180" w:rightFromText="180" w:vertAnchor="text" w:horzAnchor="page" w:tblpX="1281" w:tblpY="660"/>
        <w:tblOverlap w:val="never"/>
        <w:tblW w:w="9811"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482"/>
        <w:gridCol w:w="1380"/>
        <w:gridCol w:w="1555"/>
        <w:gridCol w:w="1526"/>
        <w:gridCol w:w="1224"/>
        <w:gridCol w:w="2410"/>
        <w:gridCol w:w="234"/>
      </w:tblGrid>
      <w:tr>
        <w:trPr>
          <w:trHeight w:val="675"/>
        </w:trPr>
        <w:tc>
          <w:tcPr>
            <w:tcW w:w="9577" w:type="dxa"/>
            <w:gridSpan w:val="6"/>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ind w:firstLineChars="400" w:firstLine="960"/>
              <w:textAlignment w:val="center"/>
              <w:rPr>
                <w:rFonts w:ascii="仿宋" w:eastAsia="仿宋" w:cs="仿宋" w:hint="eastAsia"/>
                <w:b/>
                <w:sz w:val="24"/>
                <w:szCs w:val="24"/>
              </w:rPr>
            </w:pPr>
            <w:r>
              <w:rPr>
                <w:rFonts w:ascii="仿宋" w:eastAsia="仿宋" w:cs="仿宋" w:hint="eastAsia"/>
                <w:b/>
                <w:sz w:val="24"/>
                <w:szCs w:val="24"/>
              </w:rPr>
              <w:t>202</w:t>
            </w:r>
            <w:r>
              <w:rPr>
                <w:rFonts w:ascii="仿宋" w:eastAsia="仿宋" w:cs="仿宋" w:hint="eastAsia"/>
                <w:b/>
                <w:sz w:val="24"/>
                <w:szCs w:val="24"/>
                <w:lang w:val="en-US" w:eastAsia="zh-CN"/>
              </w:rPr>
              <w:t>2</w:t>
            </w:r>
            <w:r>
              <w:rPr>
                <w:rFonts w:ascii="仿宋" w:eastAsia="仿宋" w:cs="仿宋" w:hint="eastAsia"/>
                <w:b/>
                <w:sz w:val="24"/>
                <w:szCs w:val="24"/>
              </w:rPr>
              <w:t>年100万元以上（含）特定目标类部门预算项目绩效目标自评</w:t>
            </w:r>
          </w:p>
        </w:tc>
        <w:tc>
          <w:tcPr>
            <w:tcW w:w="234"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jc w:val="center"/>
              <w:textAlignment w:val="center"/>
              <w:rPr>
                <w:rFonts w:ascii="Times New Roman" w:cs="Times New Roman" w:hAnsi="Times New Roman"/>
                <w:b/>
                <w:kern w:val="0"/>
                <w:sz w:val="32"/>
                <w:szCs w:val="32"/>
              </w:rPr>
            </w:pPr>
          </w:p>
        </w:tc>
      </w:tr>
      <w:tr>
        <w:trPr>
          <w:trHeight w:val="299"/>
          <w:gridAfter w:val="1"/>
          <w:wAfter w:w="234" w:type="dxa"/>
        </w:trPr>
        <w:tc>
          <w:tcPr>
            <w:tcW w:w="286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jc w:val="center"/>
              <w:textAlignment w:val="center"/>
              <w:rPr>
                <w:rFonts w:ascii="仿宋" w:eastAsia="仿宋" w:cs="仿宋" w:hint="eastAsia"/>
                <w:sz w:val="24"/>
                <w:szCs w:val="24"/>
              </w:rPr>
            </w:pPr>
            <w:r>
              <w:rPr>
                <w:rFonts w:ascii="仿宋" w:eastAsia="仿宋" w:cs="仿宋" w:hint="eastAsia"/>
                <w:kern w:val="0"/>
                <w:sz w:val="24"/>
                <w:szCs w:val="24"/>
              </w:rPr>
              <w:t>主管部门及代码</w:t>
            </w:r>
          </w:p>
        </w:tc>
        <w:tc>
          <w:tcPr>
            <w:tcW w:w="308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textAlignment w:val="center"/>
              <w:rPr>
                <w:rFonts w:ascii="仿宋" w:eastAsia="仿宋" w:cs="仿宋" w:hint="eastAsia"/>
                <w:sz w:val="24"/>
                <w:szCs w:val="24"/>
                <w:lang w:val="en-US" w:eastAsia="zh-CN"/>
              </w:rPr>
            </w:pPr>
            <w:r>
              <w:rPr>
                <w:rFonts w:ascii="仿宋" w:eastAsia="仿宋" w:cs="仿宋" w:hint="eastAsia"/>
                <w:color w:val="auto"/>
                <w:sz w:val="24"/>
                <w:szCs w:val="24"/>
                <w:lang w:val="en-US" w:eastAsia="zh-CN"/>
              </w:rPr>
              <w:t>金川县退役军人事务局177</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jc w:val="center"/>
              <w:textAlignment w:val="center"/>
              <w:rPr>
                <w:rFonts w:ascii="仿宋" w:eastAsia="仿宋" w:cs="仿宋" w:hint="eastAsia"/>
                <w:sz w:val="24"/>
                <w:szCs w:val="24"/>
              </w:rPr>
            </w:pPr>
            <w:r>
              <w:rPr>
                <w:rFonts w:ascii="仿宋" w:eastAsia="仿宋" w:cs="仿宋" w:hint="eastAsia"/>
                <w:kern w:val="0"/>
                <w:sz w:val="24"/>
                <w:szCs w:val="24"/>
              </w:rPr>
              <w:t>实施单位</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jc w:val="center"/>
              <w:textAlignment w:val="center"/>
              <w:rPr>
                <w:rFonts w:ascii="仿宋" w:eastAsia="仿宋" w:cs="仿宋" w:hint="eastAsia"/>
                <w:sz w:val="24"/>
                <w:szCs w:val="24"/>
                <w:lang w:val="en-US" w:eastAsia="zh-CN"/>
              </w:rPr>
            </w:pPr>
            <w:r>
              <w:rPr>
                <w:rFonts w:ascii="仿宋" w:eastAsia="仿宋" w:cs="仿宋" w:hint="eastAsia"/>
                <w:color w:val="auto"/>
                <w:sz w:val="24"/>
                <w:szCs w:val="24"/>
                <w:lang w:val="en-US" w:eastAsia="zh-CN"/>
              </w:rPr>
              <w:t>金川县退役军人事务局</w:t>
            </w:r>
          </w:p>
        </w:tc>
      </w:tr>
      <w:tr>
        <w:trPr>
          <w:trHeight w:val="341"/>
          <w:gridAfter w:val="1"/>
          <w:wAfter w:w="234" w:type="dxa"/>
        </w:trPr>
        <w:tc>
          <w:tcPr>
            <w:tcW w:w="286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jc w:val="center"/>
              <w:textAlignment w:val="center"/>
              <w:rPr>
                <w:rFonts w:ascii="仿宋" w:eastAsia="仿宋" w:cs="仿宋" w:hint="eastAsia"/>
                <w:kern w:val="0"/>
                <w:sz w:val="24"/>
                <w:szCs w:val="24"/>
                <w:lang w:eastAsia="zh-CN"/>
              </w:rPr>
            </w:pPr>
            <w:r>
              <w:rPr>
                <w:rFonts w:ascii="仿宋" w:eastAsia="仿宋" w:cs="仿宋" w:hint="eastAsia"/>
                <w:kern w:val="0"/>
                <w:sz w:val="24"/>
                <w:szCs w:val="24"/>
              </w:rPr>
              <w:t>项目预算</w:t>
            </w:r>
          </w:p>
          <w:p>
            <w:pPr>
              <w:keepNext w:val="0"/>
              <w:keepLines w:val="0"/>
              <w:pageBreakBefore w:val="0"/>
              <w:widowControl/>
              <w:kinsoku/>
              <w:wordWrap/>
              <w:overflowPunct/>
              <w:topLinePunct w:val="0"/>
              <w:autoSpaceDE/>
              <w:autoSpaceDN/>
              <w:bidi w:val="0"/>
              <w:adjustRightInd/>
              <w:snapToGrid/>
              <w:spacing w:line="120" w:lineRule="atLeast"/>
              <w:jc w:val="center"/>
              <w:textAlignment w:val="center"/>
              <w:rPr>
                <w:rFonts w:ascii="仿宋" w:eastAsia="仿宋" w:cs="仿宋" w:hint="eastAsia"/>
                <w:kern w:val="0"/>
                <w:sz w:val="24"/>
                <w:szCs w:val="24"/>
                <w:lang w:eastAsia="zh-CN"/>
              </w:rPr>
            </w:pPr>
            <w:r>
              <w:rPr>
                <w:rFonts w:ascii="仿宋" w:eastAsia="仿宋" w:cs="仿宋" w:hint="eastAsia"/>
                <w:kern w:val="0"/>
                <w:sz w:val="24"/>
                <w:szCs w:val="24"/>
              </w:rPr>
              <w:t>执行情况</w:t>
            </w:r>
          </w:p>
          <w:p>
            <w:pPr>
              <w:keepNext w:val="0"/>
              <w:keepLines w:val="0"/>
              <w:pageBreakBefore w:val="0"/>
              <w:widowControl/>
              <w:kinsoku/>
              <w:wordWrap/>
              <w:overflowPunct/>
              <w:topLinePunct w:val="0"/>
              <w:autoSpaceDE/>
              <w:autoSpaceDN/>
              <w:bidi w:val="0"/>
              <w:adjustRightInd/>
              <w:snapToGrid/>
              <w:spacing w:line="120" w:lineRule="atLeast"/>
              <w:jc w:val="center"/>
              <w:textAlignment w:val="center"/>
              <w:rPr>
                <w:rFonts w:ascii="仿宋" w:eastAsia="仿宋" w:cs="仿宋" w:hint="eastAsia"/>
                <w:sz w:val="24"/>
                <w:szCs w:val="24"/>
              </w:rPr>
            </w:pPr>
            <w:r>
              <w:rPr>
                <w:rFonts w:ascii="仿宋" w:eastAsia="仿宋" w:cs="仿宋" w:hint="eastAsia"/>
                <w:kern w:val="0"/>
                <w:sz w:val="24"/>
                <w:szCs w:val="24"/>
              </w:rPr>
              <w:t>（万元）</w:t>
            </w:r>
          </w:p>
        </w:tc>
        <w:tc>
          <w:tcPr>
            <w:tcW w:w="15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jc w:val="left"/>
              <w:textAlignment w:val="center"/>
              <w:rPr>
                <w:rFonts w:ascii="仿宋" w:eastAsia="仿宋" w:cs="仿宋" w:hint="eastAsia"/>
                <w:sz w:val="24"/>
                <w:szCs w:val="24"/>
              </w:rPr>
            </w:pPr>
            <w:r>
              <w:rPr>
                <w:rFonts w:ascii="仿宋" w:eastAsia="仿宋" w:cs="仿宋" w:hint="eastAsia"/>
                <w:kern w:val="0"/>
                <w:sz w:val="24"/>
                <w:szCs w:val="24"/>
              </w:rPr>
              <w:t xml:space="preserve"> 预算数：</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jc w:val="left"/>
              <w:textAlignment w:val="center"/>
              <w:rPr>
                <w:rFonts w:ascii="仿宋" w:eastAsia="仿宋" w:cs="仿宋" w:hint="eastAsia"/>
                <w:sz w:val="24"/>
                <w:szCs w:val="24"/>
                <w:lang w:val="en-US" w:eastAsia="zh-CN"/>
              </w:rPr>
            </w:pPr>
            <w:r>
              <w:rPr>
                <w:rFonts w:ascii="仿宋" w:eastAsia="仿宋" w:cs="仿宋" w:hint="eastAsia"/>
                <w:sz w:val="24"/>
                <w:szCs w:val="24"/>
                <w:lang w:val="en-US" w:eastAsia="zh-CN"/>
              </w:rPr>
              <w:t>207.3</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jc w:val="left"/>
              <w:textAlignment w:val="center"/>
              <w:rPr>
                <w:rFonts w:ascii="仿宋" w:eastAsia="仿宋" w:cs="仿宋" w:hint="eastAsia"/>
                <w:sz w:val="24"/>
                <w:szCs w:val="24"/>
              </w:rPr>
            </w:pPr>
            <w:r>
              <w:rPr>
                <w:rFonts w:ascii="仿宋" w:eastAsia="仿宋" w:cs="仿宋" w:hint="eastAsia"/>
                <w:kern w:val="0"/>
                <w:sz w:val="24"/>
                <w:szCs w:val="24"/>
              </w:rPr>
              <w:t xml:space="preserve"> 执行数：</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jc w:val="left"/>
              <w:textAlignment w:val="center"/>
              <w:rPr>
                <w:rFonts w:ascii="仿宋" w:eastAsia="仿宋" w:cs="仿宋" w:hint="eastAsia"/>
                <w:sz w:val="24"/>
                <w:szCs w:val="24"/>
                <w:lang w:val="en-US"/>
              </w:rPr>
            </w:pPr>
            <w:r>
              <w:rPr>
                <w:rFonts w:ascii="仿宋" w:eastAsia="仿宋" w:cs="仿宋" w:hint="eastAsia"/>
                <w:sz w:val="24"/>
                <w:szCs w:val="24"/>
                <w:lang w:val="en-US" w:eastAsia="zh-CN" w:bidi="ar-SA"/>
              </w:rPr>
              <w:t>201.73</w:t>
            </w:r>
          </w:p>
        </w:tc>
      </w:tr>
      <w:tr>
        <w:trPr>
          <w:trHeight w:val="555"/>
          <w:gridAfter w:val="1"/>
          <w:wAfter w:w="234" w:type="dxa"/>
        </w:trPr>
        <w:tc>
          <w:tcPr>
            <w:tcW w:w="2862"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jc w:val="left"/>
              <w:textAlignment w:val="center"/>
              <w:rPr>
                <w:rFonts w:ascii="仿宋" w:eastAsia="仿宋" w:cs="仿宋" w:hint="eastAsia"/>
                <w:kern w:val="0"/>
                <w:sz w:val="24"/>
                <w:szCs w:val="24"/>
              </w:rPr>
            </w:pPr>
            <w:r>
              <w:rPr>
                <w:rFonts w:ascii="仿宋" w:eastAsia="仿宋" w:cs="仿宋" w:hint="eastAsia"/>
                <w:kern w:val="0"/>
                <w:sz w:val="24"/>
                <w:szCs w:val="24"/>
              </w:rPr>
              <w:t>其中：</w:t>
            </w:r>
          </w:p>
          <w:p>
            <w:pPr>
              <w:keepNext w:val="0"/>
              <w:keepLines w:val="0"/>
              <w:pageBreakBefore w:val="0"/>
              <w:widowControl/>
              <w:kinsoku/>
              <w:wordWrap/>
              <w:overflowPunct/>
              <w:topLinePunct w:val="0"/>
              <w:autoSpaceDE/>
              <w:autoSpaceDN/>
              <w:bidi w:val="0"/>
              <w:adjustRightInd/>
              <w:snapToGrid/>
              <w:spacing w:line="120" w:lineRule="atLeast"/>
              <w:jc w:val="left"/>
              <w:textAlignment w:val="center"/>
              <w:rPr>
                <w:rFonts w:ascii="仿宋" w:eastAsia="仿宋" w:cs="仿宋" w:hint="eastAsia"/>
                <w:sz w:val="24"/>
                <w:szCs w:val="24"/>
              </w:rPr>
            </w:pPr>
            <w:r>
              <w:rPr>
                <w:rFonts w:ascii="仿宋" w:eastAsia="仿宋" w:cs="仿宋" w:hint="eastAsia"/>
                <w:kern w:val="0"/>
                <w:sz w:val="24"/>
                <w:szCs w:val="24"/>
              </w:rPr>
              <w:t>财政拨款</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jc w:val="left"/>
              <w:textAlignment w:val="center"/>
              <w:rPr>
                <w:rFonts w:ascii="仿宋" w:eastAsia="仿宋" w:cs="仿宋" w:hint="eastAsia"/>
                <w:sz w:val="24"/>
                <w:szCs w:val="24"/>
                <w:lang w:val="en-US" w:eastAsia="zh-CN"/>
              </w:rPr>
            </w:pPr>
            <w:r>
              <w:rPr>
                <w:rFonts w:ascii="仿宋" w:eastAsia="仿宋" w:cs="仿宋" w:hint="eastAsia"/>
                <w:sz w:val="24"/>
                <w:szCs w:val="24"/>
                <w:lang w:val="en-US" w:eastAsia="zh-CN"/>
              </w:rPr>
              <w:t>207.3</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jc w:val="left"/>
              <w:textAlignment w:val="center"/>
              <w:rPr>
                <w:rFonts w:ascii="仿宋" w:eastAsia="仿宋" w:cs="仿宋" w:hint="eastAsia"/>
                <w:kern w:val="0"/>
                <w:sz w:val="24"/>
                <w:szCs w:val="24"/>
              </w:rPr>
            </w:pPr>
            <w:r>
              <w:rPr>
                <w:rFonts w:ascii="仿宋" w:eastAsia="仿宋" w:cs="仿宋" w:hint="eastAsia"/>
                <w:kern w:val="0"/>
                <w:sz w:val="24"/>
                <w:szCs w:val="24"/>
              </w:rPr>
              <w:t>其中：</w:t>
            </w:r>
          </w:p>
          <w:p>
            <w:pPr>
              <w:keepNext w:val="0"/>
              <w:keepLines w:val="0"/>
              <w:pageBreakBefore w:val="0"/>
              <w:widowControl/>
              <w:kinsoku/>
              <w:wordWrap/>
              <w:overflowPunct/>
              <w:topLinePunct w:val="0"/>
              <w:autoSpaceDE/>
              <w:autoSpaceDN/>
              <w:bidi w:val="0"/>
              <w:adjustRightInd/>
              <w:snapToGrid/>
              <w:spacing w:line="120" w:lineRule="atLeast"/>
              <w:jc w:val="left"/>
              <w:textAlignment w:val="center"/>
              <w:rPr>
                <w:rFonts w:ascii="仿宋" w:eastAsia="仿宋" w:cs="仿宋" w:hint="eastAsia"/>
                <w:sz w:val="24"/>
                <w:szCs w:val="24"/>
              </w:rPr>
            </w:pPr>
            <w:r>
              <w:rPr>
                <w:rFonts w:ascii="仿宋" w:eastAsia="仿宋" w:cs="仿宋" w:hint="eastAsia"/>
                <w:kern w:val="0"/>
                <w:sz w:val="24"/>
                <w:szCs w:val="24"/>
              </w:rPr>
              <w:t>财政拨款</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textAlignment w:val="center"/>
              <w:rPr>
                <w:rFonts w:ascii="仿宋" w:eastAsia="仿宋" w:cs="仿宋" w:hint="eastAsia"/>
                <w:sz w:val="24"/>
                <w:szCs w:val="24"/>
                <w:lang w:val="en-US" w:eastAsia="zh-CN"/>
              </w:rPr>
            </w:pPr>
            <w:r>
              <w:rPr>
                <w:rFonts w:ascii="仿宋" w:eastAsia="仿宋" w:cs="仿宋" w:hint="eastAsia"/>
                <w:sz w:val="24"/>
                <w:szCs w:val="24"/>
                <w:lang w:val="en-US" w:eastAsia="zh-CN"/>
              </w:rPr>
              <w:t>201.73</w:t>
            </w:r>
          </w:p>
        </w:tc>
      </w:tr>
      <w:tr>
        <w:trPr>
          <w:trHeight w:val="341"/>
          <w:gridAfter w:val="1"/>
          <w:wAfter w:w="234" w:type="dxa"/>
        </w:trPr>
        <w:tc>
          <w:tcPr>
            <w:tcW w:w="2862"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5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jc w:val="left"/>
              <w:textAlignment w:val="center"/>
              <w:rPr>
                <w:rFonts w:ascii="仿宋" w:eastAsia="仿宋" w:cs="仿宋" w:hint="eastAsia"/>
                <w:sz w:val="24"/>
                <w:szCs w:val="24"/>
              </w:rPr>
            </w:pPr>
            <w:r>
              <w:rPr>
                <w:rFonts w:ascii="仿宋" w:eastAsia="仿宋" w:cs="仿宋" w:hint="eastAsia"/>
                <w:kern w:val="0"/>
                <w:sz w:val="24"/>
                <w:szCs w:val="24"/>
              </w:rPr>
              <w:t>其他资金</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jc w:val="left"/>
              <w:textAlignment w:val="center"/>
              <w:rPr>
                <w:rFonts w:ascii="仿宋" w:eastAsia="仿宋" w:cs="仿宋" w:hint="eastAsia"/>
                <w:sz w:val="24"/>
                <w:szCs w:val="24"/>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jc w:val="left"/>
              <w:textAlignment w:val="center"/>
              <w:rPr>
                <w:rFonts w:ascii="仿宋" w:eastAsia="仿宋" w:cs="仿宋" w:hint="eastAsia"/>
                <w:sz w:val="24"/>
                <w:szCs w:val="24"/>
              </w:rPr>
            </w:pPr>
            <w:r>
              <w:rPr>
                <w:rFonts w:ascii="仿宋" w:eastAsia="仿宋" w:cs="仿宋" w:hint="eastAsia"/>
                <w:kern w:val="0"/>
                <w:sz w:val="24"/>
                <w:szCs w:val="24"/>
              </w:rPr>
              <w:t>其他资金</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jc w:val="center"/>
              <w:textAlignment w:val="center"/>
              <w:rPr>
                <w:rFonts w:ascii="仿宋" w:eastAsia="仿宋" w:cs="仿宋" w:hint="eastAsia"/>
                <w:sz w:val="24"/>
                <w:szCs w:val="24"/>
              </w:rPr>
            </w:pPr>
          </w:p>
        </w:tc>
      </w:tr>
      <w:tr>
        <w:trPr>
          <w:trHeight w:val="217"/>
          <w:gridAfter w:val="1"/>
          <w:wAfter w:w="234" w:type="dxa"/>
        </w:trPr>
        <w:tc>
          <w:tcPr>
            <w:tcW w:w="14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jc w:val="both"/>
              <w:textAlignment w:val="center"/>
              <w:rPr>
                <w:rFonts w:ascii="仿宋" w:eastAsia="仿宋" w:cs="仿宋" w:hint="eastAsia"/>
                <w:sz w:val="24"/>
                <w:szCs w:val="24"/>
              </w:rPr>
            </w:pPr>
            <w:r>
              <w:rPr>
                <w:rFonts w:ascii="仿宋" w:eastAsia="仿宋" w:cs="仿宋" w:hint="eastAsia"/>
                <w:kern w:val="0"/>
                <w:sz w:val="24"/>
                <w:szCs w:val="24"/>
              </w:rPr>
              <w:t>年度总体</w:t>
            </w:r>
            <w:r>
              <w:rPr>
                <w:rFonts w:ascii="仿宋" w:eastAsia="仿宋" w:cs="仿宋" w:hint="eastAsia"/>
                <w:kern w:val="0"/>
                <w:sz w:val="24"/>
                <w:szCs w:val="24"/>
                <w:lang w:val="en-US" w:eastAsia="zh-CN"/>
              </w:rPr>
              <w:t>目</w:t>
            </w:r>
            <w:r>
              <w:rPr>
                <w:rFonts w:ascii="仿宋" w:eastAsia="仿宋" w:cs="仿宋" w:hint="eastAsia"/>
                <w:kern w:val="0"/>
                <w:sz w:val="24"/>
                <w:szCs w:val="24"/>
              </w:rPr>
              <w:t>标完成情况</w:t>
            </w:r>
          </w:p>
        </w:tc>
        <w:tc>
          <w:tcPr>
            <w:tcW w:w="44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jc w:val="center"/>
              <w:textAlignment w:val="center"/>
              <w:rPr>
                <w:rFonts w:ascii="仿宋" w:eastAsia="仿宋" w:cs="仿宋" w:hint="eastAsia"/>
                <w:sz w:val="24"/>
                <w:szCs w:val="24"/>
              </w:rPr>
            </w:pPr>
            <w:r>
              <w:rPr>
                <w:rFonts w:ascii="仿宋" w:eastAsia="仿宋" w:cs="仿宋" w:hint="eastAsia"/>
                <w:kern w:val="0"/>
                <w:sz w:val="24"/>
                <w:szCs w:val="24"/>
              </w:rPr>
              <w:t>预期目标</w:t>
            </w:r>
          </w:p>
        </w:tc>
        <w:tc>
          <w:tcPr>
            <w:tcW w:w="36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jc w:val="center"/>
              <w:textAlignment w:val="center"/>
              <w:rPr>
                <w:rFonts w:ascii="仿宋" w:eastAsia="仿宋" w:cs="仿宋" w:hint="eastAsia"/>
                <w:sz w:val="24"/>
                <w:szCs w:val="24"/>
              </w:rPr>
            </w:pPr>
            <w:r>
              <w:rPr>
                <w:rFonts w:ascii="仿宋" w:eastAsia="仿宋" w:cs="仿宋" w:hint="eastAsia"/>
                <w:kern w:val="0"/>
                <w:sz w:val="24"/>
                <w:szCs w:val="24"/>
              </w:rPr>
              <w:t>目标实际完成情况</w:t>
            </w:r>
          </w:p>
        </w:tc>
      </w:tr>
      <w:tr>
        <w:trPr>
          <w:trHeight w:val="797"/>
          <w:gridAfter w:val="1"/>
          <w:wAfter w:w="234" w:type="dxa"/>
        </w:trPr>
        <w:tc>
          <w:tcPr>
            <w:tcW w:w="148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461" w:type="dxa"/>
            <w:gridSpan w:val="3"/>
            <w:tcBorders>
              <w:top w:val="single" w:sz="4" w:space="0" w:color="000000"/>
              <w:left w:val="single" w:sz="4" w:space="0" w:color="000000"/>
              <w:bottom w:val="single" w:sz="4" w:space="0" w:color="000000"/>
              <w:right w:val="single" w:sz="4" w:space="0" w:color="000000"/>
            </w:tcBorders>
            <w:shd w:val="clear" w:color="auto" w:fill="auto"/>
            <w:noWrap/>
          </w:tcPr>
          <w:p>
            <w:pPr>
              <w:keepNext w:val="0"/>
              <w:keepLines w:val="0"/>
              <w:pageBreakBefore w:val="0"/>
              <w:widowControl/>
              <w:kinsoku/>
              <w:wordWrap/>
              <w:overflowPunct/>
              <w:topLinePunct w:val="0"/>
              <w:autoSpaceDE/>
              <w:autoSpaceDN/>
              <w:bidi w:val="0"/>
              <w:adjustRightInd/>
              <w:snapToGrid/>
              <w:spacing w:line="120" w:lineRule="atLeast"/>
              <w:jc w:val="left"/>
              <w:textAlignment w:val="top"/>
              <w:rPr>
                <w:rFonts w:ascii="仿宋" w:eastAsia="仿宋" w:cs="仿宋" w:hint="eastAsia"/>
                <w:sz w:val="21"/>
                <w:szCs w:val="21"/>
                <w:lang w:val="en-US" w:eastAsia="zh-CN"/>
              </w:rPr>
            </w:pPr>
            <w:r>
              <w:rPr>
                <w:rFonts w:ascii="仿宋" w:eastAsia="仿宋" w:cs="仿宋" w:hint="eastAsia"/>
                <w:color w:val="auto"/>
                <w:sz w:val="21"/>
                <w:szCs w:val="21"/>
                <w:lang w:val="en-US" w:eastAsia="zh-CN"/>
              </w:rPr>
              <w:t>该项目</w:t>
            </w:r>
            <w:r>
              <w:rPr>
                <w:rFonts w:ascii="仿宋" w:eastAsia="仿宋" w:cs="仿宋" w:hint="eastAsia"/>
                <w:color w:val="auto"/>
                <w:sz w:val="21"/>
                <w:szCs w:val="21"/>
              </w:rPr>
              <w:t>为切实加强烈士陵园设施维护建设，进一步整合国家、地方各级政府资源，改变当前烈士陵园设施相对较差的状况</w:t>
            </w:r>
            <w:r>
              <w:rPr>
                <w:rFonts w:ascii="仿宋" w:eastAsia="仿宋" w:cs="仿宋" w:hint="eastAsia"/>
                <w:color w:val="auto"/>
                <w:sz w:val="21"/>
                <w:szCs w:val="21"/>
                <w:lang w:val="en-US" w:eastAsia="zh-CN"/>
              </w:rPr>
              <w:t>.</w:t>
            </w:r>
          </w:p>
        </w:tc>
        <w:tc>
          <w:tcPr>
            <w:tcW w:w="3634" w:type="dxa"/>
            <w:gridSpan w:val="2"/>
            <w:tcBorders>
              <w:top w:val="single" w:sz="4" w:space="0" w:color="000000"/>
              <w:left w:val="single" w:sz="4" w:space="0" w:color="000000"/>
              <w:bottom w:val="single" w:sz="4" w:space="0" w:color="000000"/>
              <w:right w:val="single" w:sz="4" w:space="0" w:color="000000"/>
            </w:tcBorders>
            <w:shd w:val="clear" w:color="auto" w:fill="auto"/>
            <w:noWrap/>
          </w:tcPr>
          <w:p>
            <w:pPr>
              <w:keepNext w:val="0"/>
              <w:keepLines w:val="0"/>
              <w:pageBreakBefore w:val="0"/>
              <w:widowControl/>
              <w:kinsoku/>
              <w:wordWrap/>
              <w:overflowPunct/>
              <w:topLinePunct w:val="0"/>
              <w:autoSpaceDE/>
              <w:autoSpaceDN/>
              <w:bidi w:val="0"/>
              <w:adjustRightInd/>
              <w:snapToGrid/>
              <w:spacing w:line="120" w:lineRule="atLeast"/>
              <w:jc w:val="left"/>
              <w:textAlignment w:val="top"/>
              <w:rPr>
                <w:rFonts w:ascii="仿宋" w:eastAsia="仿宋" w:cs="仿宋" w:hint="eastAsia"/>
                <w:sz w:val="21"/>
                <w:szCs w:val="21"/>
              </w:rPr>
            </w:pPr>
            <w:r>
              <w:rPr>
                <w:rFonts w:ascii="仿宋" w:eastAsia="仿宋" w:cs="仿宋" w:hint="eastAsia"/>
                <w:color w:val="auto"/>
                <w:sz w:val="21"/>
                <w:szCs w:val="21"/>
                <w:lang w:val="en-US" w:eastAsia="zh-CN"/>
              </w:rPr>
              <w:t>保障了革命传统教育、爱国主义教育、弘扬爱国主义精神，提高未成年人的思想道德素质。</w:t>
            </w:r>
          </w:p>
        </w:tc>
      </w:tr>
      <w:tr>
        <w:trPr>
          <w:trHeight w:val="693"/>
          <w:gridAfter w:val="1"/>
          <w:wAfter w:w="234" w:type="dxa"/>
        </w:trPr>
        <w:tc>
          <w:tcPr>
            <w:tcW w:w="1482"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jc w:val="center"/>
              <w:textAlignment w:val="center"/>
              <w:rPr>
                <w:rFonts w:ascii="仿宋" w:eastAsia="仿宋" w:cs="仿宋" w:hint="eastAsia"/>
                <w:sz w:val="24"/>
                <w:szCs w:val="24"/>
              </w:rPr>
            </w:pPr>
            <w:r>
              <w:rPr>
                <w:rFonts w:ascii="仿宋" w:eastAsia="仿宋" w:cs="仿宋" w:hint="eastAsia"/>
                <w:kern w:val="0"/>
                <w:sz w:val="24"/>
                <w:szCs w:val="24"/>
              </w:rPr>
              <w:t>年度绩效指标完成情况</w:t>
            </w:r>
          </w:p>
        </w:tc>
        <w:tc>
          <w:tcPr>
            <w:tcW w:w="1380" w:type="dxa"/>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jc w:val="center"/>
              <w:textAlignment w:val="center"/>
              <w:rPr>
                <w:rFonts w:ascii="仿宋" w:eastAsia="仿宋" w:cs="仿宋" w:hint="eastAsia"/>
                <w:kern w:val="0"/>
                <w:sz w:val="24"/>
                <w:szCs w:val="24"/>
              </w:rPr>
            </w:pPr>
            <w:r>
              <w:rPr>
                <w:rFonts w:ascii="仿宋" w:eastAsia="仿宋" w:cs="仿宋" w:hint="eastAsia"/>
                <w:kern w:val="0"/>
                <w:sz w:val="24"/>
                <w:szCs w:val="24"/>
              </w:rPr>
              <w:t>一级</w:t>
            </w:r>
          </w:p>
          <w:p>
            <w:pPr>
              <w:keepNext w:val="0"/>
              <w:keepLines w:val="0"/>
              <w:pageBreakBefore w:val="0"/>
              <w:widowControl/>
              <w:kinsoku/>
              <w:wordWrap/>
              <w:overflowPunct/>
              <w:topLinePunct w:val="0"/>
              <w:autoSpaceDE/>
              <w:autoSpaceDN/>
              <w:bidi w:val="0"/>
              <w:adjustRightInd/>
              <w:snapToGrid/>
              <w:spacing w:line="120" w:lineRule="atLeast"/>
              <w:jc w:val="center"/>
              <w:textAlignment w:val="center"/>
              <w:rPr>
                <w:rFonts w:ascii="仿宋" w:eastAsia="仿宋" w:cs="仿宋" w:hint="eastAsia"/>
                <w:sz w:val="24"/>
                <w:szCs w:val="24"/>
              </w:rPr>
            </w:pPr>
            <w:r>
              <w:rPr>
                <w:rFonts w:ascii="仿宋" w:eastAsia="仿宋" w:cs="仿宋" w:hint="eastAsia"/>
                <w:kern w:val="0"/>
                <w:sz w:val="24"/>
                <w:szCs w:val="24"/>
              </w:rPr>
              <w:t>指标</w:t>
            </w:r>
          </w:p>
        </w:tc>
        <w:tc>
          <w:tcPr>
            <w:tcW w:w="15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jc w:val="center"/>
              <w:textAlignment w:val="center"/>
              <w:rPr>
                <w:rFonts w:ascii="仿宋" w:eastAsia="仿宋" w:cs="仿宋" w:hint="eastAsia"/>
                <w:kern w:val="0"/>
                <w:sz w:val="24"/>
                <w:szCs w:val="24"/>
              </w:rPr>
            </w:pPr>
            <w:r>
              <w:rPr>
                <w:rFonts w:ascii="仿宋" w:eastAsia="仿宋" w:cs="仿宋" w:hint="eastAsia"/>
                <w:kern w:val="0"/>
                <w:sz w:val="24"/>
                <w:szCs w:val="24"/>
              </w:rPr>
              <w:t>二级</w:t>
            </w:r>
          </w:p>
          <w:p>
            <w:pPr>
              <w:keepNext w:val="0"/>
              <w:keepLines w:val="0"/>
              <w:pageBreakBefore w:val="0"/>
              <w:widowControl/>
              <w:kinsoku/>
              <w:wordWrap/>
              <w:overflowPunct/>
              <w:topLinePunct w:val="0"/>
              <w:autoSpaceDE/>
              <w:autoSpaceDN/>
              <w:bidi w:val="0"/>
              <w:adjustRightInd/>
              <w:snapToGrid/>
              <w:spacing w:line="120" w:lineRule="atLeast"/>
              <w:jc w:val="center"/>
              <w:textAlignment w:val="center"/>
              <w:rPr>
                <w:rFonts w:ascii="仿宋" w:eastAsia="仿宋" w:cs="仿宋" w:hint="eastAsia"/>
                <w:sz w:val="24"/>
                <w:szCs w:val="24"/>
              </w:rPr>
            </w:pPr>
            <w:r>
              <w:rPr>
                <w:rFonts w:ascii="仿宋" w:eastAsia="仿宋" w:cs="仿宋" w:hint="eastAsia"/>
                <w:kern w:val="0"/>
                <w:sz w:val="24"/>
                <w:szCs w:val="24"/>
              </w:rPr>
              <w:t>指标</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jc w:val="center"/>
              <w:textAlignment w:val="center"/>
              <w:rPr>
                <w:rFonts w:ascii="仿宋" w:eastAsia="仿宋" w:cs="仿宋" w:hint="eastAsia"/>
                <w:kern w:val="0"/>
                <w:sz w:val="24"/>
                <w:szCs w:val="24"/>
              </w:rPr>
            </w:pPr>
            <w:r>
              <w:rPr>
                <w:rFonts w:ascii="仿宋" w:eastAsia="仿宋" w:cs="仿宋" w:hint="eastAsia"/>
                <w:kern w:val="0"/>
                <w:sz w:val="24"/>
                <w:szCs w:val="24"/>
              </w:rPr>
              <w:t>三级</w:t>
            </w:r>
          </w:p>
          <w:p>
            <w:pPr>
              <w:keepNext w:val="0"/>
              <w:keepLines w:val="0"/>
              <w:pageBreakBefore w:val="0"/>
              <w:widowControl/>
              <w:kinsoku/>
              <w:wordWrap/>
              <w:overflowPunct/>
              <w:topLinePunct w:val="0"/>
              <w:autoSpaceDE/>
              <w:autoSpaceDN/>
              <w:bidi w:val="0"/>
              <w:adjustRightInd/>
              <w:snapToGrid/>
              <w:spacing w:line="120" w:lineRule="atLeast"/>
              <w:jc w:val="center"/>
              <w:textAlignment w:val="center"/>
              <w:rPr>
                <w:rFonts w:ascii="仿宋" w:eastAsia="仿宋" w:cs="仿宋" w:hint="eastAsia"/>
                <w:sz w:val="24"/>
                <w:szCs w:val="24"/>
              </w:rPr>
            </w:pPr>
            <w:r>
              <w:rPr>
                <w:rFonts w:ascii="仿宋" w:eastAsia="仿宋" w:cs="仿宋" w:hint="eastAsia"/>
                <w:kern w:val="0"/>
                <w:sz w:val="24"/>
                <w:szCs w:val="24"/>
              </w:rPr>
              <w:t>指标</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jc w:val="center"/>
              <w:textAlignment w:val="center"/>
              <w:rPr>
                <w:rFonts w:ascii="仿宋" w:eastAsia="仿宋" w:cs="仿宋" w:hint="eastAsia"/>
                <w:sz w:val="24"/>
                <w:szCs w:val="24"/>
              </w:rPr>
            </w:pPr>
            <w:r>
              <w:rPr>
                <w:rFonts w:ascii="仿宋" w:eastAsia="仿宋" w:cs="仿宋" w:hint="eastAsia"/>
                <w:kern w:val="0"/>
                <w:sz w:val="24"/>
                <w:szCs w:val="24"/>
              </w:rPr>
              <w:t>预期指标值</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jc w:val="center"/>
              <w:textAlignment w:val="center"/>
              <w:rPr>
                <w:rFonts w:ascii="仿宋" w:eastAsia="仿宋" w:cs="仿宋" w:hint="eastAsia"/>
                <w:sz w:val="24"/>
                <w:szCs w:val="24"/>
              </w:rPr>
            </w:pPr>
            <w:r>
              <w:rPr>
                <w:rFonts w:ascii="仿宋" w:eastAsia="仿宋" w:cs="仿宋" w:hint="eastAsia"/>
                <w:kern w:val="0"/>
                <w:sz w:val="24"/>
                <w:szCs w:val="24"/>
              </w:rPr>
              <w:t>实际完成指标值</w:t>
            </w:r>
          </w:p>
        </w:tc>
      </w:tr>
      <w:tr>
        <w:trPr>
          <w:trHeight w:val="415"/>
          <w:gridAfter w:val="1"/>
          <w:wAfter w:w="234" w:type="dxa"/>
        </w:trPr>
        <w:tc>
          <w:tcPr>
            <w:tcW w:w="1482" w:type="dxa"/>
            <w:vMerge/>
            <w:tcBorders>
              <w:top w:val="nil"/>
              <w:left w:val="single" w:sz="4" w:space="0" w:color="000000"/>
              <w:bottom w:val="nil"/>
              <w:right w:val="single" w:sz="4" w:space="0" w:color="000000"/>
            </w:tcBorders>
            <w:shd w:val="clear" w:color="auto" w:fill="auto"/>
            <w:noWrap/>
            <w:vAlign w:val="center"/>
          </w:tcPr>
          <w:p/>
        </w:tc>
        <w:tc>
          <w:tcPr>
            <w:tcW w:w="138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120" w:lineRule="atLeast"/>
              <w:jc w:val="center"/>
              <w:textAlignment w:val="bottom"/>
              <w:rPr>
                <w:rFonts w:ascii="仿宋" w:eastAsia="仿宋" w:cs="仿宋" w:hint="eastAsia"/>
                <w:kern w:val="0"/>
                <w:sz w:val="21"/>
                <w:szCs w:val="21"/>
              </w:rPr>
            </w:pPr>
            <w:r>
              <w:rPr>
                <w:rFonts w:ascii="仿宋" w:eastAsia="仿宋" w:cs="仿宋" w:hint="eastAsia"/>
                <w:kern w:val="0"/>
                <w:sz w:val="21"/>
                <w:szCs w:val="21"/>
              </w:rPr>
              <w:t>完成</w:t>
            </w:r>
          </w:p>
          <w:p>
            <w:pPr>
              <w:keepNext w:val="0"/>
              <w:keepLines w:val="0"/>
              <w:pageBreakBefore w:val="0"/>
              <w:widowControl/>
              <w:kinsoku/>
              <w:wordWrap/>
              <w:overflowPunct/>
              <w:topLinePunct w:val="0"/>
              <w:autoSpaceDE/>
              <w:autoSpaceDN/>
              <w:bidi w:val="0"/>
              <w:adjustRightInd/>
              <w:snapToGrid/>
              <w:spacing w:line="120" w:lineRule="atLeast"/>
              <w:jc w:val="center"/>
              <w:textAlignment w:val="bottom"/>
              <w:rPr>
                <w:rFonts w:ascii="仿宋" w:eastAsia="仿宋" w:cs="仿宋" w:hint="eastAsia"/>
                <w:sz w:val="21"/>
                <w:szCs w:val="21"/>
              </w:rPr>
            </w:pPr>
            <w:r>
              <w:rPr>
                <w:rFonts w:ascii="仿宋" w:eastAsia="仿宋" w:cs="仿宋" w:hint="eastAsia"/>
                <w:kern w:val="0"/>
                <w:sz w:val="21"/>
                <w:szCs w:val="21"/>
              </w:rPr>
              <w:t>指标</w:t>
            </w:r>
          </w:p>
        </w:tc>
        <w:tc>
          <w:tcPr>
            <w:tcW w:w="155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20" w:lineRule="atLeast"/>
              <w:jc w:val="center"/>
              <w:textAlignment w:val="bottom"/>
              <w:rPr>
                <w:rFonts w:ascii="仿宋" w:eastAsia="仿宋" w:cs="仿宋" w:hint="eastAsia"/>
                <w:sz w:val="21"/>
                <w:szCs w:val="21"/>
              </w:rPr>
            </w:pPr>
            <w:r>
              <w:rPr>
                <w:rFonts w:ascii="仿宋" w:eastAsia="仿宋" w:cs="仿宋" w:hint="eastAsia"/>
                <w:kern w:val="0"/>
                <w:sz w:val="21"/>
                <w:szCs w:val="21"/>
              </w:rPr>
              <w:t>数量指标</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20" w:lineRule="atLeast"/>
              <w:jc w:val="center"/>
              <w:textAlignment w:val="bottom"/>
              <w:rPr>
                <w:rFonts w:ascii="仿宋" w:eastAsia="仿宋" w:cs="仿宋" w:hint="eastAsia"/>
                <w:sz w:val="21"/>
                <w:szCs w:val="21"/>
              </w:rPr>
            </w:pPr>
            <w:r>
              <w:rPr>
                <w:rFonts w:ascii="仿宋" w:eastAsia="仿宋" w:cs="仿宋" w:hint="eastAsia"/>
                <w:i w:val="0"/>
                <w:iCs w:val="0"/>
                <w:color w:val="000000"/>
                <w:kern w:val="0"/>
                <w:sz w:val="21"/>
                <w:szCs w:val="21"/>
                <w:u w:val="none"/>
                <w:lang w:val="en-US" w:eastAsia="zh-CN"/>
              </w:rPr>
              <w:t>烈士陵园修缮改造项目</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20" w:lineRule="atLeast"/>
              <w:jc w:val="center"/>
              <w:textAlignment w:val="bottom"/>
              <w:rPr>
                <w:rFonts w:ascii="仿宋" w:eastAsia="仿宋" w:cs="仿宋" w:hint="eastAsia"/>
                <w:sz w:val="21"/>
                <w:szCs w:val="21"/>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20" w:lineRule="atLeast"/>
              <w:jc w:val="center"/>
              <w:textAlignment w:val="bottom"/>
              <w:rPr>
                <w:rFonts w:ascii="仿宋" w:eastAsia="仿宋" w:cs="仿宋" w:hint="eastAsia"/>
                <w:sz w:val="21"/>
                <w:szCs w:val="21"/>
                <w:lang w:val="en-US" w:eastAsia="zh-CN"/>
              </w:rPr>
            </w:pPr>
            <w:r>
              <w:rPr>
                <w:rFonts w:ascii="仿宋" w:eastAsia="仿宋" w:cs="仿宋" w:hint="eastAsia"/>
                <w:sz w:val="21"/>
                <w:szCs w:val="21"/>
                <w:lang w:val="en-US" w:eastAsia="zh-CN"/>
              </w:rPr>
              <w:t>1项</w:t>
            </w:r>
          </w:p>
        </w:tc>
      </w:tr>
      <w:tr>
        <w:trPr>
          <w:trHeight w:val="415"/>
          <w:gridAfter w:val="1"/>
          <w:wAfter w:w="234" w:type="dxa"/>
        </w:trPr>
        <w:tc>
          <w:tcPr>
            <w:tcW w:w="1482" w:type="dxa"/>
            <w:vMerge/>
            <w:tcBorders>
              <w:top w:val="nil"/>
              <w:left w:val="single" w:sz="4" w:space="0" w:color="000000"/>
              <w:bottom w:val="nil"/>
              <w:right w:val="single" w:sz="4" w:space="0" w:color="000000"/>
            </w:tcBorders>
            <w:shd w:val="clear" w:color="auto" w:fill="auto"/>
            <w:noWrap/>
            <w:vAlign w:val="center"/>
          </w:tcPr>
          <w:p/>
        </w:tc>
        <w:tc>
          <w:tcPr>
            <w:tcW w:w="1380"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55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20" w:lineRule="atLeast"/>
              <w:jc w:val="center"/>
              <w:textAlignment w:val="bottom"/>
              <w:rPr>
                <w:rFonts w:ascii="仿宋" w:eastAsia="仿宋" w:cs="仿宋" w:hint="eastAsia"/>
                <w:sz w:val="21"/>
                <w:szCs w:val="21"/>
              </w:rPr>
            </w:pPr>
            <w:r>
              <w:rPr>
                <w:rFonts w:ascii="仿宋" w:eastAsia="仿宋" w:cs="仿宋" w:hint="eastAsia"/>
                <w:kern w:val="0"/>
                <w:sz w:val="21"/>
                <w:szCs w:val="21"/>
              </w:rPr>
              <w:t>质量指标</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20" w:lineRule="atLeast"/>
              <w:jc w:val="center"/>
              <w:textAlignment w:val="bottom"/>
              <w:rPr>
                <w:rFonts w:ascii="仿宋" w:eastAsia="仿宋" w:cs="仿宋" w:hint="eastAsia"/>
                <w:sz w:val="21"/>
                <w:szCs w:val="21"/>
              </w:rPr>
            </w:pPr>
            <w:r>
              <w:rPr>
                <w:rFonts w:ascii="仿宋" w:eastAsia="仿宋" w:cs="仿宋" w:hint="eastAsia"/>
                <w:i w:val="0"/>
                <w:iCs w:val="0"/>
                <w:color w:val="000000"/>
                <w:kern w:val="0"/>
                <w:sz w:val="21"/>
                <w:szCs w:val="21"/>
                <w:u w:val="none"/>
                <w:lang w:val="en-US" w:eastAsia="zh-CN"/>
              </w:rPr>
              <w:t>按照《阿坝州雷士纪念设施提质改造建设技术导则》，修缮改造项目达标率》</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20" w:lineRule="atLeast"/>
              <w:jc w:val="center"/>
              <w:textAlignment w:val="bottom"/>
              <w:rPr>
                <w:rFonts w:ascii="仿宋" w:eastAsia="仿宋" w:cs="仿宋" w:hint="eastAsia"/>
                <w:sz w:val="21"/>
                <w:szCs w:val="21"/>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20" w:lineRule="atLeast"/>
              <w:jc w:val="center"/>
              <w:textAlignment w:val="bottom"/>
              <w:rPr>
                <w:rFonts w:ascii="仿宋" w:eastAsia="仿宋" w:cs="仿宋" w:hint="eastAsia"/>
                <w:sz w:val="21"/>
                <w:szCs w:val="21"/>
                <w:lang w:val="en-US" w:eastAsia="zh-CN"/>
              </w:rPr>
            </w:pPr>
            <w:r>
              <w:rPr>
                <w:rFonts w:ascii="仿宋" w:eastAsia="仿宋" w:cs="仿宋" w:hint="eastAsia"/>
                <w:sz w:val="21"/>
                <w:szCs w:val="21"/>
                <w:lang w:val="en-US" w:eastAsia="zh-CN"/>
              </w:rPr>
              <w:t>100%</w:t>
            </w:r>
          </w:p>
        </w:tc>
      </w:tr>
      <w:tr>
        <w:trPr>
          <w:trHeight w:val="415"/>
          <w:gridAfter w:val="1"/>
          <w:wAfter w:w="234" w:type="dxa"/>
        </w:trPr>
        <w:tc>
          <w:tcPr>
            <w:tcW w:w="1482" w:type="dxa"/>
            <w:vMerge/>
            <w:tcBorders>
              <w:top w:val="nil"/>
              <w:left w:val="single" w:sz="4" w:space="0" w:color="000000"/>
              <w:bottom w:val="nil"/>
              <w:right w:val="single" w:sz="4" w:space="0" w:color="000000"/>
            </w:tcBorders>
            <w:shd w:val="clear" w:color="auto" w:fill="auto"/>
            <w:noWrap/>
            <w:vAlign w:val="center"/>
          </w:tcPr>
          <w:p/>
        </w:tc>
        <w:tc>
          <w:tcPr>
            <w:tcW w:w="1380"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55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20" w:lineRule="atLeast"/>
              <w:jc w:val="center"/>
              <w:textAlignment w:val="bottom"/>
              <w:rPr>
                <w:rFonts w:ascii="仿宋" w:eastAsia="仿宋" w:cs="仿宋" w:hint="eastAsia"/>
                <w:sz w:val="21"/>
                <w:szCs w:val="21"/>
              </w:rPr>
            </w:pPr>
            <w:r>
              <w:rPr>
                <w:rFonts w:ascii="仿宋" w:eastAsia="仿宋" w:cs="仿宋" w:hint="eastAsia"/>
                <w:kern w:val="0"/>
                <w:sz w:val="21"/>
                <w:szCs w:val="21"/>
              </w:rPr>
              <w:t>时效指标</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20" w:lineRule="atLeast"/>
              <w:jc w:val="center"/>
              <w:textAlignment w:val="bottom"/>
              <w:rPr>
                <w:rFonts w:ascii="仿宋" w:eastAsia="仿宋" w:cs="仿宋" w:hint="eastAsia"/>
                <w:sz w:val="21"/>
                <w:szCs w:val="21"/>
              </w:rPr>
            </w:pPr>
            <w:r>
              <w:rPr>
                <w:rFonts w:ascii="仿宋" w:eastAsia="仿宋" w:cs="仿宋" w:hint="eastAsia"/>
                <w:i w:val="0"/>
                <w:iCs w:val="0"/>
                <w:color w:val="000000"/>
                <w:kern w:val="0"/>
                <w:sz w:val="21"/>
                <w:szCs w:val="21"/>
                <w:u w:val="none"/>
                <w:lang w:val="en-US" w:eastAsia="zh-CN"/>
              </w:rPr>
              <w:t>2022年12月底之前修缮改造资金拨付率</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20" w:lineRule="atLeast"/>
              <w:jc w:val="center"/>
              <w:textAlignment w:val="bottom"/>
              <w:rPr>
                <w:rFonts w:ascii="仿宋" w:eastAsia="仿宋" w:cs="仿宋" w:hint="eastAsia"/>
                <w:sz w:val="21"/>
                <w:szCs w:val="21"/>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20" w:lineRule="atLeast"/>
              <w:jc w:val="center"/>
              <w:textAlignment w:val="bottom"/>
              <w:rPr>
                <w:rFonts w:ascii="仿宋" w:eastAsia="仿宋" w:cs="仿宋" w:hint="eastAsia"/>
                <w:sz w:val="21"/>
                <w:szCs w:val="21"/>
              </w:rPr>
            </w:pPr>
            <w:r>
              <w:rPr>
                <w:rFonts w:ascii="仿宋" w:eastAsia="仿宋" w:cs="仿宋" w:hint="eastAsia"/>
                <w:sz w:val="21"/>
                <w:szCs w:val="21"/>
                <w:lang w:val="en-US" w:eastAsia="zh-CN"/>
              </w:rPr>
              <w:t>100%</w:t>
            </w:r>
          </w:p>
        </w:tc>
      </w:tr>
      <w:tr>
        <w:trPr>
          <w:trHeight w:val="480"/>
          <w:gridAfter w:val="1"/>
          <w:wAfter w:w="234" w:type="dxa"/>
        </w:trPr>
        <w:tc>
          <w:tcPr>
            <w:tcW w:w="1482" w:type="dxa"/>
            <w:vMerge/>
            <w:tcBorders>
              <w:top w:val="nil"/>
              <w:left w:val="single" w:sz="4" w:space="0" w:color="000000"/>
              <w:bottom w:val="nil"/>
              <w:right w:val="single" w:sz="4" w:space="0" w:color="000000"/>
            </w:tcBorders>
            <w:shd w:val="clear" w:color="auto" w:fill="auto"/>
            <w:noWrap/>
            <w:vAlign w:val="center"/>
          </w:tcPr>
          <w:p/>
        </w:tc>
        <w:tc>
          <w:tcPr>
            <w:tcW w:w="1380"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55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20" w:lineRule="atLeast"/>
              <w:jc w:val="center"/>
              <w:textAlignment w:val="bottom"/>
              <w:rPr>
                <w:rFonts w:ascii="仿宋" w:eastAsia="仿宋" w:cs="仿宋" w:hint="eastAsia"/>
                <w:sz w:val="21"/>
                <w:szCs w:val="21"/>
              </w:rPr>
            </w:pPr>
            <w:r>
              <w:rPr>
                <w:rFonts w:ascii="仿宋" w:eastAsia="仿宋" w:cs="仿宋" w:hint="eastAsia"/>
                <w:kern w:val="0"/>
                <w:sz w:val="21"/>
                <w:szCs w:val="21"/>
              </w:rPr>
              <w:t>成本指标</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20" w:lineRule="atLeast"/>
              <w:jc w:val="center"/>
              <w:textAlignment w:val="bottom"/>
              <w:rPr>
                <w:rFonts w:ascii="仿宋" w:eastAsia="仿宋" w:cs="仿宋" w:hint="eastAsia"/>
                <w:sz w:val="21"/>
                <w:szCs w:val="21"/>
              </w:rPr>
            </w:pPr>
            <w:r>
              <w:rPr>
                <w:rFonts w:ascii="仿宋" w:eastAsia="仿宋" w:cs="仿宋" w:hint="eastAsia"/>
                <w:i w:val="0"/>
                <w:iCs w:val="0"/>
                <w:color w:val="000000"/>
                <w:kern w:val="0"/>
                <w:sz w:val="21"/>
                <w:szCs w:val="21"/>
                <w:u w:val="none"/>
                <w:lang w:val="en-US" w:eastAsia="zh-CN"/>
              </w:rPr>
              <w:t>烈士陵园修缮改造项目</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20" w:lineRule="atLeast"/>
              <w:jc w:val="center"/>
              <w:textAlignment w:val="bottom"/>
              <w:rPr>
                <w:rFonts w:ascii="仿宋" w:eastAsia="仿宋" w:cs="仿宋" w:hint="eastAsia"/>
                <w:sz w:val="21"/>
                <w:szCs w:val="21"/>
              </w:rPr>
            </w:pPr>
            <w:r>
              <w:rPr>
                <w:rFonts w:ascii="Arial" w:eastAsia="仿宋" w:cs="Arial" w:hAnsi="Arial"/>
                <w:sz w:val="21"/>
                <w:szCs w:val="21"/>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20" w:lineRule="atLeast"/>
              <w:jc w:val="center"/>
              <w:textAlignment w:val="bottom"/>
              <w:rPr>
                <w:rFonts w:ascii="仿宋" w:eastAsia="仿宋" w:cs="仿宋"/>
                <w:sz w:val="21"/>
                <w:szCs w:val="21"/>
                <w:lang w:val="en-US" w:eastAsia="zh-CN"/>
              </w:rPr>
            </w:pPr>
            <w:r>
              <w:rPr>
                <w:rFonts w:ascii="仿宋" w:eastAsia="仿宋" w:cs="仿宋" w:hint="eastAsia"/>
                <w:sz w:val="21"/>
                <w:szCs w:val="21"/>
                <w:lang w:val="en-US" w:eastAsia="zh-CN"/>
              </w:rPr>
              <w:t>207.3万</w:t>
            </w:r>
          </w:p>
        </w:tc>
      </w:tr>
      <w:tr>
        <w:trPr>
          <w:trHeight w:val="480"/>
          <w:gridAfter w:val="1"/>
          <w:wAfter w:w="234" w:type="dxa"/>
        </w:trPr>
        <w:tc>
          <w:tcPr>
            <w:tcW w:w="1482" w:type="dxa"/>
            <w:vMerge/>
            <w:tcBorders>
              <w:top w:val="nil"/>
              <w:left w:val="single" w:sz="4" w:space="0" w:color="000000"/>
              <w:bottom w:val="nil"/>
              <w:right w:val="single" w:sz="4" w:space="0" w:color="000000"/>
            </w:tcBorders>
            <w:shd w:val="clear" w:color="auto" w:fill="auto"/>
            <w:noWrap/>
            <w:vAlign w:val="center"/>
          </w:tcPr>
          <w:p/>
        </w:tc>
        <w:tc>
          <w:tcPr>
            <w:tcW w:w="1380"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55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20" w:lineRule="atLeast"/>
              <w:jc w:val="left"/>
              <w:textAlignment w:val="bottom"/>
              <w:rPr>
                <w:rFonts w:ascii="仿宋" w:eastAsia="仿宋" w:cs="仿宋" w:hint="eastAsia"/>
                <w:sz w:val="21"/>
                <w:szCs w:val="21"/>
              </w:rPr>
            </w:pPr>
            <w:r>
              <w:rPr>
                <w:rFonts w:ascii="仿宋" w:eastAsia="仿宋" w:cs="仿宋" w:hint="eastAsia"/>
                <w:kern w:val="0"/>
                <w:sz w:val="21"/>
                <w:szCs w:val="21"/>
              </w:rPr>
              <w:t>社会效益 指标</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20" w:lineRule="atLeast"/>
              <w:jc w:val="center"/>
              <w:textAlignment w:val="bottom"/>
              <w:rPr>
                <w:rFonts w:ascii="仿宋" w:eastAsia="仿宋" w:cs="仿宋" w:hint="eastAsia"/>
                <w:sz w:val="21"/>
                <w:szCs w:val="21"/>
              </w:rPr>
            </w:pPr>
            <w:r>
              <w:rPr>
                <w:rFonts w:ascii="仿宋" w:eastAsia="仿宋" w:cs="仿宋" w:hint="eastAsia"/>
                <w:i w:val="0"/>
                <w:iCs w:val="0"/>
                <w:color w:val="000000"/>
                <w:kern w:val="0"/>
                <w:sz w:val="21"/>
                <w:szCs w:val="21"/>
                <w:u w:val="none"/>
                <w:lang w:val="en-US" w:eastAsia="zh-CN"/>
              </w:rPr>
              <w:t>促进历史纪念设施服务能力提升</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20" w:lineRule="atLeast"/>
              <w:jc w:val="center"/>
              <w:textAlignment w:val="bottom"/>
              <w:rPr>
                <w:rFonts w:ascii="仿宋" w:eastAsia="仿宋" w:cs="仿宋" w:hint="eastAsia"/>
                <w:sz w:val="21"/>
                <w:szCs w:val="21"/>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20" w:lineRule="atLeast"/>
              <w:jc w:val="center"/>
              <w:textAlignment w:val="bottom"/>
              <w:rPr>
                <w:rFonts w:ascii="仿宋" w:eastAsia="仿宋" w:cs="仿宋" w:hint="eastAsia"/>
                <w:sz w:val="21"/>
                <w:szCs w:val="21"/>
                <w:lang w:val="en-US" w:eastAsia="zh-CN"/>
              </w:rPr>
            </w:pPr>
            <w:r>
              <w:rPr>
                <w:rFonts w:ascii="仿宋" w:eastAsia="仿宋" w:cs="仿宋" w:hint="eastAsia"/>
                <w:sz w:val="21"/>
                <w:szCs w:val="21"/>
                <w:lang w:val="en-US" w:eastAsia="zh-CN"/>
              </w:rPr>
              <w:t>良</w:t>
            </w:r>
          </w:p>
        </w:tc>
      </w:tr>
      <w:tr>
        <w:trPr>
          <w:trHeight w:val="530"/>
          <w:gridAfter w:val="1"/>
          <w:wAfter w:w="234" w:type="dxa"/>
        </w:trPr>
        <w:tc>
          <w:tcPr>
            <w:tcW w:w="1482" w:type="dxa"/>
            <w:vMerge/>
            <w:tcBorders>
              <w:top w:val="nil"/>
              <w:left w:val="single" w:sz="4" w:space="0" w:color="000000"/>
              <w:bottom w:val="single" w:sz="4" w:space="0" w:color="000000"/>
              <w:right w:val="single" w:sz="4" w:space="0" w:color="000000"/>
            </w:tcBorders>
            <w:shd w:val="clear" w:color="auto" w:fill="auto"/>
            <w:noWrap/>
            <w:vAlign w:val="center"/>
          </w:tc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20" w:lineRule="atLeast"/>
              <w:jc w:val="center"/>
              <w:textAlignment w:val="bottom"/>
              <w:rPr>
                <w:rFonts w:ascii="仿宋" w:eastAsia="仿宋" w:cs="仿宋" w:hint="eastAsia"/>
                <w:kern w:val="0"/>
                <w:sz w:val="21"/>
                <w:szCs w:val="21"/>
                <w:lang w:eastAsia="zh-CN"/>
              </w:rPr>
            </w:pPr>
            <w:r>
              <w:rPr>
                <w:rFonts w:ascii="仿宋" w:eastAsia="仿宋" w:cs="仿宋" w:hint="eastAsia"/>
                <w:kern w:val="0"/>
                <w:sz w:val="21"/>
                <w:szCs w:val="21"/>
              </w:rPr>
              <w:t>满意</w:t>
            </w:r>
          </w:p>
          <w:p>
            <w:pPr>
              <w:keepNext w:val="0"/>
              <w:keepLines w:val="0"/>
              <w:pageBreakBefore w:val="0"/>
              <w:widowControl/>
              <w:kinsoku/>
              <w:wordWrap/>
              <w:overflowPunct/>
              <w:topLinePunct w:val="0"/>
              <w:autoSpaceDE/>
              <w:autoSpaceDN/>
              <w:bidi w:val="0"/>
              <w:adjustRightInd/>
              <w:snapToGrid/>
              <w:spacing w:line="120" w:lineRule="atLeast"/>
              <w:jc w:val="center"/>
              <w:textAlignment w:val="bottom"/>
              <w:rPr>
                <w:rFonts w:ascii="仿宋" w:eastAsia="仿宋" w:cs="仿宋" w:hint="eastAsia"/>
                <w:sz w:val="21"/>
                <w:szCs w:val="21"/>
              </w:rPr>
            </w:pPr>
            <w:r>
              <w:rPr>
                <w:rFonts w:ascii="仿宋" w:eastAsia="仿宋" w:cs="仿宋" w:hint="eastAsia"/>
                <w:kern w:val="0"/>
                <w:sz w:val="21"/>
                <w:szCs w:val="21"/>
              </w:rPr>
              <w:t>度指标</w:t>
            </w:r>
          </w:p>
        </w:tc>
        <w:tc>
          <w:tcPr>
            <w:tcW w:w="155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20" w:lineRule="atLeast"/>
              <w:jc w:val="center"/>
              <w:textAlignment w:val="bottom"/>
              <w:rPr>
                <w:rFonts w:ascii="仿宋" w:eastAsia="仿宋" w:cs="仿宋" w:hint="eastAsia"/>
                <w:kern w:val="0"/>
                <w:sz w:val="21"/>
                <w:szCs w:val="21"/>
              </w:rPr>
            </w:pPr>
            <w:r>
              <w:rPr>
                <w:rFonts w:ascii="仿宋" w:eastAsia="仿宋" w:cs="仿宋" w:hint="eastAsia"/>
                <w:kern w:val="0"/>
                <w:sz w:val="21"/>
                <w:szCs w:val="21"/>
              </w:rPr>
              <w:t>满意度</w:t>
            </w:r>
          </w:p>
          <w:p>
            <w:pPr>
              <w:keepNext w:val="0"/>
              <w:keepLines w:val="0"/>
              <w:pageBreakBefore w:val="0"/>
              <w:widowControl/>
              <w:kinsoku/>
              <w:wordWrap/>
              <w:overflowPunct/>
              <w:topLinePunct w:val="0"/>
              <w:autoSpaceDE/>
              <w:autoSpaceDN/>
              <w:bidi w:val="0"/>
              <w:adjustRightInd/>
              <w:snapToGrid/>
              <w:spacing w:line="120" w:lineRule="atLeast"/>
              <w:jc w:val="center"/>
              <w:textAlignment w:val="bottom"/>
              <w:rPr>
                <w:rFonts w:ascii="仿宋" w:eastAsia="仿宋" w:cs="仿宋" w:hint="eastAsia"/>
                <w:sz w:val="21"/>
                <w:szCs w:val="21"/>
              </w:rPr>
            </w:pPr>
            <w:r>
              <w:rPr>
                <w:rFonts w:ascii="仿宋" w:eastAsia="仿宋" w:cs="仿宋" w:hint="eastAsia"/>
                <w:kern w:val="0"/>
                <w:sz w:val="21"/>
                <w:szCs w:val="21"/>
              </w:rPr>
              <w:t>指标</w:t>
            </w:r>
          </w:p>
        </w:tc>
        <w:tc>
          <w:tcPr>
            <w:tcW w:w="152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20" w:lineRule="atLeast"/>
              <w:jc w:val="center"/>
              <w:textAlignment w:val="bottom"/>
              <w:rPr>
                <w:rFonts w:ascii="仿宋" w:eastAsia="仿宋" w:cs="仿宋" w:hint="eastAsia"/>
                <w:sz w:val="21"/>
                <w:szCs w:val="21"/>
                <w:lang w:val="en-US" w:eastAsia="zh-CN"/>
              </w:rPr>
            </w:pPr>
            <w:r>
              <w:rPr>
                <w:rFonts w:ascii="仿宋" w:eastAsia="仿宋" w:cs="仿宋" w:hint="eastAsia"/>
                <w:sz w:val="21"/>
                <w:szCs w:val="21"/>
                <w:lang w:val="en-US" w:eastAsia="zh-CN"/>
              </w:rPr>
              <w:t>服务对象满意度</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20" w:lineRule="atLeast"/>
              <w:jc w:val="center"/>
              <w:textAlignment w:val="bottom"/>
              <w:rPr>
                <w:rFonts w:ascii="仿宋" w:eastAsia="仿宋" w:cs="仿宋" w:hint="eastAsia"/>
                <w:sz w:val="21"/>
                <w:szCs w:val="21"/>
                <w:lang w:val="en-US" w:eastAsia="zh-CN"/>
              </w:rPr>
            </w:pPr>
            <w:r>
              <w:rPr>
                <w:rFonts w:ascii="仿宋" w:eastAsia="仿宋" w:cs="仿宋" w:hint="eastAsia"/>
                <w:sz w:val="21"/>
                <w:szCs w:val="21"/>
                <w:lang w:val="en-US" w:eastAsia="zh-CN"/>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120" w:lineRule="atLeast"/>
              <w:jc w:val="center"/>
              <w:textAlignment w:val="bottom"/>
              <w:rPr>
                <w:rFonts w:ascii="仿宋" w:eastAsia="仿宋" w:cs="仿宋" w:hint="eastAsia"/>
                <w:sz w:val="21"/>
                <w:szCs w:val="21"/>
                <w:lang w:val="en-US" w:eastAsia="zh-CN"/>
              </w:rPr>
            </w:pPr>
            <w:r>
              <w:rPr>
                <w:rFonts w:ascii="仿宋" w:eastAsia="仿宋" w:cs="仿宋" w:hint="eastAsia"/>
                <w:sz w:val="21"/>
                <w:szCs w:val="21"/>
                <w:lang w:val="en-US" w:eastAsia="zh-CN"/>
              </w:rPr>
              <w:t>95</w:t>
            </w:r>
          </w:p>
        </w:tc>
      </w:tr>
    </w:tbl>
    <w:p>
      <w:pPr>
        <w:pageBreakBefore w:val="0"/>
        <w:widowControl/>
        <w:kinsoku/>
        <w:wordWrap/>
        <w:overflowPunct/>
        <w:topLinePunct w:val="0"/>
        <w:bidi w:val="0"/>
        <w:spacing w:line="576" w:lineRule="exact"/>
        <w:jc w:val="left"/>
        <w:rPr>
          <w:rStyle w:val="1Char"/>
          <w:rFonts w:ascii="Times New Roman" w:eastAsia="黑体" w:cs="Times New Roman" w:hAnsi="Times New Roman"/>
          <w:b w:val="0"/>
        </w:rPr>
      </w:pPr>
      <w:r>
        <w:rPr>
          <w:rStyle w:val="1Char"/>
          <w:rFonts w:ascii="Times New Roman" w:eastAsia="黑体" w:cs="Times New Roman" w:hAnsi="Times New Roman"/>
          <w:b w:val="0"/>
          <w:sz w:val="21"/>
          <w:szCs w:val="21"/>
        </w:rPr>
        <w:br w:type="page"/>
      </w:r>
    </w:p>
    <w:p>
      <w:pPr>
        <w:pageBreakBefore w:val="0"/>
        <w:widowControl w:val="0"/>
        <w:kinsoku/>
        <w:wordWrap/>
        <w:overflowPunct/>
        <w:topLinePunct w:val="0"/>
        <w:bidi w:val="0"/>
        <w:spacing w:line="576" w:lineRule="exact"/>
        <w:jc w:val="center"/>
        <w:outlineLvl w:val="0"/>
        <w:rPr>
          <w:rFonts w:ascii="Times New Roman" w:eastAsia="仿宋" w:cs="Times New Roman" w:hAnsi="Times New Roman"/>
        </w:rPr>
      </w:pPr>
      <w:bookmarkStart w:id="88" w:name="_Toc26843625"/>
      <w:bookmarkStart w:id="89" w:name="_Toc15396618"/>
      <w:r>
        <w:rPr>
          <w:rFonts w:ascii="Times New Roman" w:eastAsia="黑体" w:cs="Times New Roman" w:hAnsi="Times New Roman"/>
          <w:sz w:val="44"/>
          <w:szCs w:val="44"/>
        </w:rPr>
        <w:t>第</w:t>
      </w:r>
      <w:r>
        <w:rPr>
          <w:rStyle w:val="1Char"/>
          <w:rFonts w:ascii="Times New Roman" w:eastAsia="黑体" w:cs="Times New Roman" w:hAnsi="Times New Roman"/>
          <w:b w:val="0"/>
        </w:rPr>
        <w:t>五部分 附表</w:t>
      </w:r>
      <w:bookmarkStart w:id="90" w:name="_Toc15396619"/>
      <w:bookmarkEnd w:id="83"/>
      <w:bookmarkEnd w:id="88"/>
      <w:bookmarkEnd w:id="89"/>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1" w:name="_Toc26843626"/>
      <w:r>
        <w:rPr>
          <w:rFonts w:ascii="Times New Roman" w:eastAsia="仿宋" w:cs="Times New Roman" w:hAnsi="Times New Roman"/>
          <w:b w:val="0"/>
        </w:rPr>
        <w:t>一、收</w:t>
      </w:r>
      <w:r>
        <w:rPr>
          <w:rStyle w:val="2Char"/>
          <w:rFonts w:ascii="Times New Roman" w:eastAsia="仿宋" w:cs="Times New Roman" w:hAnsi="Times New Roman"/>
          <w:b w:val="0"/>
          <w:bCs w:val="0"/>
        </w:rPr>
        <w:t>入支出决算总表</w:t>
      </w:r>
      <w:bookmarkEnd w:id="90"/>
      <w:bookmarkEnd w:id="91"/>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2" w:name="_Toc15396620"/>
      <w:bookmarkStart w:id="93" w:name="_Toc26843627"/>
      <w:r>
        <w:rPr>
          <w:rFonts w:ascii="Times New Roman" w:eastAsia="仿宋" w:cs="Times New Roman" w:hAnsi="Times New Roman"/>
          <w:b w:val="0"/>
        </w:rPr>
        <w:t>二、收</w:t>
      </w:r>
      <w:r>
        <w:rPr>
          <w:rStyle w:val="2Char"/>
          <w:rFonts w:ascii="Times New Roman" w:eastAsia="仿宋" w:cs="Times New Roman" w:hAnsi="Times New Roman"/>
          <w:b w:val="0"/>
          <w:bCs w:val="0"/>
        </w:rPr>
        <w:t>入决算表</w:t>
      </w:r>
      <w:bookmarkEnd w:id="92"/>
      <w:bookmarkEnd w:id="93"/>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4" w:name="_Toc26843628"/>
      <w:bookmarkStart w:id="95" w:name="_Toc15396621"/>
      <w:r>
        <w:rPr>
          <w:rStyle w:val="2Char"/>
          <w:rFonts w:ascii="Times New Roman" w:eastAsia="仿宋" w:cs="Times New Roman" w:hAnsi="Times New Roman"/>
          <w:b w:val="0"/>
          <w:bCs w:val="0"/>
        </w:rPr>
        <w:t>三、</w:t>
      </w:r>
      <w:r>
        <w:rPr>
          <w:rFonts w:ascii="Times New Roman" w:eastAsia="仿宋" w:cs="Times New Roman" w:hAnsi="Times New Roman"/>
          <w:b w:val="0"/>
        </w:rPr>
        <w:t>支</w:t>
      </w:r>
      <w:r>
        <w:rPr>
          <w:rStyle w:val="2Char"/>
          <w:rFonts w:ascii="Times New Roman" w:eastAsia="仿宋" w:cs="Times New Roman" w:hAnsi="Times New Roman"/>
          <w:b w:val="0"/>
          <w:bCs w:val="0"/>
        </w:rPr>
        <w:t>出决算表</w:t>
      </w:r>
      <w:bookmarkEnd w:id="94"/>
      <w:bookmarkEnd w:id="95"/>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b w:val="0"/>
        </w:rPr>
      </w:pPr>
      <w:bookmarkStart w:id="96" w:name="_Toc15396622"/>
      <w:bookmarkStart w:id="97" w:name="_Toc26843629"/>
      <w:r>
        <w:rPr>
          <w:rStyle w:val="2Char"/>
          <w:rFonts w:ascii="Times New Roman" w:eastAsia="仿宋" w:cs="Times New Roman" w:hAnsi="Times New Roman"/>
          <w:b w:val="0"/>
          <w:bCs w:val="0"/>
        </w:rPr>
        <w:t>四、</w:t>
      </w:r>
      <w:r>
        <w:rPr>
          <w:rFonts w:ascii="Times New Roman" w:eastAsia="仿宋" w:cs="Times New Roman" w:hAnsi="Times New Roman"/>
          <w:b w:val="0"/>
        </w:rPr>
        <w:t>财</w:t>
      </w:r>
      <w:r>
        <w:rPr>
          <w:rStyle w:val="2Char"/>
          <w:rFonts w:ascii="Times New Roman" w:eastAsia="仿宋" w:cs="Times New Roman" w:hAnsi="Times New Roman"/>
          <w:b w:val="0"/>
          <w:bCs w:val="0"/>
        </w:rPr>
        <w:t>政拨款收入支出决算总表</w:t>
      </w:r>
      <w:bookmarkEnd w:id="96"/>
      <w:bookmarkEnd w:id="97"/>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98" w:name="_Toc15396623"/>
      <w:bookmarkStart w:id="99" w:name="_Toc26843630"/>
      <w:r>
        <w:rPr>
          <w:rStyle w:val="2Char"/>
          <w:rFonts w:ascii="Times New Roman" w:eastAsia="仿宋" w:cs="Times New Roman" w:hAnsi="Times New Roman"/>
          <w:b w:val="0"/>
          <w:bCs w:val="0"/>
        </w:rPr>
        <w:t>五、</w:t>
      </w:r>
      <w:r>
        <w:rPr>
          <w:rFonts w:ascii="Times New Roman" w:eastAsia="仿宋" w:cs="Times New Roman" w:hAnsi="Times New Roman"/>
          <w:b w:val="0"/>
        </w:rPr>
        <w:t>财</w:t>
      </w:r>
      <w:r>
        <w:rPr>
          <w:rStyle w:val="2Char"/>
          <w:rFonts w:ascii="Times New Roman" w:eastAsia="仿宋" w:cs="Times New Roman" w:hAnsi="Times New Roman"/>
          <w:b w:val="0"/>
          <w:bCs w:val="0"/>
        </w:rPr>
        <w:t>政拨款支出决算明细表</w:t>
      </w:r>
      <w:bookmarkStart w:id="100" w:name="_Toc15396624"/>
      <w:bookmarkEnd w:id="98"/>
      <w:bookmarkEnd w:id="99"/>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1" w:name="_Toc26843631"/>
      <w:r>
        <w:rPr>
          <w:rStyle w:val="2Char"/>
          <w:rFonts w:ascii="Times New Roman" w:eastAsia="仿宋" w:cs="Times New Roman" w:hAnsi="Times New Roman"/>
          <w:b w:val="0"/>
          <w:bCs w:val="0"/>
        </w:rPr>
        <w:t>六、</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般公共预算财政拨款支出决算表</w:t>
      </w:r>
      <w:bookmarkEnd w:id="100"/>
      <w:bookmarkEnd w:id="101"/>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2" w:name="_Toc26843632"/>
      <w:bookmarkStart w:id="103" w:name="_Toc15396625"/>
      <w:r>
        <w:rPr>
          <w:rStyle w:val="2Char"/>
          <w:rFonts w:ascii="Times New Roman" w:eastAsia="仿宋" w:cs="Times New Roman" w:hAnsi="Times New Roman"/>
          <w:b w:val="0"/>
          <w:bCs w:val="0"/>
        </w:rPr>
        <w:t>七、</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般公共预算财政拨款支出决算明细表</w:t>
      </w:r>
      <w:bookmarkEnd w:id="102"/>
      <w:bookmarkEnd w:id="103"/>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4" w:name="_Toc26843633"/>
      <w:bookmarkStart w:id="105" w:name="_Toc15396626"/>
      <w:r>
        <w:rPr>
          <w:rStyle w:val="2Char"/>
          <w:rFonts w:ascii="Times New Roman" w:eastAsia="仿宋" w:cs="Times New Roman" w:hAnsi="Times New Roman"/>
          <w:b w:val="0"/>
          <w:bCs w:val="0"/>
        </w:rPr>
        <w:t>八、</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般公共预算财政拨款基本支出决算表</w:t>
      </w:r>
      <w:bookmarkEnd w:id="104"/>
      <w:bookmarkEnd w:id="105"/>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6" w:name="_Toc26843634"/>
      <w:bookmarkStart w:id="107" w:name="_Toc15396627"/>
      <w:r>
        <w:rPr>
          <w:rStyle w:val="2Char"/>
          <w:rFonts w:ascii="Times New Roman" w:eastAsia="仿宋" w:cs="Times New Roman" w:hAnsi="Times New Roman"/>
          <w:b w:val="0"/>
          <w:bCs w:val="0"/>
        </w:rPr>
        <w:t>九、</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般公共预算财政拨款项目支出决算表</w:t>
      </w:r>
      <w:bookmarkEnd w:id="106"/>
      <w:bookmarkEnd w:id="107"/>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108" w:name="_Toc26843636"/>
      <w:bookmarkStart w:id="109" w:name="_Toc15396629"/>
      <w:r>
        <w:rPr>
          <w:rStyle w:val="2Char"/>
          <w:rFonts w:ascii="Times New Roman" w:eastAsia="仿宋" w:cs="Times New Roman" w:hAnsi="Times New Roman"/>
          <w:b w:val="0"/>
          <w:bCs w:val="0"/>
        </w:rPr>
        <w:t>十、</w:t>
      </w:r>
      <w:r>
        <w:rPr>
          <w:rFonts w:ascii="Times New Roman" w:eastAsia="仿宋" w:cs="Times New Roman" w:hAnsi="Times New Roman"/>
          <w:b w:val="0"/>
        </w:rPr>
        <w:t>政</w:t>
      </w:r>
      <w:r>
        <w:rPr>
          <w:rStyle w:val="2Char"/>
          <w:rFonts w:ascii="Times New Roman" w:eastAsia="仿宋" w:cs="Times New Roman" w:hAnsi="Times New Roman"/>
          <w:b w:val="0"/>
          <w:bCs w:val="0"/>
        </w:rPr>
        <w:t>府性基金预算财政拨款收入支出决算表</w:t>
      </w:r>
      <w:bookmarkEnd w:id="108"/>
      <w:bookmarkEnd w:id="109"/>
    </w:p>
    <w:p>
      <w:pPr>
        <w:pStyle w:val="2"/>
        <w:keepNext/>
        <w:keepLines/>
        <w:pageBreakBefore w:val="0"/>
        <w:widowControl w:val="0"/>
        <w:kinsoku/>
        <w:wordWrap/>
        <w:overflowPunct/>
        <w:topLinePunct w:val="0"/>
        <w:bidi w:val="0"/>
        <w:spacing w:line="576" w:lineRule="exact"/>
      </w:pPr>
      <w:bookmarkStart w:id="110" w:name="_Toc15396628"/>
      <w:bookmarkStart w:id="111" w:name="_Toc26843635"/>
      <w:r>
        <w:rPr>
          <w:rStyle w:val="2Char"/>
          <w:rFonts w:ascii="Times New Roman" w:eastAsia="仿宋" w:cs="Times New Roman" w:hAnsi="Times New Roman"/>
          <w:b w:val="0"/>
          <w:bCs w:val="0"/>
        </w:rPr>
        <w:t>十</w:t>
      </w:r>
      <w:r>
        <w:rPr>
          <w:rStyle w:val="2Char"/>
          <w:rFonts w:ascii="Times New Roman" w:eastAsia="仿宋" w:cs="Times New Roman" w:hAnsi="Times New Roman" w:hint="eastAsia"/>
          <w:b w:val="0"/>
          <w:bCs w:val="0"/>
          <w:lang w:val="en-US"/>
        </w:rPr>
        <w:t>一</w:t>
      </w:r>
      <w:r>
        <w:rPr>
          <w:rStyle w:val="2Char"/>
          <w:rFonts w:ascii="Times New Roman" w:eastAsia="仿宋" w:cs="Times New Roman" w:hAnsi="Times New Roman"/>
          <w:b w:val="0"/>
          <w:bCs w:val="0"/>
        </w:rPr>
        <w:t>、财政拨款“三公”经费支出决算表</w:t>
      </w:r>
      <w:bookmarkEnd w:id="110"/>
      <w:bookmarkEnd w:id="111"/>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112" w:name="_Toc15396631"/>
      <w:bookmarkStart w:id="113" w:name="_Toc26843638"/>
      <w:r>
        <w:rPr>
          <w:rStyle w:val="2Char"/>
          <w:rFonts w:ascii="Times New Roman" w:eastAsia="仿宋" w:cs="Times New Roman" w:hAnsi="Times New Roman"/>
          <w:b w:val="0"/>
          <w:bCs w:val="0"/>
        </w:rPr>
        <w:t>十</w:t>
      </w:r>
      <w:r>
        <w:rPr>
          <w:rStyle w:val="2Char"/>
          <w:rFonts w:ascii="Times New Roman" w:eastAsia="仿宋" w:cs="Times New Roman" w:hAnsi="Times New Roman" w:hint="eastAsia"/>
          <w:b w:val="0"/>
          <w:bCs w:val="0"/>
          <w:lang w:val="en-US"/>
        </w:rPr>
        <w:t>二</w:t>
      </w:r>
      <w:r>
        <w:rPr>
          <w:rStyle w:val="2Char"/>
          <w:rFonts w:ascii="Times New Roman" w:eastAsia="仿宋" w:cs="Times New Roman" w:hAnsi="Times New Roman"/>
          <w:b w:val="0"/>
          <w:bCs w:val="0"/>
        </w:rPr>
        <w:t>、</w:t>
      </w:r>
      <w:r>
        <w:rPr>
          <w:rFonts w:ascii="Times New Roman" w:eastAsia="仿宋" w:cs="Times New Roman" w:hAnsi="Times New Roman"/>
          <w:b w:val="0"/>
        </w:rPr>
        <w:t>国</w:t>
      </w:r>
      <w:r>
        <w:rPr>
          <w:rStyle w:val="2Char"/>
          <w:rFonts w:ascii="Times New Roman" w:eastAsia="仿宋" w:cs="Times New Roman" w:hAnsi="Times New Roman"/>
          <w:b w:val="0"/>
          <w:bCs w:val="0"/>
        </w:rPr>
        <w:t>有资本经营预算财政拨款收入支出决算表</w:t>
      </w:r>
      <w:bookmarkEnd w:id="112"/>
      <w:bookmarkEnd w:id="113"/>
    </w:p>
    <w:p>
      <w:pPr>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114" w:name="_Toc26843639"/>
      <w:r>
        <w:rPr>
          <w:rStyle w:val="2Char"/>
          <w:rFonts w:ascii="Times New Roman" w:eastAsia="仿宋" w:cs="Times New Roman" w:hAnsi="Times New Roman"/>
          <w:b w:val="0"/>
          <w:bCs w:val="0"/>
        </w:rPr>
        <w:t>十</w:t>
      </w:r>
      <w:r>
        <w:rPr>
          <w:rStyle w:val="2Char"/>
          <w:rFonts w:eastAsia="仿宋" w:cs="Times New Roman" w:hint="eastAsia"/>
          <w:b w:val="0"/>
          <w:bCs w:val="0"/>
          <w:lang w:val="en-US"/>
        </w:rPr>
        <w:t>三</w:t>
      </w:r>
      <w:r>
        <w:rPr>
          <w:rStyle w:val="2Char"/>
          <w:rFonts w:ascii="Times New Roman" w:eastAsia="仿宋" w:cs="Times New Roman" w:hAnsi="Times New Roman"/>
          <w:b w:val="0"/>
          <w:bCs w:val="0"/>
        </w:rPr>
        <w:t>、国有资本经营预算财政拨款支出决算表</w:t>
      </w:r>
      <w:bookmarkEnd w:id="114"/>
    </w:p>
    <w:p>
      <w:pPr>
        <w:pStyle w:val="30"/>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altName w:val="DejaVu Sans"/>
    <w:panose1 w:val="02020603050405020304"/>
    <w:charset w:val="01"/>
    <w:family w:val="auto"/>
    <w:pitch w:val="variable"/>
    <w:sig w:usb0="00000000" w:usb1="00000000" w:usb2="00000009" w:usb3="00000000" w:csb0="400001FF" w:csb1="FFFF0000"/>
  </w:font>
  <w:font w:name="方正小标宋简体">
    <w:altName w:val="方正小标宋_GBK"/>
    <w:panose1 w:val="02000000000000000000"/>
    <w:charset w:val="86"/>
    <w:family w:val="script"/>
    <w:pitch w:val="variable"/>
    <w:sig w:usb0="00000000" w:usb1="0000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宋体">
    <w:altName w:val="方正书宋_GBK"/>
    <w:panose1 w:val="02010600030101010101"/>
    <w:charset w:val="80"/>
    <w:family w:val="auto"/>
    <w:pitch w:val="variable"/>
    <w:sig w:usb0="00000000" w:usb1="00000000" w:usb2="00000006" w:usb3="00000000" w:csb0="00040001" w:csb1="00000000"/>
  </w:font>
  <w:font w:name="仿宋">
    <w:altName w:val="方正仿宋_GBK"/>
    <w:panose1 w:val="02010609060101010101"/>
    <w:charset w:val="86"/>
    <w:family w:val="auto"/>
    <w:pitch w:val="variable"/>
    <w:sig w:usb0="00000000" w:usb1="00000000" w:usb2="00000016" w:usb3="00000000" w:csb0="00040001" w:csb1="00000000"/>
  </w:font>
  <w:font w:name="楷体">
    <w:altName w:val="方正楷体_GBK"/>
    <w:panose1 w:val="02010609060101010101"/>
    <w:charset w:val="86"/>
    <w:family w:val="auto"/>
    <w:pitch w:val="variable"/>
    <w:sig w:usb0="00000000" w:usb1="00000000" w:usb2="00000016" w:usb3="00000000" w:csb0="00040001" w:csb1="00000000"/>
  </w:font>
  <w:font w:name="方正楷体_GBK">
    <w:panose1 w:val="02000000000000000000"/>
    <w:charset w:val="86"/>
    <w:family w:val="auto"/>
    <w:pitch w:val="variable"/>
    <w:sig w:usb0="A00002BF" w:usb1="38CF7CFA" w:usb2="00082016" w:usb3="00000000" w:csb0="00040001" w:csb1="00000000"/>
  </w:font>
  <w:font w:name="方正黑体_GBK">
    <w:panose1 w:val="02000000000000000000"/>
    <w:charset w:val="86"/>
    <w:family w:val="auto"/>
    <w:pitch w:val="variable"/>
    <w:sig w:usb0="A00002BF" w:usb1="38CF7CFA" w:usb2="00082016" w:usb3="00000000" w:csb0="00040001" w:csb1="00000000"/>
  </w:font>
  <w:font w:name="楷体_GB2312">
    <w:panose1 w:val="02010609030101010101"/>
    <w:charset w:val="86"/>
    <w:family w:val="modern"/>
    <w:pitch w:val="variable"/>
    <w:sig w:usb0="00000001" w:usb1="080E0000" w:usb2="00000000" w:usb3="00000000" w:csb0="00040000" w:csb1="00000000"/>
  </w:font>
  <w:font w:name="微软雅黑">
    <w:altName w:val="方正黑体_GBK"/>
    <w:panose1 w:val="020B0503020204020204"/>
    <w:charset w:val="86"/>
    <w:family w:val="auto"/>
    <w:pitch w:val="variable"/>
    <w:sig w:usb0="00000000" w:usb1="00000000" w:usb2="00000016" w:usb3="00000000" w:csb0="0004001F" w:csb1="00000000"/>
  </w:font>
  <w:font w:name="Arial">
    <w:altName w:val="DejaVu Sans"/>
    <w:panose1 w:val="020B0604020202020204"/>
    <w:charset w:val="01"/>
    <w:family w:val="swiss"/>
    <w:pitch w:val="variable"/>
    <w:sig w:usb0="E0002AFF" w:usb1="C0007843" w:usb2="00000009" w:usb3="00000000" w:csb0="400001FF" w:csb1="FFFF0000"/>
  </w:font>
  <w:font w:name="等线">
    <w:altName w:val="仿宋_GB2312"/>
    <w:panose1 w:val="02010600030101010101"/>
    <w:charset w:val="86"/>
    <w:family w:val="auto"/>
    <w:pitch w:val="variable"/>
    <w:sig w:usb0="00000000" w:usb1="00000000" w:usb2="00000016" w:usb3="00000000" w:csb0="0004000F" w:csb1="00000000"/>
  </w:font>
  <w:font w:name="Cambria">
    <w:altName w:val="Noto Sans Syriac Eastern"/>
    <w:panose1 w:val="02040503050406030204"/>
    <w:charset w:val="00"/>
    <w:family w:val="roman"/>
    <w:pitch w:val="variable"/>
    <w:sig w:usb0="00000000" w:usb1="00000000" w:usb2="02000000" w:usb3="00000000" w:csb0="2000019F" w:csb1="00000000"/>
  </w:font>
  <w:font w:name="Calibri">
    <w:altName w:val="DejaVu Sans"/>
    <w:panose1 w:val="020F0502020204030204"/>
    <w:charset w:val="00"/>
    <w:family w:val="swiss"/>
    <w:pitch w:val="variable"/>
    <w:sig w:usb0="00000000" w:usb1="00000000" w:usb2="00000001" w:usb3="00000000" w:csb0="0000019F" w:csb1="00000000"/>
  </w:font>
  <w:font w:name="DejaVu Sans">
    <w:panose1 w:val="020B0603030804020204"/>
    <w:charset w:val="00"/>
    <w:family w:val="roman"/>
    <w:pitch w:val="variable"/>
    <w:sig w:usb0="E7006EFF" w:usb1="D200FDFF" w:usb2="0A246029" w:usb3="0400200C" w:csb0="600001FF" w:csb1="D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419510707"/>
    </w:sdtPr>
    <w:sdtContent>
      <w:p>
        <w:pPr>
          <w:pStyle w:val="21"/>
          <w:tabs>
            <w:tab w:val="center" w:pos="4153"/>
            <w:tab w:val="right" w:pos="8306"/>
          </w:tabs>
          <w:jc w:val="center"/>
        </w:pPr>
        <w:r>
          <w:fldChar w:fldCharType="begin"/>
        </w:r>
        <w:r>
          <w:instrText>PAGE   \* MERGEFORMAT</w:instrText>
        </w:r>
        <w:r>
          <w:fldChar w:fldCharType="separate"/>
        </w:r>
        <w:r>
          <w:rPr>
            <w:lang w:val="zh-CN"/>
          </w:rPr>
          <w:t>8</w:t>
        </w:r>
        <w:r>
          <w:fldChar w:fldCharType="end"/>
        </w:r>
      </w:p>
    </w:sdtContent>
  </w:sdt>
  <w:p>
    <w:pPr>
      <w:pStyle w:val="21"/>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CF652CEC"/>
    <w:multiLevelType w:val="singleLevel"/>
    <w:tmpl w:val="CF652CEC"/>
    <w:lvl w:ilvl="0">
      <w:start w:val="9"/>
      <w:numFmt w:val="chineseCounting"/>
      <w:lvlRestart w:val="0"/>
      <w:suff w:val="nothing"/>
      <w:lvlText w:val="%1、"/>
      <w:lvlJc w:val="left"/>
      <w:pPr>
        <w:ind w:left="0" w:hanging="0"/>
      </w:pPr>
      <w:rPr>
        <w:rFonts w:hint="eastAsia"/>
      </w:rPr>
    </w:lvl>
  </w:abstractNum>
  <w:abstractNum w:abstractNumId="2">
    <w:nsid w:val="E2FA047D"/>
    <w:multiLevelType w:val="singleLevel"/>
    <w:tmpl w:val="E2FA047D"/>
    <w:lvl w:ilvl="0">
      <w:start w:val="3"/>
      <w:numFmt w:val="chineseCounting"/>
      <w:lvlRestart w:val="0"/>
      <w:suff w:val="space"/>
      <w:lvlText w:val="第%1部分"/>
      <w:lvlJc w:val="left"/>
      <w:pPr>
        <w:ind w:left="0" w:hanging="0"/>
      </w:pPr>
      <w:rPr>
        <w:rFonts w:hint="eastAsia"/>
      </w:rPr>
    </w:lvl>
  </w:abstractNum>
  <w:abstractNum w:abstractNumId="3">
    <w:nsid w:val="0F29D89B"/>
    <w:multiLevelType w:val="singleLevel"/>
    <w:tmpl w:val="0F29D89B"/>
    <w:lvl w:ilvl="0">
      <w:start w:val="1"/>
      <w:numFmt w:val="chineseCounting"/>
      <w:lvlRestart w:val="0"/>
      <w:suff w:val="nothing"/>
      <w:lvlText w:val="（%1）"/>
      <w:lvlJc w:val="left"/>
      <w:pPr>
        <w:ind w:left="0" w:hanging="0"/>
      </w:pPr>
      <w:rPr>
        <w:rFonts w:cs="Times New Roman" w:hint="eastAsia"/>
      </w:rPr>
    </w:lvl>
  </w:abstractNum>
  <w:abstractNum w:abstractNumId="4">
    <w:nsid w:val="86108E1F"/>
    <w:multiLevelType w:val="singleLevel"/>
    <w:tmpl w:val="86108E1F"/>
    <w:lvl w:ilvl="0">
      <w:start w:val="1"/>
      <w:numFmt w:val="decimal"/>
      <w:lvlRestart w:val="0"/>
      <w:suff w:val="nothing"/>
      <w:lvlText w:val="（%1）"/>
      <w:lvlJc w:val="left"/>
      <w:pPr>
        <w:ind w:left="0" w:hanging="0"/>
      </w:pPr>
    </w:lvl>
  </w:abstractNum>
  <w:abstractNum w:abstractNumId="5">
    <w:nsid w:val="648F8001"/>
    <w:multiLevelType w:val="singleLevel"/>
    <w:tmpl w:val="648F8001"/>
    <w:lvl w:ilvl="0">
      <w:start w:val="1"/>
      <w:numFmt w:val="chineseCounting"/>
      <w:lvlRestart w:val="0"/>
      <w:suff w:val="nothing"/>
      <w:lvlText w:val="%1、"/>
      <w:lvlJc w:val="left"/>
      <w:pPr>
        <w:ind w:left="0" w:hanging="0"/>
      </w:pPr>
    </w:lvl>
  </w:abstractNum>
  <w:abstractNum w:abstractNumId="6">
    <w:nsid w:val="73EE40FF"/>
    <w:multiLevelType w:val="singleLevel"/>
    <w:tmpl w:val="73EE40FF"/>
    <w:lvl w:ilvl="0">
      <w:start w:val="1"/>
      <w:numFmt w:val="decimal"/>
      <w:lvlRestart w:val="0"/>
      <w:suff w:val="nothing"/>
      <w:lvlText w:val="（%1）"/>
      <w:lvlJc w:val="left"/>
      <w:pPr>
        <w:ind w:left="0" w:hanging="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docVar w:name="commondata" w:val="eyJoZGlkIjoiZmRlOTBhY2VkY2I4MjQ4ZWRlNGU2YTExNWYzZWRiMW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able of figures"/>
    <w:basedOn w:val="0"/>
    <w:next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bidi w:val="0"/>
      <w:adjustRightInd/>
      <w:snapToGrid/>
      <w:spacing w:before="100" w:beforeAutospacing="1" w:after="100" w:afterAutospacing="1" w:line="240" w:lineRule="auto"/>
      <w:ind w:leftChars="200" w:left="400" w:right="0" w:hangingChars="200" w:hanging="200"/>
      <w:jc w:val="both"/>
      <w:textAlignment w:val="auto"/>
      <w:outlineLvl w:val="9"/>
    </w:pPr>
    <w:rPr>
      <w:rFonts w:ascii="Calibri" w:eastAsia="宋体" w:cs="Times New Roman" w:hAnsi="Calibri"/>
      <w:snapToGrid/>
      <w:color w:val="auto"/>
      <w:spacing w:val="0"/>
      <w:w w:val="100"/>
      <w:kern w:val="2"/>
      <w:position w:val="0"/>
      <w:sz w:val="21"/>
      <w:szCs w:val="21"/>
      <w:u w:val="none" w:color="auto"/>
      <w:vertAlign w:val="baseline"/>
      <w:lang w:val="en-US" w:eastAsia="zh-CN" w:bidi="ar-SA"/>
    </w:rPr>
  </w:style>
  <w:style w:type="paragraph" w:styleId="16">
    <w:name w:val="Body Text"/>
    <w:basedOn w:val="0"/>
    <w:pPr>
      <w:spacing w:beforeLines="30" w:before="30"/>
    </w:pPr>
    <w:rPr>
      <w:rFonts w:ascii="仿宋_GB2312" w:eastAsia="仿宋_GB2312"/>
      <w:kern w:val="0"/>
      <w:sz w:val="30"/>
    </w:rPr>
  </w:style>
  <w:style w:type="paragraph" w:styleId="17">
    <w:name w:val="Body Text Indent"/>
    <w:basedOn w:val="0"/>
    <w:next w:val="18"/>
    <w:pPr>
      <w:tabs>
        <w:tab w:val="left" w:pos="960"/>
      </w:tabs>
      <w:spacing w:line="540" w:lineRule="exact"/>
      <w:ind w:firstLineChars="1700" w:firstLine="1700"/>
    </w:pPr>
    <w:rPr>
      <w:sz w:val="32"/>
      <w:szCs w:val="32"/>
    </w:rPr>
  </w:style>
  <w:style w:type="paragraph" w:styleId="18">
    <w:name w:val="Body Text First Indent 2"/>
    <w:basedOn w:val="17"/>
    <w:next w:val="0"/>
    <w:pPr>
      <w:tabs>
        <w:tab w:val="left" w:pos="960"/>
      </w:tabs>
      <w:ind w:firstLineChars="200" w:firstLine="200"/>
    </w:pPr>
  </w:style>
  <w:style w:type="paragraph" w:styleId="19">
    <w:name w:val="toc 3"/>
    <w:basedOn w:val="0"/>
    <w:next w:val="0"/>
    <w:pPr>
      <w:tabs>
        <w:tab w:val="right" w:leader="dot" w:pos="8296"/>
      </w:tabs>
      <w:ind w:leftChars="400" w:left="400"/>
    </w:p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rFonts w:ascii="Calibri" w:hAnsi="Calibri"/>
      <w:kern w:val="0"/>
      <w:sz w:val="18"/>
      <w:szCs w:val="18"/>
    </w:rPr>
  </w:style>
  <w:style w:type="paragraph" w:styleId="22">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3">
    <w:name w:val="toc 1"/>
    <w:basedOn w:val="0"/>
    <w:next w:val="0"/>
    <w:pPr>
      <w:tabs>
        <w:tab w:val="right" w:leader="dot" w:pos="8296"/>
      </w:tabs>
      <w:spacing w:before="93"/>
      <w:jc w:val="center"/>
    </w:pPr>
    <w:rPr>
      <w:rFonts w:ascii="仿宋" w:eastAsia="仿宋"/>
      <w:sz w:val="28"/>
      <w:szCs w:val="28"/>
    </w:rPr>
  </w:style>
  <w:style w:type="paragraph" w:styleId="24">
    <w:name w:val="Subtitle"/>
    <w:basedOn w:val="0"/>
    <w:pPr>
      <w:spacing w:before="240" w:after="60" w:line="312" w:lineRule="auto"/>
      <w:jc w:val="center"/>
      <w:outlineLvl w:val="1"/>
    </w:pPr>
    <w:rPr>
      <w:rFonts w:ascii="DejaVu Sans" w:hAnsi="DejaVu Sans"/>
      <w:kern w:val="28"/>
    </w:rPr>
  </w:style>
  <w:style w:type="paragraph" w:styleId="25">
    <w:name w:val="toc 2"/>
    <w:basedOn w:val="0"/>
    <w:next w:val="0"/>
    <w:pPr>
      <w:tabs>
        <w:tab w:val="right" w:leader="dot" w:pos="8296"/>
      </w:tabs>
      <w:ind w:leftChars="200" w:left="200"/>
    </w:pPr>
  </w:style>
  <w:style w:type="paragraph" w:styleId="26">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paragraph" w:styleId="27">
    <w:name w:val="Normal (Web)"/>
    <w:basedOn w:val="0"/>
    <w:pPr>
      <w:widowControl/>
      <w:spacing w:before="100" w:beforeAutospacing="1" w:after="100" w:afterAutospacing="1"/>
      <w:jc w:val="left"/>
    </w:pPr>
    <w:rPr>
      <w:rFonts w:ascii="宋体" w:cs="宋体"/>
      <w:kern w:val="0"/>
      <w:sz w:val="24"/>
    </w:rPr>
  </w:style>
  <w:style w:type="character" w:styleId="28">
    <w:name w:val="Strong"/>
    <w:basedOn w:val="10"/>
    <w:rPr>
      <w:b/>
    </w:rPr>
  </w:style>
  <w:style w:type="character" w:styleId="29">
    <w:name w:val="Hyperlink"/>
    <w:basedOn w:val="10"/>
    <w:rPr>
      <w:color w:val="0000FF"/>
      <w:u w:val="single"/>
    </w:rPr>
  </w:style>
  <w:style w:type="paragraph" w:customStyle="1" w:styleId="30">
    <w:name w:val="标题 5（有编号）（绿盟科技）"/>
    <w:basedOn w:val="0"/>
    <w:next w:val="0"/>
    <w:pPr>
      <w:keepNext/>
      <w:keepLines/>
      <w:widowControl w:val="0"/>
      <w:spacing w:before="280" w:after="156" w:line="377" w:lineRule="auto"/>
      <w:jc w:val="left"/>
      <w:outlineLvl w:val="4"/>
    </w:pPr>
    <w:rPr>
      <w:rFonts w:ascii="Arial" w:eastAsia="黑体" w:hAnsi="Arial"/>
      <w:b/>
      <w:sz w:val="24"/>
      <w:szCs w:val="28"/>
    </w:rPr>
  </w:style>
  <w:style w:type="character" w:customStyle="1" w:styleId="31">
    <w:name w:val="Header Char"/>
    <w:basedOn w:val="10"/>
    <w:rPr>
      <w:rFonts w:ascii="Times New Roman" w:hAnsi="Times New Roman"/>
      <w:sz w:val="18"/>
      <w:szCs w:val="18"/>
    </w:rPr>
  </w:style>
  <w:style w:type="character" w:customStyle="1" w:styleId="32">
    <w:name w:val="Footer Char"/>
    <w:basedOn w:val="10"/>
    <w:rPr>
      <w:rFonts w:ascii="Times New Roman" w:hAnsi="Times New Roman"/>
      <w:sz w:val="18"/>
      <w:szCs w:val="18"/>
    </w:rPr>
  </w:style>
  <w:style w:type="character" w:customStyle="1" w:styleId="33">
    <w:name w:val="Body Text Char"/>
    <w:basedOn w:val="10"/>
    <w:rPr>
      <w:rFonts w:ascii="Times New Roman" w:hAnsi="Times New Roman"/>
      <w:szCs w:val="24"/>
    </w:rPr>
  </w:style>
  <w:style w:type="paragraph" w:customStyle="1" w:styleId="34">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5">
    <w:name w:val="List Paragraph"/>
    <w:basedOn w:val="0"/>
    <w:pPr>
      <w:ind w:firstLineChars="200" w:firstLine="200"/>
    </w:pPr>
  </w:style>
  <w:style w:type="paragraph" w:customStyle="1" w:styleId="36">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7">
    <w:name w:val="TOC 标题2"/>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8">
    <w:name w:val="文档正文"/>
    <w:pPr>
      <w:adjustRightInd w:val="0"/>
      <w:spacing w:line="480" w:lineRule="atLeast"/>
      <w:textAlignment w:val="baseline"/>
    </w:pPr>
    <w:rPr>
      <w:rFonts w:ascii="Arial" w:eastAsia="宋体" w:cs="Times New Roman" w:hAnsi="Arial"/>
      <w:kern w:val="0"/>
      <w:sz w:val="20"/>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收支总体情况</a:t>
            </a:r>
          </a:p>
        </c:rich>
      </c:tx>
      <c:layout/>
      <c:overlay val="0"/>
      <c:spPr>
        <a:noFill/>
        <a:ln>
          <a:noFill/>
        </a:ln>
      </c:spPr>
    </c:title>
    <c:autoTitleDeleted val="1"/>
    <c:plotArea>
      <c:layout/>
      <c:barChart>
        <c:barDir val="col"/>
        <c:grouping val="clustered"/>
        <c:varyColors val="0"/>
        <c:ser>
          <c:idx val="0"/>
          <c:order val="0"/>
          <c:tx>
            <c:strRef>
              <c:f>'Sheet1'!$B$1</c:f>
              <c:strCache>
                <c:ptCount val="1"/>
                <c:pt idx="0">
                  <c:v>收入</c:v>
                </c:pt>
              </c:strCache>
            </c:strRef>
          </c:tx>
          <c:spPr>
            <a:solidFill>
              <a:srgbClr val="4F81BD"/>
            </a:solidFill>
            <a:ln>
              <a:noFill/>
            </a:ln>
          </c:spPr>
          <c:invertIfNegative val="0"/>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0"/>
            <c:showCatName val="0"/>
            <c:showSerName val="0"/>
            <c:showPercent val="0"/>
            <c:showBubbleSize val="0"/>
            <c:showLeaderLines val="0"/>
          </c:dLbls>
          <c:cat>
            <c:strRef>
              <c:f>'Sheet1'!$A$2:$A$3</c:f>
              <c:strCache>
                <c:ptCount val="2"/>
                <c:pt idx="0">
                  <c:v>2021年</c:v>
                </c:pt>
                <c:pt idx="1">
                  <c:v>2022年</c:v>
                </c:pt>
              </c:strCache>
            </c:strRef>
          </c:cat>
          <c:val>
            <c:numRef>
              <c:f>'Sheet1'!$B$2:$B$3</c:f>
              <c:numCache>
                <c:formatCode>General</c:formatCode>
                <c:ptCount val="2"/>
                <c:pt idx="0">
                  <c:v>831.7</c:v>
                </c:pt>
                <c:pt idx="1">
                  <c:v>1069.67</c:v>
                </c:pt>
              </c:numCache>
            </c:numRef>
          </c:val>
        </c:ser>
        <c:ser>
          <c:idx val="1"/>
          <c:order val="1"/>
          <c:tx>
            <c:strRef>
              <c:f>'Sheet1'!$C$1</c:f>
              <c:strCache>
                <c:ptCount val="1"/>
                <c:pt idx="0">
                  <c:v>支出</c:v>
                </c:pt>
              </c:strCache>
            </c:strRef>
          </c:tx>
          <c:spPr>
            <a:solidFill>
              <a:srgbClr val="C0504D"/>
            </a:solidFill>
            <a:ln>
              <a:noFill/>
            </a:ln>
          </c:spPr>
          <c:invertIfNegative val="0"/>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0"/>
            <c:showCatName val="0"/>
            <c:showSerName val="0"/>
            <c:showPercent val="0"/>
            <c:showBubbleSize val="0"/>
            <c:showLeaderLines val="0"/>
          </c:dLbls>
          <c:cat>
            <c:strRef>
              <c:f>'Sheet1'!$A$2:$A$3</c:f>
              <c:strCache>
                <c:ptCount val="2"/>
                <c:pt idx="0">
                  <c:v>2021年</c:v>
                </c:pt>
                <c:pt idx="1">
                  <c:v>2022年</c:v>
                </c:pt>
              </c:strCache>
            </c:strRef>
          </c:cat>
          <c:val>
            <c:numRef>
              <c:f>'Sheet1'!$C$2:$C$3</c:f>
              <c:numCache>
                <c:formatCode>General</c:formatCode>
                <c:ptCount val="2"/>
                <c:pt idx="0">
                  <c:v>894.98</c:v>
                </c:pt>
                <c:pt idx="1">
                  <c:v>1069.67</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Arial"/>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收入情况</a:t>
            </a:r>
          </a:p>
        </c:rich>
      </c:tx>
      <c:layout/>
      <c:overlay val="0"/>
      <c:spPr>
        <a:noFill/>
        <a:ln>
          <a:noFill/>
        </a:ln>
      </c:spPr>
    </c:title>
    <c:autoTitleDeleted val="1"/>
    <c:plotArea>
      <c:layout/>
      <c:pieChart>
        <c:varyColors val="1"/>
        <c:ser>
          <c:idx val="0"/>
          <c:order val="0"/>
          <c:tx>
            <c:strRef>
              <c:f>'Sheet1 (2)'!$B$1</c:f>
              <c:strCache>
                <c:ptCount val="1"/>
                <c:pt idx="0">
                  <c:v>万元</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0"/>
            <c:showCatName val="0"/>
            <c:showSerName val="0"/>
            <c:showPercent val="0"/>
            <c:showBubbleSize val="0"/>
            <c:showLeaderLines val="0"/>
          </c:dLbls>
          <c:cat>
            <c:strRef>
              <c:f>'Sheet1 (2)'!$A$2:$A$3</c:f>
              <c:strCache>
                <c:ptCount val="2"/>
                <c:pt idx="0">
                  <c:v>一般公共预算财政拨款收入</c:v>
                </c:pt>
                <c:pt idx="1">
                  <c:v>政府性基金预算财政拨款收入</c:v>
                </c:pt>
              </c:strCache>
            </c:strRef>
          </c:cat>
          <c:val>
            <c:numRef>
              <c:f>'Sheet1 (2)'!$B$2:$B$3</c:f>
              <c:numCache>
                <c:formatCode>General</c:formatCode>
                <c:ptCount val="2"/>
                <c:pt idx="0">
                  <c:v>889.67</c:v>
                </c:pt>
                <c:pt idx="1">
                  <c:v>180.0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支出情况</a:t>
            </a:r>
          </a:p>
        </c:rich>
      </c:tx>
      <c:layout/>
      <c:overlay val="0"/>
      <c:spPr>
        <a:noFill/>
        <a:ln>
          <a:noFill/>
        </a:ln>
      </c:spPr>
    </c:title>
    <c:autoTitleDeleted val="1"/>
    <c:plotArea>
      <c:layout/>
      <c:pieChart>
        <c:varyColors val="1"/>
        <c:ser>
          <c:idx val="0"/>
          <c:order val="0"/>
          <c:tx>
            <c:strRef>
              <c:f>'Sheet1 (3)'!$B$1</c:f>
              <c:strCache>
                <c:ptCount val="1"/>
                <c:pt idx="0">
                  <c:v>销售额</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0"/>
            <c:showCatName val="0"/>
            <c:showSerName val="0"/>
            <c:showPercent val="0"/>
            <c:showBubbleSize val="0"/>
            <c:showLeaderLines val="0"/>
          </c:dLbls>
          <c:cat>
            <c:strRef>
              <c:f>'Sheet1 (3)'!$A$2:$A$3</c:f>
              <c:strCache>
                <c:ptCount val="2"/>
                <c:pt idx="0">
                  <c:v>基本支出</c:v>
                </c:pt>
                <c:pt idx="1">
                  <c:v>项目支出</c:v>
                </c:pt>
              </c:strCache>
            </c:strRef>
          </c:cat>
          <c:val>
            <c:numRef>
              <c:f>'Sheet1 (3)'!$B$2:$B$3</c:f>
              <c:numCache>
                <c:formatCode>General</c:formatCode>
                <c:ptCount val="2"/>
                <c:pt idx="0">
                  <c:v>153.21</c:v>
                </c:pt>
                <c:pt idx="1">
                  <c:v>916.46</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财政拨款支出</a:t>
            </a:r>
          </a:p>
        </c:rich>
      </c:tx>
      <c:layout/>
      <c:overlay val="0"/>
      <c:spPr>
        <a:noFill/>
        <a:ln>
          <a:noFill/>
        </a:ln>
      </c:spPr>
    </c:title>
    <c:autoTitleDeleted val="0"/>
    <c:plotArea>
      <c:layout/>
      <c:doughnutChart>
        <c:varyColors val="1"/>
        <c:ser>
          <c:idx val="0"/>
          <c:order val="0"/>
          <c:tx>
            <c:strRef>
              <c:f>'Sheet1 (4)'!$B$1</c:f>
              <c:strCache>
                <c:ptCount val="1"/>
                <c:pt idx="0">
                  <c:v>财政拨款支出</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0"/>
            <c:showCatName val="0"/>
            <c:showSerName val="0"/>
            <c:showPercent val="0"/>
            <c:showBubbleSize val="0"/>
            <c:showLeaderLines val="0"/>
          </c:dLbls>
          <c:cat>
            <c:strRef>
              <c:f>'Sheet1 (4)'!$A$2:$A$5</c:f>
              <c:strCache>
                <c:ptCount val="4"/>
                <c:pt idx="0">
                  <c:v>社会保障和就业</c:v>
                </c:pt>
                <c:pt idx="1">
                  <c:v>卫生健康</c:v>
                </c:pt>
                <c:pt idx="2">
                  <c:v>住房保障</c:v>
                </c:pt>
                <c:pt idx="3">
                  <c:v>其他支出</c:v>
                </c:pt>
              </c:strCache>
            </c:strRef>
          </c:cat>
          <c:val>
            <c:numRef>
              <c:f>'Sheet1 (4)'!$B$2:$B$5</c:f>
              <c:numCache>
                <c:formatCode>General</c:formatCode>
                <c:ptCount val="4"/>
                <c:pt idx="0">
                  <c:v>861.11</c:v>
                </c:pt>
                <c:pt idx="1">
                  <c:v>18.27</c:v>
                </c:pt>
                <c:pt idx="2">
                  <c:v>10.29</c:v>
                </c:pt>
                <c:pt idx="3">
                  <c:v>180.0</c:v>
                </c:pt>
              </c:numCache>
            </c:numRef>
          </c:val>
        </c:ser>
        <c:holeSize val="75"/>
        <c:firstSliceAng val="0"/>
      </c:doughnut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Times New Roman"/>
                <a:ea typeface="宋体"/>
                <a:cs typeface="Arial"/>
              </a:defRPr>
            </a:pPr>
            <a:r>
              <a:rPr lang="zh-CN"/>
              <a:t>人员经费</a:t>
            </a:r>
          </a:p>
        </c:rich>
      </c:tx>
      <c:layout/>
      <c:overlay val="0"/>
      <c:spPr>
        <a:noFill/>
        <a:ln>
          <a:noFill/>
        </a:ln>
      </c:spPr>
    </c:title>
    <c:autoTitleDeleted val="0"/>
    <c:plotArea>
      <c:layout/>
      <c:pieChart>
        <c:varyColors val="1"/>
        <c:ser>
          <c:idx val="0"/>
          <c:order val="0"/>
          <c:tx>
            <c:strRef>
              <c:f>'Sheet1 (5)'!$B$1</c:f>
              <c:strCache>
                <c:ptCount val="1"/>
                <c:pt idx="0">
                  <c:v>人员经费</c:v>
                </c:pt>
              </c:strCache>
            </c:strRef>
          </c:tx>
          <c:spPr>
            <a:ln>
              <a:noFill/>
            </a:ln>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Pt>
            <c:idx val="3"/>
            <c:bubble3D val="0"/>
            <c:spPr>
              <a:solidFill>
                <a:srgbClr val="8064A2"/>
              </a:solidFill>
              <a:ln>
                <a:noFill/>
              </a:ln>
              <a:effectLst>
                <a:outerShdw dist="35921" dir="2700000" algn="br">
                  <a:srgbClr val="000000"/>
                </a:outerShdw>
              </a:effectLst>
            </c:spPr>
          </c:dPt>
          <c:dPt>
            <c:idx val="4"/>
            <c:bubble3D val="0"/>
            <c:spPr>
              <a:solidFill>
                <a:srgbClr val="4BACC6"/>
              </a:solidFill>
              <a:ln>
                <a:noFill/>
              </a:ln>
              <a:effectLst>
                <a:outerShdw dist="35921" dir="2700000" algn="br">
                  <a:srgbClr val="000000"/>
                </a:outerShdw>
              </a:effectLst>
            </c:spPr>
          </c:dPt>
          <c:dPt>
            <c:idx val="5"/>
            <c:bubble3D val="0"/>
            <c:spPr>
              <a:solidFill>
                <a:srgbClr val="F79646"/>
              </a:solidFill>
              <a:ln>
                <a:noFill/>
              </a:ln>
              <a:effectLst>
                <a:outerShdw dist="35921" dir="2700000" algn="br">
                  <a:srgbClr val="000000"/>
                </a:outerShdw>
              </a:effectLst>
            </c:spPr>
          </c:dPt>
          <c:dPt>
            <c:idx val="6"/>
            <c:bubble3D val="0"/>
            <c:spPr>
              <a:solidFill>
                <a:srgbClr val="2C4D75"/>
              </a:solidFill>
              <a:ln>
                <a:noFill/>
              </a:ln>
              <a:effectLst>
                <a:outerShdw dist="35921" dir="2700000" algn="br">
                  <a:srgbClr val="000000"/>
                </a:outerShdw>
              </a:effectLst>
            </c:spPr>
          </c:dPt>
          <c:dPt>
            <c:idx val="7"/>
            <c:bubble3D val="0"/>
            <c:spPr>
              <a:solidFill>
                <a:srgbClr val="772C2A"/>
              </a:solidFill>
              <a:ln>
                <a:noFill/>
              </a:ln>
              <a:effectLst>
                <a:outerShdw dist="35921" dir="2700000" algn="br">
                  <a:srgbClr val="000000"/>
                </a:outerShdw>
              </a:effectLst>
            </c:spPr>
          </c:dPt>
          <c:dPt>
            <c:idx val="8"/>
            <c:bubble3D val="0"/>
            <c:spPr>
              <a:solidFill>
                <a:srgbClr val="5F7530"/>
              </a:solidFill>
              <a:ln>
                <a:noFill/>
              </a:ln>
              <a:effectLst>
                <a:outerShdw dist="35921" dir="2700000" algn="br">
                  <a:srgbClr val="000000"/>
                </a:outerShdw>
              </a:effectLst>
            </c:spPr>
          </c:dPt>
          <c:dPt>
            <c:idx val="9"/>
            <c:bubble3D val="0"/>
            <c:spPr>
              <a:solidFill>
                <a:srgbClr val="4D3B62"/>
              </a:solidFill>
              <a:ln>
                <a:noFill/>
              </a:ln>
              <a:effectLst>
                <a:outerShdw dist="35921" dir="2700000" algn="br">
                  <a:srgbClr val="000000"/>
                </a:outerShdw>
              </a:effectLst>
            </c:spPr>
          </c:dPt>
          <c:dPt>
            <c:idx val="10"/>
            <c:bubble3D val="0"/>
            <c:spPr>
              <a:solidFill>
                <a:srgbClr val="276A7C"/>
              </a:solidFill>
              <a:ln>
                <a:noFill/>
              </a:ln>
              <a:effectLst>
                <a:outerShdw dist="35921" dir="2700000" algn="br">
                  <a:srgbClr val="000000"/>
                </a:outerShdw>
              </a:effectLst>
            </c:spPr>
          </c:dPt>
          <c:dPt>
            <c:idx val="11"/>
            <c:bubble3D val="0"/>
            <c:spPr>
              <a:solidFill>
                <a:srgbClr val="B65708"/>
              </a:solidFill>
              <a:ln>
                <a:noFill/>
              </a:ln>
              <a:effectLst>
                <a:outerShdw dist="35921" dir="2700000" algn="br">
                  <a:srgbClr val="000000"/>
                </a:outerShdw>
              </a:effectLst>
            </c:spPr>
          </c:dPt>
          <c:dPt>
            <c:idx val="12"/>
            <c:bubble3D val="0"/>
            <c:spPr>
              <a:solidFill>
                <a:srgbClr val="729ACA"/>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numFmt formatCode="0%" sourceLinked="0"/>
            <c:dLblPos val="ctr"/>
            <c:showLegendKey val="0"/>
            <c:showVal val="0"/>
            <c:showCatName val="0"/>
            <c:showSerName val="0"/>
            <c:showPercent val="1"/>
            <c:showBubbleSize val="0"/>
            <c:showLeaderLines val="1"/>
          </c:dLbls>
          <c:cat>
            <c:strRef>
              <c:f>'Sheet1 (5)'!$A$2:$A$14</c:f>
              <c:strCache>
                <c:ptCount val="13"/>
                <c:pt idx="0">
                  <c:v>基本工资</c:v>
                </c:pt>
                <c:pt idx="1">
                  <c:v>津贴补贴</c:v>
                </c:pt>
                <c:pt idx="2">
                  <c:v>奖金</c:v>
                </c:pt>
                <c:pt idx="3">
                  <c:v>绩效工资</c:v>
                </c:pt>
                <c:pt idx="4">
                  <c:v>机关事业单位基本养老保险缴费</c:v>
                </c:pt>
                <c:pt idx="5">
                  <c:v>职业年金</c:v>
                </c:pt>
                <c:pt idx="6">
                  <c:v>其他社会保障缴费</c:v>
                </c:pt>
                <c:pt idx="7">
                  <c:v>奖励金</c:v>
                </c:pt>
                <c:pt idx="8">
                  <c:v>职工医疗补助</c:v>
                </c:pt>
                <c:pt idx="9">
                  <c:v>公务员医疗补助</c:v>
                </c:pt>
                <c:pt idx="10">
                  <c:v>其他行政事业医疗支出</c:v>
                </c:pt>
                <c:pt idx="11">
                  <c:v>生活补助</c:v>
                </c:pt>
                <c:pt idx="12">
                  <c:v>住房公积金</c:v>
                </c:pt>
              </c:strCache>
            </c:strRef>
          </c:cat>
          <c:val>
            <c:numRef>
              <c:f>'Sheet1 (5)'!$B$2:$B$14</c:f>
              <c:numCache>
                <c:formatCode>General</c:formatCode>
                <c:ptCount val="13"/>
                <c:pt idx="0">
                  <c:v>31.23</c:v>
                </c:pt>
                <c:pt idx="1">
                  <c:v>25.27</c:v>
                </c:pt>
                <c:pt idx="2">
                  <c:v>26.87</c:v>
                </c:pt>
                <c:pt idx="3">
                  <c:v>8.52</c:v>
                </c:pt>
                <c:pt idx="4">
                  <c:v>11.97</c:v>
                </c:pt>
                <c:pt idx="5">
                  <c:v>5.99</c:v>
                </c:pt>
                <c:pt idx="6">
                  <c:v>1.08</c:v>
                </c:pt>
                <c:pt idx="7">
                  <c:v>12.6</c:v>
                </c:pt>
                <c:pt idx="8">
                  <c:v>5.34</c:v>
                </c:pt>
                <c:pt idx="9">
                  <c:v>0.73</c:v>
                </c:pt>
                <c:pt idx="10">
                  <c:v>0.5</c:v>
                </c:pt>
                <c:pt idx="11">
                  <c:v>0.42</c:v>
                </c:pt>
                <c:pt idx="12">
                  <c:v>10.29</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Arial"/>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公用经费</a:t>
            </a:r>
          </a:p>
        </c:rich>
      </c:tx>
      <c:layout/>
      <c:overlay val="0"/>
      <c:spPr>
        <a:noFill/>
        <a:ln>
          <a:noFill/>
        </a:ln>
      </c:spPr>
    </c:title>
    <c:autoTitleDeleted val="1"/>
    <c:plotArea>
      <c:layout/>
      <c:barChart>
        <c:barDir val="bar"/>
        <c:grouping val="clustered"/>
        <c:varyColors val="0"/>
        <c:ser>
          <c:idx val="0"/>
          <c:order val="0"/>
          <c:tx>
            <c:strRef>
              <c:f>'Sheet1 (6)'!$B$1</c:f>
              <c:strCache>
                <c:ptCount val="1"/>
                <c:pt idx="0">
                  <c:v>万元</c:v>
                </c:pt>
              </c:strCache>
            </c:strRef>
          </c:tx>
          <c:spPr>
            <a:solidFill>
              <a:srgbClr val="4F81BD"/>
            </a:solidFill>
            <a:ln>
              <a:noFill/>
            </a:ln>
          </c:spPr>
          <c:invertIfNegative val="0"/>
          <c:dLbls>
            <c:txPr>
              <a:bodyPr/>
              <a:lstStyle/>
              <a:p>
                <a:pPr>
                  <a:defRPr sz="1000" b="0" i="0" u="none" strike="noStrike" baseline="0">
                    <a:solidFill>
                      <a:srgbClr val="000000"/>
                    </a:solidFill>
                    <a:latin typeface="Times New Roman"/>
                    <a:ea typeface="宋体"/>
                    <a:cs typeface="Arial"/>
                  </a:defRPr>
                </a:pPr>
                <a:endParaRPr lang="zh-CN"/>
              </a:p>
            </c:txPr>
            <c:numFmt formatCode="General" sourceLinked="1"/>
            <c:showLegendKey val="0"/>
            <c:showVal val="0"/>
            <c:showCatName val="0"/>
            <c:showSerName val="0"/>
            <c:showPercent val="0"/>
            <c:showBubbleSize val="0"/>
            <c:showLeaderLines val="0"/>
          </c:dLbls>
          <c:cat>
            <c:strRef>
              <c:f>'Sheet1 (6)'!$A$2:$A$9</c:f>
              <c:strCache>
                <c:ptCount val="8"/>
                <c:pt idx="0">
                  <c:v>办公费</c:v>
                </c:pt>
                <c:pt idx="1">
                  <c:v>手续费</c:v>
                </c:pt>
                <c:pt idx="2">
                  <c:v>水费</c:v>
                </c:pt>
                <c:pt idx="3">
                  <c:v>电费</c:v>
                </c:pt>
                <c:pt idx="4">
                  <c:v>邮电费</c:v>
                </c:pt>
                <c:pt idx="5">
                  <c:v>差旅费</c:v>
                </c:pt>
                <c:pt idx="6">
                  <c:v>劳务费</c:v>
                </c:pt>
                <c:pt idx="7">
                  <c:v>其他交通费用</c:v>
                </c:pt>
              </c:strCache>
            </c:strRef>
          </c:cat>
          <c:val>
            <c:numRef>
              <c:f>'Sheet1 (6)'!$B$2:$B$9</c:f>
              <c:numCache>
                <c:formatCode>General</c:formatCode>
                <c:ptCount val="8"/>
                <c:pt idx="0">
                  <c:v>2.59</c:v>
                </c:pt>
                <c:pt idx="1">
                  <c:v>0.03</c:v>
                </c:pt>
                <c:pt idx="2">
                  <c:v>0.08</c:v>
                </c:pt>
                <c:pt idx="3">
                  <c:v>1.0</c:v>
                </c:pt>
                <c:pt idx="4">
                  <c:v>1.0</c:v>
                </c:pt>
                <c:pt idx="5">
                  <c:v>3.5</c:v>
                </c:pt>
                <c:pt idx="6">
                  <c:v>0.24</c:v>
                </c:pt>
                <c:pt idx="7">
                  <c:v>3.96</c:v>
                </c:pt>
              </c:numCache>
            </c:numRef>
          </c:val>
        </c:ser>
        <c:gapWidth val="182"/>
        <c:axId val="0"/>
        <c:axId val="1"/>
      </c:barChart>
      <c:catAx>
        <c:axId val="0"/>
        <c:scaling>
          <c:orientation val="minMax"/>
        </c:scaling>
        <c:delete val="0"/>
        <c:axPos val="l"/>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b"/>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Arial"/>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82</TotalTime>
  <Application>Yozo_Office27021597764231179</Application>
  <Pages>43</Pages>
  <Words>16411</Words>
  <Characters>17825</Characters>
  <Lines>1088</Lines>
  <Paragraphs>482</Paragraphs>
  <CharactersWithSpaces>17993</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Administrator</cp:lastModifiedBy>
  <cp:revision>33</cp:revision>
  <cp:lastPrinted>2023-08-28T19:32:00Z</cp:lastPrinted>
  <dcterms:created xsi:type="dcterms:W3CDTF">2020-08-05T17:49:00Z</dcterms:created>
  <dcterms:modified xsi:type="dcterms:W3CDTF">2023-08-30T08:11:35Z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2052-11.1.0.10702</vt:lpwstr>
  </property>
  <property fmtid="{D5CDD505-2E9C-101B-9397-08002B2CF9AE}" pid="3" name="ICV">
    <vt:lpwstr>31BF9FF1B80A4A7F952CBB6EB7B709B3_13</vt:lpwstr>
  </property>
</Properties>
</file>