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after="87" w:afterLines="20" w:afterAutospacing="0"/>
        <w:ind w:firstLine="0" w:firstLineChars="0"/>
        <w:jc w:val="center"/>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lang w:eastAsia="zh-CN"/>
        </w:rPr>
        <w:t>2021年</w:t>
      </w:r>
      <w:r>
        <w:rPr>
          <w:rFonts w:hint="default" w:ascii="Times New Roman" w:hAnsi="Times New Roman" w:eastAsia="方正小标宋简体" w:cs="Times New Roman"/>
          <w:sz w:val="72"/>
          <w:szCs w:val="72"/>
        </w:rPr>
        <w:t>度</w:t>
      </w:r>
    </w:p>
    <w:p>
      <w:pPr>
        <w:spacing w:after="87" w:afterLines="20" w:afterAutospacing="0"/>
        <w:ind w:firstLine="0" w:firstLineChars="0"/>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金川县退役军人事务局</w:t>
      </w:r>
    </w:p>
    <w:p>
      <w:pPr>
        <w:ind w:firstLine="2880" w:firstLineChars="400"/>
        <w:jc w:val="both"/>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rPr>
        <w:t>部门决算</w:t>
      </w: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left="0" w:leftChars="0" w:firstLine="0" w:firstLineChars="0"/>
        <w:jc w:val="both"/>
        <w:rPr>
          <w:rFonts w:hint="eastAsia" w:ascii="Times New Roman" w:hAnsi="Times New Roman" w:eastAsia="方正小标宋简体" w:cs="Times New Roman"/>
          <w:sz w:val="32"/>
          <w:szCs w:val="32"/>
          <w:lang w:val="en-US" w:eastAsia="zh-CN"/>
        </w:rPr>
      </w:pPr>
    </w:p>
    <w:p>
      <w:pPr>
        <w:ind w:left="0" w:leftChars="0" w:firstLine="0" w:firstLineChars="0"/>
        <w:jc w:val="center"/>
        <w:rPr>
          <w:rFonts w:hint="default" w:ascii="Times New Roman" w:hAnsi="Times New Roman" w:eastAsia="方正小标宋简体" w:cs="Times New Roman"/>
          <w:sz w:val="32"/>
          <w:szCs w:val="32"/>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88" w:bottom="1985" w:left="1474" w:header="851" w:footer="992" w:gutter="0"/>
          <w:pgNumType w:fmt="numberInDash"/>
          <w:cols w:space="720" w:num="1"/>
          <w:docGrid w:type="lines" w:linePitch="435" w:charSpace="0"/>
        </w:sectPr>
      </w:pPr>
      <w:r>
        <w:rPr>
          <w:rFonts w:hint="eastAsia" w:ascii="Times New Roman" w:hAnsi="Times New Roman" w:eastAsia="方正小标宋简体" w:cs="Times New Roman"/>
          <w:sz w:val="32"/>
          <w:szCs w:val="32"/>
          <w:lang w:val="en-US" w:eastAsia="zh-CN"/>
        </w:rPr>
        <w:t>公开时间：2022年8月</w:t>
      </w:r>
      <w:r>
        <w:rPr>
          <w:rFonts w:hint="eastAsia" w:eastAsia="方正小标宋简体" w:cs="Times New Roman"/>
          <w:sz w:val="32"/>
          <w:szCs w:val="32"/>
          <w:lang w:val="en-US" w:eastAsia="zh-CN"/>
        </w:rPr>
        <w:t>25</w:t>
      </w:r>
      <w:r>
        <w:rPr>
          <w:rFonts w:hint="eastAsia" w:ascii="Times New Roman" w:hAnsi="Times New Roman" w:eastAsia="方正小标宋简体" w:cs="Times New Roman"/>
          <w:sz w:val="32"/>
          <w:szCs w:val="32"/>
          <w:lang w:val="en-US" w:eastAsia="zh-CN"/>
        </w:rPr>
        <w:t>日</w:t>
      </w:r>
    </w:p>
    <w:p>
      <w:pPr>
        <w:pStyle w:val="10"/>
        <w:tabs>
          <w:tab w:val="right" w:leader="dot" w:pos="8406"/>
        </w:tabs>
        <w:ind w:firstLine="88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目录</w:t>
      </w:r>
    </w:p>
    <w:p>
      <w:pPr>
        <w:rPr>
          <w:rFonts w:hint="default" w:ascii="Times New Roman" w:hAnsi="Times New Roman" w:cs="Times New Roman"/>
        </w:rPr>
      </w:pP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TOC \o "1-3" \h \u </w:instrText>
      </w:r>
      <w:r>
        <w:rPr>
          <w:rFonts w:hint="default" w:ascii="Times New Roman" w:hAnsi="Times New Roman" w:cs="Times New Roman"/>
          <w:szCs w:val="32"/>
        </w:rPr>
        <w:fldChar w:fldCharType="separate"/>
      </w: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_Toc29088 </w:instrText>
      </w:r>
      <w:r>
        <w:rPr>
          <w:rFonts w:hint="default" w:ascii="Times New Roman" w:hAnsi="Times New Roman" w:cs="Times New Roman"/>
          <w:szCs w:val="32"/>
        </w:rPr>
        <w:fldChar w:fldCharType="separate"/>
      </w:r>
      <w:r>
        <w:rPr>
          <w:rFonts w:hint="default" w:ascii="Times New Roman" w:hAnsi="Times New Roman" w:cs="Times New Roman"/>
          <w:b w:val="0"/>
          <w:bCs/>
          <w:szCs w:val="44"/>
          <w:lang w:val="en-US" w:eastAsia="zh-CN"/>
        </w:rPr>
        <w:t>第一部分部门概况</w:t>
      </w:r>
      <w:r>
        <w:tab/>
      </w:r>
      <w:r>
        <w:fldChar w:fldCharType="begin"/>
      </w:r>
      <w:r>
        <w:instrText xml:space="preserve"> PAGEREF _Toc29088 </w:instrText>
      </w:r>
      <w:r>
        <w:fldChar w:fldCharType="separate"/>
      </w:r>
      <w:r>
        <w:t>1</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_Toc19155 </w:instrText>
      </w:r>
      <w:r>
        <w:rPr>
          <w:rFonts w:hint="default" w:ascii="Times New Roman" w:hAnsi="Times New Roman" w:cs="Times New Roman"/>
          <w:szCs w:val="32"/>
        </w:rPr>
        <w:fldChar w:fldCharType="separate"/>
      </w:r>
      <w:r>
        <w:rPr>
          <w:rFonts w:hint="eastAsia" w:ascii="黑体" w:hAnsi="黑体" w:eastAsia="黑体" w:cs="黑体"/>
          <w:b w:val="0"/>
          <w:bCs w:val="0"/>
          <w:szCs w:val="32"/>
        </w:rPr>
        <w:t>一、 单位基本情况</w:t>
      </w:r>
      <w:r>
        <w:tab/>
      </w:r>
      <w:r>
        <w:fldChar w:fldCharType="begin"/>
      </w:r>
      <w:r>
        <w:instrText xml:space="preserve"> PAGEREF _Toc19155 </w:instrText>
      </w:r>
      <w:r>
        <w:fldChar w:fldCharType="separate"/>
      </w:r>
      <w:r>
        <w:t>1</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_Toc19397 </w:instrText>
      </w:r>
      <w:r>
        <w:rPr>
          <w:rFonts w:hint="default" w:ascii="Times New Roman" w:hAnsi="Times New Roman" w:cs="Times New Roman"/>
          <w:szCs w:val="32"/>
        </w:rPr>
        <w:fldChar w:fldCharType="separate"/>
      </w:r>
      <w:r>
        <w:rPr>
          <w:rFonts w:hint="eastAsia" w:ascii="楷体" w:hAnsi="楷体" w:eastAsia="楷体" w:cs="楷体"/>
          <w:b/>
          <w:bCs/>
          <w:szCs w:val="32"/>
        </w:rPr>
        <w:t>（二）机构和人员情况</w:t>
      </w:r>
      <w:r>
        <w:tab/>
      </w:r>
      <w:r>
        <w:fldChar w:fldCharType="begin"/>
      </w:r>
      <w:r>
        <w:instrText xml:space="preserve"> PAGEREF _Toc19397 </w:instrText>
      </w:r>
      <w:r>
        <w:fldChar w:fldCharType="separate"/>
      </w:r>
      <w:r>
        <w:t>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_Toc7233 </w:instrText>
      </w:r>
      <w:r>
        <w:rPr>
          <w:rFonts w:hint="default" w:ascii="Times New Roman" w:hAnsi="Times New Roman" w:cs="Times New Roman"/>
          <w:szCs w:val="32"/>
        </w:rPr>
        <w:fldChar w:fldCharType="separate"/>
      </w:r>
      <w:r>
        <w:tab/>
      </w:r>
      <w:r>
        <w:fldChar w:fldCharType="begin"/>
      </w:r>
      <w:r>
        <w:instrText xml:space="preserve"> PAGEREF _Toc7233 </w:instrText>
      </w:r>
      <w:r>
        <w:fldChar w:fldCharType="separate"/>
      </w:r>
      <w:r>
        <w:t>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_Toc1540 </w:instrText>
      </w:r>
      <w:r>
        <w:rPr>
          <w:rFonts w:hint="default" w:ascii="Times New Roman" w:hAnsi="Times New Roman" w:cs="Times New Roman"/>
          <w:szCs w:val="32"/>
        </w:rPr>
        <w:fldChar w:fldCharType="separate"/>
      </w:r>
      <w:r>
        <w:rPr>
          <w:rFonts w:hint="eastAsia" w:ascii="楷体" w:hAnsi="楷体" w:eastAsia="楷体" w:cs="楷体"/>
          <w:b/>
          <w:bCs/>
          <w:szCs w:val="32"/>
        </w:rPr>
        <w:t>（三）当年取得的主要成效</w:t>
      </w:r>
      <w:r>
        <w:tab/>
      </w:r>
      <w:r>
        <w:fldChar w:fldCharType="begin"/>
      </w:r>
      <w:r>
        <w:instrText xml:space="preserve"> PAGEREF _Toc1540 </w:instrText>
      </w:r>
      <w:r>
        <w:fldChar w:fldCharType="separate"/>
      </w:r>
      <w:r>
        <w:t>2</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_Toc30601 </w:instrText>
      </w:r>
      <w:r>
        <w:rPr>
          <w:rFonts w:hint="default" w:ascii="Times New Roman" w:hAnsi="Times New Roman" w:cs="Times New Roman"/>
          <w:szCs w:val="32"/>
        </w:rPr>
        <w:fldChar w:fldCharType="separate"/>
      </w:r>
      <w:r>
        <w:rPr>
          <w:rFonts w:hint="default" w:ascii="Times New Roman" w:hAnsi="Times New Roman" w:cs="Times New Roman"/>
          <w:b w:val="0"/>
          <w:bCs/>
          <w:szCs w:val="44"/>
          <w:lang w:val="en-US" w:eastAsia="zh-CN"/>
        </w:rPr>
        <w:t>第二部分2021年度部门决算情况说明</w:t>
      </w:r>
      <w:r>
        <w:tab/>
      </w:r>
      <w:r>
        <w:fldChar w:fldCharType="begin"/>
      </w:r>
      <w:r>
        <w:instrText xml:space="preserve"> PAGEREF _Toc30601 </w:instrText>
      </w:r>
      <w:r>
        <w:fldChar w:fldCharType="separate"/>
      </w:r>
      <w:r>
        <w:t>5</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_Toc5435 </w:instrText>
      </w:r>
      <w:r>
        <w:rPr>
          <w:rFonts w:hint="default" w:ascii="Times New Roman" w:hAnsi="Times New Roman" w:cs="Times New Roman"/>
          <w:szCs w:val="32"/>
        </w:rPr>
        <w:fldChar w:fldCharType="separate"/>
      </w:r>
      <w:r>
        <w:rPr>
          <w:rFonts w:hint="eastAsia" w:cs="Times New Roman"/>
          <w:b w:val="0"/>
          <w:bCs/>
          <w:szCs w:val="32"/>
          <w:lang w:val="en-US" w:eastAsia="zh-CN"/>
        </w:rPr>
        <w:t>一</w:t>
      </w:r>
      <w:r>
        <w:rPr>
          <w:rFonts w:hint="default" w:ascii="Times New Roman" w:hAnsi="Times New Roman" w:cs="Times New Roman"/>
          <w:b w:val="0"/>
          <w:bCs/>
          <w:szCs w:val="32"/>
        </w:rPr>
        <w:t>、一般公共预算财政拨款基本支出情况</w:t>
      </w:r>
      <w:r>
        <w:tab/>
      </w:r>
      <w:r>
        <w:fldChar w:fldCharType="begin"/>
      </w:r>
      <w:r>
        <w:instrText xml:space="preserve"> PAGEREF _Toc5435 </w:instrText>
      </w:r>
      <w:r>
        <w:fldChar w:fldCharType="separate"/>
      </w:r>
      <w:r>
        <w:t>5</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_Toc10580 </w:instrText>
      </w:r>
      <w:r>
        <w:rPr>
          <w:rFonts w:hint="default" w:ascii="Times New Roman" w:hAnsi="Times New Roman" w:cs="Times New Roman"/>
          <w:szCs w:val="32"/>
        </w:rPr>
        <w:fldChar w:fldCharType="separate"/>
      </w:r>
      <w:r>
        <w:rPr>
          <w:rFonts w:hint="default" w:ascii="Times New Roman" w:hAnsi="Times New Roman" w:cs="Times New Roman"/>
          <w:szCs w:val="32"/>
        </w:rPr>
        <w:t>（一）收入支出预算安排情况</w:t>
      </w:r>
      <w:r>
        <w:tab/>
      </w:r>
      <w:r>
        <w:fldChar w:fldCharType="begin"/>
      </w:r>
      <w:r>
        <w:instrText xml:space="preserve"> PAGEREF _Toc10580 </w:instrText>
      </w:r>
      <w:r>
        <w:fldChar w:fldCharType="separate"/>
      </w:r>
      <w:r>
        <w:t>5</w:t>
      </w:r>
      <w:r>
        <w:fldChar w:fldCharType="end"/>
      </w:r>
      <w:r>
        <w:rPr>
          <w:rFonts w:hint="default" w:ascii="Times New Roman" w:hAnsi="Times New Roman" w:cs="Times New Roman"/>
          <w:szCs w:val="32"/>
        </w:rPr>
        <w:fldChar w:fldCharType="end"/>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\l _Toc9777 </w:instrText>
      </w:r>
      <w:r>
        <w:rPr>
          <w:rFonts w:hint="default" w:ascii="Times New Roman" w:hAnsi="Times New Roman" w:eastAsia="仿宋_GB2312" w:cs="Times New Roman"/>
          <w:kern w:val="2"/>
          <w:sz w:val="32"/>
          <w:szCs w:val="32"/>
          <w:lang w:val="en-US" w:eastAsia="zh-CN" w:bidi="ar-SA"/>
        </w:rPr>
        <w:fldChar w:fldCharType="separate"/>
      </w:r>
      <w:r>
        <w:rPr>
          <w:rFonts w:hint="eastAsia" w:ascii="Times New Roman" w:hAnsi="Times New Roman" w:eastAsia="仿宋_GB2312" w:cs="Times New Roman"/>
          <w:kern w:val="2"/>
          <w:sz w:val="32"/>
          <w:szCs w:val="32"/>
          <w:lang w:val="en-US" w:eastAsia="zh-CN" w:bidi="ar-SA"/>
        </w:rPr>
        <w:t>（二）收入支出预算执行情况 ...........................</w:t>
      </w:r>
      <w:r>
        <w:rPr>
          <w:rFonts w:hint="eastAsia"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PAGEREF _Toc9777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_Toc32485 </w:instrText>
      </w:r>
      <w:r>
        <w:rPr>
          <w:rFonts w:hint="default" w:ascii="Times New Roman" w:hAnsi="Times New Roman" w:cs="Times New Roman"/>
          <w:szCs w:val="32"/>
        </w:rPr>
        <w:fldChar w:fldCharType="separate"/>
      </w:r>
      <w:r>
        <w:rPr>
          <w:rFonts w:hint="eastAsia" w:ascii="Times New Roman" w:hAnsi="Times New Roman" w:eastAsia="仿宋_GB2312" w:cs="Times New Roman"/>
          <w:kern w:val="2"/>
          <w:sz w:val="32"/>
          <w:szCs w:val="32"/>
          <w:lang w:val="en-US" w:eastAsia="zh-CN" w:bidi="ar-SA"/>
        </w:rPr>
        <w:t>（三）年末结转和结余情况</w:t>
      </w:r>
      <w:r>
        <w:tab/>
      </w:r>
      <w:r>
        <w:fldChar w:fldCharType="begin"/>
      </w:r>
      <w:r>
        <w:instrText xml:space="preserve"> PAGEREF _Toc32485 </w:instrText>
      </w:r>
      <w:r>
        <w:fldChar w:fldCharType="separate"/>
      </w:r>
      <w:r>
        <w:t>10</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_Toc10072 </w:instrText>
      </w:r>
      <w:r>
        <w:rPr>
          <w:rFonts w:hint="default" w:ascii="Times New Roman" w:hAnsi="Times New Roman" w:cs="Times New Roman"/>
          <w:szCs w:val="32"/>
        </w:rPr>
        <w:fldChar w:fldCharType="separate"/>
      </w:r>
      <w:r>
        <w:rPr>
          <w:rFonts w:hint="eastAsia" w:ascii="黑体" w:eastAsia="黑体"/>
          <w:b w:val="0"/>
          <w:bCs w:val="0"/>
          <w:szCs w:val="32"/>
          <w:lang w:val="en-US" w:eastAsia="zh-CN"/>
        </w:rPr>
        <w:t>二</w:t>
      </w:r>
      <w:r>
        <w:rPr>
          <w:rFonts w:hint="eastAsia" w:ascii="黑体" w:eastAsia="黑体"/>
          <w:b w:val="0"/>
          <w:bCs w:val="0"/>
          <w:szCs w:val="32"/>
        </w:rPr>
        <w:t>、“三公”经费财政拨款支出决算情况</w:t>
      </w:r>
      <w:r>
        <w:tab/>
      </w:r>
      <w:r>
        <w:fldChar w:fldCharType="begin"/>
      </w:r>
      <w:r>
        <w:instrText xml:space="preserve"> PAGEREF _Toc10072 </w:instrText>
      </w:r>
      <w:r>
        <w:fldChar w:fldCharType="separate"/>
      </w:r>
      <w:r>
        <w:t>11</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_Toc8269 </w:instrText>
      </w:r>
      <w:r>
        <w:rPr>
          <w:rFonts w:hint="default" w:ascii="Times New Roman" w:hAnsi="Times New Roman" w:cs="Times New Roman"/>
          <w:szCs w:val="32"/>
        </w:rPr>
        <w:fldChar w:fldCharType="separate"/>
      </w:r>
      <w:r>
        <w:rPr>
          <w:rFonts w:hint="eastAsia" w:ascii="楷体" w:hAnsi="楷体" w:eastAsia="楷体" w:cs="楷体"/>
          <w:b/>
          <w:szCs w:val="32"/>
        </w:rPr>
        <w:t>（一）“三公”经费财政拨款支出决算总体情况说明</w:t>
      </w:r>
      <w:r>
        <w:tab/>
      </w:r>
      <w:r>
        <w:fldChar w:fldCharType="begin"/>
      </w:r>
      <w:r>
        <w:instrText xml:space="preserve"> PAGEREF _Toc8269 </w:instrText>
      </w:r>
      <w:r>
        <w:fldChar w:fldCharType="separate"/>
      </w:r>
      <w:r>
        <w:t>11</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_Toc15153 </w:instrText>
      </w:r>
      <w:r>
        <w:rPr>
          <w:rFonts w:hint="default" w:ascii="Times New Roman" w:hAnsi="Times New Roman" w:cs="Times New Roman"/>
          <w:szCs w:val="32"/>
        </w:rPr>
        <w:fldChar w:fldCharType="separate"/>
      </w:r>
      <w:r>
        <w:rPr>
          <w:rFonts w:hint="eastAsia" w:ascii="楷体" w:hAnsi="楷体" w:eastAsia="楷体" w:cs="楷体"/>
          <w:b/>
          <w:szCs w:val="32"/>
        </w:rPr>
        <w:t>（二）“三公”经费财政拨款支出决算具体情况说明</w:t>
      </w:r>
      <w:r>
        <w:tab/>
      </w:r>
      <w:r>
        <w:fldChar w:fldCharType="begin"/>
      </w:r>
      <w:r>
        <w:instrText xml:space="preserve"> PAGEREF _Toc15153 </w:instrText>
      </w:r>
      <w:r>
        <w:fldChar w:fldCharType="separate"/>
      </w:r>
      <w:r>
        <w:t>11</w:t>
      </w:r>
      <w:r>
        <w:fldChar w:fldCharType="end"/>
      </w:r>
      <w:r>
        <w:rPr>
          <w:rFonts w:hint="default" w:ascii="Times New Roman" w:hAnsi="Times New Roman" w:cs="Times New Roman"/>
          <w:szCs w:val="32"/>
        </w:rPr>
        <w:fldChar w:fldCharType="end"/>
      </w:r>
    </w:p>
    <w:p>
      <w:pPr>
        <w:pStyle w:val="7"/>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_Toc816 </w:instrText>
      </w:r>
      <w:r>
        <w:rPr>
          <w:rFonts w:hint="default" w:ascii="Times New Roman" w:hAnsi="Times New Roman" w:cs="Times New Roman"/>
          <w:szCs w:val="32"/>
        </w:rPr>
        <w:fldChar w:fldCharType="separate"/>
      </w:r>
      <w:r>
        <w:rPr>
          <w:rFonts w:hint="eastAsia" w:ascii="楷体" w:hAnsi="楷体" w:eastAsia="楷体" w:cs="楷体"/>
          <w:b/>
          <w:szCs w:val="32"/>
        </w:rPr>
        <w:t>1.因公出国（境）经费</w:t>
      </w:r>
      <w:r>
        <w:tab/>
      </w:r>
      <w:r>
        <w:fldChar w:fldCharType="begin"/>
      </w:r>
      <w:r>
        <w:instrText xml:space="preserve"> PAGEREF _Toc816 </w:instrText>
      </w:r>
      <w:r>
        <w:fldChar w:fldCharType="separate"/>
      </w:r>
      <w:r>
        <w:t>11</w:t>
      </w:r>
      <w:r>
        <w:fldChar w:fldCharType="end"/>
      </w:r>
      <w:r>
        <w:rPr>
          <w:rFonts w:hint="default" w:ascii="Times New Roman" w:hAnsi="Times New Roman" w:cs="Times New Roman"/>
          <w:szCs w:val="32"/>
        </w:rPr>
        <w:fldChar w:fldCharType="end"/>
      </w:r>
    </w:p>
    <w:p>
      <w:pPr>
        <w:pStyle w:val="7"/>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_Toc9057 </w:instrText>
      </w:r>
      <w:r>
        <w:rPr>
          <w:rFonts w:hint="default" w:ascii="Times New Roman" w:hAnsi="Times New Roman" w:cs="Times New Roman"/>
          <w:szCs w:val="32"/>
        </w:rPr>
        <w:fldChar w:fldCharType="separate"/>
      </w:r>
      <w:r>
        <w:rPr>
          <w:rFonts w:hint="eastAsia" w:ascii="楷体" w:hAnsi="楷体" w:eastAsia="楷体" w:cs="楷体"/>
          <w:b/>
          <w:szCs w:val="32"/>
        </w:rPr>
        <w:t>2.公务用车购置及运行维护费</w:t>
      </w:r>
      <w:r>
        <w:tab/>
      </w:r>
      <w:r>
        <w:fldChar w:fldCharType="begin"/>
      </w:r>
      <w:r>
        <w:instrText xml:space="preserve"> PAGEREF _Toc9057 </w:instrText>
      </w:r>
      <w:r>
        <w:fldChar w:fldCharType="separate"/>
      </w:r>
      <w:r>
        <w:t>11</w:t>
      </w:r>
      <w:r>
        <w:fldChar w:fldCharType="end"/>
      </w:r>
      <w:r>
        <w:rPr>
          <w:rFonts w:hint="default" w:ascii="Times New Roman" w:hAnsi="Times New Roman" w:cs="Times New Roman"/>
          <w:szCs w:val="32"/>
        </w:rPr>
        <w:fldChar w:fldCharType="end"/>
      </w:r>
    </w:p>
    <w:p>
      <w:pPr>
        <w:pStyle w:val="7"/>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_Toc21424 </w:instrText>
      </w:r>
      <w:r>
        <w:rPr>
          <w:rFonts w:hint="default" w:ascii="Times New Roman" w:hAnsi="Times New Roman" w:cs="Times New Roman"/>
          <w:szCs w:val="32"/>
        </w:rPr>
        <w:fldChar w:fldCharType="separate"/>
      </w:r>
      <w:r>
        <w:rPr>
          <w:rFonts w:hint="eastAsia" w:ascii="楷体" w:hAnsi="楷体" w:eastAsia="楷体" w:cs="楷体"/>
          <w:b/>
          <w:szCs w:val="32"/>
        </w:rPr>
        <w:t>3.公务接待费</w:t>
      </w:r>
      <w:r>
        <w:tab/>
      </w:r>
      <w:r>
        <w:fldChar w:fldCharType="begin"/>
      </w:r>
      <w:r>
        <w:instrText xml:space="preserve"> PAGEREF _Toc21424 </w:instrText>
      </w:r>
      <w:r>
        <w:fldChar w:fldCharType="separate"/>
      </w:r>
      <w:r>
        <w:t>11</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_Toc25550 </w:instrText>
      </w:r>
      <w:r>
        <w:rPr>
          <w:rFonts w:hint="default" w:ascii="Times New Roman" w:hAnsi="Times New Roman" w:cs="Times New Roman"/>
          <w:szCs w:val="32"/>
        </w:rPr>
        <w:fldChar w:fldCharType="separate"/>
      </w:r>
      <w:r>
        <w:rPr>
          <w:rFonts w:hint="eastAsia" w:ascii="黑体" w:hAnsi="黑体" w:eastAsia="黑体" w:cs="黑体"/>
          <w:b w:val="0"/>
          <w:bCs w:val="0"/>
          <w:szCs w:val="32"/>
          <w:lang w:val="en-US" w:eastAsia="zh-CN"/>
        </w:rPr>
        <w:t>三</w:t>
      </w:r>
      <w:r>
        <w:rPr>
          <w:rFonts w:hint="eastAsia" w:ascii="黑体" w:hAnsi="黑体" w:eastAsia="黑体" w:cs="黑体"/>
          <w:b w:val="0"/>
          <w:bCs w:val="0"/>
          <w:szCs w:val="32"/>
        </w:rPr>
        <w:t>、政府性基金预算财政拨款支出决算情况</w:t>
      </w:r>
      <w:r>
        <w:tab/>
      </w:r>
      <w:r>
        <w:fldChar w:fldCharType="begin"/>
      </w:r>
      <w:r>
        <w:instrText xml:space="preserve"> PAGEREF _Toc25550 </w:instrText>
      </w:r>
      <w:r>
        <w:fldChar w:fldCharType="separate"/>
      </w:r>
      <w:r>
        <w:t>11</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_Toc5439 </w:instrText>
      </w:r>
      <w:r>
        <w:rPr>
          <w:rFonts w:hint="default" w:ascii="Times New Roman" w:hAnsi="Times New Roman" w:cs="Times New Roman"/>
          <w:szCs w:val="32"/>
        </w:rPr>
        <w:fldChar w:fldCharType="separate"/>
      </w:r>
      <w:r>
        <w:rPr>
          <w:rFonts w:hint="eastAsia" w:ascii="黑体" w:eastAsia="黑体"/>
          <w:b w:val="0"/>
          <w:lang w:val="en-US" w:eastAsia="zh-CN"/>
        </w:rPr>
        <w:t>四、</w:t>
      </w:r>
      <w:r>
        <w:rPr>
          <w:rFonts w:hint="eastAsia" w:ascii="黑体" w:eastAsia="黑体"/>
          <w:b w:val="0"/>
        </w:rPr>
        <w:t>国有资本经营预算支出决算情况说明</w:t>
      </w:r>
      <w:r>
        <w:tab/>
      </w:r>
      <w:r>
        <w:fldChar w:fldCharType="begin"/>
      </w:r>
      <w:r>
        <w:instrText xml:space="preserve"> PAGEREF _Toc5439 </w:instrText>
      </w:r>
      <w:r>
        <w:fldChar w:fldCharType="separate"/>
      </w:r>
      <w:r>
        <w:t>11</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_Toc19645 </w:instrText>
      </w:r>
      <w:r>
        <w:rPr>
          <w:rFonts w:hint="default" w:ascii="Times New Roman" w:hAnsi="Times New Roman" w:cs="Times New Roman"/>
          <w:szCs w:val="32"/>
        </w:rPr>
        <w:fldChar w:fldCharType="separate"/>
      </w:r>
      <w:r>
        <w:rPr>
          <w:rFonts w:hint="eastAsia" w:ascii="黑体" w:eastAsia="黑体"/>
          <w:b w:val="0"/>
          <w:bCs w:val="0"/>
          <w:szCs w:val="32"/>
          <w:lang w:val="en-US" w:eastAsia="zh-CN"/>
        </w:rPr>
        <w:t>五</w:t>
      </w:r>
      <w:r>
        <w:rPr>
          <w:rFonts w:hint="eastAsia" w:ascii="黑体" w:eastAsia="黑体"/>
          <w:b w:val="0"/>
          <w:bCs w:val="0"/>
          <w:szCs w:val="32"/>
        </w:rPr>
        <w:t>、其他重要事项的情况说明</w:t>
      </w:r>
      <w:r>
        <w:tab/>
      </w:r>
      <w:r>
        <w:fldChar w:fldCharType="begin"/>
      </w:r>
      <w:r>
        <w:instrText xml:space="preserve"> PAGEREF _Toc19645 </w:instrText>
      </w:r>
      <w:r>
        <w:fldChar w:fldCharType="separate"/>
      </w:r>
      <w:r>
        <w:t>12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_Toc12097 </w:instrText>
      </w:r>
      <w:r>
        <w:rPr>
          <w:rFonts w:hint="default" w:ascii="Times New Roman" w:hAnsi="Times New Roman" w:cs="Times New Roman"/>
          <w:szCs w:val="32"/>
        </w:rPr>
        <w:fldChar w:fldCharType="separate"/>
      </w:r>
      <w:r>
        <w:rPr>
          <w:rFonts w:hint="default" w:ascii="Times New Roman" w:hAnsi="Times New Roman" w:cs="Times New Roman"/>
          <w:szCs w:val="32"/>
        </w:rPr>
        <w:t>（一）本部门财务管理、绩效管理、决算组织、编报、审核情况</w:t>
      </w:r>
      <w:r>
        <w:tab/>
      </w:r>
      <w:r>
        <w:fldChar w:fldCharType="begin"/>
      </w:r>
      <w:r>
        <w:instrText xml:space="preserve"> PAGEREF _Toc12097 </w:instrText>
      </w:r>
      <w:r>
        <w:fldChar w:fldCharType="separate"/>
      </w:r>
      <w:r>
        <w:t>12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_Toc26474 </w:instrText>
      </w:r>
      <w:r>
        <w:rPr>
          <w:rFonts w:hint="default" w:ascii="Times New Roman" w:hAnsi="Times New Roman" w:cs="Times New Roman"/>
          <w:szCs w:val="32"/>
        </w:rPr>
        <w:fldChar w:fldCharType="separate"/>
      </w:r>
      <w:r>
        <w:rPr>
          <w:rFonts w:hint="default" w:ascii="Times New Roman" w:hAnsi="Times New Roman" w:cs="Times New Roman"/>
          <w:szCs w:val="32"/>
        </w:rPr>
        <w:t>（二）本部门决算及绩效信息公开工作、主管部门对所属单位按规定批复决算工作开展情况</w:t>
      </w:r>
      <w:r>
        <w:tab/>
      </w:r>
      <w:r>
        <w:fldChar w:fldCharType="begin"/>
      </w:r>
      <w:r>
        <w:instrText xml:space="preserve"> PAGEREF _Toc26474 </w:instrText>
      </w:r>
      <w:r>
        <w:fldChar w:fldCharType="separate"/>
      </w:r>
      <w:r>
        <w:t>12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_Toc28614 </w:instrText>
      </w:r>
      <w:r>
        <w:rPr>
          <w:rFonts w:hint="default" w:ascii="Times New Roman" w:hAnsi="Times New Roman" w:cs="Times New Roman"/>
          <w:szCs w:val="32"/>
        </w:rPr>
        <w:fldChar w:fldCharType="separate"/>
      </w:r>
      <w:r>
        <w:rPr>
          <w:rFonts w:hint="default" w:ascii="Times New Roman" w:hAnsi="Times New Roman" w:cs="Times New Roman"/>
          <w:szCs w:val="32"/>
        </w:rPr>
        <w:t>按照县委、县政府的统一安排,我</w:t>
      </w:r>
      <w:r>
        <w:rPr>
          <w:rFonts w:hint="eastAsia" w:cs="Times New Roman"/>
          <w:szCs w:val="32"/>
          <w:lang w:val="en-US" w:eastAsia="zh-CN"/>
        </w:rPr>
        <w:t>局</w:t>
      </w:r>
      <w:r>
        <w:rPr>
          <w:rFonts w:hint="default" w:ascii="Times New Roman" w:hAnsi="Times New Roman" w:cs="Times New Roman"/>
          <w:szCs w:val="32"/>
        </w:rPr>
        <w:t>准确、及时地进行部门预、决算公开工作。</w:t>
      </w:r>
      <w:r>
        <w:tab/>
      </w:r>
      <w:r>
        <w:fldChar w:fldCharType="begin"/>
      </w:r>
      <w:r>
        <w:instrText xml:space="preserve"> PAGEREF _Toc28614 </w:instrText>
      </w:r>
      <w:r>
        <w:fldChar w:fldCharType="separate"/>
      </w:r>
      <w:r>
        <w:t>12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_Toc5215 </w:instrText>
      </w:r>
      <w:r>
        <w:rPr>
          <w:rFonts w:hint="default" w:ascii="Times New Roman" w:hAnsi="Times New Roman" w:cs="Times New Roman"/>
          <w:szCs w:val="32"/>
        </w:rPr>
        <w:fldChar w:fldCharType="separate"/>
      </w:r>
      <w:r>
        <w:rPr>
          <w:rFonts w:hint="eastAsia" w:ascii="楷体" w:hAnsi="楷体" w:eastAsia="楷体" w:cs="楷体"/>
          <w:b/>
          <w:szCs w:val="32"/>
        </w:rPr>
        <w:t>（</w:t>
      </w:r>
      <w:r>
        <w:rPr>
          <w:rFonts w:hint="eastAsia" w:ascii="楷体" w:hAnsi="楷体" w:eastAsia="楷体" w:cs="楷体"/>
          <w:b/>
          <w:szCs w:val="32"/>
          <w:lang w:val="en-US" w:eastAsia="zh-CN"/>
        </w:rPr>
        <w:t>三</w:t>
      </w:r>
      <w:r>
        <w:rPr>
          <w:rFonts w:hint="eastAsia" w:ascii="楷体" w:hAnsi="楷体" w:eastAsia="楷体" w:cs="楷体"/>
          <w:b/>
          <w:szCs w:val="32"/>
        </w:rPr>
        <w:t>）政府采购支出情况</w:t>
      </w:r>
      <w:r>
        <w:tab/>
      </w:r>
      <w:r>
        <w:fldChar w:fldCharType="begin"/>
      </w:r>
      <w:r>
        <w:instrText xml:space="preserve"> PAGEREF _Toc5215 </w:instrText>
      </w:r>
      <w:r>
        <w:fldChar w:fldCharType="separate"/>
      </w:r>
      <w:r>
        <w:t>12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_Toc15612 </w:instrText>
      </w:r>
      <w:r>
        <w:rPr>
          <w:rFonts w:hint="default" w:ascii="Times New Roman" w:hAnsi="Times New Roman" w:cs="Times New Roman"/>
          <w:szCs w:val="32"/>
        </w:rPr>
        <w:fldChar w:fldCharType="separate"/>
      </w:r>
      <w:r>
        <w:rPr>
          <w:rFonts w:hint="eastAsia" w:ascii="楷体" w:hAnsi="楷体" w:eastAsia="楷体" w:cs="楷体"/>
          <w:b/>
          <w:szCs w:val="32"/>
        </w:rPr>
        <w:t>（</w:t>
      </w:r>
      <w:r>
        <w:rPr>
          <w:rFonts w:hint="eastAsia" w:ascii="楷体" w:hAnsi="楷体" w:eastAsia="楷体" w:cs="楷体"/>
          <w:b/>
          <w:szCs w:val="32"/>
          <w:lang w:val="en-US" w:eastAsia="zh-CN"/>
        </w:rPr>
        <w:t>四</w:t>
      </w:r>
      <w:r>
        <w:rPr>
          <w:rFonts w:hint="eastAsia" w:ascii="楷体" w:hAnsi="楷体" w:eastAsia="楷体" w:cs="楷体"/>
          <w:b/>
          <w:szCs w:val="32"/>
        </w:rPr>
        <w:t>）机关运行经费支出情况</w:t>
      </w:r>
      <w:r>
        <w:tab/>
      </w:r>
      <w:r>
        <w:fldChar w:fldCharType="begin"/>
      </w:r>
      <w:r>
        <w:instrText xml:space="preserve"> PAGEREF _Toc15612 </w:instrText>
      </w:r>
      <w:r>
        <w:fldChar w:fldCharType="separate"/>
      </w:r>
      <w:r>
        <w:t>12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_Toc20891 </w:instrText>
      </w:r>
      <w:r>
        <w:rPr>
          <w:rFonts w:hint="default" w:ascii="Times New Roman" w:hAnsi="Times New Roman" w:cs="Times New Roman"/>
          <w:szCs w:val="32"/>
        </w:rPr>
        <w:fldChar w:fldCharType="separate"/>
      </w:r>
      <w:r>
        <w:rPr>
          <w:rFonts w:hint="eastAsia" w:ascii="楷体" w:hAnsi="楷体" w:eastAsia="楷体" w:cs="楷体"/>
          <w:b/>
          <w:szCs w:val="32"/>
        </w:rPr>
        <w:t>（</w:t>
      </w:r>
      <w:r>
        <w:rPr>
          <w:rFonts w:hint="eastAsia" w:ascii="楷体" w:hAnsi="楷体" w:eastAsia="楷体" w:cs="楷体"/>
          <w:b/>
          <w:szCs w:val="32"/>
          <w:lang w:val="en-US" w:eastAsia="zh-CN"/>
        </w:rPr>
        <w:t>五</w:t>
      </w:r>
      <w:r>
        <w:rPr>
          <w:rFonts w:hint="eastAsia" w:ascii="楷体" w:hAnsi="楷体" w:eastAsia="楷体" w:cs="楷体"/>
          <w:b/>
          <w:szCs w:val="32"/>
        </w:rPr>
        <w:t>）国有资产占有使用情况</w:t>
      </w:r>
      <w:r>
        <w:tab/>
      </w:r>
      <w:r>
        <w:fldChar w:fldCharType="begin"/>
      </w:r>
      <w:r>
        <w:instrText xml:space="preserve"> PAGEREF _Toc20891 </w:instrText>
      </w:r>
      <w:r>
        <w:fldChar w:fldCharType="separate"/>
      </w:r>
      <w:r>
        <w:t>13</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_Toc13131 </w:instrText>
      </w:r>
      <w:r>
        <w:rPr>
          <w:rFonts w:hint="default" w:ascii="Times New Roman" w:hAnsi="Times New Roman" w:cs="Times New Roman"/>
          <w:szCs w:val="32"/>
        </w:rPr>
        <w:fldChar w:fldCharType="separate"/>
      </w:r>
      <w:r>
        <w:rPr>
          <w:rFonts w:hint="eastAsia"/>
          <w:szCs w:val="32"/>
          <w:lang w:eastAsia="zh-CN"/>
        </w:rPr>
        <w:t>（</w:t>
      </w:r>
      <w:r>
        <w:rPr>
          <w:rFonts w:hint="eastAsia"/>
          <w:szCs w:val="32"/>
          <w:lang w:val="en-US" w:eastAsia="zh-CN"/>
        </w:rPr>
        <w:t>六</w:t>
      </w:r>
      <w:r>
        <w:rPr>
          <w:rFonts w:hint="eastAsia"/>
          <w:szCs w:val="32"/>
          <w:lang w:eastAsia="zh-CN"/>
        </w:rPr>
        <w:t>）</w:t>
      </w:r>
      <w:r>
        <w:rPr>
          <w:rFonts w:hint="eastAsia"/>
          <w:szCs w:val="32"/>
        </w:rPr>
        <w:t>资产负债结构情况</w:t>
      </w:r>
      <w:r>
        <w:tab/>
      </w:r>
      <w:r>
        <w:fldChar w:fldCharType="begin"/>
      </w:r>
      <w:r>
        <w:instrText xml:space="preserve"> PAGEREF _Toc13131 </w:instrText>
      </w:r>
      <w:r>
        <w:fldChar w:fldCharType="separate"/>
      </w:r>
      <w:r>
        <w:t>13</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_Toc3778 </w:instrText>
      </w:r>
      <w:r>
        <w:rPr>
          <w:rFonts w:hint="default" w:ascii="Times New Roman" w:hAnsi="Times New Roman" w:cs="Times New Roman"/>
          <w:szCs w:val="32"/>
        </w:rPr>
        <w:fldChar w:fldCharType="separate"/>
      </w:r>
      <w:r>
        <w:rPr>
          <w:rFonts w:hint="default" w:ascii="Times New Roman" w:hAnsi="Times New Roman" w:cs="Times New Roman"/>
          <w:b w:val="0"/>
          <w:bCs/>
          <w:szCs w:val="44"/>
          <w:lang w:val="en-US" w:eastAsia="zh-CN"/>
        </w:rPr>
        <w:t>第三部分名词解释</w:t>
      </w:r>
      <w:r>
        <w:tab/>
      </w:r>
      <w:r>
        <w:fldChar w:fldCharType="begin"/>
      </w:r>
      <w:r>
        <w:instrText xml:space="preserve"> PAGEREF _Toc3778 </w:instrText>
      </w:r>
      <w:r>
        <w:fldChar w:fldCharType="separate"/>
      </w:r>
      <w:r>
        <w:t>14</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_Toc7481 </w:instrText>
      </w:r>
      <w:r>
        <w:rPr>
          <w:rFonts w:hint="default" w:ascii="Times New Roman" w:hAnsi="Times New Roman" w:cs="Times New Roman"/>
          <w:szCs w:val="32"/>
        </w:rPr>
        <w:fldChar w:fldCharType="separate"/>
      </w:r>
      <w:r>
        <w:rPr>
          <w:rFonts w:hint="default" w:ascii="Times New Roman" w:hAnsi="Times New Roman" w:cs="Times New Roman"/>
          <w:b w:val="0"/>
          <w:bCs/>
          <w:szCs w:val="44"/>
          <w:lang w:val="en-US" w:eastAsia="zh-CN"/>
        </w:rPr>
        <w:t>第四部分附件</w:t>
      </w:r>
      <w:r>
        <w:tab/>
      </w:r>
      <w:r>
        <w:fldChar w:fldCharType="begin"/>
      </w:r>
      <w:r>
        <w:instrText xml:space="preserve"> PAGEREF _Toc7481 </w:instrText>
      </w:r>
      <w:r>
        <w:fldChar w:fldCharType="separate"/>
      </w:r>
      <w:r>
        <w:t>17</w:t>
      </w:r>
      <w:r>
        <w:fldChar w:fldCharType="end"/>
      </w:r>
      <w:r>
        <w:rPr>
          <w:rFonts w:hint="default" w:ascii="Times New Roman" w:hAnsi="Times New Roman" w:cs="Times New Roman"/>
          <w:szCs w:val="32"/>
        </w:rPr>
        <w:fldChar w:fldCharType="end"/>
      </w:r>
    </w:p>
    <w:p>
      <w:pPr>
        <w:pStyle w:val="10"/>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_Toc26602 </w:instrText>
      </w:r>
      <w:r>
        <w:rPr>
          <w:rFonts w:hint="default" w:ascii="Times New Roman" w:hAnsi="Times New Roman" w:cs="Times New Roman"/>
          <w:szCs w:val="32"/>
        </w:rPr>
        <w:fldChar w:fldCharType="separate"/>
      </w:r>
      <w:r>
        <w:rPr>
          <w:rFonts w:hint="default" w:ascii="Times New Roman" w:hAnsi="Times New Roman" w:eastAsia="方正小标宋简体" w:cs="Times New Roman"/>
          <w:b w:val="0"/>
          <w:bCs/>
          <w:szCs w:val="44"/>
        </w:rPr>
        <w:t>第五部分附表</w:t>
      </w:r>
      <w:r>
        <w:tab/>
      </w:r>
      <w:r>
        <w:fldChar w:fldCharType="begin"/>
      </w:r>
      <w:r>
        <w:instrText xml:space="preserve"> PAGEREF _Toc26602 </w:instrText>
      </w:r>
      <w:r>
        <w:fldChar w:fldCharType="separate"/>
      </w:r>
      <w:r>
        <w:t>24</w:t>
      </w:r>
      <w:r>
        <w:fldChar w:fldCharType="end"/>
      </w:r>
      <w:r>
        <w:rPr>
          <w:rFonts w:hint="default" w:ascii="Times New Roman" w:hAnsi="Times New Roman" w:cs="Times New Roman"/>
          <w:szCs w:val="32"/>
        </w:rPr>
        <w:fldChar w:fldCharType="end"/>
      </w:r>
    </w:p>
    <w:p>
      <w:pPr>
        <w:ind w:left="0" w:leftChars="0" w:firstLine="0" w:firstLineChars="0"/>
        <w:rPr>
          <w:rFonts w:hint="default" w:ascii="Times New Roman" w:hAnsi="Times New Roman" w:cs="Times New Roman"/>
          <w:szCs w:val="32"/>
        </w:rPr>
      </w:pPr>
      <w:r>
        <w:rPr>
          <w:rFonts w:hint="default" w:ascii="Times New Roman" w:hAnsi="Times New Roman" w:cs="Times New Roman"/>
          <w:szCs w:val="32"/>
        </w:rPr>
        <w:fldChar w:fldCharType="end"/>
      </w:r>
    </w:p>
    <w:p>
      <w:pPr>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bookmarkStart w:id="83" w:name="_GoBack"/>
      <w:bookmarkEnd w:id="83"/>
    </w:p>
    <w:p>
      <w:pPr>
        <w:rPr>
          <w:rFonts w:hint="default" w:ascii="Times New Roman" w:hAnsi="Times New Roman" w:cs="Times New Roman"/>
          <w:szCs w:val="32"/>
        </w:rPr>
      </w:pPr>
    </w:p>
    <w:p>
      <w:pPr>
        <w:rPr>
          <w:rFonts w:hint="default" w:ascii="Times New Roman" w:hAnsi="Times New Roman" w:cs="Times New Roman"/>
          <w:szCs w:val="32"/>
        </w:rPr>
      </w:pPr>
    </w:p>
    <w:p>
      <w:pPr>
        <w:pStyle w:val="3"/>
        <w:bidi w:val="0"/>
        <w:jc w:val="center"/>
        <w:rPr>
          <w:rFonts w:hint="default" w:ascii="Times New Roman" w:hAnsi="Times New Roman" w:cs="Times New Roman"/>
        </w:rPr>
        <w:sectPr>
          <w:footerReference r:id="rId11" w:type="default"/>
          <w:pgSz w:w="11906" w:h="16838"/>
          <w:pgMar w:top="1440" w:right="1800" w:bottom="1440" w:left="1800" w:header="851" w:footer="992" w:gutter="0"/>
          <w:cols w:space="425" w:num="1"/>
          <w:docGrid w:type="lines" w:linePitch="312" w:charSpace="0"/>
        </w:sectPr>
      </w:pPr>
      <w:bookmarkStart w:id="0" w:name="_Toc10113"/>
      <w:bookmarkStart w:id="1" w:name="_Toc15122"/>
      <w:bookmarkStart w:id="2" w:name="_Toc61109019"/>
      <w:bookmarkStart w:id="3" w:name="YS060101"/>
      <w:bookmarkStart w:id="4" w:name="_Toc30529"/>
      <w:bookmarkStart w:id="5" w:name="_Toc28780"/>
    </w:p>
    <w:p>
      <w:pPr>
        <w:pStyle w:val="3"/>
        <w:pageBreakBefore w:val="0"/>
        <w:kinsoku/>
        <w:wordWrap/>
        <w:overflowPunct/>
        <w:topLinePunct w:val="0"/>
        <w:bidi w:val="0"/>
        <w:spacing w:line="560" w:lineRule="exact"/>
        <w:ind w:left="0" w:leftChars="0" w:firstLine="0" w:firstLineChars="0"/>
        <w:jc w:val="center"/>
        <w:textAlignment w:val="auto"/>
        <w:rPr>
          <w:rFonts w:hint="eastAsia" w:ascii="Times New Roman" w:hAnsi="Times New Roman" w:cs="Times New Roman"/>
          <w:b w:val="0"/>
          <w:bCs/>
          <w:sz w:val="44"/>
          <w:szCs w:val="44"/>
          <w:lang w:val="en-US" w:eastAsia="zh-CN"/>
        </w:rPr>
      </w:pPr>
      <w:bookmarkStart w:id="6" w:name="_Toc29088"/>
      <w:r>
        <w:rPr>
          <w:rFonts w:hint="default" w:ascii="Times New Roman" w:hAnsi="Times New Roman" w:cs="Times New Roman"/>
          <w:b w:val="0"/>
          <w:bCs/>
          <w:sz w:val="44"/>
          <w:szCs w:val="44"/>
          <w:lang w:val="en-US" w:eastAsia="zh-CN"/>
        </w:rPr>
        <w:t>第一部分部门概况</w:t>
      </w:r>
      <w:bookmarkEnd w:id="0"/>
      <w:bookmarkEnd w:id="1"/>
      <w:bookmarkEnd w:id="2"/>
      <w:bookmarkEnd w:id="3"/>
      <w:bookmarkEnd w:id="4"/>
      <w:bookmarkEnd w:id="6"/>
    </w:p>
    <w:p>
      <w:pPr>
        <w:keepNext w:val="0"/>
        <w:keepLines w:val="0"/>
        <w:pageBreakBefore w:val="0"/>
        <w:widowControl w:val="0"/>
        <w:numPr>
          <w:ilvl w:val="0"/>
          <w:numId w:val="1"/>
        </w:numPr>
        <w:kinsoku/>
        <w:wordWrap/>
        <w:overflowPunct/>
        <w:topLinePunct w:val="0"/>
        <w:bidi w:val="0"/>
        <w:snapToGrid w:val="0"/>
        <w:spacing w:line="560" w:lineRule="exact"/>
        <w:ind w:left="0" w:firstLine="640" w:firstLineChars="200"/>
        <w:textAlignment w:val="auto"/>
        <w:outlineLvl w:val="0"/>
        <w:rPr>
          <w:rFonts w:hint="eastAsia" w:ascii="黑体" w:hAnsi="黑体" w:eastAsia="黑体" w:cs="黑体"/>
          <w:b w:val="0"/>
          <w:bCs w:val="0"/>
          <w:sz w:val="32"/>
          <w:szCs w:val="32"/>
        </w:rPr>
      </w:pPr>
      <w:bookmarkStart w:id="7" w:name="_Toc19155"/>
      <w:r>
        <w:rPr>
          <w:rFonts w:hint="eastAsia" w:ascii="黑体" w:hAnsi="黑体" w:eastAsia="黑体" w:cs="黑体"/>
          <w:b w:val="0"/>
          <w:bCs w:val="0"/>
          <w:sz w:val="32"/>
          <w:szCs w:val="32"/>
        </w:rPr>
        <w:t>单位基本情况</w:t>
      </w:r>
      <w:bookmarkEnd w:id="5"/>
      <w:bookmarkEnd w:id="7"/>
    </w:p>
    <w:p>
      <w:pPr>
        <w:spacing w:line="560" w:lineRule="exact"/>
        <w:ind w:firstLine="642" w:firstLineChars="200"/>
        <w:rPr>
          <w:rFonts w:hint="eastAsia" w:ascii="仿宋" w:hAnsi="仿宋" w:eastAsia="仿宋" w:cs="楷体"/>
          <w:b/>
          <w:bCs/>
          <w:sz w:val="32"/>
          <w:szCs w:val="32"/>
        </w:rPr>
      </w:pPr>
      <w:bookmarkStart w:id="8" w:name="_Toc30557"/>
      <w:r>
        <w:rPr>
          <w:rFonts w:hint="eastAsia" w:ascii="仿宋" w:hAnsi="仿宋" w:eastAsia="仿宋" w:cs="楷体"/>
          <w:b/>
          <w:bCs/>
          <w:sz w:val="32"/>
          <w:szCs w:val="32"/>
        </w:rPr>
        <w:t>（一）主要职能</w:t>
      </w:r>
    </w:p>
    <w:p>
      <w:pPr>
        <w:spacing w:line="560" w:lineRule="exact"/>
        <w:ind w:firstLine="480" w:firstLineChars="150"/>
        <w:rPr>
          <w:rFonts w:ascii="仿宋" w:hAnsi="仿宋" w:eastAsia="仿宋" w:cs="宋体"/>
          <w:kern w:val="0"/>
          <w:sz w:val="32"/>
          <w:szCs w:val="32"/>
        </w:rPr>
      </w:pPr>
      <w:r>
        <w:rPr>
          <w:rFonts w:hint="eastAsia" w:ascii="仿宋" w:hAnsi="仿宋" w:eastAsia="仿宋" w:cs="宋体"/>
          <w:kern w:val="0"/>
          <w:sz w:val="32"/>
          <w:szCs w:val="32"/>
        </w:rPr>
        <w:t>根据金川委办发</w:t>
      </w:r>
      <w:r>
        <w:rPr>
          <w:rFonts w:ascii="仿宋" w:hAnsi="仿宋" w:eastAsia="仿宋" w:cs="宋体"/>
          <w:kern w:val="0"/>
          <w:sz w:val="32"/>
          <w:szCs w:val="32"/>
        </w:rPr>
        <w:t>[201</w:t>
      </w:r>
      <w:r>
        <w:rPr>
          <w:rFonts w:hint="eastAsia" w:ascii="仿宋" w:hAnsi="仿宋" w:eastAsia="仿宋" w:cs="宋体"/>
          <w:kern w:val="0"/>
          <w:sz w:val="32"/>
          <w:szCs w:val="32"/>
        </w:rPr>
        <w:t>9</w:t>
      </w:r>
      <w:r>
        <w:rPr>
          <w:rFonts w:ascii="仿宋" w:hAnsi="仿宋" w:eastAsia="仿宋" w:cs="宋体"/>
          <w:kern w:val="0"/>
          <w:sz w:val="32"/>
          <w:szCs w:val="32"/>
        </w:rPr>
        <w:t>]</w:t>
      </w:r>
      <w:r>
        <w:rPr>
          <w:rFonts w:hint="eastAsia" w:ascii="仿宋" w:hAnsi="仿宋" w:eastAsia="仿宋" w:cs="宋体"/>
          <w:kern w:val="0"/>
          <w:sz w:val="32"/>
          <w:szCs w:val="32"/>
        </w:rPr>
        <w:t>35号文件规定，主要职责是：</w:t>
      </w:r>
    </w:p>
    <w:p>
      <w:pPr>
        <w:pStyle w:val="12"/>
        <w:shd w:val="clear" w:color="auto" w:fill="FFFFFF"/>
        <w:spacing w:before="150" w:beforeAutospacing="0" w:after="150" w:afterAutospacing="0" w:line="560" w:lineRule="exact"/>
        <w:ind w:firstLine="642" w:firstLineChars="200"/>
        <w:rPr>
          <w:rFonts w:ascii="仿宋" w:hAnsi="仿宋" w:eastAsia="仿宋"/>
          <w:sz w:val="32"/>
          <w:szCs w:val="32"/>
        </w:rPr>
      </w:pPr>
      <w:r>
        <w:rPr>
          <w:rFonts w:hint="eastAsia" w:ascii="仿宋" w:hAnsi="仿宋" w:eastAsia="仿宋"/>
          <w:b/>
          <w:sz w:val="32"/>
          <w:szCs w:val="32"/>
        </w:rPr>
        <w:t>一是</w:t>
      </w:r>
      <w:r>
        <w:rPr>
          <w:rFonts w:ascii="仿宋" w:hAnsi="仿宋" w:eastAsia="仿宋"/>
          <w:sz w:val="32"/>
          <w:szCs w:val="32"/>
        </w:rPr>
        <w:t>拟订</w:t>
      </w:r>
      <w:r>
        <w:rPr>
          <w:rFonts w:hint="eastAsia" w:ascii="仿宋" w:hAnsi="仿宋" w:eastAsia="仿宋"/>
          <w:sz w:val="32"/>
          <w:szCs w:val="32"/>
        </w:rPr>
        <w:t>金川县</w:t>
      </w:r>
      <w:r>
        <w:rPr>
          <w:rFonts w:ascii="仿宋" w:hAnsi="仿宋" w:eastAsia="仿宋"/>
          <w:sz w:val="32"/>
          <w:szCs w:val="32"/>
        </w:rPr>
        <w:t>退役军人思想政治、管理保障和安置优抚等工作政策并组织实施，褒扬彰显退役军人为党、国家和人民牺牲奉献的精神风范和价值导向。</w:t>
      </w:r>
      <w:r>
        <w:rPr>
          <w:rFonts w:hint="eastAsia" w:ascii="仿宋" w:hAnsi="仿宋" w:eastAsia="仿宋"/>
          <w:b/>
          <w:sz w:val="32"/>
          <w:szCs w:val="32"/>
        </w:rPr>
        <w:t>二是</w:t>
      </w:r>
      <w:r>
        <w:rPr>
          <w:rFonts w:ascii="仿宋" w:hAnsi="仿宋" w:eastAsia="仿宋"/>
          <w:sz w:val="32"/>
          <w:szCs w:val="32"/>
        </w:rPr>
        <w:t>负责</w:t>
      </w:r>
      <w:r>
        <w:rPr>
          <w:rFonts w:hint="eastAsia" w:ascii="仿宋" w:hAnsi="仿宋" w:eastAsia="仿宋"/>
          <w:sz w:val="32"/>
          <w:szCs w:val="32"/>
        </w:rPr>
        <w:t>金川县</w:t>
      </w:r>
      <w:r>
        <w:rPr>
          <w:rFonts w:ascii="仿宋" w:hAnsi="仿宋" w:eastAsia="仿宋"/>
          <w:sz w:val="32"/>
          <w:szCs w:val="32"/>
        </w:rPr>
        <w:t>军队转业干部、复员干部、离休退休干部、退役士兵和无军籍退休退职职工的移交安置工作，以及自主择业、就业退役军人服务管理工作。</w:t>
      </w:r>
      <w:r>
        <w:rPr>
          <w:rFonts w:hint="eastAsia" w:ascii="仿宋" w:hAnsi="仿宋" w:eastAsia="仿宋"/>
          <w:b/>
          <w:sz w:val="32"/>
          <w:szCs w:val="32"/>
        </w:rPr>
        <w:t>三是</w:t>
      </w:r>
      <w:r>
        <w:rPr>
          <w:rFonts w:ascii="仿宋" w:hAnsi="仿宋" w:eastAsia="仿宋"/>
          <w:sz w:val="32"/>
          <w:szCs w:val="32"/>
        </w:rPr>
        <w:t>组织开展</w:t>
      </w:r>
      <w:r>
        <w:rPr>
          <w:rFonts w:hint="eastAsia" w:ascii="仿宋" w:hAnsi="仿宋" w:eastAsia="仿宋"/>
          <w:sz w:val="32"/>
          <w:szCs w:val="32"/>
        </w:rPr>
        <w:t>金川县</w:t>
      </w:r>
      <w:r>
        <w:rPr>
          <w:rFonts w:ascii="仿宋" w:hAnsi="仿宋" w:eastAsia="仿宋"/>
          <w:sz w:val="32"/>
          <w:szCs w:val="32"/>
        </w:rPr>
        <w:t>退役军人教育培训工作，协调扶持退役军人和随军随调家属安置、就业创业。</w:t>
      </w:r>
      <w:r>
        <w:rPr>
          <w:rFonts w:hint="eastAsia" w:ascii="仿宋" w:hAnsi="仿宋" w:eastAsia="仿宋"/>
          <w:b/>
          <w:sz w:val="32"/>
          <w:szCs w:val="32"/>
        </w:rPr>
        <w:t>四是</w:t>
      </w:r>
      <w:r>
        <w:rPr>
          <w:rFonts w:ascii="仿宋" w:hAnsi="仿宋" w:eastAsia="仿宋"/>
          <w:sz w:val="32"/>
          <w:szCs w:val="32"/>
        </w:rPr>
        <w:t>会同有关部门拟定退役军人特殊保障政策并组织落实。</w:t>
      </w:r>
      <w:r>
        <w:rPr>
          <w:rFonts w:hint="eastAsia" w:ascii="仿宋" w:hAnsi="仿宋" w:eastAsia="仿宋"/>
          <w:b/>
          <w:sz w:val="32"/>
          <w:szCs w:val="32"/>
        </w:rPr>
        <w:t>五是</w:t>
      </w:r>
      <w:r>
        <w:rPr>
          <w:rFonts w:ascii="仿宋" w:hAnsi="仿宋" w:eastAsia="仿宋"/>
          <w:sz w:val="32"/>
          <w:szCs w:val="32"/>
        </w:rPr>
        <w:t>组织协调落实移交地方的离休退休军人、符合条件的其他退役军人和无军籍退休退职职工的住房保障以及退役军人医疗保障、社会保险等待遇保障工作。</w:t>
      </w:r>
      <w:r>
        <w:rPr>
          <w:rFonts w:hint="eastAsia" w:ascii="仿宋" w:hAnsi="仿宋" w:eastAsia="仿宋"/>
          <w:b/>
          <w:sz w:val="32"/>
          <w:szCs w:val="32"/>
        </w:rPr>
        <w:t>六是</w:t>
      </w:r>
      <w:r>
        <w:rPr>
          <w:rFonts w:ascii="仿宋" w:hAnsi="仿宋" w:eastAsia="仿宋"/>
          <w:sz w:val="32"/>
          <w:szCs w:val="32"/>
        </w:rPr>
        <w:t>组织开展伤病残退役军人服务管理和抚恤工作，拟订有关退役军人医疗、疗养、养老等机构的规划政策并组织实施。承担不适宜继续服役的伤病残军人相关工作。指导军供服务保障工作。</w:t>
      </w:r>
      <w:r>
        <w:rPr>
          <w:rFonts w:hint="eastAsia" w:ascii="仿宋" w:hAnsi="仿宋" w:eastAsia="仿宋"/>
          <w:b/>
          <w:sz w:val="32"/>
          <w:szCs w:val="32"/>
        </w:rPr>
        <w:t>七是</w:t>
      </w:r>
      <w:r>
        <w:rPr>
          <w:rFonts w:ascii="仿宋" w:hAnsi="仿宋" w:eastAsia="仿宋"/>
          <w:sz w:val="32"/>
          <w:szCs w:val="32"/>
        </w:rPr>
        <w:t>负责落实拥军优属工作。负责现役军人、退役军人、军队文职人员和军属优待、抚恤等工作，贯彻落实国民党抗战老兵等有关人员优待政策并指导实施。</w:t>
      </w:r>
      <w:r>
        <w:rPr>
          <w:rFonts w:hint="eastAsia" w:ascii="仿宋" w:hAnsi="仿宋" w:eastAsia="仿宋"/>
          <w:b/>
          <w:sz w:val="32"/>
          <w:szCs w:val="32"/>
        </w:rPr>
        <w:t>八是</w:t>
      </w:r>
      <w:r>
        <w:rPr>
          <w:rFonts w:ascii="仿宋" w:hAnsi="仿宋" w:eastAsia="仿宋"/>
          <w:sz w:val="32"/>
          <w:szCs w:val="32"/>
        </w:rPr>
        <w:t>协助开展烈士及退役军人荣誉奖励、军人公墓管理维护纪念活动等工作，依法承担英雄烈士保护相关工作，初核申报拟列</w:t>
      </w:r>
      <w:r>
        <w:rPr>
          <w:rFonts w:hint="eastAsia" w:ascii="仿宋" w:hAnsi="仿宋" w:eastAsia="仿宋"/>
          <w:sz w:val="32"/>
          <w:szCs w:val="32"/>
        </w:rPr>
        <w:t>入全县</w:t>
      </w:r>
      <w:r>
        <w:rPr>
          <w:rFonts w:ascii="仿宋" w:hAnsi="仿宋" w:eastAsia="仿宋"/>
          <w:sz w:val="32"/>
          <w:szCs w:val="32"/>
        </w:rPr>
        <w:t>重点保护单位的烈士纪念建筑物名录，协助配合上级部门做好境外我国烈士和在华烈士纪念设施保护事宜，配合做好总结表彰和宣扬退役军人、退役军人工作单位和个人先进典型事迹工作。</w:t>
      </w:r>
      <w:r>
        <w:rPr>
          <w:rFonts w:hint="eastAsia" w:ascii="仿宋" w:hAnsi="仿宋" w:eastAsia="仿宋"/>
          <w:b/>
          <w:sz w:val="32"/>
          <w:szCs w:val="32"/>
        </w:rPr>
        <w:t>九是</w:t>
      </w:r>
      <w:r>
        <w:rPr>
          <w:rFonts w:ascii="仿宋" w:hAnsi="仿宋" w:eastAsia="仿宋"/>
          <w:sz w:val="32"/>
          <w:szCs w:val="32"/>
        </w:rPr>
        <w:t>指导并监督检查</w:t>
      </w:r>
      <w:r>
        <w:rPr>
          <w:rFonts w:hint="eastAsia" w:ascii="仿宋" w:hAnsi="仿宋" w:eastAsia="仿宋"/>
          <w:sz w:val="32"/>
          <w:szCs w:val="32"/>
        </w:rPr>
        <w:t>金川县</w:t>
      </w:r>
      <w:r>
        <w:rPr>
          <w:rFonts w:ascii="仿宋" w:hAnsi="仿宋" w:eastAsia="仿宋"/>
          <w:sz w:val="32"/>
          <w:szCs w:val="32"/>
        </w:rPr>
        <w:t>退役军人相关法律法规和政策措施的落实，组织开展退役军人权益维护和有关人员的帮扶援助工作。</w:t>
      </w:r>
      <w:r>
        <w:rPr>
          <w:rFonts w:hint="eastAsia" w:ascii="仿宋" w:hAnsi="仿宋" w:eastAsia="仿宋"/>
          <w:b/>
          <w:sz w:val="32"/>
          <w:szCs w:val="32"/>
        </w:rPr>
        <w:t>十是</w:t>
      </w:r>
      <w:r>
        <w:rPr>
          <w:rFonts w:ascii="仿宋" w:hAnsi="仿宋" w:eastAsia="仿宋"/>
          <w:sz w:val="32"/>
          <w:szCs w:val="32"/>
        </w:rPr>
        <w:t>完成</w:t>
      </w:r>
      <w:r>
        <w:rPr>
          <w:rFonts w:hint="eastAsia" w:ascii="仿宋" w:hAnsi="仿宋" w:eastAsia="仿宋"/>
          <w:sz w:val="32"/>
          <w:szCs w:val="32"/>
        </w:rPr>
        <w:t>县委县政府</w:t>
      </w:r>
      <w:r>
        <w:rPr>
          <w:rFonts w:ascii="仿宋" w:hAnsi="仿宋" w:eastAsia="仿宋"/>
          <w:sz w:val="32"/>
          <w:szCs w:val="32"/>
        </w:rPr>
        <w:t>交办的其他任务。</w:t>
      </w:r>
      <w:r>
        <w:rPr>
          <w:rFonts w:hint="eastAsia" w:ascii="仿宋" w:hAnsi="仿宋" w:eastAsia="仿宋"/>
          <w:b/>
          <w:sz w:val="32"/>
          <w:szCs w:val="32"/>
        </w:rPr>
        <w:t>十一是</w:t>
      </w:r>
      <w:r>
        <w:rPr>
          <w:rFonts w:ascii="仿宋" w:hAnsi="仿宋" w:eastAsia="仿宋"/>
          <w:sz w:val="32"/>
          <w:szCs w:val="32"/>
        </w:rPr>
        <w:t>职能转变</w:t>
      </w:r>
      <w:r>
        <w:rPr>
          <w:rFonts w:hint="eastAsia" w:ascii="仿宋" w:hAnsi="仿宋" w:eastAsia="仿宋"/>
          <w:sz w:val="32"/>
          <w:szCs w:val="32"/>
        </w:rPr>
        <w:t>，金川县</w:t>
      </w:r>
      <w:r>
        <w:rPr>
          <w:rFonts w:ascii="仿宋" w:hAnsi="仿宋" w:eastAsia="仿宋"/>
          <w:sz w:val="32"/>
          <w:szCs w:val="32"/>
        </w:rPr>
        <w:t>退役军人事务局</w:t>
      </w:r>
      <w:r>
        <w:rPr>
          <w:rFonts w:hint="eastAsia" w:ascii="仿宋" w:hAnsi="仿宋" w:eastAsia="仿宋"/>
          <w:sz w:val="32"/>
          <w:szCs w:val="32"/>
        </w:rPr>
        <w:t>积极</w:t>
      </w:r>
      <w:r>
        <w:rPr>
          <w:rFonts w:ascii="仿宋" w:hAnsi="仿宋" w:eastAsia="仿宋"/>
          <w:sz w:val="32"/>
          <w:szCs w:val="32"/>
        </w:rPr>
        <w:t>加强退役军人思想政治工作和服务保障体系建设，建立健全集中统一、职责清晰的退役军人管理服务保障体制，协调各方力量更好为军人军属服务，维护军人军属合法权益，让军人成为全社会尊崇的职业，褒扬彰显退役军人为党、为国家和人民牺牲奉献的精神风范和价值导向，更好地为增强部队战斗力和凝聚力做好组织保障。</w:t>
      </w:r>
    </w:p>
    <w:p>
      <w:pPr>
        <w:keepNext w:val="0"/>
        <w:keepLines w:val="0"/>
        <w:pageBreakBefore w:val="0"/>
        <w:widowControl w:val="0"/>
        <w:kinsoku/>
        <w:wordWrap/>
        <w:overflowPunct/>
        <w:topLinePunct w:val="0"/>
        <w:bidi w:val="0"/>
        <w:snapToGrid w:val="0"/>
        <w:spacing w:line="560" w:lineRule="exact"/>
        <w:ind w:left="0" w:firstLine="642" w:firstLineChars="200"/>
        <w:textAlignment w:val="auto"/>
        <w:outlineLvl w:val="1"/>
        <w:rPr>
          <w:rFonts w:hint="eastAsia" w:ascii="楷体" w:hAnsi="楷体" w:eastAsia="楷体" w:cs="楷体"/>
          <w:b/>
          <w:bCs/>
          <w:sz w:val="32"/>
          <w:szCs w:val="32"/>
        </w:rPr>
      </w:pPr>
      <w:bookmarkStart w:id="9" w:name="_Toc19397"/>
      <w:r>
        <w:rPr>
          <w:rFonts w:hint="eastAsia" w:ascii="楷体" w:hAnsi="楷体" w:eastAsia="楷体" w:cs="楷体"/>
          <w:b/>
          <w:bCs/>
          <w:sz w:val="32"/>
          <w:szCs w:val="32"/>
        </w:rPr>
        <w:t>（二）机构和人员情况</w:t>
      </w:r>
      <w:bookmarkEnd w:id="8"/>
      <w:bookmarkEnd w:id="9"/>
    </w:p>
    <w:p>
      <w:pPr>
        <w:keepNext w:val="0"/>
        <w:keepLines w:val="0"/>
        <w:pageBreakBefore w:val="0"/>
        <w:widowControl w:val="0"/>
        <w:kinsoku/>
        <w:wordWrap/>
        <w:overflowPunct/>
        <w:topLinePunct w:val="0"/>
        <w:bidi w:val="0"/>
        <w:snapToGrid w:val="0"/>
        <w:spacing w:line="560" w:lineRule="exact"/>
        <w:ind w:left="0" w:firstLine="640" w:firstLineChars="200"/>
        <w:textAlignment w:val="auto"/>
        <w:outlineLvl w:val="1"/>
        <w:rPr>
          <w:rFonts w:hint="eastAsia" w:ascii="仿宋" w:eastAsia="仿宋"/>
          <w:b w:val="0"/>
          <w:sz w:val="32"/>
          <w:szCs w:val="32"/>
          <w:lang w:val="en-US" w:eastAsia="zh-CN"/>
        </w:rPr>
      </w:pPr>
      <w:bookmarkStart w:id="10" w:name="_Toc7233"/>
      <w:bookmarkStart w:id="11" w:name="_Toc20365"/>
      <w:r>
        <w:rPr>
          <w:rFonts w:hint="eastAsia" w:ascii="仿宋" w:eastAsia="仿宋"/>
          <w:b w:val="0"/>
          <w:sz w:val="32"/>
          <w:szCs w:val="32"/>
          <w:lang w:val="en-US" w:eastAsia="zh-CN"/>
        </w:rPr>
        <w:t>金川县退役军人事务局属于行政部门，由退役军人事务局及退役军人服务中心组成，设统一核算机构1个，独立编制机构2个，其中：公务员编制4个，事业编制4个；2021年末，单位实有人数6人，其中：在职6人（公务员4人、事业管理2人）。</w:t>
      </w:r>
      <w:bookmarkEnd w:id="10"/>
    </w:p>
    <w:p>
      <w:pPr>
        <w:keepNext w:val="0"/>
        <w:keepLines w:val="0"/>
        <w:pageBreakBefore w:val="0"/>
        <w:widowControl w:val="0"/>
        <w:kinsoku/>
        <w:wordWrap/>
        <w:overflowPunct/>
        <w:topLinePunct w:val="0"/>
        <w:bidi w:val="0"/>
        <w:snapToGrid w:val="0"/>
        <w:spacing w:line="560" w:lineRule="exact"/>
        <w:ind w:left="0" w:firstLine="642" w:firstLineChars="200"/>
        <w:textAlignment w:val="auto"/>
        <w:outlineLvl w:val="1"/>
        <w:rPr>
          <w:rFonts w:hint="eastAsia" w:ascii="楷体" w:hAnsi="楷体" w:eastAsia="楷体" w:cs="楷体"/>
          <w:b/>
          <w:bCs/>
          <w:sz w:val="32"/>
          <w:szCs w:val="32"/>
        </w:rPr>
      </w:pPr>
      <w:bookmarkStart w:id="12" w:name="_Toc1540"/>
      <w:r>
        <w:rPr>
          <w:rFonts w:hint="eastAsia" w:ascii="楷体" w:hAnsi="楷体" w:eastAsia="楷体" w:cs="楷体"/>
          <w:b/>
          <w:bCs/>
          <w:sz w:val="32"/>
          <w:szCs w:val="32"/>
        </w:rPr>
        <w:t>（三）当年取得的主要成效</w:t>
      </w:r>
      <w:bookmarkEnd w:id="11"/>
      <w:bookmarkEnd w:id="12"/>
    </w:p>
    <w:p>
      <w:pPr>
        <w:keepLines w:val="0"/>
        <w:widowControl w:val="0"/>
        <w:numPr>
          <w:ilvl w:val="0"/>
          <w:numId w:val="0"/>
        </w:numPr>
        <w:snapToGrid/>
        <w:spacing w:line="560" w:lineRule="exact"/>
        <w:ind w:firstLine="642" w:firstLineChars="200"/>
        <w:textAlignment w:val="baseline"/>
        <w:rPr>
          <w:rFonts w:hint="eastAsia" w:ascii="Times New Roman" w:hAnsi="Times New Roman" w:eastAsia="仿宋_GB2312" w:cs="仿宋_GB2312"/>
          <w:sz w:val="32"/>
          <w:szCs w:val="32"/>
          <w:shd w:val="clear" w:color="auto" w:fill="auto"/>
        </w:rPr>
      </w:pPr>
      <w:r>
        <w:rPr>
          <w:rFonts w:hint="eastAsia" w:ascii="Times New Roman" w:hAnsi="Times New Roman" w:cs="仿宋_GB2312"/>
          <w:b/>
          <w:bCs/>
          <w:sz w:val="32"/>
          <w:szCs w:val="32"/>
          <w:shd w:val="clear" w:color="auto" w:fill="auto"/>
          <w:lang w:val="en-US" w:eastAsia="zh-CN"/>
        </w:rPr>
        <w:t>1.</w:t>
      </w:r>
      <w:r>
        <w:rPr>
          <w:rFonts w:hint="eastAsia" w:ascii="Times New Roman" w:hAnsi="Times New Roman" w:eastAsia="仿宋_GB2312" w:cs="仿宋_GB2312"/>
          <w:b/>
          <w:bCs/>
          <w:sz w:val="32"/>
          <w:szCs w:val="32"/>
          <w:shd w:val="clear" w:color="auto" w:fill="auto"/>
        </w:rPr>
        <w:t>加强思想建设，全面提高政治站位。一是积极开展主题教育。</w:t>
      </w:r>
      <w:r>
        <w:rPr>
          <w:rFonts w:hint="eastAsia" w:ascii="Times New Roman" w:hAnsi="Times New Roman" w:eastAsia="仿宋_GB2312" w:cs="仿宋_GB2312"/>
          <w:bCs/>
          <w:sz w:val="32"/>
          <w:szCs w:val="32"/>
          <w:shd w:val="clear" w:color="auto" w:fill="auto"/>
        </w:rPr>
        <w:t>全县各单位、</w:t>
      </w:r>
      <w:r>
        <w:rPr>
          <w:rFonts w:hint="eastAsia" w:ascii="Times New Roman" w:hAnsi="Times New Roman" w:eastAsia="仿宋_GB2312" w:cs="仿宋_GB2312"/>
          <w:sz w:val="32"/>
          <w:szCs w:val="32"/>
          <w:shd w:val="clear" w:color="auto" w:fill="auto"/>
        </w:rPr>
        <w:t>驻县官兵、县消防队经常性</w:t>
      </w:r>
      <w:r>
        <w:rPr>
          <w:rFonts w:hint="eastAsia" w:ascii="Times New Roman" w:hAnsi="Times New Roman" w:eastAsia="仿宋_GB2312" w:cs="仿宋_GB2312"/>
          <w:bCs/>
          <w:sz w:val="32"/>
          <w:szCs w:val="32"/>
          <w:shd w:val="clear" w:color="auto" w:fill="auto"/>
        </w:rPr>
        <w:t>在烈士陵园、</w:t>
      </w:r>
      <w:r>
        <w:rPr>
          <w:rFonts w:hint="eastAsia" w:ascii="Times New Roman" w:hAnsi="Times New Roman" w:eastAsia="仿宋_GB2312" w:cs="仿宋_GB2312"/>
          <w:sz w:val="32"/>
          <w:szCs w:val="32"/>
          <w:shd w:val="clear" w:color="auto" w:fill="auto"/>
        </w:rPr>
        <w:t>革命事迹陈列馆开展爱国主义教育活动和主题党日活动，参与</w:t>
      </w:r>
      <w:r>
        <w:rPr>
          <w:rFonts w:hint="eastAsia" w:ascii="Times New Roman" w:hAnsi="Times New Roman" w:eastAsia="仿宋_GB2312" w:cs="仿宋_GB2312"/>
          <w:bCs/>
          <w:sz w:val="32"/>
          <w:szCs w:val="32"/>
          <w:shd w:val="clear" w:color="auto" w:fill="auto"/>
        </w:rPr>
        <w:t>烈士陵园环境</w:t>
      </w:r>
      <w:r>
        <w:rPr>
          <w:rFonts w:hint="eastAsia" w:ascii="Times New Roman" w:hAnsi="Times New Roman" w:eastAsia="仿宋_GB2312" w:cs="仿宋_GB2312"/>
          <w:sz w:val="32"/>
          <w:szCs w:val="32"/>
          <w:shd w:val="clear" w:color="auto" w:fill="auto"/>
        </w:rPr>
        <w:t>卫生整治，清明祭扫、“9.30”公祭等活动，邀请康立泽将军夫人家属祭拜革命烈士，邀请参战退役人员进机关讲党史，革命史，在全社会营造崇尚烈士，尊崇军人，拥军优属拥政爱民的浓厚氛围。</w:t>
      </w:r>
      <w:r>
        <w:rPr>
          <w:rFonts w:hint="eastAsia" w:ascii="Times New Roman" w:hAnsi="Times New Roman" w:eastAsia="仿宋_GB2312" w:cs="仿宋_GB2312"/>
          <w:b/>
          <w:bCs/>
          <w:sz w:val="32"/>
          <w:szCs w:val="32"/>
          <w:shd w:val="clear" w:color="auto" w:fill="auto"/>
          <w:lang w:bidi="ar-SA"/>
        </w:rPr>
        <w:t>二是扎实做好模范表彰。</w:t>
      </w:r>
      <w:r>
        <w:rPr>
          <w:rFonts w:hint="eastAsia" w:ascii="Times New Roman" w:hAnsi="Times New Roman" w:eastAsia="仿宋_GB2312" w:cs="仿宋_GB2312"/>
          <w:bCs/>
          <w:sz w:val="32"/>
          <w:szCs w:val="32"/>
          <w:shd w:val="clear" w:color="auto" w:fill="auto"/>
          <w:lang w:bidi="ar-SA"/>
        </w:rPr>
        <w:t>十大英模在县乡机关上墙展示，组织专题宣讲，</w:t>
      </w:r>
      <w:r>
        <w:rPr>
          <w:rFonts w:hint="eastAsia" w:ascii="Times New Roman" w:hAnsi="Times New Roman" w:eastAsia="仿宋_GB2312" w:cs="仿宋_GB2312"/>
          <w:sz w:val="32"/>
          <w:szCs w:val="32"/>
          <w:shd w:val="clear" w:color="auto" w:fill="auto"/>
        </w:rPr>
        <w:t>将荣获个人二等功以上12名退役军人载入金川县地方志，将荣获三等功以上的功臣标榜展示，为30名立功受奖军人送喜报</w:t>
      </w:r>
      <w:r>
        <w:rPr>
          <w:rFonts w:hint="eastAsia" w:ascii="Times New Roman" w:hAnsi="Times New Roman" w:cs="仿宋_GB2312"/>
          <w:sz w:val="32"/>
          <w:szCs w:val="32"/>
          <w:shd w:val="clear" w:color="auto" w:fill="auto"/>
          <w:lang w:eastAsia="zh-CN"/>
        </w:rPr>
        <w:t>及</w:t>
      </w:r>
      <w:r>
        <w:rPr>
          <w:rFonts w:hint="eastAsia" w:ascii="Times New Roman" w:hAnsi="Times New Roman" w:eastAsia="仿宋_GB2312" w:cs="仿宋_GB2312"/>
          <w:sz w:val="32"/>
          <w:szCs w:val="32"/>
          <w:shd w:val="clear" w:color="auto" w:fill="auto"/>
        </w:rPr>
        <w:t>发放奖励金，并进行事迹宣讲，各级各部门组织集中收看全国英模事迹，形成崇尚英雄，传承精神，创新工作的良好氛围。</w:t>
      </w:r>
      <w:r>
        <w:rPr>
          <w:rFonts w:hint="eastAsia" w:ascii="Times New Roman" w:hAnsi="Times New Roman" w:eastAsia="仿宋_GB2312" w:cs="仿宋_GB2312"/>
          <w:b/>
          <w:bCs/>
          <w:sz w:val="32"/>
          <w:szCs w:val="32"/>
          <w:shd w:val="clear" w:color="auto" w:fill="auto"/>
          <w:lang w:bidi="ar-SA"/>
        </w:rPr>
        <w:t>三是加强相关法律宣传落实。</w:t>
      </w:r>
      <w:r>
        <w:rPr>
          <w:rFonts w:hint="eastAsia" w:ascii="Times New Roman" w:hAnsi="Times New Roman" w:eastAsia="仿宋_GB2312" w:cs="仿宋_GB2312"/>
          <w:sz w:val="32"/>
          <w:szCs w:val="32"/>
          <w:shd w:val="clear" w:color="auto" w:fill="auto"/>
          <w:lang w:bidi="ar-SA"/>
        </w:rPr>
        <w:t>加大传达学习《中华人民共和国英雄烈士保护法》《退役军人保障法》及省、州</w:t>
      </w:r>
      <w:r>
        <w:rPr>
          <w:rFonts w:hint="eastAsia" w:ascii="Times New Roman" w:hAnsi="Times New Roman" w:eastAsia="仿宋_GB2312" w:cs="仿宋_GB2312"/>
          <w:sz w:val="32"/>
          <w:szCs w:val="32"/>
          <w:shd w:val="clear" w:color="auto" w:fill="auto"/>
        </w:rPr>
        <w:t>退役军人事务工作和双拥工作会议精神。开展建党百年把关爱送到老兵心中和“八一”座谈会，向退役军人和优抚对象进行法律讲解，在退伍季向县武警中队退伍老兵提供专项政策咨询，落实行政服务大厅、医院、车站和银行等公共场所“军人优先”标识牌，落实现役军人，重点优抚对象免费乘广告座公交车等，向退役军人和优抚对象提供免收工本费、年费和低息贷款等优惠。</w:t>
      </w:r>
    </w:p>
    <w:p>
      <w:pPr>
        <w:keepLines w:val="0"/>
        <w:widowControl w:val="0"/>
        <w:snapToGrid/>
        <w:spacing w:line="560" w:lineRule="exact"/>
        <w:ind w:firstLine="642" w:firstLineChars="200"/>
        <w:textAlignment w:val="baseline"/>
        <w:rPr>
          <w:rFonts w:hint="eastAsia" w:ascii="Times New Roman" w:hAnsi="Times New Roman" w:eastAsia="仿宋_GB2312" w:cs="仿宋_GB2312"/>
          <w:bCs/>
          <w:sz w:val="32"/>
          <w:szCs w:val="32"/>
          <w:shd w:val="clear" w:color="auto" w:fill="auto"/>
        </w:rPr>
      </w:pPr>
      <w:r>
        <w:rPr>
          <w:rFonts w:hint="eastAsia" w:ascii="Times New Roman" w:hAnsi="Times New Roman" w:cs="仿宋_GB2312"/>
          <w:b/>
          <w:bCs/>
          <w:sz w:val="32"/>
          <w:szCs w:val="32"/>
          <w:shd w:val="clear" w:color="auto" w:fill="auto"/>
          <w:lang w:val="en-US" w:eastAsia="zh-CN"/>
        </w:rPr>
        <w:t>2.</w:t>
      </w:r>
      <w:r>
        <w:rPr>
          <w:rFonts w:hint="eastAsia" w:ascii="Times New Roman" w:hAnsi="Times New Roman" w:eastAsia="仿宋_GB2312" w:cs="仿宋_GB2312"/>
          <w:b/>
          <w:bCs/>
          <w:sz w:val="32"/>
          <w:szCs w:val="32"/>
          <w:shd w:val="clear" w:color="auto" w:fill="auto"/>
        </w:rPr>
        <w:t>强化组织领导，严格落实主体责任。</w:t>
      </w:r>
      <w:r>
        <w:rPr>
          <w:rFonts w:hint="eastAsia" w:ascii="Times New Roman" w:hAnsi="Times New Roman" w:eastAsia="仿宋_GB2312" w:cs="仿宋_GB2312"/>
          <w:bCs/>
          <w:sz w:val="32"/>
          <w:szCs w:val="32"/>
          <w:shd w:val="clear" w:color="auto" w:fill="auto"/>
        </w:rPr>
        <w:t>健全服务保障体系。</w:t>
      </w:r>
      <w:r>
        <w:rPr>
          <w:rFonts w:hint="eastAsia" w:ascii="Times New Roman" w:hAnsi="Times New Roman" w:eastAsia="仿宋_GB2312" w:cs="仿宋_GB2312"/>
          <w:sz w:val="32"/>
          <w:szCs w:val="32"/>
          <w:shd w:val="clear" w:color="auto" w:fill="auto"/>
        </w:rPr>
        <w:t>严格按照习近平总书记提出的“有机构、有编制、有人员、有经费、有保障”五有要求，积极推进全县退役军人服务保障体系“一中心两站”建设，健全县、乡、村三级退役军人事务和双拥工作服务保障体系，成立了以县委书记和县长为双组长的退役军人领导小组和双拥工作领导小组。19个乡镇全覆盖建立了退役军人服务站，88个行政村建立了退役军人事务工作站</w:t>
      </w:r>
      <w:r>
        <w:rPr>
          <w:rFonts w:ascii="Times New Roman" w:hAnsi="Times New Roman" w:eastAsia="仿宋_GB2312" w:cs="仿宋_GB2312"/>
          <w:sz w:val="32"/>
          <w:szCs w:val="32"/>
          <w:shd w:val="clear" w:color="auto" w:fill="auto"/>
        </w:rPr>
        <w:t>，</w:t>
      </w:r>
      <w:r>
        <w:rPr>
          <w:rFonts w:hint="eastAsia" w:ascii="Times New Roman" w:hAnsi="Times New Roman" w:eastAsia="仿宋_GB2312" w:cs="仿宋_GB2312"/>
          <w:sz w:val="32"/>
          <w:szCs w:val="32"/>
          <w:shd w:val="clear" w:color="auto" w:fill="auto"/>
        </w:rPr>
        <w:t>形成县乡村一盘棋标准化管理。</w:t>
      </w:r>
    </w:p>
    <w:p>
      <w:pPr>
        <w:keepLines w:val="0"/>
        <w:widowControl w:val="0"/>
        <w:snapToGrid/>
        <w:spacing w:line="560" w:lineRule="exact"/>
        <w:ind w:firstLine="642" w:firstLineChars="200"/>
        <w:textAlignment w:val="baseline"/>
        <w:rPr>
          <w:rFonts w:hint="eastAsia" w:ascii="Times New Roman" w:hAnsi="Times New Roman" w:eastAsia="仿宋_GB2312" w:cs="仿宋_GB2312"/>
          <w:sz w:val="32"/>
          <w:szCs w:val="32"/>
          <w:shd w:val="clear" w:color="auto" w:fill="auto"/>
        </w:rPr>
      </w:pPr>
      <w:r>
        <w:rPr>
          <w:rFonts w:hint="eastAsia" w:ascii="Times New Roman" w:hAnsi="Times New Roman" w:cs="仿宋_GB2312"/>
          <w:b/>
          <w:bCs/>
          <w:sz w:val="32"/>
          <w:szCs w:val="32"/>
          <w:shd w:val="clear" w:color="auto" w:fill="auto"/>
          <w:lang w:val="en-US" w:eastAsia="zh-CN"/>
        </w:rPr>
        <w:t>3.</w:t>
      </w:r>
      <w:r>
        <w:rPr>
          <w:rFonts w:hint="eastAsia" w:ascii="Times New Roman" w:hAnsi="Times New Roman" w:eastAsia="仿宋_GB2312" w:cs="仿宋_GB2312"/>
          <w:b/>
          <w:bCs/>
          <w:sz w:val="32"/>
          <w:szCs w:val="32"/>
          <w:shd w:val="clear" w:color="auto" w:fill="auto"/>
        </w:rPr>
        <w:t>坚持用心用情，做好退役军人服务。一是积极推进创业就业。</w:t>
      </w:r>
      <w:r>
        <w:rPr>
          <w:rFonts w:hint="eastAsia" w:ascii="Times New Roman" w:hAnsi="Times New Roman" w:eastAsia="仿宋_GB2312" w:cs="仿宋_GB2312"/>
          <w:bCs/>
          <w:sz w:val="32"/>
          <w:szCs w:val="32"/>
          <w:shd w:val="clear" w:color="auto" w:fill="auto"/>
        </w:rPr>
        <w:t>优抚安置工作，退役士兵安置，光荣牌悬挂，短期疗养，烈士遗属优待，英烈褒奖。</w:t>
      </w:r>
      <w:r>
        <w:rPr>
          <w:rFonts w:hint="eastAsia" w:ascii="Times New Roman" w:hAnsi="Times New Roman" w:eastAsia="仿宋_GB2312" w:cs="仿宋_GB2312"/>
          <w:sz w:val="32"/>
          <w:szCs w:val="32"/>
          <w:shd w:val="clear" w:color="auto" w:fill="auto"/>
        </w:rPr>
        <w:t>主动对接人社部门，及时通过微信、QQ、电话发布就业创业信息30余条，鼓励符合条件的退役军人参加各种招聘和培训，广开就业渠道。同时，深入退役军人创办的企业开展调研，推荐创业者参加创业培训和比赛，争取政策支持。</w:t>
      </w:r>
      <w:r>
        <w:rPr>
          <w:rFonts w:hint="eastAsia" w:ascii="Times New Roman" w:hAnsi="Times New Roman" w:eastAsia="仿宋_GB2312" w:cs="仿宋_GB2312"/>
          <w:b/>
          <w:bCs/>
          <w:sz w:val="32"/>
          <w:szCs w:val="32"/>
          <w:shd w:val="clear" w:color="auto" w:fill="auto"/>
        </w:rPr>
        <w:t>二是扎实做好信访维稳。</w:t>
      </w:r>
      <w:r>
        <w:rPr>
          <w:rFonts w:hint="eastAsia" w:ascii="Times New Roman" w:hAnsi="Times New Roman" w:eastAsia="仿宋_GB2312" w:cs="仿宋_GB2312"/>
          <w:sz w:val="32"/>
          <w:szCs w:val="32"/>
          <w:shd w:val="clear" w:color="auto" w:fill="auto"/>
        </w:rPr>
        <w:t>积极建立信息互通机制，做好“两参”人员的动态跟踪和事项办理。积极开展《中华人民共和国退役军人保障法》学习宣传、党史学习教育、老兵讲党史、学习先进等活动。扎实做好退役军人来信来访接待和走访慰问工作，接待咨询来访102人次、网络电话咨询1000余次。全面摸排涉军群体不稳定因素，加强管控力度，做好稳控工作。</w:t>
      </w:r>
    </w:p>
    <w:p>
      <w:pPr>
        <w:keepLines w:val="0"/>
        <w:widowControl w:val="0"/>
        <w:snapToGrid/>
        <w:spacing w:before="0" w:beforeAutospacing="0" w:after="0" w:afterAutospacing="0" w:line="560" w:lineRule="exact"/>
        <w:ind w:firstLine="642" w:firstLineChars="200"/>
        <w:jc w:val="both"/>
        <w:textAlignment w:val="baseline"/>
        <w:rPr>
          <w:rFonts w:hint="default"/>
          <w:sz w:val="32"/>
          <w:szCs w:val="32"/>
        </w:rPr>
      </w:pPr>
      <w:r>
        <w:rPr>
          <w:rFonts w:hint="eastAsia" w:ascii="Times New Roman" w:hAnsi="Times New Roman" w:cs="仿宋_GB2312"/>
          <w:b/>
          <w:bCs/>
          <w:sz w:val="32"/>
          <w:szCs w:val="32"/>
          <w:shd w:val="clear" w:color="auto" w:fill="auto"/>
          <w:lang w:val="en-US" w:eastAsia="zh-CN"/>
        </w:rPr>
        <w:t>4.</w:t>
      </w:r>
      <w:r>
        <w:rPr>
          <w:rFonts w:hint="eastAsia" w:ascii="Times New Roman" w:hAnsi="Times New Roman" w:eastAsia="仿宋_GB2312" w:cs="仿宋_GB2312"/>
          <w:b/>
          <w:bCs/>
          <w:sz w:val="32"/>
          <w:szCs w:val="32"/>
          <w:shd w:val="clear" w:color="auto" w:fill="auto"/>
        </w:rPr>
        <w:t>做好军民共建，增强军政军民团结。一是走访慰问真情关怀。</w:t>
      </w:r>
      <w:r>
        <w:rPr>
          <w:rFonts w:hint="eastAsia" w:ascii="Times New Roman" w:hAnsi="Times New Roman" w:eastAsia="仿宋_GB2312" w:cs="仿宋_GB2312"/>
          <w:sz w:val="32"/>
          <w:szCs w:val="32"/>
          <w:shd w:val="clear" w:color="auto" w:fill="auto"/>
        </w:rPr>
        <w:t>加大走访慰问驻县部队工作，在“元旦”和“八一”期间，县委书记和县长亲自带队看望慰问县人武部、县武警中队和消防队全体官兵，发放慰问品和慰问金；积极开展“关爱老兵”暖心行动，发放慰问金惠及1700余名退役军人和其他优抚对象。</w:t>
      </w:r>
      <w:r>
        <w:rPr>
          <w:rFonts w:hint="eastAsia" w:ascii="Times New Roman" w:hAnsi="Times New Roman" w:eastAsia="仿宋_GB2312" w:cs="仿宋_GB2312"/>
          <w:b/>
          <w:bCs/>
          <w:sz w:val="32"/>
          <w:szCs w:val="32"/>
          <w:shd w:val="clear" w:color="auto" w:fill="auto"/>
        </w:rPr>
        <w:t>二是拥军优属执行有力。</w:t>
      </w:r>
      <w:r>
        <w:rPr>
          <w:rFonts w:hint="eastAsia" w:ascii="Times New Roman" w:hAnsi="Times New Roman" w:eastAsia="仿宋_GB2312" w:cs="仿宋_GB2312"/>
          <w:sz w:val="32"/>
          <w:szCs w:val="32"/>
          <w:shd w:val="clear" w:color="auto" w:fill="auto"/>
        </w:rPr>
        <w:t>开展春秋两季送兵25人，为9名春季大学生入伍新兵发放入伍奖励金；为9名重点优抚对象解决二次医疗救助。</w:t>
      </w:r>
      <w:r>
        <w:rPr>
          <w:rFonts w:ascii="Times New Roman" w:hAnsi="Times New Roman" w:eastAsia="仿宋_GB2312" w:cs="仿宋_GB2312"/>
          <w:b/>
          <w:bCs/>
          <w:sz w:val="32"/>
          <w:szCs w:val="32"/>
          <w:shd w:val="clear" w:color="auto" w:fill="auto"/>
        </w:rPr>
        <w:t>三</w:t>
      </w:r>
      <w:r>
        <w:rPr>
          <w:rFonts w:hint="eastAsia" w:ascii="Times New Roman" w:hAnsi="Times New Roman" w:eastAsia="仿宋_GB2312" w:cs="仿宋_GB2312"/>
          <w:b/>
          <w:bCs/>
          <w:sz w:val="32"/>
          <w:szCs w:val="32"/>
          <w:shd w:val="clear" w:color="auto" w:fill="auto"/>
        </w:rPr>
        <w:t>是拥政爱民共叙深情。</w:t>
      </w:r>
      <w:r>
        <w:rPr>
          <w:rFonts w:hint="eastAsia" w:ascii="Times New Roman" w:hAnsi="Times New Roman" w:eastAsia="仿宋_GB2312" w:cs="仿宋_GB2312"/>
          <w:sz w:val="32"/>
          <w:szCs w:val="32"/>
          <w:shd w:val="clear" w:color="auto" w:fill="auto"/>
        </w:rPr>
        <w:t>驻县部队发挥“爱人民、学人民、为人民”的优良传统，尊重少数民族宗教信仰和风俗习惯，定期开展拥政爱民教育和群众纪律检查，做到文明执勤，依法办事；与消防救援大队联合开展消防宣传与救援维护活动，组织34次社会场所演练；协助有关单位开展共建平安校园、平安乡镇等共建活动，勇于承担急难险重任务，及时有效协助地方处置各类突发事件。</w:t>
      </w:r>
      <w:bookmarkStart w:id="13" w:name="_Toc15396602"/>
      <w:bookmarkStart w:id="14" w:name="_Toc8820"/>
      <w:bookmarkStart w:id="15" w:name="_Toc13720"/>
      <w:bookmarkStart w:id="16" w:name="_Toc15377204"/>
      <w:bookmarkStart w:id="17" w:name="_Toc19897"/>
    </w:p>
    <w:p>
      <w:pPr>
        <w:pStyle w:val="3"/>
        <w:pageBreakBefore w:val="0"/>
        <w:kinsoku/>
        <w:wordWrap/>
        <w:overflowPunct/>
        <w:topLinePunct w:val="0"/>
        <w:bidi w:val="0"/>
        <w:spacing w:line="560" w:lineRule="exact"/>
        <w:ind w:left="0" w:leftChars="0" w:firstLine="0" w:firstLineChars="0"/>
        <w:jc w:val="center"/>
        <w:textAlignment w:val="auto"/>
        <w:rPr>
          <w:rFonts w:hint="eastAsia" w:ascii="Times New Roman" w:hAnsi="Times New Roman" w:cs="Times New Roman"/>
          <w:b w:val="0"/>
          <w:bCs/>
          <w:sz w:val="44"/>
          <w:szCs w:val="44"/>
          <w:lang w:val="en-US" w:eastAsia="zh-CN"/>
        </w:rPr>
      </w:pPr>
      <w:bookmarkStart w:id="18" w:name="_Toc30601"/>
      <w:r>
        <w:rPr>
          <w:rFonts w:hint="default" w:ascii="Times New Roman" w:hAnsi="Times New Roman" w:cs="Times New Roman"/>
          <w:b w:val="0"/>
          <w:bCs/>
          <w:sz w:val="44"/>
          <w:szCs w:val="44"/>
          <w:lang w:val="en-US" w:eastAsia="zh-CN"/>
        </w:rPr>
        <w:t>第二部分2021年度部门决算情况说明</w:t>
      </w:r>
      <w:bookmarkEnd w:id="13"/>
      <w:bookmarkEnd w:id="14"/>
      <w:bookmarkEnd w:id="15"/>
      <w:bookmarkEnd w:id="16"/>
      <w:bookmarkEnd w:id="17"/>
      <w:bookmarkEnd w:id="18"/>
    </w:p>
    <w:p>
      <w:pPr>
        <w:pStyle w:val="3"/>
        <w:pageBreakBefore w:val="0"/>
        <w:kinsoku/>
        <w:wordWrap/>
        <w:overflowPunct/>
        <w:topLinePunct w:val="0"/>
        <w:bidi w:val="0"/>
        <w:spacing w:line="560" w:lineRule="exact"/>
        <w:ind w:left="0" w:firstLine="640" w:firstLineChars="200"/>
        <w:textAlignment w:val="auto"/>
        <w:outlineLvl w:val="1"/>
        <w:rPr>
          <w:rFonts w:hint="default" w:ascii="Times New Roman" w:hAnsi="Times New Roman" w:cs="Times New Roman"/>
          <w:b w:val="0"/>
          <w:bCs/>
          <w:sz w:val="32"/>
          <w:szCs w:val="32"/>
        </w:rPr>
      </w:pPr>
      <w:bookmarkStart w:id="19" w:name="_Toc5435"/>
      <w:bookmarkStart w:id="20" w:name="_Toc20543"/>
      <w:bookmarkStart w:id="21" w:name="_Toc10164"/>
      <w:bookmarkStart w:id="22" w:name="_Toc28638"/>
      <w:bookmarkStart w:id="23" w:name="_Toc10933"/>
      <w:bookmarkStart w:id="24" w:name="_Toc5948"/>
      <w:r>
        <w:rPr>
          <w:rFonts w:hint="eastAsia" w:cs="Times New Roman"/>
          <w:b w:val="0"/>
          <w:bCs/>
          <w:sz w:val="32"/>
          <w:szCs w:val="32"/>
          <w:lang w:val="en-US" w:eastAsia="zh-CN"/>
        </w:rPr>
        <w:t>一</w:t>
      </w:r>
      <w:r>
        <w:rPr>
          <w:rFonts w:hint="default" w:ascii="Times New Roman" w:hAnsi="Times New Roman" w:cs="Times New Roman"/>
          <w:b w:val="0"/>
          <w:bCs/>
          <w:sz w:val="32"/>
          <w:szCs w:val="32"/>
        </w:rPr>
        <w:t>、一般公共预算财政拨款基本支出情况</w:t>
      </w:r>
      <w:bookmarkEnd w:id="19"/>
      <w:bookmarkEnd w:id="20"/>
      <w:bookmarkEnd w:id="21"/>
      <w:bookmarkEnd w:id="22"/>
    </w:p>
    <w:p>
      <w:pPr>
        <w:pStyle w:val="4"/>
        <w:pageBreakBefore w:val="0"/>
        <w:kinsoku/>
        <w:wordWrap/>
        <w:overflowPunct/>
        <w:topLinePunct w:val="0"/>
        <w:bidi w:val="0"/>
        <w:spacing w:line="560" w:lineRule="exact"/>
        <w:ind w:left="0" w:firstLine="642" w:firstLineChars="200"/>
        <w:textAlignment w:val="auto"/>
        <w:rPr>
          <w:rFonts w:hint="default" w:ascii="Times New Roman" w:hAnsi="Times New Roman" w:cs="Times New Roman"/>
          <w:sz w:val="32"/>
          <w:szCs w:val="32"/>
        </w:rPr>
      </w:pPr>
      <w:bookmarkStart w:id="25" w:name="_Toc22271"/>
      <w:bookmarkStart w:id="26" w:name="_Toc61109024"/>
      <w:bookmarkStart w:id="27" w:name="_Toc10580"/>
      <w:bookmarkStart w:id="28" w:name="_Toc6882"/>
      <w:r>
        <w:rPr>
          <w:rFonts w:hint="default" w:ascii="Times New Roman" w:hAnsi="Times New Roman" w:cs="Times New Roman"/>
          <w:sz w:val="32"/>
          <w:szCs w:val="32"/>
        </w:rPr>
        <w:t>（一）收入支出预算安排情况</w:t>
      </w:r>
      <w:bookmarkEnd w:id="25"/>
      <w:bookmarkEnd w:id="26"/>
      <w:bookmarkEnd w:id="27"/>
      <w:bookmarkEnd w:id="28"/>
    </w:p>
    <w:p>
      <w:pPr>
        <w:keepNext w:val="0"/>
        <w:keepLines w:val="0"/>
        <w:pageBreakBefore w:val="0"/>
        <w:kinsoku/>
        <w:wordWrap/>
        <w:overflowPunct/>
        <w:topLinePunct w:val="0"/>
        <w:autoSpaceDE/>
        <w:autoSpaceDN/>
        <w:bidi w:val="0"/>
        <w:adjustRightInd/>
        <w:snapToGrid w:val="0"/>
        <w:spacing w:line="560" w:lineRule="exact"/>
        <w:ind w:left="0" w:firstLine="642" w:firstLineChars="200"/>
        <w:textAlignment w:val="auto"/>
        <w:rPr>
          <w:rFonts w:hint="eastAsia" w:ascii="仿宋_GB2312" w:hAnsi="宋体" w:eastAsia="仿宋_GB2312" w:cs="宋体"/>
          <w:b/>
          <w:color w:val="333333"/>
          <w:kern w:val="0"/>
          <w:sz w:val="32"/>
          <w:szCs w:val="32"/>
          <w:lang w:val="zh-CN"/>
        </w:rPr>
      </w:pPr>
      <w:r>
        <w:rPr>
          <w:rFonts w:hint="eastAsia" w:ascii="仿宋_GB2312" w:hAnsi="宋体" w:eastAsia="仿宋_GB2312" w:cs="宋体"/>
          <w:b/>
          <w:color w:val="333333"/>
          <w:kern w:val="0"/>
          <w:sz w:val="32"/>
          <w:szCs w:val="32"/>
          <w:lang w:val="zh-CN"/>
        </w:rPr>
        <w:t>1.年度收入情况</w:t>
      </w:r>
    </w:p>
    <w:p>
      <w:pPr>
        <w:spacing w:line="560" w:lineRule="exact"/>
        <w:ind w:firstLine="640"/>
        <w:jc w:val="left"/>
        <w:rPr>
          <w:rFonts w:hint="eastAsia" w:ascii="仿宋" w:hAnsi="仿宋" w:eastAsia="仿宋" w:cs="宋体"/>
          <w:b w:val="0"/>
          <w:bCs/>
          <w:kern w:val="0"/>
          <w:sz w:val="32"/>
          <w:szCs w:val="32"/>
        </w:rPr>
      </w:pPr>
      <w:r>
        <w:rPr>
          <w:rFonts w:hint="eastAsia" w:ascii="仿宋" w:hAnsi="仿宋" w:eastAsia="仿宋"/>
          <w:b w:val="0"/>
          <w:bCs/>
          <w:sz w:val="32"/>
          <w:szCs w:val="32"/>
        </w:rPr>
        <w:t>202</w:t>
      </w:r>
      <w:r>
        <w:rPr>
          <w:rFonts w:hint="eastAsia" w:ascii="仿宋" w:hAnsi="仿宋" w:eastAsia="仿宋"/>
          <w:b w:val="0"/>
          <w:bCs/>
          <w:sz w:val="32"/>
          <w:szCs w:val="32"/>
          <w:lang w:val="en-US" w:eastAsia="zh-CN"/>
        </w:rPr>
        <w:t>1</w:t>
      </w:r>
      <w:r>
        <w:rPr>
          <w:rFonts w:hint="eastAsia" w:ascii="仿宋" w:hAnsi="仿宋" w:eastAsia="仿宋"/>
          <w:b w:val="0"/>
          <w:bCs/>
          <w:sz w:val="32"/>
          <w:szCs w:val="32"/>
        </w:rPr>
        <w:t>年总收入</w:t>
      </w:r>
      <w:r>
        <w:rPr>
          <w:rFonts w:hint="eastAsia" w:ascii="仿宋" w:hAnsi="仿宋" w:eastAsia="仿宋"/>
          <w:b w:val="0"/>
          <w:bCs/>
          <w:sz w:val="32"/>
          <w:szCs w:val="32"/>
          <w:lang w:val="en-US" w:eastAsia="zh-CN"/>
        </w:rPr>
        <w:t>831.7</w:t>
      </w:r>
      <w:r>
        <w:rPr>
          <w:rFonts w:hint="eastAsia" w:ascii="仿宋" w:hAnsi="仿宋" w:eastAsia="仿宋"/>
          <w:b w:val="0"/>
          <w:bCs/>
          <w:sz w:val="32"/>
          <w:szCs w:val="32"/>
        </w:rPr>
        <w:t>万元。其中:财政拨款收入</w:t>
      </w:r>
      <w:r>
        <w:rPr>
          <w:rFonts w:hint="eastAsia" w:ascii="仿宋" w:hAnsi="仿宋" w:eastAsia="仿宋"/>
          <w:b w:val="0"/>
          <w:bCs/>
          <w:sz w:val="32"/>
          <w:szCs w:val="32"/>
          <w:lang w:val="en-US" w:eastAsia="zh-CN"/>
        </w:rPr>
        <w:t>831.7</w:t>
      </w:r>
      <w:r>
        <w:rPr>
          <w:rFonts w:hint="eastAsia" w:ascii="仿宋" w:hAnsi="仿宋" w:eastAsia="仿宋"/>
          <w:b w:val="0"/>
          <w:bCs/>
          <w:sz w:val="32"/>
          <w:szCs w:val="32"/>
        </w:rPr>
        <w:t>万元，占总收入的100%；</w:t>
      </w:r>
      <w:r>
        <w:rPr>
          <w:rFonts w:hint="eastAsia" w:ascii="仿宋" w:hAnsi="仿宋" w:eastAsia="仿宋" w:cs="宋体"/>
          <w:b w:val="0"/>
          <w:bCs/>
          <w:kern w:val="0"/>
          <w:sz w:val="32"/>
          <w:szCs w:val="32"/>
        </w:rPr>
        <w:t>事业收入0万元；经营收入0万元；附属单位上缴收入0万元；其他收入0万元。</w:t>
      </w:r>
    </w:p>
    <w:p>
      <w:pPr>
        <w:keepNext w:val="0"/>
        <w:keepLines w:val="0"/>
        <w:pageBreakBefore w:val="0"/>
        <w:kinsoku/>
        <w:wordWrap/>
        <w:overflowPunct/>
        <w:topLinePunct w:val="0"/>
        <w:autoSpaceDE/>
        <w:autoSpaceDN/>
        <w:bidi w:val="0"/>
        <w:adjustRightInd/>
        <w:snapToGrid w:val="0"/>
        <w:spacing w:line="560" w:lineRule="exact"/>
        <w:ind w:left="0" w:firstLine="642" w:firstLineChars="200"/>
        <w:textAlignment w:val="auto"/>
        <w:rPr>
          <w:rFonts w:hint="eastAsia" w:ascii="仿宋_GB2312" w:hAnsi="宋体" w:eastAsia="仿宋_GB2312" w:cs="宋体"/>
          <w:b/>
          <w:color w:val="333333"/>
          <w:kern w:val="0"/>
          <w:sz w:val="32"/>
          <w:szCs w:val="32"/>
          <w:lang w:val="zh-CN"/>
        </w:rPr>
      </w:pPr>
      <w:r>
        <w:rPr>
          <w:rFonts w:hint="eastAsia" w:ascii="仿宋_GB2312" w:hAnsi="宋体" w:eastAsia="仿宋_GB2312" w:cs="宋体"/>
          <w:b/>
          <w:color w:val="333333"/>
          <w:kern w:val="0"/>
          <w:sz w:val="32"/>
          <w:szCs w:val="32"/>
          <w:lang w:val="zh-CN"/>
        </w:rPr>
        <w:t>2.年度支出情况</w:t>
      </w:r>
    </w:p>
    <w:p>
      <w:pPr>
        <w:spacing w:line="560" w:lineRule="exact"/>
        <w:ind w:firstLine="640" w:firstLineChars="200"/>
        <w:rPr>
          <w:rFonts w:hint="eastAsia" w:ascii="仿宋" w:hAnsi="仿宋" w:eastAsia="仿宋"/>
          <w:b w:val="0"/>
          <w:bCs/>
          <w:sz w:val="32"/>
          <w:szCs w:val="32"/>
        </w:rPr>
      </w:pP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年金川县退役军人事务局本年支出合计</w:t>
      </w:r>
      <w:r>
        <w:rPr>
          <w:rFonts w:hint="eastAsia" w:ascii="仿宋" w:hAnsi="仿宋" w:eastAsia="仿宋"/>
          <w:b w:val="0"/>
          <w:bCs/>
          <w:sz w:val="32"/>
          <w:szCs w:val="32"/>
          <w:lang w:val="en-US" w:eastAsia="zh-CN"/>
        </w:rPr>
        <w:t>894.98</w:t>
      </w:r>
      <w:r>
        <w:rPr>
          <w:rFonts w:hint="eastAsia" w:ascii="仿宋" w:hAnsi="仿宋" w:eastAsia="仿宋"/>
          <w:b w:val="0"/>
          <w:bCs/>
          <w:sz w:val="32"/>
          <w:szCs w:val="32"/>
        </w:rPr>
        <w:t>万元</w:t>
      </w:r>
      <w:r>
        <w:rPr>
          <w:rFonts w:hint="eastAsia" w:ascii="仿宋" w:hAnsi="仿宋" w:eastAsia="仿宋" w:cs="仿宋_GB2312"/>
          <w:b w:val="0"/>
          <w:bCs/>
          <w:sz w:val="32"/>
          <w:szCs w:val="32"/>
        </w:rPr>
        <w:t>，其中：基本支出</w:t>
      </w:r>
      <w:r>
        <w:rPr>
          <w:rFonts w:hint="eastAsia" w:ascii="仿宋" w:hAnsi="仿宋" w:eastAsia="仿宋"/>
          <w:b w:val="0"/>
          <w:bCs/>
          <w:sz w:val="32"/>
          <w:szCs w:val="32"/>
          <w:lang w:val="en-US" w:eastAsia="zh-CN"/>
        </w:rPr>
        <w:t>120.2</w:t>
      </w:r>
      <w:r>
        <w:rPr>
          <w:rFonts w:hint="eastAsia" w:ascii="仿宋" w:hAnsi="仿宋" w:eastAsia="仿宋"/>
          <w:b w:val="0"/>
          <w:bCs/>
          <w:sz w:val="32"/>
          <w:szCs w:val="32"/>
        </w:rPr>
        <w:t>万</w:t>
      </w:r>
      <w:r>
        <w:rPr>
          <w:rFonts w:hint="eastAsia" w:ascii="仿宋" w:hAnsi="仿宋" w:eastAsia="仿宋" w:cs="仿宋_GB2312"/>
          <w:b w:val="0"/>
          <w:bCs/>
          <w:sz w:val="32"/>
          <w:szCs w:val="32"/>
        </w:rPr>
        <w:t>元，占总支出的</w:t>
      </w:r>
      <w:r>
        <w:rPr>
          <w:rFonts w:hint="eastAsia" w:ascii="仿宋" w:hAnsi="仿宋" w:eastAsia="仿宋" w:cs="仿宋_GB2312"/>
          <w:b w:val="0"/>
          <w:bCs/>
          <w:sz w:val="32"/>
          <w:szCs w:val="32"/>
          <w:lang w:val="en-US" w:eastAsia="zh-CN"/>
        </w:rPr>
        <w:t>13.4</w:t>
      </w:r>
      <w:r>
        <w:rPr>
          <w:rFonts w:hint="eastAsia" w:ascii="仿宋" w:hAnsi="仿宋" w:eastAsia="仿宋" w:cs="仿宋_GB2312"/>
          <w:b w:val="0"/>
          <w:bCs/>
          <w:sz w:val="32"/>
          <w:szCs w:val="32"/>
        </w:rPr>
        <w:t>%；项目支出</w:t>
      </w:r>
      <w:r>
        <w:rPr>
          <w:rFonts w:hint="eastAsia" w:ascii="仿宋" w:hAnsi="仿宋" w:eastAsia="仿宋" w:cs="仿宋_GB2312"/>
          <w:b w:val="0"/>
          <w:bCs/>
          <w:sz w:val="32"/>
          <w:szCs w:val="32"/>
          <w:lang w:val="en-US" w:eastAsia="zh-CN"/>
        </w:rPr>
        <w:t>774.78</w:t>
      </w:r>
      <w:r>
        <w:rPr>
          <w:rFonts w:hint="eastAsia" w:ascii="仿宋" w:hAnsi="仿宋" w:eastAsia="仿宋" w:cs="仿宋_GB2312"/>
          <w:b w:val="0"/>
          <w:bCs/>
          <w:sz w:val="32"/>
          <w:szCs w:val="32"/>
        </w:rPr>
        <w:t>万元，占总支出的</w:t>
      </w:r>
      <w:r>
        <w:rPr>
          <w:rFonts w:hint="eastAsia" w:ascii="仿宋" w:hAnsi="仿宋" w:eastAsia="仿宋" w:cs="仿宋_GB2312"/>
          <w:b w:val="0"/>
          <w:bCs/>
          <w:sz w:val="32"/>
          <w:szCs w:val="32"/>
          <w:lang w:val="en-US" w:eastAsia="zh-CN"/>
        </w:rPr>
        <w:t>86.6</w:t>
      </w:r>
      <w:r>
        <w:rPr>
          <w:rFonts w:hint="eastAsia" w:ascii="仿宋" w:hAnsi="仿宋" w:eastAsia="仿宋" w:cs="仿宋_GB2312"/>
          <w:b w:val="0"/>
          <w:bCs/>
          <w:sz w:val="32"/>
          <w:szCs w:val="32"/>
        </w:rPr>
        <w:t>%；上缴上级支出0万元；经营支出0万元。</w:t>
      </w:r>
    </w:p>
    <w:p>
      <w:pPr>
        <w:keepNext w:val="0"/>
        <w:keepLines w:val="0"/>
        <w:pageBreakBefore w:val="0"/>
        <w:kinsoku/>
        <w:wordWrap/>
        <w:overflowPunct/>
        <w:topLinePunct w:val="0"/>
        <w:autoSpaceDE/>
        <w:autoSpaceDN/>
        <w:bidi w:val="0"/>
        <w:adjustRightInd/>
        <w:snapToGrid w:val="0"/>
        <w:spacing w:line="560" w:lineRule="exact"/>
        <w:ind w:left="0" w:firstLine="642" w:firstLineChars="200"/>
        <w:textAlignment w:val="auto"/>
        <w:rPr>
          <w:rFonts w:hint="eastAsia" w:ascii="楷体_GB2312" w:hAnsi="仿宋" w:eastAsia="楷体_GB2312"/>
          <w:b/>
          <w:color w:val="auto"/>
          <w:sz w:val="32"/>
          <w:szCs w:val="32"/>
        </w:rPr>
      </w:pPr>
      <w:r>
        <w:rPr>
          <w:rFonts w:hint="eastAsia" w:ascii="楷体_GB2312" w:hAnsi="仿宋" w:eastAsia="楷体_GB2312"/>
          <w:b/>
          <w:color w:val="auto"/>
          <w:sz w:val="32"/>
          <w:szCs w:val="32"/>
        </w:rPr>
        <w:t>（二）收入支出预算执行情况</w:t>
      </w:r>
    </w:p>
    <w:p>
      <w:pPr>
        <w:keepNext w:val="0"/>
        <w:keepLines w:val="0"/>
        <w:pageBreakBefore w:val="0"/>
        <w:kinsoku/>
        <w:wordWrap/>
        <w:overflowPunct/>
        <w:topLinePunct w:val="0"/>
        <w:autoSpaceDE/>
        <w:autoSpaceDN/>
        <w:bidi w:val="0"/>
        <w:adjustRightInd/>
        <w:snapToGrid w:val="0"/>
        <w:spacing w:line="560" w:lineRule="exact"/>
        <w:ind w:left="0" w:firstLine="642" w:firstLineChars="200"/>
        <w:textAlignment w:val="auto"/>
        <w:rPr>
          <w:rFonts w:hint="eastAsia" w:ascii="仿宋_GB2312" w:hAnsi="宋体" w:eastAsia="仿宋_GB2312" w:cs="宋体"/>
          <w:b/>
          <w:color w:val="auto"/>
          <w:kern w:val="0"/>
          <w:sz w:val="32"/>
          <w:szCs w:val="32"/>
          <w:lang w:val="zh-CN"/>
        </w:rPr>
      </w:pPr>
      <w:r>
        <w:rPr>
          <w:rFonts w:hint="eastAsia" w:ascii="仿宋_GB2312" w:hAnsi="宋体" w:eastAsia="仿宋_GB2312" w:cs="宋体"/>
          <w:b/>
          <w:color w:val="auto"/>
          <w:kern w:val="0"/>
          <w:sz w:val="32"/>
          <w:szCs w:val="32"/>
          <w:lang w:val="zh-CN"/>
        </w:rPr>
        <w:t>1.收入支出与预算对比分析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color w:val="auto"/>
          <w:sz w:val="32"/>
          <w:szCs w:val="32"/>
          <w:lang w:val="zh-CN"/>
        </w:rPr>
      </w:pPr>
      <w:r>
        <w:rPr>
          <w:rFonts w:hint="eastAsia" w:ascii="仿宋_GB2312" w:hAnsi="仿宋" w:eastAsia="仿宋_GB2312" w:cs="Times New Roman"/>
          <w:bCs/>
          <w:color w:val="auto"/>
          <w:sz w:val="32"/>
          <w:szCs w:val="32"/>
          <w:lang w:val="zh-CN"/>
        </w:rPr>
        <w:t>（1）</w:t>
      </w:r>
      <w:r>
        <w:rPr>
          <w:rFonts w:hint="eastAsia" w:ascii="仿宋_GB2312" w:hAnsi="仿宋" w:cs="Times New Roman"/>
          <w:bCs/>
          <w:color w:val="auto"/>
          <w:sz w:val="32"/>
          <w:szCs w:val="32"/>
          <w:lang w:val="en-US" w:eastAsia="zh-CN"/>
        </w:rPr>
        <w:t>收、支</w:t>
      </w:r>
      <w:r>
        <w:rPr>
          <w:rFonts w:hint="eastAsia" w:ascii="仿宋_GB2312" w:hAnsi="仿宋" w:eastAsia="仿宋_GB2312" w:cs="Times New Roman"/>
          <w:bCs/>
          <w:color w:val="auto"/>
          <w:sz w:val="32"/>
          <w:szCs w:val="32"/>
          <w:lang w:val="zh-CN"/>
        </w:rPr>
        <w:t>差异情况</w:t>
      </w:r>
    </w:p>
    <w:p>
      <w:pPr>
        <w:spacing w:line="560" w:lineRule="exact"/>
        <w:ind w:firstLine="640" w:firstLineChars="200"/>
        <w:rPr>
          <w:rFonts w:hint="eastAsia" w:ascii="仿宋" w:hAnsi="仿宋" w:eastAsia="仿宋" w:cs="仿宋_GB2312"/>
          <w:b w:val="0"/>
          <w:bCs/>
          <w:sz w:val="32"/>
          <w:szCs w:val="32"/>
        </w:rPr>
      </w:pPr>
      <w:r>
        <w:drawing>
          <wp:anchor distT="0" distB="0" distL="114300" distR="114300" simplePos="0" relativeHeight="251664384" behindDoc="0" locked="0" layoutInCell="1" allowOverlap="1">
            <wp:simplePos x="0" y="0"/>
            <wp:positionH relativeFrom="column">
              <wp:posOffset>1135380</wp:posOffset>
            </wp:positionH>
            <wp:positionV relativeFrom="paragraph">
              <wp:posOffset>120015</wp:posOffset>
            </wp:positionV>
            <wp:extent cx="4119245" cy="2169160"/>
            <wp:effectExtent l="4445" t="4445" r="10160" b="17145"/>
            <wp:wrapSquare wrapText="bothSides"/>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hAnsi="仿宋" w:eastAsia="仿宋" w:cs="仿宋_GB2312"/>
          <w:b w:val="0"/>
          <w:bCs/>
          <w:sz w:val="32"/>
          <w:szCs w:val="32"/>
        </w:rPr>
        <w:t>金川县退役军人事务局202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年度财政拨款收入</w:t>
      </w:r>
      <w:r>
        <w:rPr>
          <w:rFonts w:hint="eastAsia" w:ascii="仿宋" w:hAnsi="仿宋" w:eastAsia="仿宋" w:cs="仿宋_GB2312"/>
          <w:b w:val="0"/>
          <w:bCs/>
          <w:sz w:val="32"/>
          <w:szCs w:val="32"/>
          <w:lang w:val="en-US" w:eastAsia="zh-CN"/>
        </w:rPr>
        <w:t>831.7</w:t>
      </w:r>
      <w:r>
        <w:rPr>
          <w:rFonts w:hint="eastAsia" w:ascii="仿宋" w:hAnsi="仿宋" w:eastAsia="仿宋" w:cs="仿宋_GB2312"/>
          <w:b w:val="0"/>
          <w:bCs/>
          <w:sz w:val="32"/>
          <w:szCs w:val="32"/>
        </w:rPr>
        <w:t>万元，支出</w:t>
      </w:r>
      <w:r>
        <w:rPr>
          <w:rFonts w:hint="eastAsia" w:ascii="仿宋" w:hAnsi="仿宋" w:eastAsia="仿宋" w:cs="仿宋_GB2312"/>
          <w:b w:val="0"/>
          <w:bCs/>
          <w:sz w:val="32"/>
          <w:szCs w:val="32"/>
          <w:lang w:val="en-US" w:eastAsia="zh-CN"/>
        </w:rPr>
        <w:t>894.98</w:t>
      </w:r>
      <w:r>
        <w:rPr>
          <w:rFonts w:hint="eastAsia" w:ascii="仿宋" w:hAnsi="仿宋" w:eastAsia="仿宋" w:cs="仿宋_GB2312"/>
          <w:b w:val="0"/>
          <w:bCs/>
          <w:sz w:val="32"/>
          <w:szCs w:val="32"/>
        </w:rPr>
        <w:t>万元。与</w:t>
      </w:r>
      <w:r>
        <w:rPr>
          <w:rFonts w:hint="eastAsia" w:ascii="仿宋" w:hAnsi="仿宋" w:eastAsia="仿宋" w:cs="仿宋_GB2312"/>
          <w:b w:val="0"/>
          <w:bCs/>
          <w:sz w:val="32"/>
          <w:szCs w:val="32"/>
          <w:lang w:val="en-US" w:eastAsia="zh-CN"/>
        </w:rPr>
        <w:t>2020</w:t>
      </w:r>
      <w:r>
        <w:rPr>
          <w:rFonts w:hint="eastAsia" w:ascii="仿宋" w:hAnsi="仿宋" w:eastAsia="仿宋" w:cs="仿宋_GB2312"/>
          <w:b w:val="0"/>
          <w:bCs/>
          <w:sz w:val="32"/>
          <w:szCs w:val="32"/>
        </w:rPr>
        <w:t>年决算收入</w:t>
      </w:r>
      <w:r>
        <w:rPr>
          <w:rFonts w:hint="eastAsia" w:ascii="仿宋" w:hAnsi="仿宋" w:eastAsia="仿宋" w:cs="仿宋_GB2312"/>
          <w:b/>
          <w:bCs/>
          <w:sz w:val="32"/>
          <w:szCs w:val="32"/>
        </w:rPr>
        <w:t>671.03</w:t>
      </w:r>
      <w:r>
        <w:rPr>
          <w:rFonts w:hint="eastAsia" w:ascii="仿宋" w:hAnsi="仿宋" w:eastAsia="仿宋" w:cs="仿宋_GB2312"/>
          <w:b w:val="0"/>
          <w:bCs/>
          <w:sz w:val="32"/>
          <w:szCs w:val="32"/>
        </w:rPr>
        <w:t>万元，支出</w:t>
      </w:r>
      <w:r>
        <w:rPr>
          <w:rFonts w:hint="eastAsia" w:ascii="仿宋" w:hAnsi="仿宋" w:eastAsia="仿宋" w:cs="仿宋_GB2312"/>
          <w:b/>
          <w:bCs/>
          <w:sz w:val="32"/>
          <w:szCs w:val="32"/>
        </w:rPr>
        <w:t>656.51</w:t>
      </w:r>
      <w:r>
        <w:rPr>
          <w:rFonts w:hint="eastAsia" w:ascii="仿宋" w:hAnsi="仿宋" w:eastAsia="仿宋" w:cs="仿宋_GB2312"/>
          <w:b w:val="0"/>
          <w:bCs/>
          <w:sz w:val="32"/>
          <w:szCs w:val="32"/>
        </w:rPr>
        <w:t>万元相比，财政拨款收入总计增加</w:t>
      </w:r>
      <w:r>
        <w:rPr>
          <w:rFonts w:hint="eastAsia" w:ascii="仿宋" w:hAnsi="仿宋" w:eastAsia="仿宋" w:cs="仿宋_GB2312"/>
          <w:b w:val="0"/>
          <w:bCs/>
          <w:sz w:val="32"/>
          <w:szCs w:val="32"/>
          <w:lang w:val="en-US" w:eastAsia="zh-CN"/>
        </w:rPr>
        <w:t>160.67</w:t>
      </w:r>
      <w:r>
        <w:rPr>
          <w:rFonts w:hint="eastAsia" w:ascii="仿宋" w:hAnsi="仿宋" w:eastAsia="仿宋" w:cs="仿宋_GB2312"/>
          <w:b w:val="0"/>
          <w:bCs/>
          <w:sz w:val="32"/>
          <w:szCs w:val="32"/>
        </w:rPr>
        <w:t>万元，增幅为</w:t>
      </w:r>
      <w:r>
        <w:rPr>
          <w:rFonts w:hint="eastAsia" w:ascii="仿宋" w:hAnsi="仿宋" w:eastAsia="仿宋" w:cs="仿宋_GB2312"/>
          <w:b w:val="0"/>
          <w:bCs/>
          <w:color w:val="auto"/>
          <w:sz w:val="32"/>
          <w:szCs w:val="32"/>
          <w:lang w:val="en-US" w:eastAsia="zh-CN"/>
        </w:rPr>
        <w:t>23.94</w:t>
      </w:r>
      <w:r>
        <w:rPr>
          <w:rFonts w:hint="eastAsia" w:ascii="仿宋" w:hAnsi="仿宋" w:eastAsia="仿宋" w:cs="仿宋_GB2312"/>
          <w:b w:val="0"/>
          <w:bCs/>
          <w:color w:val="auto"/>
          <w:sz w:val="32"/>
          <w:szCs w:val="32"/>
        </w:rPr>
        <w:t>%</w:t>
      </w:r>
      <w:r>
        <w:rPr>
          <w:rFonts w:hint="eastAsia" w:ascii="仿宋" w:hAnsi="仿宋" w:eastAsia="仿宋" w:cs="仿宋_GB2312"/>
          <w:b w:val="0"/>
          <w:bCs/>
          <w:sz w:val="32"/>
          <w:szCs w:val="32"/>
        </w:rPr>
        <w:t>，支出总计增加</w:t>
      </w:r>
      <w:r>
        <w:rPr>
          <w:rFonts w:hint="eastAsia" w:ascii="仿宋" w:hAnsi="仿宋" w:eastAsia="仿宋" w:cs="仿宋_GB2312"/>
          <w:b w:val="0"/>
          <w:bCs/>
          <w:sz w:val="32"/>
          <w:szCs w:val="32"/>
          <w:lang w:val="en-US" w:eastAsia="zh-CN"/>
        </w:rPr>
        <w:t>238.47</w:t>
      </w:r>
      <w:r>
        <w:rPr>
          <w:rFonts w:hint="eastAsia" w:ascii="仿宋" w:hAnsi="仿宋" w:eastAsia="仿宋" w:cs="仿宋_GB2312"/>
          <w:b w:val="0"/>
          <w:bCs/>
          <w:sz w:val="32"/>
          <w:szCs w:val="32"/>
        </w:rPr>
        <w:t>万元，增幅为</w:t>
      </w:r>
      <w:r>
        <w:rPr>
          <w:rFonts w:hint="eastAsia" w:ascii="仿宋" w:hAnsi="仿宋" w:eastAsia="仿宋" w:cs="仿宋_GB2312"/>
          <w:b w:val="0"/>
          <w:bCs/>
          <w:sz w:val="32"/>
          <w:szCs w:val="32"/>
          <w:lang w:val="en-US" w:eastAsia="zh-CN"/>
        </w:rPr>
        <w:t>36</w:t>
      </w:r>
      <w:r>
        <w:rPr>
          <w:rFonts w:hint="eastAsia" w:ascii="仿宋" w:hAnsi="仿宋" w:eastAsia="仿宋" w:cs="仿宋_GB2312"/>
          <w:b w:val="0"/>
          <w:bCs/>
          <w:color w:val="auto"/>
          <w:sz w:val="32"/>
          <w:szCs w:val="32"/>
          <w:lang w:val="en-US" w:eastAsia="zh-CN"/>
        </w:rPr>
        <w:t>.32</w:t>
      </w:r>
      <w:r>
        <w:rPr>
          <w:rFonts w:hint="eastAsia" w:ascii="仿宋" w:hAnsi="仿宋" w:eastAsia="仿宋" w:cs="仿宋_GB2312"/>
          <w:b w:val="0"/>
          <w:bCs/>
          <w:color w:val="auto"/>
          <w:sz w:val="32"/>
          <w:szCs w:val="32"/>
        </w:rPr>
        <w:t>%</w:t>
      </w:r>
      <w:r>
        <w:rPr>
          <w:rFonts w:hint="eastAsia" w:ascii="仿宋" w:hAnsi="仿宋" w:eastAsia="仿宋" w:cs="仿宋_GB2312"/>
          <w:b w:val="0"/>
          <w:bCs/>
          <w:sz w:val="32"/>
          <w:szCs w:val="32"/>
        </w:rPr>
        <w:t>。</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color w:val="auto"/>
          <w:sz w:val="32"/>
          <w:szCs w:val="32"/>
          <w:lang w:val="zh-CN"/>
        </w:rPr>
      </w:pPr>
      <w:r>
        <w:rPr>
          <w:rFonts w:hint="eastAsia" w:ascii="仿宋_GB2312" w:hAnsi="仿宋" w:eastAsia="仿宋_GB2312" w:cs="Times New Roman"/>
          <w:bCs/>
          <w:color w:val="auto"/>
          <w:sz w:val="32"/>
          <w:szCs w:val="32"/>
          <w:lang w:val="zh-CN"/>
        </w:rPr>
        <w:t>（2）差异原因分析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default" w:ascii="仿宋_GB2312" w:hAnsi="仿宋" w:eastAsia="仿宋_GB2312" w:cs="Times New Roman"/>
          <w:bCs/>
          <w:color w:val="auto"/>
          <w:sz w:val="32"/>
          <w:szCs w:val="32"/>
          <w:lang w:val="en-US" w:eastAsia="zh-CN"/>
        </w:rPr>
      </w:pPr>
      <w:r>
        <w:rPr>
          <w:rFonts w:hint="eastAsia" w:ascii="仿宋_GB2312" w:hAnsi="仿宋" w:eastAsia="仿宋_GB2312" w:cs="Times New Roman"/>
          <w:bCs/>
          <w:color w:val="auto"/>
          <w:sz w:val="32"/>
          <w:szCs w:val="32"/>
          <w:lang w:val="zh-CN"/>
        </w:rPr>
        <w:t>收入和支出差异主要是因为：1.</w:t>
      </w:r>
      <w:r>
        <w:rPr>
          <w:rFonts w:hint="eastAsia" w:ascii="仿宋_GB2312" w:hAnsi="仿宋" w:cs="Times New Roman"/>
          <w:bCs/>
          <w:color w:val="auto"/>
          <w:sz w:val="32"/>
          <w:szCs w:val="32"/>
          <w:lang w:val="en-US" w:eastAsia="zh-CN"/>
        </w:rPr>
        <w:t>2021年</w:t>
      </w:r>
      <w:r>
        <w:rPr>
          <w:rFonts w:hint="eastAsia" w:ascii="仿宋_GB2312" w:hAnsi="仿宋" w:eastAsia="仿宋_GB2312" w:cs="Times New Roman"/>
          <w:bCs/>
          <w:color w:val="auto"/>
          <w:sz w:val="32"/>
          <w:szCs w:val="32"/>
          <w:lang w:val="zh-CN"/>
        </w:rPr>
        <w:t>本部门机构人员工资晋级晋档、调整津补贴等原因，导致工资、养老保险、</w:t>
      </w:r>
      <w:r>
        <w:rPr>
          <w:rFonts w:hint="eastAsia" w:ascii="仿宋_GB2312" w:hAnsi="仿宋" w:cs="Times New Roman"/>
          <w:bCs/>
          <w:color w:val="auto"/>
          <w:sz w:val="32"/>
          <w:szCs w:val="32"/>
          <w:lang w:val="en-US" w:eastAsia="zh-CN"/>
        </w:rPr>
        <w:t>职业</w:t>
      </w:r>
      <w:r>
        <w:rPr>
          <w:rFonts w:hint="eastAsia" w:ascii="仿宋_GB2312" w:hAnsi="仿宋" w:eastAsia="仿宋_GB2312" w:cs="Times New Roman"/>
          <w:bCs/>
          <w:color w:val="auto"/>
          <w:sz w:val="32"/>
          <w:szCs w:val="32"/>
          <w:lang w:val="zh-CN"/>
        </w:rPr>
        <w:t>年金、公积金等支出相应增加，导致基本支出和收入都相应增加。</w:t>
      </w:r>
      <w:r>
        <w:rPr>
          <w:rFonts w:hint="eastAsia" w:ascii="仿宋_GB2312" w:hAnsi="仿宋" w:cs="Times New Roman"/>
          <w:bCs/>
          <w:color w:val="auto"/>
          <w:sz w:val="32"/>
          <w:szCs w:val="32"/>
          <w:lang w:val="en-US" w:eastAsia="zh-CN"/>
        </w:rPr>
        <w:t>2.我县为了纪念建党100周年，慰问了全县的优抚对象及退役军人，导致项目支出相应的增加。</w:t>
      </w:r>
    </w:p>
    <w:p>
      <w:pPr>
        <w:keepNext w:val="0"/>
        <w:keepLines w:val="0"/>
        <w:pageBreakBefore w:val="0"/>
        <w:kinsoku/>
        <w:wordWrap/>
        <w:overflowPunct/>
        <w:topLinePunct w:val="0"/>
        <w:autoSpaceDE/>
        <w:autoSpaceDN/>
        <w:bidi w:val="0"/>
        <w:adjustRightInd/>
        <w:snapToGrid w:val="0"/>
        <w:spacing w:line="560" w:lineRule="exact"/>
        <w:ind w:left="0" w:leftChars="0"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2．收入支出结构分析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rPr>
        <w:t>（1）收入：</w:t>
      </w:r>
      <w:r>
        <w:rPr>
          <w:rFonts w:hint="eastAsia" w:ascii="仿宋_GB2312" w:hAnsi="仿宋" w:eastAsia="仿宋_GB2312" w:cs="Times New Roman"/>
          <w:bCs/>
          <w:sz w:val="32"/>
          <w:szCs w:val="32"/>
          <w:lang w:val="zh-CN"/>
        </w:rPr>
        <w:t>政府性基金预算财政拨款占财政拨款收入0%。</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支出：</w:t>
      </w:r>
      <w:r>
        <w:rPr>
          <w:rFonts w:hint="eastAsia" w:ascii="仿宋_GB2312" w:hAnsi="仿宋" w:eastAsia="仿宋_GB2312" w:cs="Times New Roman"/>
          <w:bCs/>
          <w:sz w:val="32"/>
          <w:szCs w:val="32"/>
        </w:rPr>
        <w:t>基本支出</w:t>
      </w:r>
      <w:r>
        <w:rPr>
          <w:rFonts w:hint="eastAsia" w:ascii="仿宋_GB2312" w:hAnsi="仿宋" w:cs="Times New Roman"/>
          <w:bCs/>
          <w:sz w:val="32"/>
          <w:szCs w:val="32"/>
          <w:lang w:val="en-US" w:eastAsia="zh-CN"/>
        </w:rPr>
        <w:t>120.2</w:t>
      </w:r>
      <w:r>
        <w:rPr>
          <w:rFonts w:hint="eastAsia" w:ascii="仿宋_GB2312" w:hAnsi="仿宋" w:eastAsia="仿宋_GB2312" w:cs="Times New Roman"/>
          <w:bCs/>
          <w:sz w:val="32"/>
          <w:szCs w:val="32"/>
        </w:rPr>
        <w:t>万元</w:t>
      </w:r>
      <w:r>
        <w:rPr>
          <w:rFonts w:hint="eastAsia" w:ascii="仿宋_GB2312" w:hAnsi="仿宋" w:eastAsia="仿宋_GB2312" w:cs="Times New Roman"/>
          <w:bCs/>
          <w:sz w:val="32"/>
          <w:szCs w:val="32"/>
          <w:lang w:val="zh-CN"/>
        </w:rPr>
        <w:t>，占总支出的</w:t>
      </w:r>
      <w:r>
        <w:rPr>
          <w:rFonts w:hint="eastAsia" w:ascii="仿宋_GB2312" w:hAnsi="仿宋" w:cs="Times New Roman"/>
          <w:bCs/>
          <w:sz w:val="32"/>
          <w:szCs w:val="32"/>
          <w:lang w:val="en-US" w:eastAsia="zh-CN"/>
        </w:rPr>
        <w:t>14</w:t>
      </w:r>
      <w:r>
        <w:rPr>
          <w:rFonts w:hint="eastAsia" w:ascii="仿宋_GB2312" w:hAnsi="仿宋" w:eastAsia="仿宋_GB2312" w:cs="Times New Roman"/>
          <w:bCs/>
          <w:sz w:val="32"/>
          <w:szCs w:val="32"/>
          <w:lang w:val="zh-CN"/>
        </w:rPr>
        <w:t>%；</w:t>
      </w:r>
      <w:r>
        <w:rPr>
          <w:rFonts w:hint="eastAsia" w:ascii="仿宋_GB2312" w:hAnsi="仿宋" w:eastAsia="仿宋_GB2312" w:cs="Times New Roman"/>
          <w:bCs/>
          <w:sz w:val="32"/>
          <w:szCs w:val="32"/>
        </w:rPr>
        <w:t>项目支出</w:t>
      </w:r>
      <w:r>
        <w:rPr>
          <w:rFonts w:hint="eastAsia" w:ascii="仿宋_GB2312" w:hAnsi="仿宋" w:cs="Times New Roman"/>
          <w:bCs/>
          <w:sz w:val="32"/>
          <w:szCs w:val="32"/>
          <w:lang w:val="en-US" w:eastAsia="zh-CN"/>
        </w:rPr>
        <w:t>774.78</w:t>
      </w:r>
      <w:r>
        <w:rPr>
          <w:rFonts w:hint="eastAsia" w:ascii="仿宋_GB2312" w:hAnsi="仿宋" w:eastAsia="仿宋_GB2312" w:cs="Times New Roman"/>
          <w:bCs/>
          <w:sz w:val="32"/>
          <w:szCs w:val="32"/>
        </w:rPr>
        <w:t>万元</w:t>
      </w:r>
      <w:r>
        <w:rPr>
          <w:rFonts w:hint="eastAsia" w:ascii="仿宋_GB2312" w:hAnsi="仿宋" w:eastAsia="仿宋_GB2312" w:cs="Times New Roman"/>
          <w:bCs/>
          <w:sz w:val="32"/>
          <w:szCs w:val="32"/>
          <w:lang w:val="zh-CN"/>
        </w:rPr>
        <w:t>，占总支出的</w:t>
      </w:r>
      <w:r>
        <w:rPr>
          <w:rFonts w:hint="eastAsia" w:ascii="仿宋_GB2312" w:hAnsi="仿宋" w:cs="Times New Roman"/>
          <w:bCs/>
          <w:sz w:val="32"/>
          <w:szCs w:val="32"/>
          <w:lang w:val="en-US" w:eastAsia="zh-CN"/>
        </w:rPr>
        <w:t>86</w:t>
      </w:r>
      <w:r>
        <w:rPr>
          <w:rFonts w:hint="eastAsia" w:ascii="仿宋_GB2312" w:hAnsi="仿宋" w:eastAsia="仿宋_GB2312" w:cs="Times New Roman"/>
          <w:bCs/>
          <w:sz w:val="32"/>
          <w:szCs w:val="32"/>
          <w:lang w:val="zh-CN"/>
        </w:rPr>
        <w:t>%。</w:t>
      </w:r>
    </w:p>
    <w:p>
      <w:pPr>
        <w:pStyle w:val="2"/>
        <w:tabs>
          <w:tab w:val="left" w:pos="468"/>
        </w:tabs>
        <w:jc w:val="left"/>
        <w:rPr>
          <w:rFonts w:hint="eastAsia" w:ascii="仿宋_GB2312" w:hAnsi="仿宋" w:eastAsia="仿宋_GB2312" w:cs="Times New Roman"/>
          <w:bCs/>
          <w:sz w:val="32"/>
          <w:szCs w:val="32"/>
          <w:lang w:val="zh-CN"/>
        </w:rPr>
      </w:pPr>
      <w:r>
        <w:drawing>
          <wp:anchor distT="0" distB="0" distL="114300" distR="114300" simplePos="0" relativeHeight="251660288" behindDoc="0" locked="0" layoutInCell="1" allowOverlap="1">
            <wp:simplePos x="0" y="0"/>
            <wp:positionH relativeFrom="column">
              <wp:posOffset>299720</wp:posOffset>
            </wp:positionH>
            <wp:positionV relativeFrom="paragraph">
              <wp:posOffset>76835</wp:posOffset>
            </wp:positionV>
            <wp:extent cx="4629150" cy="2743200"/>
            <wp:effectExtent l="4445" t="5080" r="14605" b="13970"/>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hAnsi="仿宋" w:cs="Times New Roman"/>
          <w:bCs/>
          <w:sz w:val="32"/>
          <w:szCs w:val="32"/>
          <w:lang w:val="zh-CN"/>
        </w:rPr>
        <w:tab/>
      </w:r>
    </w:p>
    <w:p>
      <w:pPr>
        <w:keepNext w:val="0"/>
        <w:keepLines w:val="0"/>
        <w:pageBreakBefore w:val="0"/>
        <w:kinsoku/>
        <w:wordWrap/>
        <w:overflowPunct/>
        <w:topLinePunct w:val="0"/>
        <w:autoSpaceDE/>
        <w:autoSpaceDN/>
        <w:bidi w:val="0"/>
        <w:adjustRightInd/>
        <w:snapToGrid w:val="0"/>
        <w:spacing w:line="560" w:lineRule="exact"/>
        <w:ind w:left="0" w:leftChars="0" w:firstLine="0" w:firstLineChars="0"/>
        <w:textAlignment w:val="auto"/>
        <w:rPr>
          <w:rFonts w:hint="eastAsia" w:ascii="仿宋_GB2312" w:hAnsi="仿宋" w:eastAsia="仿宋_GB2312" w:cs="Times New Roman"/>
          <w:bCs/>
          <w:sz w:val="32"/>
          <w:szCs w:val="32"/>
          <w:lang w:val="zh-CN"/>
        </w:rPr>
      </w:pPr>
      <w:r>
        <w:rPr>
          <w:rFonts w:hint="eastAsia" w:ascii="仿宋_GB2312" w:hAnsi="仿宋" w:cs="Times New Roman"/>
          <w:bCs/>
          <w:sz w:val="32"/>
          <w:szCs w:val="32"/>
          <w:lang w:val="en-US" w:eastAsia="zh-CN"/>
        </w:rPr>
        <w:t xml:space="preserve">    </w:t>
      </w:r>
      <w:r>
        <w:rPr>
          <w:rFonts w:hint="eastAsia" w:ascii="仿宋_GB2312" w:hAnsi="仿宋" w:eastAsia="仿宋_GB2312" w:cs="Times New Roman"/>
          <w:bCs/>
          <w:sz w:val="32"/>
          <w:szCs w:val="32"/>
          <w:lang w:val="zh-CN"/>
        </w:rPr>
        <w:t>（2）收入支出全属</w:t>
      </w:r>
      <w:r>
        <w:rPr>
          <w:rFonts w:hint="eastAsia" w:ascii="仿宋_GB2312" w:hAnsi="仿宋" w:cs="Times New Roman"/>
          <w:bCs/>
          <w:sz w:val="32"/>
          <w:szCs w:val="32"/>
          <w:lang w:val="en-US" w:eastAsia="zh-CN"/>
        </w:rPr>
        <w:t>金川县退役军人事务局</w:t>
      </w:r>
      <w:r>
        <w:rPr>
          <w:rFonts w:hint="eastAsia" w:ascii="仿宋_GB2312" w:hAnsi="仿宋" w:eastAsia="仿宋_GB2312" w:cs="Times New Roman"/>
          <w:bCs/>
          <w:sz w:val="32"/>
          <w:szCs w:val="32"/>
          <w:lang w:val="zh-CN"/>
        </w:rPr>
        <w:t>。</w:t>
      </w:r>
    </w:p>
    <w:p>
      <w:pPr>
        <w:keepNext w:val="0"/>
        <w:keepLines w:val="0"/>
        <w:pageBreakBefore w:val="0"/>
        <w:kinsoku/>
        <w:wordWrap/>
        <w:overflowPunct/>
        <w:topLinePunct w:val="0"/>
        <w:autoSpaceDE/>
        <w:autoSpaceDN/>
        <w:bidi w:val="0"/>
        <w:adjustRightInd/>
        <w:snapToGrid w:val="0"/>
        <w:spacing w:line="560" w:lineRule="exact"/>
        <w:ind w:left="0"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3．支出按经济分类科目分析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（1）“三公”经费支出情况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因公出国（境）费支出0元，较2020年0元对比，持平。</w:t>
      </w:r>
      <w:r>
        <w:rPr>
          <w:rFonts w:hint="eastAsia" w:ascii="仿宋_GB2312" w:hAnsi="仿宋" w:eastAsia="仿宋_GB2312" w:cs="Times New Roman"/>
          <w:bCs/>
          <w:sz w:val="32"/>
          <w:szCs w:val="32"/>
        </w:rPr>
        <w:t>2021年公务用车购置及运行维护费</w:t>
      </w:r>
      <w:r>
        <w:rPr>
          <w:rFonts w:hint="eastAsia" w:ascii="仿宋_GB2312" w:hAnsi="仿宋" w:cs="Times New Roman"/>
          <w:bCs/>
          <w:sz w:val="32"/>
          <w:szCs w:val="32"/>
          <w:lang w:val="en-US" w:eastAsia="zh-CN"/>
        </w:rPr>
        <w:t>0</w:t>
      </w:r>
      <w:r>
        <w:rPr>
          <w:rFonts w:hint="eastAsia" w:ascii="仿宋_GB2312" w:hAnsi="仿宋" w:eastAsia="仿宋_GB2312" w:cs="Times New Roman"/>
          <w:bCs/>
          <w:sz w:val="32"/>
          <w:szCs w:val="32"/>
        </w:rPr>
        <w:t>万元,其中：</w:t>
      </w:r>
      <w:r>
        <w:rPr>
          <w:rFonts w:hint="eastAsia" w:ascii="仿宋_GB2312" w:hAnsi="仿宋" w:eastAsia="仿宋_GB2312" w:cs="Times New Roman"/>
          <w:bCs/>
          <w:sz w:val="32"/>
          <w:szCs w:val="32"/>
          <w:lang w:val="zh-CN"/>
        </w:rPr>
        <w:t>公务用车购置费支出0元，较2020年0元对比，持平；公务用车运行维护费支出0</w:t>
      </w:r>
      <w:r>
        <w:rPr>
          <w:rFonts w:hint="eastAsia" w:ascii="仿宋_GB2312" w:hAnsi="仿宋" w:eastAsia="仿宋_GB2312" w:cs="Times New Roman"/>
          <w:bCs/>
          <w:sz w:val="32"/>
          <w:szCs w:val="32"/>
        </w:rPr>
        <w:t>万</w:t>
      </w:r>
      <w:r>
        <w:rPr>
          <w:rFonts w:hint="eastAsia" w:ascii="仿宋_GB2312" w:hAnsi="仿宋" w:eastAsia="仿宋_GB2312" w:cs="Times New Roman"/>
          <w:bCs/>
          <w:sz w:val="32"/>
          <w:szCs w:val="32"/>
          <w:lang w:val="zh-CN"/>
        </w:rPr>
        <w:t>元</w:t>
      </w:r>
      <w:r>
        <w:rPr>
          <w:rFonts w:hint="eastAsia" w:ascii="仿宋_GB2312" w:hAnsi="仿宋" w:eastAsia="仿宋_GB2312" w:cs="Times New Roman"/>
          <w:bCs/>
          <w:sz w:val="32"/>
          <w:szCs w:val="32"/>
        </w:rPr>
        <w:t>，</w:t>
      </w:r>
      <w:r>
        <w:rPr>
          <w:rFonts w:hint="eastAsia" w:ascii="仿宋_GB2312" w:hAnsi="仿宋" w:eastAsia="仿宋_GB2312" w:cs="Times New Roman"/>
          <w:bCs/>
          <w:sz w:val="32"/>
          <w:szCs w:val="32"/>
          <w:lang w:val="zh-CN"/>
        </w:rPr>
        <w:t>较2020年0元对比，持平；公务接待费支出</w:t>
      </w:r>
      <w:r>
        <w:rPr>
          <w:rFonts w:hint="eastAsia" w:ascii="仿宋_GB2312" w:hAnsi="仿宋" w:eastAsia="仿宋_GB2312" w:cs="Times New Roman"/>
          <w:bCs/>
          <w:sz w:val="32"/>
          <w:szCs w:val="32"/>
        </w:rPr>
        <w:t>0万</w:t>
      </w:r>
      <w:r>
        <w:rPr>
          <w:rFonts w:hint="eastAsia" w:ascii="仿宋_GB2312" w:hAnsi="仿宋" w:eastAsia="仿宋_GB2312" w:cs="Times New Roman"/>
          <w:bCs/>
          <w:sz w:val="32"/>
          <w:szCs w:val="32"/>
          <w:lang w:val="zh-CN"/>
        </w:rPr>
        <w:t>元，较2020年0元对比，持平。</w:t>
      </w:r>
    </w:p>
    <w:tbl>
      <w:tblPr>
        <w:tblStyle w:val="15"/>
        <w:tblpPr w:leftFromText="180" w:rightFromText="180" w:vertAnchor="text" w:horzAnchor="page" w:tblpX="2123" w:tblpY="379"/>
        <w:tblOverlap w:val="never"/>
        <w:tblW w:w="8318" w:type="dxa"/>
        <w:tblInd w:w="0" w:type="dxa"/>
        <w:tblLayout w:type="fixed"/>
        <w:tblCellMar>
          <w:top w:w="0" w:type="dxa"/>
          <w:left w:w="108" w:type="dxa"/>
          <w:bottom w:w="0" w:type="dxa"/>
          <w:right w:w="108" w:type="dxa"/>
        </w:tblCellMar>
      </w:tblPr>
      <w:tblGrid>
        <w:gridCol w:w="2861"/>
        <w:gridCol w:w="1417"/>
        <w:gridCol w:w="1417"/>
        <w:gridCol w:w="1609"/>
        <w:gridCol w:w="1014"/>
      </w:tblGrid>
      <w:tr>
        <w:trPr>
          <w:trHeight w:val="1040" w:hRule="atLeast"/>
        </w:trPr>
        <w:tc>
          <w:tcPr>
            <w:tcW w:w="286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　</w:t>
            </w:r>
          </w:p>
        </w:tc>
        <w:tc>
          <w:tcPr>
            <w:tcW w:w="141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2021年</w:t>
            </w:r>
          </w:p>
        </w:tc>
        <w:tc>
          <w:tcPr>
            <w:tcW w:w="141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2020年</w:t>
            </w:r>
          </w:p>
        </w:tc>
        <w:tc>
          <w:tcPr>
            <w:tcW w:w="160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比上年增减</w:t>
            </w:r>
          </w:p>
        </w:tc>
        <w:tc>
          <w:tcPr>
            <w:tcW w:w="101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增减％</w:t>
            </w:r>
          </w:p>
        </w:tc>
      </w:tr>
      <w:tr>
        <w:trPr>
          <w:trHeight w:val="525" w:hRule="atLeast"/>
        </w:trPr>
        <w:tc>
          <w:tcPr>
            <w:tcW w:w="2861"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“三公”经费支出</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rPr>
          <w:trHeight w:val="525" w:hRule="atLeast"/>
        </w:trPr>
        <w:tc>
          <w:tcPr>
            <w:tcW w:w="2861"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因公出国（境）费</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rPr>
          <w:trHeight w:val="1040" w:hRule="atLeast"/>
        </w:trPr>
        <w:tc>
          <w:tcPr>
            <w:tcW w:w="2861"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公务用车购置及运行维护费</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rPr>
          <w:trHeight w:val="994" w:hRule="atLeast"/>
        </w:trPr>
        <w:tc>
          <w:tcPr>
            <w:tcW w:w="2861"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其中：公务用车购置费</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rPr>
          <w:trHeight w:val="994" w:hRule="atLeast"/>
        </w:trPr>
        <w:tc>
          <w:tcPr>
            <w:tcW w:w="2861"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公务用车运行维护费</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rPr>
          <w:trHeight w:val="534" w:hRule="atLeast"/>
        </w:trPr>
        <w:tc>
          <w:tcPr>
            <w:tcW w:w="2861"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公务接待费</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bl>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（2）培训费支出情况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2021年会议费支出0元，较2020年0元持平。</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（3）会议费支出情况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2021年会议费支出0元，较2020年0元持平。</w:t>
      </w:r>
    </w:p>
    <w:p>
      <w:pPr>
        <w:keepNext w:val="0"/>
        <w:keepLines w:val="0"/>
        <w:pageBreakBefore w:val="0"/>
        <w:kinsoku/>
        <w:wordWrap/>
        <w:overflowPunct/>
        <w:topLinePunct w:val="0"/>
        <w:autoSpaceDE/>
        <w:autoSpaceDN/>
        <w:bidi w:val="0"/>
        <w:adjustRightInd/>
        <w:snapToGrid w:val="0"/>
        <w:spacing w:line="560" w:lineRule="exact"/>
        <w:ind w:left="0" w:firstLine="642"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4.财政拨款收入、支出分析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2021年总收入</w:t>
      </w:r>
      <w:r>
        <w:rPr>
          <w:rFonts w:hint="eastAsia" w:ascii="仿宋_GB2312" w:hAnsi="仿宋" w:cs="Times New Roman"/>
          <w:bCs/>
          <w:sz w:val="32"/>
          <w:szCs w:val="32"/>
          <w:lang w:val="en-US" w:eastAsia="zh-CN"/>
        </w:rPr>
        <w:t>831.7</w:t>
      </w:r>
      <w:r>
        <w:rPr>
          <w:rFonts w:hint="eastAsia" w:ascii="仿宋_GB2312" w:hAnsi="仿宋" w:eastAsia="仿宋_GB2312" w:cs="Times New Roman"/>
          <w:bCs/>
          <w:sz w:val="32"/>
          <w:szCs w:val="32"/>
          <w:lang w:val="zh-CN"/>
        </w:rPr>
        <w:t>万元。其中：政府性基金预算财政拨款0万元。</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rPr>
      </w:pPr>
      <w:r>
        <w:rPr>
          <w:rFonts w:hint="eastAsia" w:ascii="仿宋_GB2312" w:hAnsi="仿宋" w:eastAsia="仿宋_GB2312" w:cs="Times New Roman"/>
          <w:bCs/>
          <w:sz w:val="32"/>
          <w:szCs w:val="32"/>
          <w:lang w:val="zh-CN"/>
        </w:rPr>
        <w:t>2021年总支出</w:t>
      </w:r>
      <w:r>
        <w:rPr>
          <w:rFonts w:hint="eastAsia" w:ascii="仿宋_GB2312" w:hAnsi="仿宋" w:cs="Times New Roman"/>
          <w:bCs/>
          <w:sz w:val="32"/>
          <w:szCs w:val="32"/>
          <w:lang w:val="en-US" w:eastAsia="zh-CN"/>
        </w:rPr>
        <w:t>894.98</w:t>
      </w:r>
      <w:r>
        <w:rPr>
          <w:rFonts w:hint="eastAsia" w:ascii="仿宋_GB2312" w:hAnsi="仿宋" w:eastAsia="仿宋_GB2312" w:cs="Times New Roman"/>
          <w:bCs/>
          <w:sz w:val="32"/>
          <w:szCs w:val="32"/>
        </w:rPr>
        <w:t>万元，占本年支出合计的100%。</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金川县退役军人事务局202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年一般公共预算财政拨款基本支出</w:t>
      </w:r>
      <w:r>
        <w:rPr>
          <w:rFonts w:hint="eastAsia" w:ascii="仿宋" w:hAnsi="仿宋" w:eastAsia="仿宋" w:cs="仿宋_GB2312"/>
          <w:b w:val="0"/>
          <w:bCs/>
          <w:sz w:val="32"/>
          <w:szCs w:val="32"/>
          <w:lang w:val="en-US" w:eastAsia="zh-CN"/>
        </w:rPr>
        <w:t>120.2</w:t>
      </w:r>
      <w:r>
        <w:rPr>
          <w:rFonts w:hint="eastAsia" w:ascii="仿宋" w:hAnsi="仿宋" w:eastAsia="仿宋" w:cs="仿宋_GB2312"/>
          <w:b w:val="0"/>
          <w:bCs/>
          <w:sz w:val="32"/>
          <w:szCs w:val="32"/>
        </w:rPr>
        <w:t>万元，其中：</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人员经费</w:t>
      </w:r>
      <w:r>
        <w:rPr>
          <w:rFonts w:hint="eastAsia" w:ascii="仿宋" w:hAnsi="仿宋" w:eastAsia="仿宋" w:cs="仿宋_GB2312"/>
          <w:b w:val="0"/>
          <w:bCs/>
          <w:sz w:val="32"/>
          <w:szCs w:val="32"/>
          <w:lang w:val="en-US" w:eastAsia="zh-CN"/>
        </w:rPr>
        <w:t>109.06</w:t>
      </w:r>
      <w:r>
        <w:rPr>
          <w:rFonts w:hint="eastAsia" w:ascii="仿宋" w:hAnsi="仿宋" w:eastAsia="仿宋" w:cs="仿宋_GB2312"/>
          <w:b w:val="0"/>
          <w:bCs/>
          <w:sz w:val="32"/>
          <w:szCs w:val="32"/>
        </w:rPr>
        <w:t>万元，主要包括：基本工资</w:t>
      </w:r>
      <w:r>
        <w:rPr>
          <w:rFonts w:hint="eastAsia" w:ascii="仿宋" w:hAnsi="仿宋" w:eastAsia="仿宋" w:cs="仿宋_GB2312"/>
          <w:b w:val="0"/>
          <w:bCs/>
          <w:sz w:val="32"/>
          <w:szCs w:val="32"/>
          <w:lang w:val="en-US" w:eastAsia="zh-CN"/>
        </w:rPr>
        <w:t>24.42</w:t>
      </w:r>
      <w:r>
        <w:rPr>
          <w:rFonts w:hint="eastAsia" w:ascii="仿宋" w:hAnsi="仿宋" w:eastAsia="仿宋" w:cs="仿宋_GB2312"/>
          <w:b w:val="0"/>
          <w:bCs/>
          <w:sz w:val="32"/>
          <w:szCs w:val="32"/>
        </w:rPr>
        <w:t>万元、津贴补贴</w:t>
      </w:r>
      <w:r>
        <w:rPr>
          <w:rFonts w:hint="eastAsia" w:ascii="仿宋" w:hAnsi="仿宋" w:eastAsia="仿宋" w:cs="仿宋_GB2312"/>
          <w:b w:val="0"/>
          <w:bCs/>
          <w:sz w:val="32"/>
          <w:szCs w:val="32"/>
          <w:lang w:val="en-US" w:eastAsia="zh-CN"/>
        </w:rPr>
        <w:t>30.31</w:t>
      </w:r>
      <w:r>
        <w:rPr>
          <w:rFonts w:hint="eastAsia" w:ascii="仿宋" w:hAnsi="仿宋" w:eastAsia="仿宋" w:cs="仿宋_GB2312"/>
          <w:b w:val="0"/>
          <w:bCs/>
          <w:sz w:val="32"/>
          <w:szCs w:val="32"/>
        </w:rPr>
        <w:t>万元、奖金</w:t>
      </w:r>
      <w:r>
        <w:rPr>
          <w:rFonts w:hint="eastAsia" w:ascii="仿宋" w:hAnsi="仿宋" w:eastAsia="仿宋" w:cs="仿宋_GB2312"/>
          <w:b w:val="0"/>
          <w:bCs/>
          <w:sz w:val="32"/>
          <w:szCs w:val="32"/>
          <w:lang w:val="en-US" w:eastAsia="zh-CN"/>
        </w:rPr>
        <w:t>2.06</w:t>
      </w:r>
      <w:r>
        <w:rPr>
          <w:rFonts w:hint="eastAsia" w:ascii="仿宋" w:hAnsi="仿宋" w:eastAsia="仿宋" w:cs="仿宋_GB2312"/>
          <w:b w:val="0"/>
          <w:bCs/>
          <w:sz w:val="32"/>
          <w:szCs w:val="32"/>
        </w:rPr>
        <w:t>万元、伙食补助费0万元、绩效工资0万元、机关事业单位基本养老保险缴费</w:t>
      </w:r>
      <w:r>
        <w:rPr>
          <w:rFonts w:hint="eastAsia" w:ascii="仿宋" w:hAnsi="仿宋" w:eastAsia="仿宋" w:cs="仿宋_GB2312"/>
          <w:b w:val="0"/>
          <w:bCs/>
          <w:sz w:val="32"/>
          <w:szCs w:val="32"/>
          <w:lang w:val="en-US" w:eastAsia="zh-CN"/>
        </w:rPr>
        <w:t>8.95</w:t>
      </w:r>
      <w:r>
        <w:rPr>
          <w:rFonts w:hint="eastAsia" w:ascii="仿宋" w:hAnsi="仿宋" w:eastAsia="仿宋" w:cs="仿宋_GB2312"/>
          <w:b w:val="0"/>
          <w:bCs/>
          <w:sz w:val="32"/>
          <w:szCs w:val="32"/>
        </w:rPr>
        <w:t>万元、职业年金缴费</w:t>
      </w:r>
      <w:r>
        <w:rPr>
          <w:rFonts w:hint="eastAsia" w:ascii="仿宋" w:hAnsi="仿宋" w:eastAsia="仿宋" w:cs="仿宋_GB2312"/>
          <w:b w:val="0"/>
          <w:bCs/>
          <w:sz w:val="32"/>
          <w:szCs w:val="32"/>
          <w:lang w:val="en-US" w:eastAsia="zh-CN"/>
        </w:rPr>
        <w:t>4.47</w:t>
      </w:r>
      <w:r>
        <w:rPr>
          <w:rFonts w:hint="eastAsia" w:ascii="仿宋" w:hAnsi="仿宋" w:eastAsia="仿宋" w:cs="仿宋_GB2312"/>
          <w:b w:val="0"/>
          <w:bCs/>
          <w:sz w:val="32"/>
          <w:szCs w:val="32"/>
        </w:rPr>
        <w:t>万元、其他社会保障缴费</w:t>
      </w:r>
      <w:r>
        <w:rPr>
          <w:rFonts w:hint="eastAsia" w:ascii="仿宋" w:hAnsi="仿宋" w:eastAsia="仿宋" w:cs="仿宋_GB2312"/>
          <w:b w:val="0"/>
          <w:bCs/>
          <w:sz w:val="32"/>
          <w:szCs w:val="32"/>
          <w:lang w:val="en-US" w:eastAsia="zh-CN"/>
        </w:rPr>
        <w:t>0.71</w:t>
      </w:r>
      <w:r>
        <w:rPr>
          <w:rFonts w:hint="eastAsia" w:ascii="仿宋" w:hAnsi="仿宋" w:eastAsia="仿宋" w:cs="仿宋_GB2312"/>
          <w:b w:val="0"/>
          <w:bCs/>
          <w:sz w:val="32"/>
          <w:szCs w:val="32"/>
        </w:rPr>
        <w:t>万元、其他工资福利支出0万元、离休费0万元、退休费0万元、抚恤金0万元、奖励金</w:t>
      </w:r>
      <w:r>
        <w:rPr>
          <w:rFonts w:hint="eastAsia" w:ascii="仿宋" w:hAnsi="仿宋" w:eastAsia="仿宋" w:cs="仿宋_GB2312"/>
          <w:b w:val="0"/>
          <w:bCs/>
          <w:sz w:val="32"/>
          <w:szCs w:val="32"/>
          <w:lang w:val="en-US" w:eastAsia="zh-CN"/>
        </w:rPr>
        <w:t>24.28</w:t>
      </w:r>
      <w:r>
        <w:rPr>
          <w:rFonts w:hint="eastAsia" w:ascii="仿宋" w:hAnsi="仿宋" w:eastAsia="仿宋" w:cs="仿宋_GB2312"/>
          <w:b w:val="0"/>
          <w:bCs/>
          <w:sz w:val="32"/>
          <w:szCs w:val="32"/>
        </w:rPr>
        <w:t>万元、职工医疗补助</w:t>
      </w:r>
      <w:r>
        <w:rPr>
          <w:rFonts w:hint="eastAsia" w:ascii="仿宋" w:hAnsi="仿宋" w:eastAsia="仿宋" w:cs="仿宋_GB2312"/>
          <w:b w:val="0"/>
          <w:bCs/>
          <w:sz w:val="32"/>
          <w:szCs w:val="32"/>
          <w:lang w:val="en-US" w:eastAsia="zh-CN"/>
        </w:rPr>
        <w:t>4.02</w:t>
      </w:r>
      <w:r>
        <w:rPr>
          <w:rFonts w:hint="eastAsia" w:ascii="仿宋" w:hAnsi="仿宋" w:eastAsia="仿宋" w:cs="仿宋_GB2312"/>
          <w:b w:val="0"/>
          <w:bCs/>
          <w:sz w:val="32"/>
          <w:szCs w:val="32"/>
        </w:rPr>
        <w:t>万元、公务员医疗补助</w:t>
      </w:r>
      <w:r>
        <w:rPr>
          <w:rFonts w:hint="eastAsia" w:ascii="仿宋" w:hAnsi="仿宋" w:eastAsia="仿宋" w:cs="仿宋_GB2312"/>
          <w:b w:val="0"/>
          <w:bCs/>
          <w:sz w:val="32"/>
          <w:szCs w:val="32"/>
          <w:lang w:val="en-US" w:eastAsia="zh-CN"/>
        </w:rPr>
        <w:t>1.13</w:t>
      </w:r>
      <w:r>
        <w:rPr>
          <w:rFonts w:hint="eastAsia" w:ascii="仿宋" w:hAnsi="仿宋" w:eastAsia="仿宋" w:cs="仿宋_GB2312"/>
          <w:b w:val="0"/>
          <w:bCs/>
          <w:sz w:val="32"/>
          <w:szCs w:val="32"/>
        </w:rPr>
        <w:t>万元、生活补助0万元、住房公积金</w:t>
      </w:r>
      <w:r>
        <w:rPr>
          <w:rFonts w:hint="eastAsia" w:ascii="仿宋" w:hAnsi="仿宋" w:eastAsia="仿宋" w:cs="仿宋_GB2312"/>
          <w:b w:val="0"/>
          <w:bCs/>
          <w:sz w:val="32"/>
          <w:szCs w:val="32"/>
          <w:lang w:val="en-US" w:eastAsia="zh-CN"/>
        </w:rPr>
        <w:t>8.71</w:t>
      </w:r>
      <w:r>
        <w:rPr>
          <w:rFonts w:hint="eastAsia" w:ascii="仿宋" w:hAnsi="仿宋" w:eastAsia="仿宋" w:cs="仿宋_GB2312"/>
          <w:b w:val="0"/>
          <w:bCs/>
          <w:sz w:val="32"/>
          <w:szCs w:val="32"/>
        </w:rPr>
        <w:t>万元、提租补贴0万元、购房补贴0万元。</w:t>
      </w:r>
    </w:p>
    <w:p>
      <w:pPr>
        <w:pStyle w:val="2"/>
        <w:ind w:left="0" w:leftChars="0" w:firstLine="640" w:firstLineChars="0"/>
        <w:jc w:val="both"/>
        <w:rPr>
          <w:rFonts w:hint="eastAsia" w:ascii="仿宋" w:hAnsi="仿宋" w:eastAsia="仿宋" w:cs="仿宋_GB2312"/>
          <w:b w:val="0"/>
          <w:bCs/>
          <w:sz w:val="32"/>
          <w:szCs w:val="32"/>
        </w:rPr>
      </w:pPr>
      <w:bookmarkStart w:id="29" w:name="_Toc9777"/>
      <w:r>
        <w:rPr>
          <w:rFonts w:hint="eastAsia" w:eastAsia="仿宋"/>
          <w:lang w:eastAsia="zh-CN"/>
        </w:rPr>
        <w:drawing>
          <wp:anchor distT="0" distB="0" distL="114300" distR="114300" simplePos="0" relativeHeight="251661312" behindDoc="0" locked="0" layoutInCell="1" allowOverlap="1">
            <wp:simplePos x="0" y="0"/>
            <wp:positionH relativeFrom="column">
              <wp:posOffset>20320</wp:posOffset>
            </wp:positionH>
            <wp:positionV relativeFrom="paragraph">
              <wp:posOffset>204470</wp:posOffset>
            </wp:positionV>
            <wp:extent cx="5080000" cy="3810000"/>
            <wp:effectExtent l="4445" t="4445" r="20955" b="1460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 w:hAnsi="仿宋" w:eastAsia="仿宋" w:cs="仿宋_GB2312"/>
          <w:b w:val="0"/>
          <w:bCs/>
          <w:sz w:val="32"/>
          <w:szCs w:val="32"/>
        </w:rPr>
        <w:t>公用经费</w:t>
      </w:r>
      <w:r>
        <w:rPr>
          <w:rFonts w:hint="eastAsia" w:ascii="仿宋" w:hAnsi="仿宋" w:eastAsia="仿宋" w:cs="仿宋_GB2312"/>
          <w:b w:val="0"/>
          <w:bCs/>
          <w:sz w:val="32"/>
          <w:szCs w:val="32"/>
          <w:lang w:val="en-US" w:eastAsia="zh-CN"/>
        </w:rPr>
        <w:t>11.14</w:t>
      </w:r>
      <w:r>
        <w:rPr>
          <w:rFonts w:hint="eastAsia" w:ascii="仿宋" w:hAnsi="仿宋" w:eastAsia="仿宋" w:cs="仿宋_GB2312"/>
          <w:b w:val="0"/>
          <w:bCs/>
          <w:sz w:val="32"/>
          <w:szCs w:val="32"/>
        </w:rPr>
        <w:t>万元，主要包括：办公费</w:t>
      </w:r>
      <w:r>
        <w:rPr>
          <w:rFonts w:hint="eastAsia" w:ascii="仿宋" w:hAnsi="仿宋" w:eastAsia="仿宋" w:cs="仿宋_GB2312"/>
          <w:b w:val="0"/>
          <w:bCs/>
          <w:sz w:val="32"/>
          <w:szCs w:val="32"/>
          <w:lang w:val="en-US" w:eastAsia="zh-CN"/>
        </w:rPr>
        <w:t>3.3</w:t>
      </w:r>
      <w:r>
        <w:rPr>
          <w:rFonts w:hint="eastAsia" w:ascii="仿宋" w:hAnsi="仿宋" w:eastAsia="仿宋" w:cs="仿宋_GB2312"/>
          <w:b w:val="0"/>
          <w:bCs/>
          <w:sz w:val="32"/>
          <w:szCs w:val="32"/>
        </w:rPr>
        <w:t>万元、印刷费0万元、咨询费0万元、手续费0万元、水费0.05万元、电费0.4万元、邮电费</w:t>
      </w:r>
      <w:r>
        <w:rPr>
          <w:rFonts w:hint="eastAsia" w:ascii="仿宋" w:hAnsi="仿宋" w:eastAsia="仿宋" w:cs="仿宋_GB2312"/>
          <w:b w:val="0"/>
          <w:bCs/>
          <w:sz w:val="32"/>
          <w:szCs w:val="32"/>
          <w:lang w:val="en-US" w:eastAsia="zh-CN"/>
        </w:rPr>
        <w:t>1.2</w:t>
      </w:r>
      <w:r>
        <w:rPr>
          <w:rFonts w:hint="eastAsia" w:ascii="仿宋" w:hAnsi="仿宋" w:eastAsia="仿宋" w:cs="仿宋_GB2312"/>
          <w:b w:val="0"/>
          <w:bCs/>
          <w:sz w:val="32"/>
          <w:szCs w:val="32"/>
        </w:rPr>
        <w:t>万元、取暖费0万元、物业管理费0万元、差旅费</w:t>
      </w:r>
      <w:r>
        <w:rPr>
          <w:rFonts w:hint="eastAsia" w:ascii="仿宋" w:hAnsi="仿宋" w:eastAsia="仿宋" w:cs="仿宋_GB2312"/>
          <w:b w:val="0"/>
          <w:bCs/>
          <w:sz w:val="32"/>
          <w:szCs w:val="32"/>
          <w:lang w:val="en-US" w:eastAsia="zh-CN"/>
        </w:rPr>
        <w:t>4.59</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劳务费0.4万元、</w:t>
      </w:r>
      <w:r>
        <w:rPr>
          <w:rFonts w:hint="eastAsia" w:ascii="仿宋" w:hAnsi="仿宋" w:eastAsia="仿宋" w:cs="仿宋_GB2312"/>
          <w:b w:val="0"/>
          <w:bCs/>
          <w:sz w:val="32"/>
          <w:szCs w:val="32"/>
        </w:rPr>
        <w:t>因公出国（境）费用0万元、公务用车维修（护）费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万元、租赁费0万元、会议费0万元、培训费0万元、劳务费0万元、取暖费0万元、委托业务费0万元、工会经费0万元、福利费0万元、其他交通费</w:t>
      </w:r>
      <w:r>
        <w:rPr>
          <w:rFonts w:hint="eastAsia" w:ascii="仿宋" w:hAnsi="仿宋" w:eastAsia="仿宋" w:cs="仿宋_GB2312"/>
          <w:b w:val="0"/>
          <w:bCs/>
          <w:sz w:val="32"/>
          <w:szCs w:val="32"/>
          <w:lang w:val="en-US" w:eastAsia="zh-CN"/>
        </w:rPr>
        <w:t>1.2</w:t>
      </w:r>
      <w:r>
        <w:rPr>
          <w:rFonts w:hint="eastAsia" w:ascii="仿宋" w:hAnsi="仿宋" w:eastAsia="仿宋" w:cs="仿宋_GB2312"/>
          <w:b w:val="0"/>
          <w:bCs/>
          <w:sz w:val="32"/>
          <w:szCs w:val="32"/>
        </w:rPr>
        <w:t>万元、税金及附加费用0万元、接待费0万元，其他商品和服务支出0万元。</w:t>
      </w:r>
      <w:bookmarkEnd w:id="29"/>
    </w:p>
    <w:p>
      <w:pPr>
        <w:pStyle w:val="2"/>
        <w:ind w:left="0" w:leftChars="0" w:firstLine="640" w:firstLineChars="0"/>
        <w:jc w:val="both"/>
        <w:rPr>
          <w:rFonts w:hint="eastAsia" w:ascii="仿宋" w:hAnsi="仿宋" w:eastAsia="仿宋" w:cs="仿宋_GB2312"/>
          <w:b w:val="0"/>
          <w:bCs/>
          <w:sz w:val="32"/>
          <w:szCs w:val="32"/>
        </w:rPr>
      </w:pPr>
      <w:bookmarkStart w:id="30" w:name="_Toc32178"/>
      <w:r>
        <w:rPr>
          <w:rFonts w:hint="eastAsia" w:ascii="仿宋" w:hAnsi="仿宋" w:eastAsia="仿宋" w:cs="仿宋_GB2312"/>
          <w:b w:val="0"/>
          <w:bCs/>
          <w:sz w:val="32"/>
          <w:szCs w:val="32"/>
          <w:lang w:eastAsia="zh-CN"/>
        </w:rPr>
        <w:drawing>
          <wp:anchor distT="0" distB="0" distL="114300" distR="114300" simplePos="0" relativeHeight="251662336" behindDoc="0" locked="0" layoutInCell="1" allowOverlap="1">
            <wp:simplePos x="0" y="0"/>
            <wp:positionH relativeFrom="column">
              <wp:posOffset>36195</wp:posOffset>
            </wp:positionH>
            <wp:positionV relativeFrom="paragraph">
              <wp:posOffset>88900</wp:posOffset>
            </wp:positionV>
            <wp:extent cx="5080000" cy="3810000"/>
            <wp:effectExtent l="4445" t="4445" r="20955" b="1460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eastAsia" w:ascii="仿宋" w:hAnsi="仿宋" w:eastAsia="仿宋" w:cs="仿宋_GB2312"/>
          <w:b w:val="0"/>
          <w:bCs/>
          <w:sz w:val="32"/>
          <w:szCs w:val="32"/>
        </w:rPr>
        <w:t>项目支出</w:t>
      </w:r>
      <w:r>
        <w:rPr>
          <w:rFonts w:hint="eastAsia" w:ascii="仿宋" w:hAnsi="仿宋" w:eastAsia="仿宋" w:cs="仿宋_GB2312"/>
          <w:b w:val="0"/>
          <w:bCs/>
          <w:sz w:val="32"/>
          <w:szCs w:val="32"/>
          <w:lang w:val="en-US" w:eastAsia="zh-CN"/>
        </w:rPr>
        <w:t>774.78</w:t>
      </w:r>
      <w:r>
        <w:rPr>
          <w:rFonts w:hint="eastAsia" w:ascii="仿宋" w:hAnsi="仿宋" w:eastAsia="仿宋" w:cs="仿宋_GB2312"/>
          <w:b w:val="0"/>
          <w:bCs/>
          <w:sz w:val="32"/>
          <w:szCs w:val="32"/>
        </w:rPr>
        <w:t>万元，主要包括：伤残抚恤</w:t>
      </w:r>
      <w:r>
        <w:rPr>
          <w:rFonts w:hint="eastAsia" w:ascii="仿宋" w:hAnsi="仿宋" w:eastAsia="仿宋" w:cs="仿宋_GB2312"/>
          <w:b w:val="0"/>
          <w:bCs/>
          <w:sz w:val="32"/>
          <w:szCs w:val="32"/>
          <w:lang w:val="en-US" w:eastAsia="zh-CN"/>
        </w:rPr>
        <w:t>15.88</w:t>
      </w:r>
      <w:r>
        <w:rPr>
          <w:rFonts w:hint="eastAsia" w:ascii="仿宋" w:hAnsi="仿宋" w:eastAsia="仿宋" w:cs="仿宋_GB2312"/>
          <w:b w:val="0"/>
          <w:bCs/>
          <w:sz w:val="32"/>
          <w:szCs w:val="32"/>
        </w:rPr>
        <w:t>万元、在乡复员、退伍军人生活补助</w:t>
      </w:r>
      <w:r>
        <w:rPr>
          <w:rFonts w:hint="eastAsia" w:ascii="仿宋" w:hAnsi="仿宋" w:eastAsia="仿宋" w:cs="仿宋_GB2312"/>
          <w:b w:val="0"/>
          <w:bCs/>
          <w:sz w:val="32"/>
          <w:szCs w:val="32"/>
          <w:lang w:val="en-US" w:eastAsia="zh-CN"/>
        </w:rPr>
        <w:t>392.95</w:t>
      </w:r>
      <w:r>
        <w:rPr>
          <w:rFonts w:hint="eastAsia" w:ascii="仿宋" w:hAnsi="仿宋" w:eastAsia="仿宋" w:cs="仿宋_GB2312"/>
          <w:b w:val="0"/>
          <w:bCs/>
          <w:sz w:val="32"/>
          <w:szCs w:val="32"/>
        </w:rPr>
        <w:t>万元、义务兵优待</w:t>
      </w:r>
      <w:r>
        <w:rPr>
          <w:rFonts w:hint="eastAsia" w:ascii="仿宋" w:hAnsi="仿宋" w:eastAsia="仿宋" w:cs="仿宋_GB2312"/>
          <w:b w:val="0"/>
          <w:bCs/>
          <w:sz w:val="32"/>
          <w:szCs w:val="32"/>
          <w:lang w:val="en-US" w:eastAsia="zh-CN"/>
        </w:rPr>
        <w:t>77.56</w:t>
      </w:r>
      <w:r>
        <w:rPr>
          <w:rFonts w:hint="eastAsia" w:ascii="仿宋" w:hAnsi="仿宋" w:eastAsia="仿宋" w:cs="仿宋_GB2312"/>
          <w:b w:val="0"/>
          <w:bCs/>
          <w:sz w:val="32"/>
          <w:szCs w:val="32"/>
        </w:rPr>
        <w:t>万元、退役士兵安置</w:t>
      </w:r>
      <w:r>
        <w:rPr>
          <w:rFonts w:hint="eastAsia" w:ascii="仿宋" w:hAnsi="仿宋" w:eastAsia="仿宋" w:cs="仿宋_GB2312"/>
          <w:b w:val="0"/>
          <w:bCs/>
          <w:sz w:val="32"/>
          <w:szCs w:val="32"/>
          <w:lang w:val="en-US" w:eastAsia="zh-CN"/>
        </w:rPr>
        <w:t>53</w:t>
      </w:r>
      <w:r>
        <w:rPr>
          <w:rFonts w:hint="eastAsia" w:ascii="仿宋" w:hAnsi="仿宋" w:eastAsia="仿宋" w:cs="仿宋_GB2312"/>
          <w:b w:val="0"/>
          <w:bCs/>
          <w:sz w:val="32"/>
          <w:szCs w:val="32"/>
        </w:rPr>
        <w:t>万元、军队移交政府的离退休人员安置</w:t>
      </w:r>
      <w:r>
        <w:rPr>
          <w:rFonts w:hint="eastAsia" w:ascii="仿宋" w:hAnsi="仿宋" w:eastAsia="仿宋" w:cs="仿宋_GB2312"/>
          <w:b w:val="0"/>
          <w:bCs/>
          <w:sz w:val="32"/>
          <w:szCs w:val="32"/>
          <w:lang w:val="en-US" w:eastAsia="zh-CN"/>
        </w:rPr>
        <w:t>29.67</w:t>
      </w:r>
      <w:r>
        <w:rPr>
          <w:rFonts w:hint="eastAsia" w:ascii="仿宋" w:hAnsi="仿宋" w:eastAsia="仿宋" w:cs="仿宋_GB2312"/>
          <w:b w:val="0"/>
          <w:bCs/>
          <w:sz w:val="32"/>
          <w:szCs w:val="32"/>
        </w:rPr>
        <w:t>万元、军队移交政府离退休干部管理机构</w:t>
      </w:r>
      <w:r>
        <w:rPr>
          <w:rFonts w:hint="eastAsia" w:ascii="仿宋" w:hAnsi="仿宋" w:eastAsia="仿宋" w:cs="仿宋_GB2312"/>
          <w:b w:val="0"/>
          <w:bCs/>
          <w:sz w:val="32"/>
          <w:szCs w:val="32"/>
          <w:lang w:val="en-US" w:eastAsia="zh-CN"/>
        </w:rPr>
        <w:t>3.15</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退役士兵管理教育1.05万元、</w:t>
      </w:r>
      <w:r>
        <w:rPr>
          <w:rFonts w:hint="eastAsia" w:ascii="仿宋" w:hAnsi="仿宋" w:eastAsia="仿宋" w:cs="仿宋_GB2312"/>
          <w:b w:val="0"/>
          <w:bCs/>
          <w:sz w:val="32"/>
          <w:szCs w:val="32"/>
        </w:rPr>
        <w:t>军队专业干部安置</w:t>
      </w:r>
      <w:r>
        <w:rPr>
          <w:rFonts w:hint="eastAsia" w:ascii="仿宋" w:hAnsi="仿宋" w:eastAsia="仿宋" w:cs="仿宋_GB2312"/>
          <w:b w:val="0"/>
          <w:bCs/>
          <w:sz w:val="32"/>
          <w:szCs w:val="32"/>
          <w:lang w:val="en-US" w:eastAsia="zh-CN"/>
        </w:rPr>
        <w:t>34.45</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其他退役安置支出16万元、</w:t>
      </w:r>
      <w:r>
        <w:rPr>
          <w:rFonts w:hint="eastAsia" w:ascii="仿宋" w:hAnsi="仿宋" w:eastAsia="仿宋" w:cs="仿宋_GB2312"/>
          <w:b w:val="0"/>
          <w:bCs/>
          <w:sz w:val="32"/>
          <w:szCs w:val="32"/>
        </w:rPr>
        <w:t>拥军优属</w:t>
      </w:r>
      <w:r>
        <w:rPr>
          <w:rFonts w:hint="eastAsia" w:ascii="仿宋" w:hAnsi="仿宋" w:eastAsia="仿宋" w:cs="仿宋_GB2312"/>
          <w:b w:val="0"/>
          <w:bCs/>
          <w:sz w:val="32"/>
          <w:szCs w:val="32"/>
          <w:lang w:val="en-US" w:eastAsia="zh-CN"/>
        </w:rPr>
        <w:t>116.7</w:t>
      </w:r>
      <w:r>
        <w:rPr>
          <w:rFonts w:hint="eastAsia" w:ascii="仿宋" w:hAnsi="仿宋" w:eastAsia="仿宋" w:cs="仿宋_GB2312"/>
          <w:b w:val="0"/>
          <w:bCs/>
          <w:sz w:val="32"/>
          <w:szCs w:val="32"/>
        </w:rPr>
        <w:t>万元、其他退役军人事务管理支出</w:t>
      </w:r>
      <w:r>
        <w:rPr>
          <w:rFonts w:hint="eastAsia" w:ascii="仿宋" w:hAnsi="仿宋" w:eastAsia="仿宋" w:cs="仿宋_GB2312"/>
          <w:b w:val="0"/>
          <w:bCs/>
          <w:sz w:val="32"/>
          <w:szCs w:val="32"/>
          <w:lang w:val="en-US" w:eastAsia="zh-CN"/>
        </w:rPr>
        <w:t>10.67</w:t>
      </w:r>
      <w:r>
        <w:rPr>
          <w:rFonts w:hint="eastAsia" w:ascii="仿宋" w:hAnsi="仿宋" w:eastAsia="仿宋" w:cs="仿宋_GB2312"/>
          <w:b w:val="0"/>
          <w:bCs/>
          <w:sz w:val="32"/>
          <w:szCs w:val="32"/>
        </w:rPr>
        <w:t>万元、优抚对象医疗补助</w:t>
      </w:r>
      <w:r>
        <w:rPr>
          <w:rFonts w:hint="eastAsia" w:ascii="仿宋" w:hAnsi="仿宋" w:eastAsia="仿宋" w:cs="仿宋_GB2312"/>
          <w:b w:val="0"/>
          <w:bCs/>
          <w:sz w:val="32"/>
          <w:szCs w:val="32"/>
          <w:lang w:val="en-US" w:eastAsia="zh-CN"/>
        </w:rPr>
        <w:t>8.95</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其他支出14.75</w:t>
      </w:r>
      <w:r>
        <w:rPr>
          <w:rFonts w:hint="eastAsia" w:ascii="仿宋" w:hAnsi="仿宋" w:eastAsia="仿宋" w:cs="仿宋_GB2312"/>
          <w:b w:val="0"/>
          <w:bCs/>
          <w:sz w:val="32"/>
          <w:szCs w:val="32"/>
        </w:rPr>
        <w:t>万元。</w:t>
      </w:r>
      <w:bookmarkEnd w:id="30"/>
    </w:p>
    <w:p>
      <w:pPr>
        <w:pStyle w:val="2"/>
        <w:ind w:left="0" w:leftChars="0" w:firstLine="640" w:firstLineChars="0"/>
        <w:jc w:val="both"/>
        <w:rPr>
          <w:rFonts w:ascii="楷体_GB2312" w:hAnsi="仿宋" w:eastAsia="楷体_GB2312"/>
          <w:b/>
          <w:sz w:val="32"/>
          <w:szCs w:val="32"/>
        </w:rPr>
      </w:pPr>
      <w:bookmarkStart w:id="31" w:name="_Toc32485"/>
      <w:r>
        <w:rPr>
          <w:rFonts w:hint="eastAsia" w:ascii="仿宋" w:hAnsi="仿宋" w:eastAsia="仿宋" w:cs="仿宋_GB2312"/>
          <w:b w:val="0"/>
          <w:bCs/>
          <w:sz w:val="32"/>
          <w:szCs w:val="32"/>
          <w:lang w:eastAsia="zh-CN"/>
        </w:rPr>
        <w:drawing>
          <wp:anchor distT="0" distB="0" distL="114300" distR="114300" simplePos="0" relativeHeight="251663360" behindDoc="0" locked="0" layoutInCell="1" allowOverlap="1">
            <wp:simplePos x="0" y="0"/>
            <wp:positionH relativeFrom="column">
              <wp:posOffset>14605</wp:posOffset>
            </wp:positionH>
            <wp:positionV relativeFrom="paragraph">
              <wp:posOffset>110490</wp:posOffset>
            </wp:positionV>
            <wp:extent cx="5080000" cy="3810000"/>
            <wp:effectExtent l="4445" t="4445" r="20955" b="1460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eastAsia" w:ascii="楷体_GB2312" w:hAnsi="仿宋" w:eastAsia="楷体_GB2312"/>
          <w:b/>
          <w:sz w:val="32"/>
          <w:szCs w:val="32"/>
        </w:rPr>
        <w:t>（三）年末结转和结余情况</w:t>
      </w:r>
      <w:bookmarkEnd w:id="31"/>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2021年末结转0万元，其中基本基础结转0元，项目支出结转0万元。</w:t>
      </w:r>
    </w:p>
    <w:p>
      <w:pPr>
        <w:keepNext w:val="0"/>
        <w:keepLines w:val="0"/>
        <w:pageBreakBefore w:val="0"/>
        <w:kinsoku/>
        <w:wordWrap/>
        <w:overflowPunct/>
        <w:topLinePunct w:val="0"/>
        <w:autoSpaceDE/>
        <w:autoSpaceDN/>
        <w:bidi w:val="0"/>
        <w:adjustRightInd/>
        <w:snapToGrid w:val="0"/>
        <w:spacing w:line="560" w:lineRule="exact"/>
        <w:ind w:left="0" w:firstLine="642" w:firstLineChars="200"/>
        <w:textAlignment w:val="auto"/>
        <w:rPr>
          <w:rFonts w:ascii="楷体_GB2312" w:hAnsi="仿宋" w:eastAsia="楷体_GB2312"/>
          <w:b/>
          <w:sz w:val="32"/>
          <w:szCs w:val="32"/>
        </w:rPr>
      </w:pPr>
      <w:r>
        <w:rPr>
          <w:rFonts w:hint="eastAsia" w:ascii="楷体_GB2312" w:hAnsi="仿宋" w:eastAsia="楷体_GB2312"/>
          <w:b/>
          <w:sz w:val="32"/>
          <w:szCs w:val="32"/>
        </w:rPr>
        <w:t>（四）绩效目标完成情况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1.按照预算绩效管理要求，本部门对2021年一般公共预算项目支出开展了绩效目标管理，</w:t>
      </w:r>
      <w:r>
        <w:rPr>
          <w:rFonts w:hint="eastAsia" w:ascii="仿宋_GB2312" w:hAnsi="仿宋" w:eastAsia="仿宋_GB2312" w:cs="Times New Roman"/>
          <w:bCs/>
          <w:sz w:val="32"/>
          <w:szCs w:val="32"/>
        </w:rPr>
        <w:t>正常完成</w:t>
      </w:r>
      <w:r>
        <w:rPr>
          <w:rFonts w:hint="eastAsia" w:ascii="仿宋_GB2312" w:hAnsi="仿宋" w:eastAsia="仿宋_GB2312" w:cs="Times New Roman"/>
          <w:bCs/>
          <w:sz w:val="32"/>
          <w:szCs w:val="32"/>
          <w:lang w:val="zh-CN"/>
        </w:rPr>
        <w:t>绩效目标。</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2.部门整体支出绩效自评开展情况。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eastAsia="仿宋_GB2312"/>
          <w:sz w:val="32"/>
          <w:szCs w:val="32"/>
          <w:lang w:val="en-US" w:eastAsia="zh-CN"/>
        </w:rPr>
      </w:pPr>
      <w:r>
        <w:rPr>
          <w:rFonts w:hint="eastAsia" w:ascii="仿宋_GB2312" w:hAnsi="仿宋" w:eastAsia="仿宋_GB2312" w:cs="Times New Roman"/>
          <w:bCs/>
          <w:sz w:val="32"/>
          <w:szCs w:val="32"/>
          <w:lang w:val="zh-CN"/>
        </w:rPr>
        <w:t>按照预算绩效管理要求，本部门对2021年整体支出开展绩效自评，自评得分</w:t>
      </w:r>
      <w:r>
        <w:rPr>
          <w:rFonts w:hint="eastAsia" w:ascii="仿宋_GB2312" w:hAnsi="仿宋" w:eastAsia="仿宋_GB2312" w:cs="Times New Roman"/>
          <w:bCs/>
          <w:sz w:val="32"/>
          <w:szCs w:val="32"/>
        </w:rPr>
        <w:t>9</w:t>
      </w:r>
      <w:r>
        <w:rPr>
          <w:rFonts w:hint="eastAsia" w:ascii="仿宋_GB2312" w:hAnsi="仿宋" w:cs="Times New Roman"/>
          <w:bCs/>
          <w:sz w:val="32"/>
          <w:szCs w:val="32"/>
          <w:lang w:val="en-US" w:eastAsia="zh-CN"/>
        </w:rPr>
        <w:t>3</w:t>
      </w:r>
      <w:r>
        <w:rPr>
          <w:rFonts w:hint="eastAsia" w:ascii="仿宋_GB2312" w:hAnsi="仿宋" w:eastAsia="仿宋_GB2312" w:cs="Times New Roman"/>
          <w:bCs/>
          <w:sz w:val="32"/>
          <w:szCs w:val="32"/>
          <w:lang w:val="zh-CN"/>
        </w:rPr>
        <w:t>分。</w:t>
      </w:r>
      <w:bookmarkEnd w:id="23"/>
      <w:bookmarkEnd w:id="24"/>
      <w:bookmarkStart w:id="32" w:name="_Toc25434"/>
    </w:p>
    <w:p>
      <w:pPr>
        <w:keepNext w:val="0"/>
        <w:keepLines w:val="0"/>
        <w:pageBreakBefore w:val="0"/>
        <w:widowControl w:val="0"/>
        <w:kinsoku/>
        <w:wordWrap/>
        <w:overflowPunct/>
        <w:topLinePunct w:val="0"/>
        <w:bidi w:val="0"/>
        <w:spacing w:line="560" w:lineRule="exact"/>
        <w:ind w:left="0" w:firstLine="640" w:firstLineChars="200"/>
        <w:textAlignment w:val="auto"/>
        <w:outlineLvl w:val="0"/>
        <w:rPr>
          <w:rFonts w:hint="eastAsia" w:ascii="黑体" w:eastAsia="黑体"/>
          <w:b w:val="0"/>
          <w:bCs w:val="0"/>
          <w:color w:val="000000"/>
          <w:sz w:val="32"/>
          <w:szCs w:val="32"/>
        </w:rPr>
      </w:pPr>
      <w:bookmarkStart w:id="33" w:name="_Toc10072"/>
      <w:bookmarkStart w:id="34" w:name="_Toc29853"/>
      <w:r>
        <w:rPr>
          <w:rFonts w:hint="eastAsia" w:ascii="黑体" w:eastAsia="黑体"/>
          <w:b w:val="0"/>
          <w:bCs w:val="0"/>
          <w:color w:val="000000"/>
          <w:sz w:val="32"/>
          <w:szCs w:val="32"/>
          <w:lang w:val="en-US" w:eastAsia="zh-CN"/>
        </w:rPr>
        <w:t>二</w:t>
      </w:r>
      <w:r>
        <w:rPr>
          <w:rFonts w:hint="eastAsia" w:ascii="黑体" w:eastAsia="黑体"/>
          <w:b w:val="0"/>
          <w:bCs w:val="0"/>
          <w:color w:val="000000"/>
          <w:sz w:val="32"/>
          <w:szCs w:val="32"/>
        </w:rPr>
        <w:t>、“三公”经费财政拨款支出决算情况</w:t>
      </w:r>
      <w:bookmarkEnd w:id="32"/>
      <w:bookmarkEnd w:id="33"/>
      <w:bookmarkEnd w:id="34"/>
    </w:p>
    <w:p>
      <w:pPr>
        <w:keepNext w:val="0"/>
        <w:keepLines w:val="0"/>
        <w:pageBreakBefore w:val="0"/>
        <w:widowControl w:val="0"/>
        <w:kinsoku/>
        <w:wordWrap/>
        <w:overflowPunct/>
        <w:topLinePunct w:val="0"/>
        <w:bidi w:val="0"/>
        <w:spacing w:line="560" w:lineRule="exact"/>
        <w:ind w:left="0" w:firstLine="642" w:firstLineChars="200"/>
        <w:textAlignment w:val="auto"/>
        <w:outlineLvl w:val="1"/>
        <w:rPr>
          <w:rFonts w:hint="eastAsia" w:ascii="楷体" w:hAnsi="楷体" w:eastAsia="楷体" w:cs="楷体"/>
          <w:b/>
          <w:color w:val="000000"/>
          <w:sz w:val="32"/>
          <w:szCs w:val="32"/>
        </w:rPr>
      </w:pPr>
      <w:bookmarkStart w:id="35" w:name="_Toc8269"/>
      <w:bookmarkStart w:id="36" w:name="_Toc5807"/>
      <w:r>
        <w:rPr>
          <w:rFonts w:hint="eastAsia" w:ascii="楷体" w:hAnsi="楷体" w:eastAsia="楷体" w:cs="楷体"/>
          <w:b/>
          <w:color w:val="000000"/>
          <w:sz w:val="32"/>
          <w:szCs w:val="32"/>
        </w:rPr>
        <w:t>（一）“三公”经费财政拨款支出决算总体情况说明</w:t>
      </w:r>
      <w:bookmarkEnd w:id="35"/>
      <w:bookmarkEnd w:id="36"/>
    </w:p>
    <w:p>
      <w:pPr>
        <w:spacing w:line="560" w:lineRule="exact"/>
        <w:ind w:firstLine="640"/>
        <w:rPr>
          <w:rFonts w:hint="default" w:ascii="仿宋_GB2312" w:hAnsi="宋体" w:eastAsia="仿宋" w:cs="宋体"/>
          <w:color w:val="333333"/>
          <w:kern w:val="0"/>
          <w:sz w:val="32"/>
          <w:szCs w:val="32"/>
          <w:lang w:val="en-US" w:eastAsia="zh-CN"/>
        </w:rPr>
      </w:pPr>
      <w:r>
        <w:rPr>
          <w:rFonts w:hint="eastAsia" w:ascii="仿宋" w:hAnsi="仿宋" w:eastAsia="仿宋" w:cs="仿宋_GB2312"/>
          <w:b w:val="0"/>
          <w:bCs/>
          <w:sz w:val="32"/>
          <w:szCs w:val="32"/>
        </w:rPr>
        <w:t>金川县退役军人事务局202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年度“三公”经费财政拨款支出决算为</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万元，其中：因公出国（境）费支出决算为0万元；公务用车运行维护费支出决算为</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万元；公务接待费支出决算为0万元。</w:t>
      </w:r>
      <w:r>
        <w:rPr>
          <w:rFonts w:hint="default" w:ascii="仿宋" w:eastAsia="仿宋"/>
          <w:color w:val="000000"/>
          <w:sz w:val="32"/>
          <w:szCs w:val="32"/>
        </w:rPr>
        <w:t>预算数</w:t>
      </w:r>
      <w:r>
        <w:rPr>
          <w:rFonts w:hint="eastAsia" w:ascii="仿宋" w:eastAsia="仿宋"/>
          <w:color w:val="000000"/>
          <w:sz w:val="32"/>
          <w:szCs w:val="32"/>
          <w:lang w:val="en-US" w:eastAsia="zh-CN"/>
        </w:rPr>
        <w:t>1.28</w:t>
      </w:r>
      <w:r>
        <w:rPr>
          <w:rFonts w:hint="default" w:ascii="仿宋" w:eastAsia="仿宋"/>
          <w:color w:val="000000"/>
          <w:sz w:val="32"/>
          <w:szCs w:val="32"/>
        </w:rPr>
        <w:t>万元，决算</w:t>
      </w:r>
      <w:r>
        <w:rPr>
          <w:rFonts w:hint="eastAsia" w:ascii="仿宋" w:eastAsia="仿宋"/>
          <w:color w:val="000000"/>
          <w:sz w:val="32"/>
          <w:szCs w:val="32"/>
          <w:lang w:val="en-US" w:eastAsia="zh-CN"/>
        </w:rPr>
        <w:t>为0</w:t>
      </w:r>
      <w:r>
        <w:rPr>
          <w:rFonts w:hint="default" w:ascii="仿宋" w:eastAsia="仿宋"/>
          <w:color w:val="000000"/>
          <w:sz w:val="32"/>
          <w:szCs w:val="32"/>
        </w:rPr>
        <w:t>万元</w:t>
      </w:r>
      <w:r>
        <w:rPr>
          <w:rFonts w:hint="eastAsia" w:ascii="仿宋" w:eastAsia="仿宋"/>
          <w:color w:val="000000"/>
          <w:sz w:val="32"/>
          <w:szCs w:val="32"/>
          <w:lang w:eastAsia="zh-CN"/>
        </w:rPr>
        <w:t>，</w:t>
      </w:r>
      <w:r>
        <w:rPr>
          <w:rFonts w:hint="eastAsia" w:ascii="仿宋" w:eastAsia="仿宋"/>
          <w:color w:val="000000"/>
          <w:sz w:val="32"/>
          <w:szCs w:val="32"/>
          <w:lang w:val="en-US" w:eastAsia="zh-CN"/>
        </w:rPr>
        <w:t>增减原因：</w:t>
      </w:r>
      <w:r>
        <w:rPr>
          <w:rFonts w:hint="default" w:ascii="Times New Roman" w:hAnsi="Times New Roman" w:cs="Times New Roman"/>
          <w:sz w:val="32"/>
          <w:szCs w:val="32"/>
        </w:rPr>
        <w:t>本着厉行节约，反对铺张浪费的原则</w:t>
      </w:r>
      <w:r>
        <w:rPr>
          <w:rFonts w:hint="eastAsia" w:cs="Times New Roman"/>
          <w:sz w:val="32"/>
          <w:szCs w:val="32"/>
          <w:lang w:eastAsia="zh-CN"/>
        </w:rPr>
        <w:t>，我单位未使用三公经费</w:t>
      </w:r>
      <w:r>
        <w:rPr>
          <w:rFonts w:hint="eastAsia" w:ascii="仿宋" w:eastAsia="仿宋"/>
          <w:color w:val="000000"/>
          <w:sz w:val="32"/>
          <w:szCs w:val="32"/>
          <w:lang w:val="en-US" w:eastAsia="zh-CN"/>
        </w:rPr>
        <w:t>。</w:t>
      </w:r>
    </w:p>
    <w:p>
      <w:pPr>
        <w:keepNext w:val="0"/>
        <w:keepLines w:val="0"/>
        <w:pageBreakBefore w:val="0"/>
        <w:widowControl w:val="0"/>
        <w:kinsoku/>
        <w:wordWrap/>
        <w:overflowPunct/>
        <w:topLinePunct w:val="0"/>
        <w:bidi w:val="0"/>
        <w:spacing w:line="560" w:lineRule="exact"/>
        <w:ind w:left="0" w:firstLine="642" w:firstLineChars="200"/>
        <w:textAlignment w:val="auto"/>
        <w:outlineLvl w:val="1"/>
        <w:rPr>
          <w:rFonts w:hint="eastAsia" w:ascii="楷体" w:hAnsi="楷体" w:eastAsia="楷体" w:cs="楷体"/>
          <w:b/>
          <w:color w:val="333333"/>
          <w:sz w:val="32"/>
          <w:szCs w:val="32"/>
        </w:rPr>
      </w:pPr>
      <w:bookmarkStart w:id="37" w:name="_Toc15153"/>
      <w:bookmarkStart w:id="38" w:name="_Toc1382"/>
      <w:r>
        <w:rPr>
          <w:rFonts w:hint="eastAsia" w:ascii="楷体" w:hAnsi="楷体" w:eastAsia="楷体" w:cs="楷体"/>
          <w:b/>
          <w:color w:val="333333"/>
          <w:sz w:val="32"/>
          <w:szCs w:val="32"/>
        </w:rPr>
        <w:t>（二）“三公”经费财政拨款支出决算具体情况说明</w:t>
      </w:r>
      <w:bookmarkEnd w:id="37"/>
      <w:bookmarkEnd w:id="38"/>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333333"/>
          <w:sz w:val="32"/>
          <w:szCs w:val="32"/>
          <w:lang w:val="en-US" w:eastAsia="zh-CN"/>
        </w:rPr>
        <w:t>2020</w:t>
      </w:r>
      <w:r>
        <w:rPr>
          <w:rFonts w:hint="eastAsia" w:ascii="仿宋_GB2312" w:eastAsia="仿宋_GB2312"/>
          <w:color w:val="333333"/>
          <w:sz w:val="32"/>
          <w:szCs w:val="32"/>
        </w:rPr>
        <w:t>年度“三公”经费财政拨款支出决算中，因公出国（境）费0万元；公务用车购置及运行维护费支出决算</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万元；公务接待费支出决算</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w:t>
      </w:r>
      <w:r>
        <w:rPr>
          <w:rFonts w:hint="eastAsia" w:ascii="仿宋_GB2312" w:eastAsia="仿宋_GB2312"/>
          <w:color w:val="000000"/>
          <w:sz w:val="32"/>
          <w:szCs w:val="32"/>
        </w:rPr>
        <w:t>。具体情况如下：</w:t>
      </w:r>
    </w:p>
    <w:p>
      <w:pPr>
        <w:keepNext w:val="0"/>
        <w:keepLines w:val="0"/>
        <w:pageBreakBefore w:val="0"/>
        <w:widowControl w:val="0"/>
        <w:kinsoku/>
        <w:wordWrap/>
        <w:overflowPunct/>
        <w:topLinePunct w:val="0"/>
        <w:bidi w:val="0"/>
        <w:spacing w:line="560" w:lineRule="exact"/>
        <w:ind w:left="0" w:firstLine="642" w:firstLineChars="200"/>
        <w:textAlignment w:val="auto"/>
        <w:outlineLvl w:val="2"/>
        <w:rPr>
          <w:rFonts w:hint="eastAsia" w:ascii="楷体" w:hAnsi="楷体" w:eastAsia="楷体" w:cs="楷体"/>
          <w:b/>
          <w:color w:val="000000"/>
          <w:sz w:val="32"/>
          <w:szCs w:val="32"/>
        </w:rPr>
      </w:pPr>
      <w:bookmarkStart w:id="39" w:name="_Toc816"/>
      <w:bookmarkStart w:id="40" w:name="_Toc1194"/>
      <w:r>
        <w:rPr>
          <w:rFonts w:hint="eastAsia" w:ascii="楷体" w:hAnsi="楷体" w:eastAsia="楷体" w:cs="楷体"/>
          <w:b/>
          <w:color w:val="000000"/>
          <w:sz w:val="32"/>
          <w:szCs w:val="32"/>
        </w:rPr>
        <w:t>1.因公出国（境）经费</w:t>
      </w:r>
      <w:bookmarkEnd w:id="39"/>
      <w:bookmarkEnd w:id="40"/>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年因公出国（境）费0万元。</w:t>
      </w:r>
    </w:p>
    <w:p>
      <w:pPr>
        <w:keepNext w:val="0"/>
        <w:keepLines w:val="0"/>
        <w:pageBreakBefore w:val="0"/>
        <w:widowControl w:val="0"/>
        <w:kinsoku/>
        <w:wordWrap/>
        <w:overflowPunct/>
        <w:topLinePunct w:val="0"/>
        <w:bidi w:val="0"/>
        <w:spacing w:line="560" w:lineRule="exact"/>
        <w:ind w:left="0" w:firstLine="642" w:firstLineChars="200"/>
        <w:textAlignment w:val="auto"/>
        <w:outlineLvl w:val="2"/>
        <w:rPr>
          <w:rFonts w:hint="eastAsia" w:ascii="楷体" w:hAnsi="楷体" w:eastAsia="楷体" w:cs="楷体"/>
          <w:b/>
          <w:color w:val="000000"/>
          <w:sz w:val="32"/>
          <w:szCs w:val="32"/>
        </w:rPr>
      </w:pPr>
      <w:bookmarkStart w:id="41" w:name="_Toc1553"/>
      <w:bookmarkStart w:id="42" w:name="_Toc9057"/>
      <w:r>
        <w:rPr>
          <w:rFonts w:hint="eastAsia" w:ascii="楷体" w:hAnsi="楷体" w:eastAsia="楷体" w:cs="楷体"/>
          <w:b/>
          <w:color w:val="000000"/>
          <w:sz w:val="32"/>
          <w:szCs w:val="32"/>
        </w:rPr>
        <w:t>2.公务用车购置及运行维护费</w:t>
      </w:r>
      <w:bookmarkEnd w:id="41"/>
      <w:bookmarkEnd w:id="42"/>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bCs/>
          <w:color w:val="000000"/>
          <w:sz w:val="32"/>
          <w:szCs w:val="32"/>
          <w:lang w:val="en-US" w:eastAsia="zh-CN"/>
        </w:rPr>
        <w:t>2021</w:t>
      </w:r>
      <w:r>
        <w:rPr>
          <w:rFonts w:hint="eastAsia" w:ascii="仿宋_GB2312" w:eastAsia="仿宋_GB2312"/>
          <w:bCs/>
          <w:color w:val="000000"/>
          <w:sz w:val="32"/>
          <w:szCs w:val="32"/>
        </w:rPr>
        <w:t>年公务用车购置及运行维护费</w:t>
      </w:r>
      <w:r>
        <w:rPr>
          <w:rFonts w:hint="eastAsia" w:ascii="仿宋_GB2312" w:eastAsia="仿宋_GB2312"/>
          <w:bCs/>
          <w:color w:val="000000"/>
          <w:sz w:val="32"/>
          <w:szCs w:val="32"/>
          <w:lang w:val="en-US" w:eastAsia="zh-CN"/>
        </w:rPr>
        <w:t>0</w:t>
      </w:r>
      <w:r>
        <w:rPr>
          <w:rFonts w:hint="eastAsia" w:ascii="仿宋_GB2312" w:eastAsia="仿宋_GB2312"/>
          <w:color w:val="000000"/>
          <w:sz w:val="32"/>
          <w:szCs w:val="32"/>
        </w:rPr>
        <w:t>万元,其中：</w:t>
      </w: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无公务用车购置支出。</w:t>
      </w: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bCs/>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pacing w:line="560" w:lineRule="exact"/>
        <w:ind w:left="0" w:firstLine="642" w:firstLineChars="200"/>
        <w:textAlignment w:val="auto"/>
        <w:outlineLvl w:val="2"/>
        <w:rPr>
          <w:rFonts w:hint="eastAsia" w:ascii="楷体" w:hAnsi="楷体" w:eastAsia="楷体" w:cs="楷体"/>
          <w:b/>
          <w:color w:val="000000"/>
          <w:sz w:val="32"/>
          <w:szCs w:val="32"/>
        </w:rPr>
      </w:pPr>
      <w:bookmarkStart w:id="43" w:name="_Toc8178"/>
      <w:bookmarkStart w:id="44" w:name="_Toc21424"/>
      <w:r>
        <w:rPr>
          <w:rFonts w:hint="eastAsia" w:ascii="楷体" w:hAnsi="楷体" w:eastAsia="楷体" w:cs="楷体"/>
          <w:b/>
          <w:color w:val="000000"/>
          <w:sz w:val="32"/>
          <w:szCs w:val="32"/>
        </w:rPr>
        <w:t>3.公务接待费</w:t>
      </w:r>
      <w:bookmarkEnd w:id="43"/>
      <w:bookmarkEnd w:id="44"/>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年公务接待费0万元。</w:t>
      </w:r>
    </w:p>
    <w:p>
      <w:pPr>
        <w:keepNext w:val="0"/>
        <w:keepLines w:val="0"/>
        <w:pageBreakBefore w:val="0"/>
        <w:widowControl w:val="0"/>
        <w:kinsoku/>
        <w:wordWrap/>
        <w:overflowPunct/>
        <w:topLinePunct w:val="0"/>
        <w:bidi w:val="0"/>
        <w:spacing w:line="560" w:lineRule="exact"/>
        <w:ind w:left="0" w:leftChars="0" w:firstLine="640" w:firstLineChars="200"/>
        <w:textAlignment w:val="auto"/>
        <w:outlineLvl w:val="0"/>
        <w:rPr>
          <w:rFonts w:hint="eastAsia" w:ascii="黑体" w:hAnsi="黑体" w:eastAsia="黑体" w:cs="黑体"/>
          <w:b w:val="0"/>
          <w:bCs w:val="0"/>
          <w:color w:val="000000"/>
          <w:sz w:val="32"/>
          <w:szCs w:val="32"/>
        </w:rPr>
      </w:pPr>
      <w:bookmarkStart w:id="45" w:name="_Toc22280"/>
      <w:bookmarkStart w:id="46" w:name="_Toc6898"/>
      <w:bookmarkStart w:id="47" w:name="_Toc25550"/>
      <w:r>
        <w:rPr>
          <w:rFonts w:hint="eastAsia" w:ascii="黑体" w:hAnsi="黑体" w:eastAsia="黑体" w:cs="黑体"/>
          <w:b w:val="0"/>
          <w:bCs w:val="0"/>
          <w:color w:val="000000"/>
          <w:sz w:val="32"/>
          <w:szCs w:val="32"/>
          <w:lang w:val="en-US" w:eastAsia="zh-CN"/>
        </w:rPr>
        <w:t>三</w:t>
      </w:r>
      <w:r>
        <w:rPr>
          <w:rFonts w:hint="eastAsia" w:ascii="黑体" w:hAnsi="黑体" w:eastAsia="黑体" w:cs="黑体"/>
          <w:b w:val="0"/>
          <w:bCs w:val="0"/>
          <w:color w:val="000000"/>
          <w:sz w:val="32"/>
          <w:szCs w:val="32"/>
        </w:rPr>
        <w:t>、政府性基金预算财政拨款支出决算情况</w:t>
      </w:r>
      <w:bookmarkEnd w:id="45"/>
      <w:bookmarkEnd w:id="46"/>
      <w:bookmarkEnd w:id="47"/>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hAnsi="仿宋_GB2312" w:eastAsia="仿宋_GB2312" w:cs="仿宋_GB2312"/>
          <w:color w:val="000000"/>
          <w:sz w:val="32"/>
          <w:szCs w:val="32"/>
        </w:rPr>
      </w:pPr>
      <w:bookmarkStart w:id="48" w:name="_Toc12269"/>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年政府性基金预算财政拨款支出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numPr>
          <w:ilvl w:val="0"/>
          <w:numId w:val="0"/>
        </w:numPr>
        <w:tabs>
          <w:tab w:val="left" w:pos="0"/>
        </w:tabs>
        <w:spacing w:line="560" w:lineRule="exact"/>
        <w:ind w:leftChars="200"/>
        <w:outlineLvl w:val="1"/>
        <w:rPr>
          <w:rStyle w:val="19"/>
          <w:rFonts w:hint="eastAsia" w:ascii="黑体" w:eastAsia="黑体"/>
          <w:b w:val="0"/>
        </w:rPr>
      </w:pPr>
      <w:bookmarkStart w:id="49" w:name="_Toc15377219"/>
      <w:bookmarkStart w:id="50" w:name="_Toc15396611"/>
      <w:bookmarkStart w:id="51" w:name="_Toc79163873"/>
      <w:bookmarkStart w:id="52" w:name="_Toc79163623"/>
      <w:bookmarkStart w:id="53" w:name="_Toc5439"/>
      <w:r>
        <w:rPr>
          <w:rStyle w:val="19"/>
          <w:rFonts w:hint="eastAsia" w:ascii="黑体" w:eastAsia="黑体"/>
          <w:b w:val="0"/>
          <w:lang w:val="en-US" w:eastAsia="zh-CN"/>
        </w:rPr>
        <w:t>四、</w:t>
      </w:r>
      <w:r>
        <w:rPr>
          <w:rStyle w:val="19"/>
          <w:rFonts w:hint="eastAsia" w:ascii="黑体" w:eastAsia="黑体"/>
          <w:b w:val="0"/>
        </w:rPr>
        <w:t>国有资本经营预算支出决算情况说明</w:t>
      </w:r>
      <w:bookmarkEnd w:id="49"/>
      <w:bookmarkEnd w:id="50"/>
      <w:bookmarkEnd w:id="51"/>
      <w:bookmarkEnd w:id="52"/>
      <w:bookmarkEnd w:id="53"/>
    </w:p>
    <w:p>
      <w:pPr>
        <w:spacing w:line="560" w:lineRule="exact"/>
        <w:ind w:firstLine="640"/>
        <w:rPr>
          <w:rFonts w:hint="eastAsia" w:ascii="方正小标宋简体" w:eastAsia="方正小标宋简体" w:cs="方正小标宋简体"/>
          <w:sz w:val="44"/>
          <w:szCs w:val="44"/>
          <w:lang w:bidi="ar-SA"/>
        </w:rPr>
      </w:pPr>
      <w:r>
        <w:rPr>
          <w:rFonts w:hint="eastAsia"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4"/>
        <w:rPr>
          <w:rFonts w:hint="eastAsia"/>
        </w:rPr>
      </w:pPr>
    </w:p>
    <w:p>
      <w:pPr>
        <w:keepNext w:val="0"/>
        <w:keepLines w:val="0"/>
        <w:pageBreakBefore w:val="0"/>
        <w:widowControl w:val="0"/>
        <w:kinsoku/>
        <w:wordWrap/>
        <w:overflowPunct/>
        <w:topLinePunct w:val="0"/>
        <w:bidi w:val="0"/>
        <w:spacing w:line="560" w:lineRule="exact"/>
        <w:ind w:left="0" w:firstLine="640" w:firstLineChars="200"/>
        <w:textAlignment w:val="auto"/>
        <w:outlineLvl w:val="0"/>
        <w:rPr>
          <w:rFonts w:ascii="黑体" w:eastAsia="黑体"/>
          <w:b w:val="0"/>
          <w:bCs w:val="0"/>
          <w:color w:val="000000"/>
          <w:sz w:val="32"/>
          <w:szCs w:val="32"/>
        </w:rPr>
      </w:pPr>
      <w:bookmarkStart w:id="54" w:name="_Toc4566"/>
      <w:bookmarkStart w:id="55" w:name="_Toc19645"/>
      <w:r>
        <w:rPr>
          <w:rFonts w:hint="eastAsia" w:ascii="黑体" w:eastAsia="黑体"/>
          <w:b w:val="0"/>
          <w:bCs w:val="0"/>
          <w:color w:val="000000"/>
          <w:sz w:val="32"/>
          <w:szCs w:val="32"/>
          <w:lang w:val="en-US" w:eastAsia="zh-CN"/>
        </w:rPr>
        <w:t>五</w:t>
      </w:r>
      <w:r>
        <w:rPr>
          <w:rFonts w:hint="eastAsia" w:ascii="黑体" w:eastAsia="黑体"/>
          <w:b w:val="0"/>
          <w:bCs w:val="0"/>
          <w:color w:val="000000"/>
          <w:sz w:val="32"/>
          <w:szCs w:val="32"/>
        </w:rPr>
        <w:t>、其他重要事项的情况说明</w:t>
      </w:r>
      <w:bookmarkEnd w:id="48"/>
      <w:bookmarkEnd w:id="54"/>
      <w:bookmarkEnd w:id="55"/>
    </w:p>
    <w:p>
      <w:pPr>
        <w:pStyle w:val="4"/>
        <w:pageBreakBefore w:val="0"/>
        <w:kinsoku/>
        <w:wordWrap/>
        <w:overflowPunct/>
        <w:topLinePunct w:val="0"/>
        <w:bidi w:val="0"/>
        <w:spacing w:line="560" w:lineRule="exact"/>
        <w:ind w:left="0" w:firstLine="642" w:firstLineChars="200"/>
        <w:textAlignment w:val="auto"/>
        <w:rPr>
          <w:rFonts w:hint="default" w:ascii="Times New Roman" w:hAnsi="Times New Roman" w:cs="Times New Roman"/>
          <w:sz w:val="32"/>
          <w:szCs w:val="32"/>
        </w:rPr>
      </w:pPr>
      <w:bookmarkStart w:id="56" w:name="_Toc887"/>
      <w:bookmarkStart w:id="57" w:name="_Toc61109031"/>
      <w:bookmarkStart w:id="58" w:name="_Toc5649"/>
      <w:bookmarkStart w:id="59" w:name="_Toc12097"/>
      <w:bookmarkStart w:id="60" w:name="_Toc29003"/>
      <w:r>
        <w:rPr>
          <w:rFonts w:hint="default" w:ascii="Times New Roman" w:hAnsi="Times New Roman" w:cs="Times New Roman"/>
          <w:sz w:val="32"/>
          <w:szCs w:val="32"/>
        </w:rPr>
        <w:t>（一）本部门财务管理、绩效管理、决算组织、编报、审核情况</w:t>
      </w:r>
      <w:bookmarkEnd w:id="56"/>
      <w:bookmarkEnd w:id="57"/>
      <w:bookmarkEnd w:id="58"/>
      <w:bookmarkEnd w:id="59"/>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2021年</w:t>
      </w:r>
      <w:r>
        <w:rPr>
          <w:rFonts w:hint="default" w:ascii="Times New Roman" w:hAnsi="Times New Roman" w:cs="Times New Roman"/>
          <w:sz w:val="32"/>
          <w:szCs w:val="32"/>
        </w:rPr>
        <w:t>我</w:t>
      </w:r>
      <w:r>
        <w:rPr>
          <w:rFonts w:hint="eastAsia" w:cs="Times New Roman"/>
          <w:sz w:val="32"/>
          <w:szCs w:val="32"/>
          <w:lang w:val="en-US" w:eastAsia="zh-CN"/>
        </w:rPr>
        <w:t>局</w:t>
      </w:r>
      <w:r>
        <w:rPr>
          <w:rFonts w:hint="default" w:ascii="Times New Roman" w:hAnsi="Times New Roman" w:cs="Times New Roman"/>
          <w:sz w:val="32"/>
          <w:szCs w:val="32"/>
        </w:rPr>
        <w:t>财务工作坚持以人为本，理顺机制，更新财务理念，服务大众。这一年，在领导和财务工作人员的共同努力下，立足现状，努力提高有限经费的使用效率，本着厉行节约，反对铺张浪费的原则圆满完成了财务管理任务，实现了财政经费的收支平衡。</w:t>
      </w:r>
    </w:p>
    <w:p>
      <w:pPr>
        <w:pStyle w:val="4"/>
        <w:pageBreakBefore w:val="0"/>
        <w:kinsoku/>
        <w:wordWrap/>
        <w:overflowPunct/>
        <w:topLinePunct w:val="0"/>
        <w:bidi w:val="0"/>
        <w:spacing w:line="560" w:lineRule="exact"/>
        <w:ind w:left="0" w:firstLine="642" w:firstLineChars="200"/>
        <w:textAlignment w:val="auto"/>
        <w:rPr>
          <w:rFonts w:hint="default" w:ascii="Times New Roman" w:hAnsi="Times New Roman" w:cs="Times New Roman"/>
          <w:sz w:val="32"/>
          <w:szCs w:val="32"/>
        </w:rPr>
      </w:pPr>
      <w:bookmarkStart w:id="61" w:name="_Toc24522"/>
      <w:bookmarkStart w:id="62" w:name="_Toc19585"/>
      <w:bookmarkStart w:id="63" w:name="_Toc61109032"/>
      <w:bookmarkStart w:id="64" w:name="_Toc26474"/>
      <w:r>
        <w:rPr>
          <w:rFonts w:hint="default" w:ascii="Times New Roman" w:hAnsi="Times New Roman" w:cs="Times New Roman"/>
          <w:sz w:val="32"/>
          <w:szCs w:val="32"/>
        </w:rPr>
        <w:t>（二）本部门决算及绩效信息公开工作、主管部门对所属单位按规定批复决算工作开展情况</w:t>
      </w:r>
      <w:bookmarkEnd w:id="61"/>
      <w:bookmarkEnd w:id="62"/>
      <w:bookmarkEnd w:id="63"/>
      <w:bookmarkEnd w:id="64"/>
    </w:p>
    <w:p>
      <w:pPr>
        <w:keepNext w:val="0"/>
        <w:keepLines w:val="0"/>
        <w:pageBreakBefore w:val="0"/>
        <w:widowControl w:val="0"/>
        <w:kinsoku/>
        <w:wordWrap/>
        <w:overflowPunct/>
        <w:topLinePunct w:val="0"/>
        <w:autoSpaceDE w:val="0"/>
        <w:autoSpaceDN w:val="0"/>
        <w:bidi w:val="0"/>
        <w:adjustRightInd w:val="0"/>
        <w:spacing w:line="560" w:lineRule="exact"/>
        <w:ind w:left="0" w:firstLine="640" w:firstLineChars="200"/>
        <w:jc w:val="left"/>
        <w:textAlignment w:val="auto"/>
        <w:outlineLvl w:val="1"/>
        <w:rPr>
          <w:rFonts w:hint="default" w:ascii="Times New Roman" w:hAnsi="Times New Roman" w:cs="Times New Roman"/>
          <w:sz w:val="32"/>
          <w:szCs w:val="32"/>
        </w:rPr>
      </w:pPr>
      <w:bookmarkStart w:id="65" w:name="_Toc28614"/>
      <w:r>
        <w:rPr>
          <w:rFonts w:hint="default" w:ascii="Times New Roman" w:hAnsi="Times New Roman" w:cs="Times New Roman"/>
          <w:sz w:val="32"/>
          <w:szCs w:val="32"/>
        </w:rPr>
        <w:t>按照县委、县政府的统一安排,我</w:t>
      </w:r>
      <w:r>
        <w:rPr>
          <w:rFonts w:hint="eastAsia" w:cs="Times New Roman"/>
          <w:sz w:val="32"/>
          <w:szCs w:val="32"/>
          <w:lang w:val="en-US" w:eastAsia="zh-CN"/>
        </w:rPr>
        <w:t>局</w:t>
      </w:r>
      <w:r>
        <w:rPr>
          <w:rFonts w:hint="default" w:ascii="Times New Roman" w:hAnsi="Times New Roman" w:cs="Times New Roman"/>
          <w:sz w:val="32"/>
          <w:szCs w:val="32"/>
        </w:rPr>
        <w:t>准确、及时地进行部门预、决算公开工作。</w:t>
      </w:r>
      <w:bookmarkEnd w:id="65"/>
      <w:bookmarkStart w:id="66" w:name="_Toc6981"/>
    </w:p>
    <w:p>
      <w:pPr>
        <w:keepNext w:val="0"/>
        <w:keepLines w:val="0"/>
        <w:pageBreakBefore w:val="0"/>
        <w:widowControl w:val="0"/>
        <w:kinsoku/>
        <w:wordWrap/>
        <w:overflowPunct/>
        <w:topLinePunct w:val="0"/>
        <w:autoSpaceDE w:val="0"/>
        <w:autoSpaceDN w:val="0"/>
        <w:bidi w:val="0"/>
        <w:adjustRightInd w:val="0"/>
        <w:spacing w:line="560" w:lineRule="exact"/>
        <w:ind w:left="0" w:firstLine="642" w:firstLineChars="200"/>
        <w:jc w:val="left"/>
        <w:textAlignment w:val="auto"/>
        <w:outlineLvl w:val="1"/>
        <w:rPr>
          <w:rFonts w:hint="eastAsia" w:ascii="楷体" w:hAnsi="楷体" w:eastAsia="楷体" w:cs="楷体"/>
          <w:b/>
          <w:color w:val="000000"/>
          <w:sz w:val="32"/>
          <w:szCs w:val="32"/>
        </w:rPr>
      </w:pPr>
      <w:bookmarkStart w:id="67" w:name="_Toc5215"/>
      <w:r>
        <w:rPr>
          <w:rFonts w:hint="eastAsia" w:ascii="楷体" w:hAnsi="楷体" w:eastAsia="楷体" w:cs="楷体"/>
          <w:b/>
          <w:color w:val="000000"/>
          <w:sz w:val="32"/>
          <w:szCs w:val="32"/>
        </w:rPr>
        <w:t>（</w:t>
      </w:r>
      <w:r>
        <w:rPr>
          <w:rFonts w:hint="eastAsia" w:ascii="楷体" w:hAnsi="楷体" w:eastAsia="楷体" w:cs="楷体"/>
          <w:b/>
          <w:color w:val="000000"/>
          <w:sz w:val="32"/>
          <w:szCs w:val="32"/>
          <w:lang w:val="en-US" w:eastAsia="zh-CN"/>
        </w:rPr>
        <w:t>三</w:t>
      </w:r>
      <w:r>
        <w:rPr>
          <w:rFonts w:hint="eastAsia" w:ascii="楷体" w:hAnsi="楷体" w:eastAsia="楷体" w:cs="楷体"/>
          <w:b/>
          <w:color w:val="000000"/>
          <w:sz w:val="32"/>
          <w:szCs w:val="32"/>
        </w:rPr>
        <w:t>）政府采购支出情况</w:t>
      </w:r>
      <w:bookmarkEnd w:id="66"/>
      <w:bookmarkEnd w:id="67"/>
    </w:p>
    <w:p>
      <w:pPr>
        <w:spacing w:line="560" w:lineRule="exact"/>
        <w:ind w:firstLine="640" w:firstLineChars="200"/>
        <w:rPr>
          <w:rFonts w:hint="default" w:ascii="仿宋" w:hAnsi="仿宋" w:eastAsia="仿宋" w:cs="仿宋_GB2312"/>
          <w:b w:val="0"/>
          <w:bCs/>
          <w:sz w:val="32"/>
          <w:szCs w:val="32"/>
          <w:lang w:val="en-US" w:eastAsia="zh-CN"/>
        </w:rPr>
      </w:pP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年度，金川县退役军人事务局政府采购支出总额</w:t>
      </w:r>
      <w:r>
        <w:rPr>
          <w:rFonts w:hint="eastAsia" w:ascii="仿宋" w:hAnsi="仿宋" w:eastAsia="仿宋" w:cs="仿宋_GB2312"/>
          <w:b w:val="0"/>
          <w:bCs/>
          <w:sz w:val="32"/>
          <w:szCs w:val="32"/>
          <w:lang w:val="en-US" w:eastAsia="zh-CN"/>
        </w:rPr>
        <w:t>8.68</w:t>
      </w:r>
      <w:r>
        <w:rPr>
          <w:rFonts w:hint="eastAsia" w:ascii="仿宋" w:hAnsi="仿宋" w:eastAsia="仿宋" w:cs="仿宋_GB2312"/>
          <w:b w:val="0"/>
          <w:bCs/>
          <w:sz w:val="32"/>
          <w:szCs w:val="32"/>
        </w:rPr>
        <w:t>万元，其中：政府采购货物支出</w:t>
      </w:r>
      <w:r>
        <w:rPr>
          <w:rFonts w:hint="eastAsia" w:ascii="仿宋" w:hAnsi="仿宋" w:eastAsia="仿宋" w:cs="仿宋_GB2312"/>
          <w:b w:val="0"/>
          <w:bCs/>
          <w:sz w:val="32"/>
          <w:szCs w:val="32"/>
          <w:lang w:val="en-US" w:eastAsia="zh-CN"/>
        </w:rPr>
        <w:t>8.68</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eastAsia="zh-CN"/>
        </w:rPr>
        <w:t>（</w:t>
      </w:r>
      <w:r>
        <w:rPr>
          <w:rFonts w:hint="eastAsia" w:ascii="仿宋" w:hAnsi="仿宋" w:eastAsia="仿宋" w:cs="仿宋_GB2312"/>
          <w:b w:val="0"/>
          <w:bCs/>
          <w:sz w:val="32"/>
          <w:szCs w:val="32"/>
          <w:lang w:val="en-US" w:eastAsia="zh-CN"/>
        </w:rPr>
        <w:t>因留标2次后，商场直购</w:t>
      </w:r>
      <w:r>
        <w:rPr>
          <w:rFonts w:hint="eastAsia" w:ascii="仿宋" w:hAnsi="仿宋" w:eastAsia="仿宋" w:cs="仿宋_GB2312"/>
          <w:b w:val="0"/>
          <w:bCs/>
          <w:sz w:val="32"/>
          <w:szCs w:val="32"/>
          <w:lang w:eastAsia="zh-CN"/>
        </w:rPr>
        <w:t>）</w:t>
      </w:r>
      <w:r>
        <w:rPr>
          <w:rFonts w:hint="eastAsia" w:ascii="仿宋" w:hAnsi="仿宋" w:eastAsia="仿宋" w:cs="仿宋_GB2312"/>
          <w:b w:val="0"/>
          <w:bCs/>
          <w:sz w:val="32"/>
          <w:szCs w:val="32"/>
        </w:rPr>
        <w:t>、政府采购工程支出0万元、政府采购服务支出0万元</w:t>
      </w:r>
      <w:r>
        <w:rPr>
          <w:rFonts w:hint="eastAsia" w:ascii="仿宋" w:hAnsi="仿宋" w:eastAsia="仿宋" w:cs="仿宋_GB2312"/>
          <w:b w:val="0"/>
          <w:bCs/>
          <w:sz w:val="32"/>
          <w:szCs w:val="32"/>
          <w:lang w:eastAsia="zh-CN"/>
        </w:rPr>
        <w:t>，</w:t>
      </w:r>
      <w:r>
        <w:rPr>
          <w:rFonts w:hint="eastAsia" w:ascii="仿宋" w:hAnsi="仿宋" w:eastAsia="仿宋" w:cs="仿宋_GB2312"/>
          <w:b w:val="0"/>
          <w:bCs/>
          <w:sz w:val="32"/>
          <w:szCs w:val="32"/>
          <w:lang w:val="en-US" w:eastAsia="zh-CN"/>
        </w:rPr>
        <w:t>授予中小企业合同金额0万元，占政府采购支出总额的0%，其中：授予小微企业合同金额0万元，占政府采购支出总额的0%。</w:t>
      </w:r>
    </w:p>
    <w:p>
      <w:pPr>
        <w:keepNext w:val="0"/>
        <w:keepLines w:val="0"/>
        <w:pageBreakBefore w:val="0"/>
        <w:widowControl w:val="0"/>
        <w:kinsoku/>
        <w:wordWrap/>
        <w:overflowPunct/>
        <w:topLinePunct w:val="0"/>
        <w:bidi w:val="0"/>
        <w:spacing w:line="560" w:lineRule="exact"/>
        <w:ind w:left="0" w:firstLine="642" w:firstLineChars="200"/>
        <w:textAlignment w:val="auto"/>
        <w:outlineLvl w:val="1"/>
        <w:rPr>
          <w:rFonts w:hint="eastAsia" w:ascii="楷体" w:hAnsi="楷体" w:eastAsia="楷体" w:cs="楷体"/>
          <w:b/>
          <w:color w:val="000000"/>
          <w:sz w:val="32"/>
          <w:szCs w:val="32"/>
        </w:rPr>
      </w:pPr>
      <w:bookmarkStart w:id="68" w:name="_Toc15612"/>
      <w:r>
        <w:rPr>
          <w:rFonts w:hint="eastAsia" w:ascii="楷体" w:hAnsi="楷体" w:eastAsia="楷体" w:cs="楷体"/>
          <w:b/>
          <w:color w:val="000000"/>
          <w:sz w:val="32"/>
          <w:szCs w:val="32"/>
        </w:rPr>
        <w:t>（</w:t>
      </w:r>
      <w:r>
        <w:rPr>
          <w:rFonts w:hint="eastAsia" w:ascii="楷体" w:hAnsi="楷体" w:eastAsia="楷体" w:cs="楷体"/>
          <w:b/>
          <w:color w:val="000000"/>
          <w:sz w:val="32"/>
          <w:szCs w:val="32"/>
          <w:lang w:val="en-US" w:eastAsia="zh-CN"/>
        </w:rPr>
        <w:t>四</w:t>
      </w:r>
      <w:r>
        <w:rPr>
          <w:rFonts w:hint="eastAsia" w:ascii="楷体" w:hAnsi="楷体" w:eastAsia="楷体" w:cs="楷体"/>
          <w:b/>
          <w:color w:val="000000"/>
          <w:sz w:val="32"/>
          <w:szCs w:val="32"/>
        </w:rPr>
        <w:t>）机关运行经费支出情况</w:t>
      </w:r>
      <w:bookmarkEnd w:id="60"/>
      <w:bookmarkEnd w:id="68"/>
    </w:p>
    <w:p>
      <w:pPr>
        <w:spacing w:line="600" w:lineRule="exact"/>
        <w:ind w:firstLine="640" w:firstLineChars="200"/>
        <w:rPr>
          <w:rFonts w:ascii="仿宋_GB2312" w:eastAsia="仿宋_GB2312"/>
          <w:b w:val="0"/>
          <w:bCs/>
          <w:sz w:val="32"/>
          <w:szCs w:val="32"/>
        </w:rPr>
      </w:pPr>
      <w:bookmarkStart w:id="69" w:name="_Toc7294"/>
      <w:r>
        <w:rPr>
          <w:rFonts w:ascii="仿宋_GB2312" w:eastAsia="仿宋_GB2312"/>
          <w:b w:val="0"/>
          <w:bCs/>
          <w:sz w:val="32"/>
          <w:szCs w:val="32"/>
        </w:rPr>
        <w:t>20</w:t>
      </w:r>
      <w:r>
        <w:rPr>
          <w:rFonts w:hint="eastAsia" w:ascii="仿宋_GB2312" w:eastAsia="仿宋_GB2312"/>
          <w:b w:val="0"/>
          <w:bCs/>
          <w:sz w:val="32"/>
          <w:szCs w:val="32"/>
        </w:rPr>
        <w:t>2</w:t>
      </w:r>
      <w:r>
        <w:rPr>
          <w:rFonts w:hint="eastAsia" w:ascii="仿宋_GB2312" w:eastAsia="仿宋_GB2312"/>
          <w:b w:val="0"/>
          <w:bCs/>
          <w:sz w:val="32"/>
          <w:szCs w:val="32"/>
          <w:lang w:val="en-US" w:eastAsia="zh-CN"/>
        </w:rPr>
        <w:t>1</w:t>
      </w:r>
      <w:r>
        <w:rPr>
          <w:rFonts w:hint="eastAsia" w:ascii="仿宋_GB2312" w:eastAsia="仿宋_GB2312"/>
          <w:b w:val="0"/>
          <w:bCs/>
          <w:sz w:val="32"/>
          <w:szCs w:val="32"/>
        </w:rPr>
        <w:t>年，</w:t>
      </w:r>
      <w:r>
        <w:rPr>
          <w:rFonts w:hint="eastAsia" w:ascii="仿宋_GB2312"/>
          <w:b w:val="0"/>
          <w:bCs/>
          <w:sz w:val="32"/>
          <w:szCs w:val="32"/>
          <w:lang w:val="en-US" w:eastAsia="zh-CN"/>
        </w:rPr>
        <w:t>金川县退役军人事务局</w:t>
      </w:r>
      <w:r>
        <w:rPr>
          <w:rFonts w:hint="eastAsia" w:ascii="仿宋_GB2312" w:eastAsia="仿宋_GB2312"/>
          <w:b w:val="0"/>
          <w:bCs/>
          <w:sz w:val="32"/>
          <w:szCs w:val="32"/>
        </w:rPr>
        <w:t>运行经费支出</w:t>
      </w:r>
      <w:r>
        <w:rPr>
          <w:rFonts w:hint="eastAsia" w:ascii="仿宋_GB2312"/>
          <w:b w:val="0"/>
          <w:bCs/>
          <w:sz w:val="32"/>
          <w:szCs w:val="32"/>
          <w:lang w:val="en-US" w:eastAsia="zh-CN"/>
        </w:rPr>
        <w:t>11.14</w:t>
      </w:r>
      <w:r>
        <w:rPr>
          <w:rFonts w:hint="eastAsia" w:ascii="仿宋_GB2312" w:eastAsia="仿宋_GB2312"/>
          <w:b w:val="0"/>
          <w:bCs/>
          <w:sz w:val="32"/>
          <w:szCs w:val="32"/>
        </w:rPr>
        <w:t>万元，比20</w:t>
      </w:r>
      <w:r>
        <w:rPr>
          <w:rFonts w:hint="eastAsia" w:ascii="仿宋_GB2312" w:eastAsia="仿宋_GB2312"/>
          <w:b w:val="0"/>
          <w:bCs/>
          <w:sz w:val="32"/>
          <w:szCs w:val="32"/>
          <w:lang w:val="en-US" w:eastAsia="zh-CN"/>
        </w:rPr>
        <w:t>20</w:t>
      </w:r>
      <w:r>
        <w:rPr>
          <w:rFonts w:hint="eastAsia" w:ascii="仿宋_GB2312" w:eastAsia="仿宋_GB2312"/>
          <w:b w:val="0"/>
          <w:bCs/>
          <w:sz w:val="32"/>
          <w:szCs w:val="32"/>
        </w:rPr>
        <w:t>年增加</w:t>
      </w:r>
      <w:r>
        <w:rPr>
          <w:rFonts w:hint="eastAsia" w:ascii="仿宋_GB2312"/>
          <w:b w:val="0"/>
          <w:bCs/>
          <w:sz w:val="32"/>
          <w:szCs w:val="32"/>
          <w:lang w:val="en-US" w:eastAsia="zh-CN"/>
        </w:rPr>
        <w:t>6.75</w:t>
      </w:r>
      <w:r>
        <w:rPr>
          <w:rFonts w:hint="eastAsia" w:ascii="仿宋_GB2312" w:eastAsia="仿宋_GB2312"/>
          <w:b w:val="0"/>
          <w:bCs/>
          <w:sz w:val="32"/>
          <w:szCs w:val="32"/>
        </w:rPr>
        <w:t>万元，上升</w:t>
      </w:r>
      <w:r>
        <w:rPr>
          <w:rFonts w:hint="eastAsia" w:ascii="仿宋_GB2312"/>
          <w:b w:val="0"/>
          <w:bCs/>
          <w:sz w:val="32"/>
          <w:szCs w:val="32"/>
          <w:lang w:val="en-US" w:eastAsia="zh-CN"/>
        </w:rPr>
        <w:t>154</w:t>
      </w:r>
      <w:r>
        <w:rPr>
          <w:rFonts w:ascii="仿宋_GB2312" w:eastAsia="仿宋_GB2312"/>
          <w:b w:val="0"/>
          <w:bCs/>
          <w:sz w:val="32"/>
          <w:szCs w:val="32"/>
        </w:rPr>
        <w:t>%</w:t>
      </w:r>
      <w:r>
        <w:rPr>
          <w:rFonts w:hint="eastAsia" w:ascii="仿宋_GB2312" w:eastAsia="仿宋_GB2312"/>
          <w:b w:val="0"/>
          <w:bCs/>
          <w:sz w:val="32"/>
          <w:szCs w:val="32"/>
        </w:rPr>
        <w:t>。主要原因为</w:t>
      </w:r>
      <w:r>
        <w:rPr>
          <w:rFonts w:hint="eastAsia" w:ascii="仿宋_GB2312"/>
          <w:b w:val="0"/>
          <w:bCs/>
          <w:sz w:val="32"/>
          <w:szCs w:val="32"/>
          <w:lang w:val="en-US" w:eastAsia="zh-CN"/>
        </w:rPr>
        <w:t>人员增加，</w:t>
      </w:r>
      <w:r>
        <w:rPr>
          <w:rFonts w:hint="eastAsia" w:ascii="仿宋_GB2312" w:eastAsia="仿宋_GB2312"/>
          <w:b w:val="0"/>
          <w:bCs/>
          <w:sz w:val="32"/>
          <w:szCs w:val="32"/>
        </w:rPr>
        <w:t>办公费有所增长。</w:t>
      </w:r>
    </w:p>
    <w:p>
      <w:pPr>
        <w:keepNext w:val="0"/>
        <w:keepLines w:val="0"/>
        <w:pageBreakBefore w:val="0"/>
        <w:widowControl w:val="0"/>
        <w:kinsoku/>
        <w:wordWrap/>
        <w:overflowPunct/>
        <w:topLinePunct w:val="0"/>
        <w:autoSpaceDE w:val="0"/>
        <w:autoSpaceDN w:val="0"/>
        <w:bidi w:val="0"/>
        <w:adjustRightInd w:val="0"/>
        <w:spacing w:line="560" w:lineRule="exact"/>
        <w:ind w:left="0" w:firstLine="642" w:firstLineChars="200"/>
        <w:jc w:val="left"/>
        <w:textAlignment w:val="auto"/>
        <w:outlineLvl w:val="1"/>
        <w:rPr>
          <w:rFonts w:hint="eastAsia" w:ascii="楷体" w:hAnsi="楷体" w:eastAsia="楷体" w:cs="楷体"/>
          <w:b/>
          <w:color w:val="000000"/>
          <w:sz w:val="32"/>
          <w:szCs w:val="32"/>
        </w:rPr>
      </w:pPr>
      <w:bookmarkStart w:id="70" w:name="_Toc20891"/>
      <w:r>
        <w:rPr>
          <w:rFonts w:hint="eastAsia" w:ascii="楷体" w:hAnsi="楷体" w:eastAsia="楷体" w:cs="楷体"/>
          <w:b/>
          <w:color w:val="000000"/>
          <w:sz w:val="32"/>
          <w:szCs w:val="32"/>
        </w:rPr>
        <w:t>（</w:t>
      </w:r>
      <w:r>
        <w:rPr>
          <w:rFonts w:hint="eastAsia" w:ascii="楷体" w:hAnsi="楷体" w:eastAsia="楷体" w:cs="楷体"/>
          <w:b/>
          <w:color w:val="000000"/>
          <w:sz w:val="32"/>
          <w:szCs w:val="32"/>
          <w:lang w:val="en-US" w:eastAsia="zh-CN"/>
        </w:rPr>
        <w:t>五</w:t>
      </w:r>
      <w:r>
        <w:rPr>
          <w:rFonts w:hint="eastAsia" w:ascii="楷体" w:hAnsi="楷体" w:eastAsia="楷体" w:cs="楷体"/>
          <w:b/>
          <w:color w:val="000000"/>
          <w:sz w:val="32"/>
          <w:szCs w:val="32"/>
        </w:rPr>
        <w:t>）国有资产占有使用情况</w:t>
      </w:r>
      <w:bookmarkEnd w:id="69"/>
      <w:bookmarkEnd w:id="70"/>
    </w:p>
    <w:p>
      <w:pPr>
        <w:spacing w:line="560" w:lineRule="exact"/>
        <w:ind w:firstLine="640" w:firstLineChars="200"/>
        <w:rPr>
          <w:rFonts w:hint="eastAsia" w:ascii="仿宋_GB2312" w:eastAsia="仿宋_GB2312"/>
          <w:b/>
          <w:sz w:val="32"/>
          <w:szCs w:val="32"/>
        </w:rPr>
      </w:pPr>
      <w:bookmarkStart w:id="71" w:name="_Toc7485"/>
      <w:r>
        <w:rPr>
          <w:rFonts w:hint="eastAsia" w:ascii="仿宋" w:hAnsi="仿宋" w:eastAsia="仿宋" w:cs="仿宋_GB2312"/>
          <w:b w:val="0"/>
          <w:bCs/>
          <w:sz w:val="32"/>
          <w:szCs w:val="32"/>
        </w:rPr>
        <w:t>截至202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年12月31日，金川县退役军人事务局公有车辆1辆，其中：一般公务用车1辆</w:t>
      </w:r>
      <w:r>
        <w:rPr>
          <w:rFonts w:hint="eastAsia" w:ascii="仿宋" w:hAnsi="仿宋" w:eastAsia="仿宋" w:cs="仿宋_GB2312"/>
          <w:b w:val="0"/>
          <w:bCs/>
          <w:sz w:val="32"/>
          <w:szCs w:val="32"/>
          <w:lang w:eastAsia="zh-CN"/>
        </w:rPr>
        <w:t>（</w:t>
      </w:r>
      <w:r>
        <w:rPr>
          <w:rFonts w:hint="eastAsia" w:ascii="仿宋" w:hAnsi="仿宋" w:eastAsia="仿宋" w:cs="仿宋_GB2312"/>
          <w:b w:val="0"/>
          <w:bCs/>
          <w:sz w:val="32"/>
          <w:szCs w:val="32"/>
          <w:lang w:val="en-US" w:eastAsia="zh-CN"/>
        </w:rPr>
        <w:t>借用原科知局车辆</w:t>
      </w:r>
      <w:r>
        <w:rPr>
          <w:rFonts w:hint="eastAsia" w:ascii="仿宋" w:hAnsi="仿宋" w:eastAsia="仿宋" w:cs="仿宋_GB2312"/>
          <w:b w:val="0"/>
          <w:bCs/>
          <w:sz w:val="32"/>
          <w:szCs w:val="32"/>
          <w:lang w:eastAsia="zh-CN"/>
        </w:rPr>
        <w:t>）</w:t>
      </w:r>
      <w:r>
        <w:rPr>
          <w:rFonts w:hint="eastAsia" w:ascii="仿宋" w:hAnsi="仿宋" w:eastAsia="仿宋" w:cs="仿宋_GB2312"/>
          <w:b w:val="0"/>
          <w:bCs/>
          <w:sz w:val="32"/>
          <w:szCs w:val="32"/>
        </w:rPr>
        <w:t>；单价50万元以上通用设备0台（套），单价100万元以上专用设备0台（套）。</w:t>
      </w:r>
      <w:r>
        <w:rPr>
          <w:rFonts w:hint="eastAsia" w:ascii="仿宋_GB2312" w:eastAsia="仿宋_GB2312"/>
          <w:b/>
          <w:sz w:val="32"/>
          <w:szCs w:val="32"/>
        </w:rPr>
        <w:t xml:space="preserve">   </w:t>
      </w:r>
    </w:p>
    <w:p>
      <w:pPr>
        <w:pStyle w:val="4"/>
        <w:pageBreakBefore w:val="0"/>
        <w:kinsoku/>
        <w:wordWrap/>
        <w:overflowPunct/>
        <w:topLinePunct w:val="0"/>
        <w:bidi w:val="0"/>
        <w:spacing w:line="560" w:lineRule="exact"/>
        <w:ind w:left="0" w:firstLine="642" w:firstLineChars="200"/>
        <w:textAlignment w:val="auto"/>
        <w:rPr>
          <w:rFonts w:hint="eastAsia"/>
          <w:sz w:val="32"/>
          <w:szCs w:val="32"/>
        </w:rPr>
      </w:pPr>
      <w:bookmarkStart w:id="72" w:name="_Toc13131"/>
      <w:r>
        <w:rPr>
          <w:rFonts w:hint="eastAsia"/>
          <w:sz w:val="32"/>
          <w:szCs w:val="32"/>
          <w:lang w:eastAsia="zh-CN"/>
        </w:rPr>
        <w:t>（</w:t>
      </w:r>
      <w:r>
        <w:rPr>
          <w:rFonts w:hint="eastAsia"/>
          <w:sz w:val="32"/>
          <w:szCs w:val="32"/>
          <w:lang w:val="en-US" w:eastAsia="zh-CN"/>
        </w:rPr>
        <w:t>六</w:t>
      </w:r>
      <w:r>
        <w:rPr>
          <w:rFonts w:hint="eastAsia"/>
          <w:sz w:val="32"/>
          <w:szCs w:val="32"/>
          <w:lang w:eastAsia="zh-CN"/>
        </w:rPr>
        <w:t>）</w:t>
      </w:r>
      <w:r>
        <w:rPr>
          <w:rFonts w:hint="eastAsia"/>
          <w:sz w:val="32"/>
          <w:szCs w:val="32"/>
        </w:rPr>
        <w:t>资产负债结构情况</w:t>
      </w:r>
      <w:bookmarkEnd w:id="71"/>
      <w:bookmarkEnd w:id="72"/>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sz w:val="32"/>
          <w:szCs w:val="32"/>
        </w:rPr>
      </w:pPr>
      <w:r>
        <w:rPr>
          <w:rFonts w:hint="eastAsia"/>
          <w:sz w:val="32"/>
          <w:szCs w:val="32"/>
          <w:lang w:val="en-US" w:eastAsia="zh-CN"/>
        </w:rPr>
        <w:t>2021</w:t>
      </w:r>
      <w:r>
        <w:rPr>
          <w:rFonts w:hint="eastAsia" w:ascii="仿宋_GB2312" w:hAnsi="仿宋" w:eastAsia="仿宋_GB2312"/>
          <w:sz w:val="32"/>
          <w:szCs w:val="32"/>
        </w:rPr>
        <w:t>年末固定资产总</w:t>
      </w:r>
      <w:r>
        <w:rPr>
          <w:rFonts w:hint="eastAsia" w:ascii="仿宋_GB2312" w:hAnsi="仿宋" w:eastAsia="仿宋_GB2312"/>
          <w:sz w:val="32"/>
          <w:szCs w:val="32"/>
          <w:lang w:val="en-US" w:eastAsia="zh-CN"/>
        </w:rPr>
        <w:t>值</w:t>
      </w:r>
      <w:r>
        <w:rPr>
          <w:rFonts w:hint="eastAsia" w:ascii="仿宋_GB2312" w:hAnsi="仿宋"/>
          <w:sz w:val="32"/>
          <w:szCs w:val="32"/>
          <w:lang w:val="en-US" w:eastAsia="zh-CN"/>
        </w:rPr>
        <w:t>0</w:t>
      </w:r>
      <w:r>
        <w:rPr>
          <w:rFonts w:hint="eastAsia" w:ascii="仿宋_GB2312" w:hAnsi="仿宋" w:eastAsia="仿宋_GB2312"/>
          <w:sz w:val="32"/>
          <w:szCs w:val="32"/>
        </w:rPr>
        <w:t>万元</w:t>
      </w:r>
      <w:r>
        <w:rPr>
          <w:rFonts w:hint="eastAsia" w:ascii="仿宋_GB2312" w:hAnsi="仿宋" w:eastAsia="仿宋_GB2312"/>
          <w:sz w:val="32"/>
          <w:szCs w:val="32"/>
          <w:lang w:eastAsia="zh-CN"/>
        </w:rPr>
        <w:t>，</w:t>
      </w:r>
      <w:r>
        <w:rPr>
          <w:rFonts w:hint="eastAsia" w:ascii="仿宋_GB2312" w:hAnsi="仿宋" w:eastAsia="仿宋_GB2312"/>
          <w:sz w:val="32"/>
          <w:szCs w:val="32"/>
        </w:rPr>
        <w:t>较</w:t>
      </w:r>
      <w:r>
        <w:rPr>
          <w:rFonts w:hint="eastAsia" w:ascii="仿宋_GB2312" w:hAnsi="仿宋" w:eastAsia="仿宋_GB2312"/>
          <w:sz w:val="32"/>
          <w:szCs w:val="32"/>
          <w:lang w:val="en-US" w:eastAsia="zh-CN"/>
        </w:rPr>
        <w:t>2020</w:t>
      </w:r>
      <w:r>
        <w:rPr>
          <w:rFonts w:hint="eastAsia" w:ascii="仿宋_GB2312" w:hAnsi="仿宋" w:eastAsia="仿宋_GB2312"/>
          <w:sz w:val="32"/>
          <w:szCs w:val="32"/>
        </w:rPr>
        <w:t>年</w:t>
      </w:r>
      <w:r>
        <w:rPr>
          <w:rFonts w:hint="eastAsia" w:ascii="仿宋_GB2312" w:hAnsi="仿宋"/>
          <w:sz w:val="32"/>
          <w:szCs w:val="32"/>
          <w:lang w:val="en-US" w:eastAsia="zh-CN"/>
        </w:rPr>
        <w:t>0</w:t>
      </w:r>
      <w:r>
        <w:rPr>
          <w:rFonts w:hint="eastAsia" w:ascii="仿宋_GB2312" w:hAnsi="仿宋" w:eastAsia="仿宋_GB2312"/>
          <w:sz w:val="32"/>
          <w:szCs w:val="32"/>
        </w:rPr>
        <w:t>万元无增加。</w:t>
      </w:r>
      <w:r>
        <w:rPr>
          <w:rFonts w:hint="eastAsia"/>
          <w:sz w:val="32"/>
          <w:szCs w:val="32"/>
          <w:lang w:val="en-US" w:eastAsia="zh-CN"/>
        </w:rPr>
        <w:t>2021</w:t>
      </w:r>
      <w:r>
        <w:rPr>
          <w:rFonts w:hint="eastAsia" w:ascii="仿宋_GB2312" w:hAnsi="仿宋" w:eastAsia="仿宋_GB2312"/>
          <w:sz w:val="32"/>
          <w:szCs w:val="32"/>
        </w:rPr>
        <w:t>年年末固定资产</w:t>
      </w:r>
      <w:r>
        <w:rPr>
          <w:rFonts w:hint="eastAsia" w:ascii="仿宋_GB2312" w:hAnsi="仿宋" w:eastAsia="仿宋_GB2312"/>
          <w:sz w:val="32"/>
          <w:szCs w:val="32"/>
          <w:lang w:val="en-US" w:eastAsia="zh-CN"/>
        </w:rPr>
        <w:t>累计折旧</w:t>
      </w:r>
      <w:r>
        <w:rPr>
          <w:rFonts w:hint="eastAsia" w:ascii="仿宋_GB2312" w:hAnsi="仿宋"/>
          <w:sz w:val="32"/>
          <w:szCs w:val="32"/>
          <w:lang w:val="en-US" w:eastAsia="zh-CN"/>
        </w:rPr>
        <w:t>0</w:t>
      </w:r>
      <w:r>
        <w:rPr>
          <w:rFonts w:hint="eastAsia" w:ascii="仿宋_GB2312" w:hAnsi="仿宋" w:eastAsia="仿宋_GB2312"/>
          <w:sz w:val="32"/>
          <w:szCs w:val="32"/>
          <w:lang w:val="en-US" w:eastAsia="zh-CN"/>
        </w:rPr>
        <w:t>万元，</w:t>
      </w:r>
      <w:r>
        <w:rPr>
          <w:rFonts w:hint="eastAsia" w:ascii="仿宋_GB2312" w:hAnsi="仿宋" w:eastAsia="仿宋_GB2312"/>
          <w:sz w:val="32"/>
          <w:szCs w:val="32"/>
        </w:rPr>
        <w:t>固定资产</w:t>
      </w:r>
      <w:r>
        <w:rPr>
          <w:rFonts w:hint="eastAsia" w:ascii="仿宋_GB2312" w:hAnsi="仿宋" w:eastAsia="仿宋_GB2312"/>
          <w:sz w:val="32"/>
          <w:szCs w:val="32"/>
          <w:lang w:val="en-US" w:eastAsia="zh-CN"/>
        </w:rPr>
        <w:t>净值</w:t>
      </w:r>
      <w:r>
        <w:rPr>
          <w:rFonts w:hint="eastAsia" w:ascii="仿宋_GB2312" w:hAnsi="仿宋"/>
          <w:sz w:val="32"/>
          <w:szCs w:val="32"/>
          <w:lang w:val="en-US" w:eastAsia="zh-CN"/>
        </w:rPr>
        <w:t>0</w:t>
      </w:r>
      <w:r>
        <w:rPr>
          <w:rFonts w:hint="eastAsia" w:ascii="仿宋_GB2312" w:hAnsi="仿宋" w:eastAsia="仿宋_GB2312"/>
          <w:sz w:val="32"/>
          <w:szCs w:val="32"/>
          <w:lang w:val="en-US" w:eastAsia="zh-CN"/>
        </w:rPr>
        <w:t>万元。</w:t>
      </w:r>
    </w:p>
    <w:p>
      <w:pPr>
        <w:pStyle w:val="3"/>
        <w:pageBreakBefore w:val="0"/>
        <w:kinsoku/>
        <w:wordWrap/>
        <w:overflowPunct/>
        <w:topLinePunct w:val="0"/>
        <w:bidi w:val="0"/>
        <w:spacing w:line="560" w:lineRule="exact"/>
        <w:ind w:left="0" w:leftChars="0" w:firstLine="0" w:firstLineChars="0"/>
        <w:jc w:val="both"/>
        <w:textAlignment w:val="auto"/>
        <w:rPr>
          <w:rFonts w:hint="default" w:ascii="Times New Roman" w:hAnsi="Times New Roman" w:cs="Times New Roman"/>
          <w:sz w:val="32"/>
          <w:szCs w:val="32"/>
          <w:lang w:val="en-US" w:eastAsia="zh-CN"/>
        </w:rPr>
      </w:pPr>
      <w:bookmarkStart w:id="73" w:name="_Toc19803"/>
      <w:bookmarkStart w:id="74" w:name="_Toc10747"/>
      <w:bookmarkStart w:id="75" w:name="_Toc31471"/>
    </w:p>
    <w:p>
      <w:pPr>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pStyle w:val="2"/>
        <w:ind w:left="0" w:leftChars="0" w:firstLine="0" w:firstLineChars="0"/>
        <w:jc w:val="both"/>
        <w:rPr>
          <w:rFonts w:hint="default" w:ascii="Times New Roman" w:hAnsi="Times New Roman" w:cs="Times New Roman"/>
          <w:sz w:val="32"/>
          <w:szCs w:val="32"/>
          <w:lang w:val="en-US" w:eastAsia="zh-CN"/>
        </w:rPr>
      </w:pPr>
    </w:p>
    <w:p>
      <w:pPr>
        <w:pStyle w:val="2"/>
        <w:rPr>
          <w:rFonts w:hint="default" w:ascii="Times New Roman" w:hAnsi="Times New Roman" w:cs="Times New Roman"/>
          <w:sz w:val="32"/>
          <w:szCs w:val="32"/>
          <w:lang w:val="en-US" w:eastAsia="zh-CN"/>
        </w:rPr>
      </w:pPr>
    </w:p>
    <w:p>
      <w:pPr>
        <w:ind w:left="0" w:leftChars="0" w:firstLine="0" w:firstLineChars="0"/>
        <w:rPr>
          <w:rFonts w:hint="default"/>
          <w:lang w:val="en-US" w:eastAsia="zh-CN"/>
        </w:rPr>
      </w:pPr>
    </w:p>
    <w:p>
      <w:pPr>
        <w:pStyle w:val="3"/>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cs="Times New Roman"/>
          <w:b w:val="0"/>
          <w:bCs/>
          <w:sz w:val="44"/>
          <w:szCs w:val="44"/>
          <w:lang w:val="en-US" w:eastAsia="zh-CN"/>
        </w:rPr>
      </w:pPr>
      <w:bookmarkStart w:id="76" w:name="_Toc3778"/>
      <w:r>
        <w:rPr>
          <w:rFonts w:hint="default" w:ascii="Times New Roman" w:hAnsi="Times New Roman" w:cs="Times New Roman"/>
          <w:b w:val="0"/>
          <w:bCs/>
          <w:sz w:val="44"/>
          <w:szCs w:val="44"/>
          <w:lang w:val="en-US" w:eastAsia="zh-CN"/>
        </w:rPr>
        <w:t>第三部分名词解释</w:t>
      </w:r>
      <w:bookmarkEnd w:id="73"/>
      <w:bookmarkEnd w:id="74"/>
      <w:bookmarkEnd w:id="75"/>
      <w:bookmarkEnd w:id="76"/>
    </w:p>
    <w:p>
      <w:pPr>
        <w:spacing w:line="560" w:lineRule="exact"/>
        <w:ind w:firstLine="640" w:firstLineChars="200"/>
        <w:rPr>
          <w:rFonts w:hint="eastAsia" w:ascii="仿宋" w:hAnsi="仿宋" w:eastAsia="仿宋" w:cs="仿宋_GB2312"/>
          <w:b w:val="0"/>
          <w:bCs/>
          <w:sz w:val="32"/>
          <w:szCs w:val="32"/>
        </w:rPr>
      </w:pPr>
      <w:bookmarkStart w:id="77" w:name="_Toc11061"/>
      <w:r>
        <w:rPr>
          <w:rFonts w:hint="eastAsia" w:ascii="仿宋" w:hAnsi="仿宋" w:eastAsia="仿宋" w:cs="仿宋_GB2312"/>
          <w:b w:val="0"/>
          <w:bCs/>
          <w:sz w:val="32"/>
          <w:szCs w:val="32"/>
        </w:rPr>
        <w:t xml:space="preserve">1.财政拨款收入：指州级财政当年拨付的资金。 </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2.事业收入：指事业单位开展专业业务活动及辅助活动所取得的收入。</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3.经营收入：指事业单位在专业业务活动及其辅助活动之外开展非独立核算经营活动取得的收入。</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 xml:space="preserve">4.其他收入：指除上述“财政拨款收入”、“事业收入”、“经营收入”等以外的收入。 </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 xml:space="preserve">6.年初结转和结余：指以前年度尚未完成、结转到本年按有关规定继续使用的资金。  </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7.社会保障和就业（208）行政事业单位离退休（20805）机关事业单位基本养老保险（2080505）机关事业单位职业年金（2080506）：指反映机关事业单位实施养老保险制度由单位缴纳的基本养老保险费支出和职业年金支出。</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8.卫生与健康(210)行政事业单位医疗（21011）行政单位医疗（2101101）公务员医疗补助（2101103）:指反映财政部门集中安排的行政单位基本医疗保险缴费经费，未参加医疗保险的行政单位的公费医疗经费，按国家规定享受离休人员、红军老战士待遇人员的医疗经费。</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9.住房保障支出（221）住房改革支出（22102）住房公积金（2210201）：指反映行政事业单位按人力资源和社会保障部、财政部规定的基本工资和津贴补贴以及规定比例为职工缴纳的住房公积金。</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10.结余分配：指事业单位按规定提取的职工福利基金、事业基金和缴纳的所得税，以及建设单位按规定应交回的基本建设竣工项目结余资金。</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11.年末结转和结余：指本年度或以前年度预算安排、因客观条件发生变化无法按原计划实施，需延迟到以后年度按有关规定继续使用的资金。</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12基本支出：指为保障机构正常运转、完成日常工作任务而发生的人员支出和公用支出。</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 xml:space="preserve">13.项目支出：指在基本支出之外为完成特定行政任务和事业发展目标所发生的支出。 </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14.经营支出：指事业单位在专业业务活动及其辅助活动之外开展非独立核算经营活动发生的支出。</w:t>
      </w:r>
    </w:p>
    <w:p>
      <w:pPr>
        <w:spacing w:line="560" w:lineRule="exact"/>
        <w:ind w:firstLine="640" w:firstLineChars="200"/>
        <w:rPr>
          <w:rFonts w:hint="eastAsia" w:ascii="仿宋" w:hAnsi="仿宋" w:eastAsia="仿宋" w:cs="仿宋_GB2312"/>
          <w:b w:val="0"/>
          <w:bCs/>
          <w:sz w:val="32"/>
          <w:szCs w:val="32"/>
        </w:rPr>
      </w:pPr>
      <w:r>
        <w:rPr>
          <w:rFonts w:hint="eastAsia" w:ascii="仿宋" w:hAnsi="仿宋" w:eastAsia="仿宋" w:cs="仿宋_GB2312"/>
          <w:b w:val="0"/>
          <w:bCs/>
          <w:sz w:val="32"/>
          <w:szCs w:val="32"/>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b w:val="0"/>
          <w:bCs/>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0" w:firstLineChars="200"/>
        <w:jc w:val="right"/>
        <w:rPr>
          <w:rFonts w:hint="eastAsia" w:ascii="仿宋" w:hAnsi="仿宋" w:eastAsia="仿宋" w:cs="仿宋_GB2312"/>
          <w:b w:val="0"/>
          <w:bCs/>
          <w:sz w:val="32"/>
          <w:szCs w:val="32"/>
        </w:rPr>
      </w:pPr>
      <w:r>
        <w:rPr>
          <w:rFonts w:hint="eastAsia" w:ascii="仿宋" w:hAnsi="仿宋" w:eastAsia="仿宋" w:cs="仿宋_GB2312"/>
          <w:b w:val="0"/>
          <w:bCs/>
          <w:sz w:val="32"/>
          <w:szCs w:val="32"/>
        </w:rPr>
        <w:t xml:space="preserve">      </w:t>
      </w:r>
    </w:p>
    <w:p>
      <w:pPr>
        <w:spacing w:line="560" w:lineRule="exact"/>
        <w:ind w:firstLine="640" w:firstLineChars="200"/>
        <w:jc w:val="right"/>
        <w:rPr>
          <w:rFonts w:hint="eastAsia" w:ascii="仿宋" w:hAnsi="仿宋" w:eastAsia="仿宋" w:cs="仿宋_GB2312"/>
          <w:b w:val="0"/>
          <w:bCs/>
          <w:sz w:val="32"/>
          <w:szCs w:val="32"/>
        </w:rPr>
      </w:pPr>
    </w:p>
    <w:p>
      <w:pPr>
        <w:pStyle w:val="3"/>
        <w:pageBreakBefore w:val="0"/>
        <w:kinsoku/>
        <w:wordWrap/>
        <w:overflowPunct/>
        <w:topLinePunct w:val="0"/>
        <w:bidi w:val="0"/>
        <w:spacing w:line="560" w:lineRule="exact"/>
        <w:ind w:left="0" w:firstLine="642" w:firstLineChars="200"/>
        <w:jc w:val="center"/>
        <w:textAlignment w:val="auto"/>
        <w:rPr>
          <w:rFonts w:hint="eastAsia" w:ascii="仿宋_GB2312" w:hAnsi="仿宋_GB2312" w:eastAsia="仿宋_GB2312" w:cs="仿宋_GB2312"/>
          <w:b/>
          <w:sz w:val="32"/>
          <w:szCs w:val="32"/>
        </w:rPr>
      </w:pPr>
    </w:p>
    <w:p>
      <w:pPr>
        <w:rPr>
          <w:rFonts w:hint="eastAsia"/>
        </w:rPr>
      </w:pPr>
    </w:p>
    <w:p>
      <w:pPr>
        <w:pStyle w:val="3"/>
        <w:pageBreakBefore w:val="0"/>
        <w:kinsoku/>
        <w:wordWrap/>
        <w:overflowPunct/>
        <w:topLinePunct w:val="0"/>
        <w:bidi w:val="0"/>
        <w:spacing w:line="560" w:lineRule="exact"/>
        <w:ind w:left="0" w:firstLine="642" w:firstLineChars="200"/>
        <w:jc w:val="center"/>
        <w:textAlignment w:val="auto"/>
        <w:rPr>
          <w:rFonts w:hint="eastAsia" w:ascii="仿宋_GB2312" w:hAnsi="仿宋_GB2312" w:eastAsia="仿宋_GB2312" w:cs="仿宋_GB2312"/>
          <w:b/>
          <w:sz w:val="32"/>
          <w:szCs w:val="32"/>
        </w:rPr>
      </w:pPr>
    </w:p>
    <w:p>
      <w:pPr>
        <w:rPr>
          <w:rFonts w:hint="eastAsia" w:ascii="仿宋_GB2312" w:hAnsi="仿宋_GB2312" w:eastAsia="仿宋_GB2312" w:cs="仿宋_GB2312"/>
          <w:b/>
          <w:sz w:val="32"/>
          <w:szCs w:val="32"/>
        </w:rPr>
      </w:pPr>
    </w:p>
    <w:p>
      <w:pPr>
        <w:pStyle w:val="2"/>
        <w:rPr>
          <w:rFonts w:hint="eastAsia" w:ascii="仿宋_GB2312" w:hAnsi="仿宋_GB2312" w:eastAsia="仿宋_GB2312" w:cs="仿宋_GB2312"/>
          <w:b/>
          <w:sz w:val="32"/>
          <w:szCs w:val="32"/>
        </w:rPr>
      </w:pPr>
    </w:p>
    <w:p>
      <w:pPr>
        <w:pStyle w:val="2"/>
        <w:rPr>
          <w:rFonts w:hint="eastAsia" w:ascii="仿宋_GB2312" w:hAnsi="仿宋_GB2312" w:eastAsia="仿宋_GB2312" w:cs="仿宋_GB2312"/>
          <w:b/>
          <w:sz w:val="32"/>
          <w:szCs w:val="32"/>
        </w:rPr>
      </w:pPr>
    </w:p>
    <w:p>
      <w:pPr>
        <w:pStyle w:val="2"/>
        <w:rPr>
          <w:rFonts w:hint="eastAsia" w:ascii="仿宋_GB2312" w:hAnsi="仿宋_GB2312" w:eastAsia="仿宋_GB2312" w:cs="仿宋_GB2312"/>
          <w:b/>
          <w:sz w:val="32"/>
          <w:szCs w:val="32"/>
        </w:rPr>
      </w:pPr>
    </w:p>
    <w:p>
      <w:pPr>
        <w:pStyle w:val="2"/>
        <w:rPr>
          <w:rFonts w:hint="eastAsia" w:ascii="仿宋_GB2312" w:hAnsi="仿宋_GB2312" w:eastAsia="仿宋_GB2312" w:cs="仿宋_GB2312"/>
          <w:b/>
          <w:sz w:val="32"/>
          <w:szCs w:val="32"/>
        </w:rPr>
      </w:pPr>
    </w:p>
    <w:p>
      <w:pPr>
        <w:pStyle w:val="2"/>
        <w:ind w:left="0" w:leftChars="0" w:firstLine="0" w:firstLineChars="0"/>
        <w:jc w:val="both"/>
        <w:rPr>
          <w:rFonts w:hint="eastAsia" w:ascii="仿宋_GB2312" w:hAnsi="仿宋_GB2312" w:eastAsia="仿宋_GB2312" w:cs="仿宋_GB2312"/>
          <w:b/>
          <w:sz w:val="32"/>
          <w:szCs w:val="32"/>
        </w:rPr>
      </w:pPr>
    </w:p>
    <w:p>
      <w:pPr>
        <w:pStyle w:val="2"/>
        <w:rPr>
          <w:rFonts w:hint="eastAsia" w:ascii="仿宋_GB2312" w:hAnsi="仿宋_GB2312" w:eastAsia="仿宋_GB2312" w:cs="仿宋_GB2312"/>
          <w:b/>
          <w:sz w:val="32"/>
          <w:szCs w:val="32"/>
        </w:rPr>
      </w:pPr>
    </w:p>
    <w:bookmarkEnd w:id="77"/>
    <w:p>
      <w:pPr>
        <w:pageBreakBefore w:val="0"/>
        <w:kinsoku/>
        <w:wordWrap/>
        <w:overflowPunct/>
        <w:topLinePunct w:val="0"/>
        <w:bidi w:val="0"/>
        <w:spacing w:line="560" w:lineRule="exact"/>
        <w:ind w:left="0" w:firstLine="640" w:firstLineChars="200"/>
        <w:textAlignment w:val="auto"/>
        <w:rPr>
          <w:rFonts w:hint="eastAsia" w:ascii="仿宋_GB2312" w:hAnsi="Calibri" w:eastAsia="仿宋_GB2312" w:cs="仿宋"/>
          <w:color w:val="000000"/>
          <w:kern w:val="0"/>
          <w:sz w:val="32"/>
          <w:szCs w:val="32"/>
          <w:lang w:eastAsia="zh-CN"/>
        </w:rPr>
      </w:pPr>
    </w:p>
    <w:p>
      <w:pPr>
        <w:pStyle w:val="3"/>
        <w:pageBreakBefore w:val="0"/>
        <w:kinsoku/>
        <w:wordWrap/>
        <w:overflowPunct/>
        <w:topLinePunct w:val="0"/>
        <w:bidi w:val="0"/>
        <w:spacing w:line="560" w:lineRule="exact"/>
        <w:ind w:left="0" w:leftChars="0" w:firstLine="0" w:firstLineChars="0"/>
        <w:jc w:val="center"/>
        <w:textAlignment w:val="auto"/>
        <w:rPr>
          <w:rFonts w:hint="eastAsia" w:eastAsia="方正小标宋简体" w:cs="Times New Roman"/>
          <w:b w:val="0"/>
          <w:bCs/>
          <w:sz w:val="44"/>
          <w:szCs w:val="44"/>
          <w:lang w:val="en-US" w:eastAsia="zh-CN"/>
        </w:rPr>
      </w:pPr>
      <w:bookmarkStart w:id="78" w:name="_Toc7481"/>
      <w:r>
        <w:rPr>
          <w:rFonts w:hint="default" w:ascii="Times New Roman" w:hAnsi="Times New Roman" w:cs="Times New Roman"/>
          <w:b w:val="0"/>
          <w:bCs/>
          <w:sz w:val="44"/>
          <w:szCs w:val="44"/>
          <w:lang w:val="en-US" w:eastAsia="zh-CN"/>
        </w:rPr>
        <w:t>第四部分附件</w:t>
      </w:r>
      <w:bookmarkEnd w:id="78"/>
    </w:p>
    <w:p>
      <w:pPr>
        <w:widowControl/>
        <w:autoSpaceDE w:val="0"/>
        <w:autoSpaceDN w:val="0"/>
        <w:spacing w:line="560" w:lineRule="exact"/>
        <w:ind w:firstLine="800" w:firstLineChars="200"/>
        <w:jc w:val="center"/>
        <w:rPr>
          <w:rFonts w:hint="eastAsia" w:ascii="方正小标宋简体" w:eastAsia="方正小标宋简体" w:cs="方正小标宋简体"/>
          <w:sz w:val="40"/>
          <w:szCs w:val="40"/>
        </w:rPr>
      </w:pPr>
      <w:bookmarkStart w:id="79" w:name="_Toc21333"/>
      <w:bookmarkStart w:id="80" w:name="_Toc27643"/>
    </w:p>
    <w:p>
      <w:pPr>
        <w:widowControl/>
        <w:autoSpaceDE w:val="0"/>
        <w:autoSpaceDN w:val="0"/>
        <w:spacing w:line="560" w:lineRule="exact"/>
        <w:ind w:firstLine="800" w:firstLineChars="200"/>
        <w:jc w:val="center"/>
        <w:rPr>
          <w:rFonts w:hint="eastAsia" w:ascii="方正小标宋简体" w:eastAsia="方正小标宋简体" w:cs="方正小标宋简体"/>
          <w:sz w:val="40"/>
          <w:szCs w:val="40"/>
        </w:rPr>
      </w:pPr>
      <w:r>
        <w:rPr>
          <w:rFonts w:hint="eastAsia" w:ascii="方正小标宋简体" w:eastAsia="方正小标宋简体" w:cs="方正小标宋简体"/>
          <w:sz w:val="40"/>
          <w:szCs w:val="40"/>
        </w:rPr>
        <w:t>金川县退役军人事务局</w:t>
      </w:r>
    </w:p>
    <w:p>
      <w:pPr>
        <w:widowControl/>
        <w:autoSpaceDE w:val="0"/>
        <w:autoSpaceDN w:val="0"/>
        <w:spacing w:line="560" w:lineRule="exact"/>
        <w:ind w:firstLine="800" w:firstLineChars="200"/>
        <w:jc w:val="center"/>
        <w:rPr>
          <w:rFonts w:hint="eastAsia" w:ascii="方正小标宋简体" w:eastAsia="方正小标宋简体" w:cs="方正小标宋简体"/>
          <w:szCs w:val="44"/>
        </w:rPr>
      </w:pPr>
      <w:r>
        <w:rPr>
          <w:rFonts w:hint="eastAsia" w:ascii="方正小标宋简体" w:eastAsia="方正小标宋简体" w:cs="方正小标宋简体"/>
          <w:sz w:val="40"/>
          <w:szCs w:val="40"/>
        </w:rPr>
        <w:t>2021年部门整体支出绩效报告</w:t>
      </w:r>
    </w:p>
    <w:p>
      <w:pPr>
        <w:keepNext/>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根据《金川县财政局关于开展</w:t>
      </w:r>
      <w:r>
        <w:rPr>
          <w:rFonts w:hint="eastAsia" w:ascii="仿宋" w:eastAsia="仿宋" w:cs="仿宋_GB2312"/>
          <w:b w:val="0"/>
          <w:bCs/>
          <w:sz w:val="32"/>
          <w:szCs w:val="32"/>
          <w:lang w:val="en-US" w:eastAsia="zh-CN"/>
        </w:rPr>
        <w:t>2022年部门整体和项目支出绩效评价工作</w:t>
      </w:r>
      <w:r>
        <w:rPr>
          <w:rFonts w:hint="eastAsia" w:ascii="仿宋" w:eastAsia="仿宋" w:cs="仿宋_GB2312"/>
          <w:b w:val="0"/>
          <w:bCs/>
          <w:sz w:val="32"/>
          <w:szCs w:val="32"/>
        </w:rPr>
        <w:t>的通知》（金财监绩〔202</w:t>
      </w:r>
      <w:r>
        <w:rPr>
          <w:rFonts w:hint="eastAsia" w:ascii="仿宋" w:eastAsia="仿宋" w:cs="仿宋_GB2312"/>
          <w:b w:val="0"/>
          <w:bCs/>
          <w:sz w:val="32"/>
          <w:szCs w:val="32"/>
          <w:lang w:val="en-US" w:eastAsia="zh-CN"/>
        </w:rPr>
        <w:t>2</w:t>
      </w:r>
      <w:r>
        <w:rPr>
          <w:rFonts w:hint="eastAsia" w:ascii="仿宋" w:eastAsia="仿宋" w:cs="仿宋_GB2312"/>
          <w:b w:val="0"/>
          <w:bCs/>
          <w:sz w:val="32"/>
          <w:szCs w:val="32"/>
        </w:rPr>
        <w:t>〕2</w:t>
      </w:r>
      <w:r>
        <w:rPr>
          <w:rFonts w:hint="eastAsia" w:ascii="仿宋" w:eastAsia="仿宋" w:cs="仿宋_GB2312"/>
          <w:b w:val="0"/>
          <w:bCs/>
          <w:sz w:val="32"/>
          <w:szCs w:val="32"/>
          <w:lang w:val="en-US" w:eastAsia="zh-CN"/>
        </w:rPr>
        <w:t>2</w:t>
      </w:r>
      <w:r>
        <w:rPr>
          <w:rFonts w:hint="eastAsia" w:ascii="仿宋" w:eastAsia="仿宋" w:cs="仿宋_GB2312"/>
          <w:b w:val="0"/>
          <w:bCs/>
          <w:sz w:val="32"/>
          <w:szCs w:val="32"/>
        </w:rPr>
        <w:t>号）文件精神，结合本单位的实际情况，认真开展部门整体支出绩效自评工作，现将202</w:t>
      </w: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年度部门预算支出绩效自评工作报告如下：</w:t>
      </w:r>
    </w:p>
    <w:p>
      <w:pPr>
        <w:keepNext/>
        <w:pBdr>
          <w:bottom w:val="single" w:color="FFFFFF" w:sz="4" w:space="29"/>
        </w:pBdr>
        <w:tabs>
          <w:tab w:val="left" w:pos="1440"/>
        </w:tabs>
        <w:autoSpaceDE w:val="0"/>
        <w:autoSpaceDN w:val="0"/>
        <w:spacing w:line="560" w:lineRule="exact"/>
        <w:ind w:firstLine="642" w:firstLineChars="200"/>
        <w:jc w:val="left"/>
        <w:rPr>
          <w:rFonts w:hint="eastAsia" w:ascii="黑体" w:cs="宋体"/>
          <w:b/>
          <w:bCs w:val="0"/>
          <w:color w:val="000000"/>
          <w:kern w:val="0"/>
          <w:sz w:val="32"/>
          <w:lang w:val="zh-CN"/>
        </w:rPr>
      </w:pPr>
      <w:r>
        <w:rPr>
          <w:rFonts w:hint="eastAsia" w:ascii="黑体" w:cs="宋体"/>
          <w:b/>
          <w:bCs w:val="0"/>
          <w:color w:val="000000"/>
          <w:kern w:val="0"/>
          <w:sz w:val="32"/>
          <w:lang w:val="zh-CN"/>
        </w:rPr>
        <w:t>一、部门（单位）概况</w:t>
      </w:r>
    </w:p>
    <w:p>
      <w:pPr>
        <w:keepNext/>
        <w:numPr>
          <w:ilvl w:val="0"/>
          <w:numId w:val="2"/>
        </w:numPr>
        <w:pBdr>
          <w:bottom w:val="single" w:color="FFFFFF" w:sz="4" w:space="29"/>
        </w:pBdr>
        <w:tabs>
          <w:tab w:val="left" w:pos="1440"/>
        </w:tabs>
        <w:autoSpaceDE w:val="0"/>
        <w:autoSpaceDN w:val="0"/>
        <w:spacing w:line="560" w:lineRule="exact"/>
        <w:ind w:firstLine="642" w:firstLineChars="200"/>
        <w:jc w:val="left"/>
        <w:rPr>
          <w:rFonts w:hint="eastAsia" w:ascii="楷体" w:eastAsia="楷体" w:cs="楷体"/>
          <w:b/>
          <w:bCs w:val="0"/>
          <w:kern w:val="0"/>
          <w:sz w:val="32"/>
          <w:szCs w:val="32"/>
        </w:rPr>
      </w:pPr>
      <w:r>
        <w:rPr>
          <w:rFonts w:hint="eastAsia" w:ascii="楷体" w:eastAsia="楷体" w:cs="楷体"/>
          <w:b/>
          <w:bCs w:val="0"/>
          <w:kern w:val="0"/>
          <w:sz w:val="32"/>
          <w:szCs w:val="32"/>
        </w:rPr>
        <w:t>机构组成</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lang w:eastAsia="zh-CN"/>
        </w:rPr>
      </w:pPr>
      <w:r>
        <w:rPr>
          <w:rFonts w:hint="eastAsia" w:ascii="仿宋" w:eastAsia="仿宋" w:cs="仿宋_GB2312"/>
          <w:b w:val="0"/>
          <w:bCs/>
          <w:sz w:val="32"/>
          <w:szCs w:val="32"/>
        </w:rPr>
        <w:t>我局在县委县政府的正确领导下设置</w:t>
      </w:r>
      <w:r>
        <w:rPr>
          <w:rFonts w:hint="eastAsia" w:ascii="仿宋" w:eastAsia="仿宋" w:cs="仿宋_GB2312"/>
          <w:b w:val="0"/>
          <w:bCs/>
          <w:sz w:val="32"/>
          <w:szCs w:val="32"/>
          <w:lang w:eastAsia="zh-CN"/>
        </w:rPr>
        <w:t>了</w:t>
      </w:r>
      <w:r>
        <w:rPr>
          <w:rFonts w:hint="eastAsia" w:ascii="仿宋" w:eastAsia="仿宋" w:cs="仿宋_GB2312"/>
          <w:b w:val="0"/>
          <w:bCs/>
          <w:sz w:val="32"/>
          <w:szCs w:val="32"/>
        </w:rPr>
        <w:t>1个独立机构</w:t>
      </w:r>
      <w:r>
        <w:rPr>
          <w:rFonts w:hint="eastAsia" w:ascii="仿宋" w:eastAsia="仿宋" w:cs="仿宋_GB2312"/>
          <w:b w:val="0"/>
          <w:bCs/>
          <w:sz w:val="32"/>
          <w:szCs w:val="32"/>
          <w:lang w:eastAsia="zh-CN"/>
        </w:rPr>
        <w:t>。</w:t>
      </w:r>
    </w:p>
    <w:p>
      <w:pPr>
        <w:pBdr>
          <w:bottom w:val="single" w:color="FFFFFF" w:sz="4" w:space="29"/>
        </w:pBdr>
        <w:tabs>
          <w:tab w:val="left" w:pos="1440"/>
        </w:tabs>
        <w:autoSpaceDE w:val="0"/>
        <w:autoSpaceDN w:val="0"/>
        <w:spacing w:line="560" w:lineRule="exact"/>
        <w:ind w:firstLine="642" w:firstLineChars="200"/>
        <w:jc w:val="left"/>
        <w:rPr>
          <w:rFonts w:hint="eastAsia" w:ascii="仿宋_GB2312" w:eastAsia="仿宋_GB2312"/>
          <w:b/>
          <w:bCs w:val="0"/>
          <w:sz w:val="32"/>
          <w:szCs w:val="32"/>
        </w:rPr>
      </w:pPr>
      <w:r>
        <w:rPr>
          <w:rFonts w:hint="eastAsia" w:ascii="仿宋_GB2312" w:eastAsia="仿宋_GB2312"/>
          <w:b/>
          <w:bCs w:val="0"/>
          <w:sz w:val="32"/>
        </w:rPr>
        <w:t>（二）、</w:t>
      </w:r>
      <w:r>
        <w:rPr>
          <w:rFonts w:hint="eastAsia" w:ascii="楷体" w:eastAsia="楷体" w:cs="楷体"/>
          <w:b/>
          <w:bCs w:val="0"/>
          <w:kern w:val="0"/>
          <w:sz w:val="32"/>
          <w:szCs w:val="32"/>
        </w:rPr>
        <w:t>机构职能</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Cs/>
          <w:sz w:val="32"/>
          <w:szCs w:val="32"/>
        </w:rPr>
      </w:pPr>
      <w:r>
        <w:rPr>
          <w:rFonts w:hint="eastAsia" w:ascii="仿宋" w:eastAsia="仿宋" w:cs="仿宋_GB2312"/>
          <w:bCs/>
          <w:sz w:val="32"/>
          <w:szCs w:val="32"/>
        </w:rPr>
        <w:t>根据金川委办发[2019]35号文件规定，主要职责是：</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1.拟订金川县退役军人思想政治、管理保障和安置优抚等工作政策并组织实施，褒扬彰显退役军人为党、国家和人民牺牲奉献的精神风范和价值导向。</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2.负责金川县军队转业干部、复员干部、离休退休干部、退役士兵和无军籍退休退职职工的移交安置工作，以及自主择业、就业退役军人服务管理工作。</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3.组织开展金川县退役军人教育培训工作，协调扶持退役军人和随军随调家属安置、就业创业。</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4.会同有关部门拟定退役军人特殊保障政策并组织落实。</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5.组织协调落实移交地方的离休退休军人、符合条件的其他退役军人和无军籍退休退职职工的住房保障以及退役军人医疗保障、社会保险等待遇保障工作。</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6.组织开展伤病残退役军人服务管理和抚恤工作，拟订有关退役军人医疗、疗养、养老等机构的规划政策并组织实施。承担不适宜继续服役的伤病残军人相关工作。指导军供服务保障工作。</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7.负责落实拥军优属工作。负责现役军人、退役军人、军队文职人员和军属优待、抚恤等工作，贯彻落实国民党抗战老兵等有关人员优待政策并指导实施。</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8.协助开展烈士及退役军人荣誉奖励、军人公墓管理维护纪念活动等工作，依法承担英雄烈士保护相关工作，初核申报拟列入全县重点保护单位的烈士纪念建筑物名录，协助配合上级部门做好境外我国烈士和在华烈士纪念设施保护事宜，配合做好总结表彰和宣扬退役军人、退役军人工作单位和个人先进典型事迹工作。</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9.指导并监督检查金川县退役军人相关法律法规和政策措施的落实，组织开展退役军人权益维护和有关人员的帮扶援助工作。</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10.是职能转变。金川县退役军人事务局应加强退役军人思想政治工作和服务保障体系建设，建立健全集中统一、职责清晰的退役军人管理服务保障体制，协调各方力量更好为军人军属服务，维护军人军属合法权益，让军人成为全社会尊崇的职业，褒扬彰显退役军人为党、为国家和人民牺牲奉献的精神风范和价值导向，更好地为增强部队战斗力和凝聚力做好组织保障。</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11.是负责本单位债务管理，制定具体管理办法，防范财政风险。</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12.负责管理我局会计工作，监督和规范会计行为。</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13.负责上报我局财政资金绩效评价。</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14.自查财税法规、政策的执行情况，反映财政收支管理中的重大问题。坚决不出现违反财经法纪的行为。承担各项财政收支主体的责任。负责编制年度全乡预决算草案并组织执行。组织制定经费开支标准、定额，负责上报本局年度预决算。完善转移支付制度。</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15.是办理县委政府交办的其他事项。</w:t>
      </w:r>
    </w:p>
    <w:p>
      <w:pPr>
        <w:pBdr>
          <w:bottom w:val="single" w:color="FFFFFF" w:sz="4" w:space="29"/>
        </w:pBdr>
        <w:tabs>
          <w:tab w:val="left" w:pos="1440"/>
        </w:tabs>
        <w:autoSpaceDE w:val="0"/>
        <w:autoSpaceDN w:val="0"/>
        <w:spacing w:line="560" w:lineRule="exact"/>
        <w:jc w:val="left"/>
        <w:rPr>
          <w:rFonts w:hint="eastAsia" w:ascii="仿宋" w:eastAsia="仿宋" w:cs="仿宋_GB2312"/>
          <w:b/>
          <w:bCs w:val="0"/>
          <w:sz w:val="32"/>
          <w:szCs w:val="32"/>
        </w:rPr>
      </w:pPr>
      <w:r>
        <w:rPr>
          <w:rFonts w:hint="eastAsia" w:ascii="仿宋" w:eastAsia="仿宋" w:cs="仿宋_GB2312"/>
          <w:b/>
          <w:bCs w:val="0"/>
          <w:sz w:val="32"/>
          <w:szCs w:val="32"/>
        </w:rPr>
        <w:t>（三）人员概况</w:t>
      </w:r>
    </w:p>
    <w:p>
      <w:pPr>
        <w:pBdr>
          <w:bottom w:val="single" w:color="FFFFFF" w:sz="4" w:space="29"/>
        </w:pBdr>
        <w:tabs>
          <w:tab w:val="left" w:pos="1440"/>
        </w:tabs>
        <w:autoSpaceDE w:val="0"/>
        <w:autoSpaceDN w:val="0"/>
        <w:spacing w:line="560" w:lineRule="exact"/>
        <w:jc w:val="left"/>
        <w:rPr>
          <w:rFonts w:hint="eastAsia" w:ascii="仿宋" w:eastAsia="仿宋"/>
          <w:b w:val="0"/>
          <w:sz w:val="32"/>
          <w:szCs w:val="32"/>
          <w:lang w:val="en-US" w:eastAsia="zh-CN"/>
        </w:rPr>
      </w:pPr>
      <w:r>
        <w:rPr>
          <w:rFonts w:hint="eastAsia" w:ascii="仿宋" w:eastAsia="仿宋"/>
          <w:b w:val="0"/>
          <w:sz w:val="32"/>
          <w:szCs w:val="32"/>
          <w:lang w:val="en-US" w:eastAsia="zh-CN"/>
        </w:rPr>
        <w:t>金川县退役军人事务局属于行政部门，由退役军人事务局及退役军人服务中心组成，设统一核算机构1个，独立编制机构2个，其中：公务员编制4个，事业编制4个；2021年末，单位实有人数6人，其中：在职6人（公务员4人、事业管理2人）。</w:t>
      </w:r>
    </w:p>
    <w:p>
      <w:pPr>
        <w:pBdr>
          <w:bottom w:val="single" w:color="FFFFFF" w:sz="4" w:space="29"/>
        </w:pBdr>
        <w:tabs>
          <w:tab w:val="left" w:pos="1440"/>
        </w:tabs>
        <w:autoSpaceDE w:val="0"/>
        <w:autoSpaceDN w:val="0"/>
        <w:spacing w:line="560" w:lineRule="exact"/>
        <w:jc w:val="left"/>
        <w:rPr>
          <w:rFonts w:hint="eastAsia" w:ascii="黑体" w:cs="宋体"/>
          <w:b/>
          <w:bCs w:val="0"/>
          <w:color w:val="000000"/>
          <w:kern w:val="0"/>
          <w:sz w:val="32"/>
        </w:rPr>
      </w:pPr>
      <w:r>
        <w:rPr>
          <w:rFonts w:hint="eastAsia" w:ascii="黑体" w:cs="宋体"/>
          <w:b/>
          <w:bCs w:val="0"/>
          <w:color w:val="000000"/>
          <w:kern w:val="0"/>
          <w:sz w:val="32"/>
        </w:rPr>
        <w:t>二、部门财政资金收支情况</w:t>
      </w:r>
    </w:p>
    <w:p>
      <w:pPr>
        <w:numPr>
          <w:ilvl w:val="0"/>
          <w:numId w:val="3"/>
        </w:numPr>
        <w:pBdr>
          <w:bottom w:val="single" w:color="FFFFFF" w:sz="4" w:space="29"/>
        </w:pBdr>
        <w:tabs>
          <w:tab w:val="left" w:pos="1440"/>
        </w:tabs>
        <w:autoSpaceDE w:val="0"/>
        <w:autoSpaceDN w:val="0"/>
        <w:spacing w:line="560" w:lineRule="exact"/>
        <w:ind w:firstLine="642" w:firstLineChars="200"/>
        <w:jc w:val="left"/>
        <w:rPr>
          <w:rFonts w:hint="eastAsia" w:ascii="仿宋" w:hAnsi="仿宋" w:eastAsia="仿宋" w:cs="宋体"/>
          <w:b/>
          <w:bCs w:val="0"/>
          <w:kern w:val="0"/>
          <w:sz w:val="32"/>
          <w:szCs w:val="32"/>
        </w:rPr>
      </w:pPr>
      <w:r>
        <w:rPr>
          <w:rFonts w:hint="eastAsia" w:ascii="楷体" w:eastAsia="楷体" w:cs="楷体"/>
          <w:b/>
          <w:bCs w:val="0"/>
          <w:color w:val="000000"/>
          <w:kern w:val="0"/>
          <w:sz w:val="32"/>
          <w:lang w:val="zh-CN"/>
        </w:rPr>
        <w:t>部门财政资金收入情况</w:t>
      </w:r>
    </w:p>
    <w:p>
      <w:pPr>
        <w:numPr>
          <w:ilvl w:val="0"/>
          <w:numId w:val="0"/>
        </w:numPr>
        <w:pBdr>
          <w:bottom w:val="single" w:color="FFFFFF" w:sz="4" w:space="29"/>
        </w:pBdr>
        <w:tabs>
          <w:tab w:val="left" w:pos="0"/>
          <w:tab w:val="left" w:pos="1440"/>
        </w:tabs>
        <w:autoSpaceDE w:val="0"/>
        <w:autoSpaceDN w:val="0"/>
        <w:spacing w:line="560" w:lineRule="exact"/>
        <w:ind w:firstLine="640" w:firstLineChars="200"/>
        <w:jc w:val="left"/>
        <w:rPr>
          <w:rFonts w:hint="eastAsia" w:ascii="仿宋" w:hAnsi="仿宋" w:eastAsia="仿宋" w:cs="宋体"/>
          <w:b w:val="0"/>
          <w:bCs/>
          <w:kern w:val="0"/>
          <w:sz w:val="32"/>
          <w:szCs w:val="32"/>
        </w:rPr>
      </w:pPr>
      <w:r>
        <w:rPr>
          <w:rFonts w:hint="eastAsia" w:ascii="仿宋" w:hAnsi="仿宋" w:eastAsia="仿宋"/>
          <w:b w:val="0"/>
          <w:bCs/>
          <w:sz w:val="32"/>
          <w:szCs w:val="32"/>
        </w:rPr>
        <w:t>202</w:t>
      </w:r>
      <w:r>
        <w:rPr>
          <w:rFonts w:hint="eastAsia" w:ascii="仿宋" w:hAnsi="仿宋" w:eastAsia="仿宋"/>
          <w:b w:val="0"/>
          <w:bCs/>
          <w:sz w:val="32"/>
          <w:szCs w:val="32"/>
          <w:lang w:val="en-US" w:eastAsia="zh-CN"/>
        </w:rPr>
        <w:t>1</w:t>
      </w:r>
      <w:r>
        <w:rPr>
          <w:rFonts w:hint="eastAsia" w:ascii="仿宋" w:hAnsi="仿宋" w:eastAsia="仿宋"/>
          <w:b w:val="0"/>
          <w:bCs/>
          <w:sz w:val="32"/>
          <w:szCs w:val="32"/>
        </w:rPr>
        <w:t>年总收入</w:t>
      </w:r>
      <w:r>
        <w:rPr>
          <w:rFonts w:hint="eastAsia" w:ascii="仿宋" w:hAnsi="仿宋" w:eastAsia="仿宋"/>
          <w:b w:val="0"/>
          <w:bCs/>
          <w:sz w:val="32"/>
          <w:szCs w:val="32"/>
          <w:lang w:val="en-US" w:eastAsia="zh-CN"/>
        </w:rPr>
        <w:t>831.7</w:t>
      </w:r>
      <w:r>
        <w:rPr>
          <w:rFonts w:hint="eastAsia" w:ascii="仿宋" w:hAnsi="仿宋" w:eastAsia="仿宋"/>
          <w:b w:val="0"/>
          <w:bCs/>
          <w:sz w:val="32"/>
          <w:szCs w:val="32"/>
        </w:rPr>
        <w:t>万元。其中:财政拨款收入</w:t>
      </w:r>
      <w:r>
        <w:rPr>
          <w:rFonts w:hint="eastAsia" w:ascii="仿宋" w:hAnsi="仿宋" w:eastAsia="仿宋"/>
          <w:b w:val="0"/>
          <w:bCs/>
          <w:sz w:val="32"/>
          <w:szCs w:val="32"/>
          <w:lang w:val="en-US" w:eastAsia="zh-CN"/>
        </w:rPr>
        <w:t>831.7</w:t>
      </w:r>
      <w:r>
        <w:rPr>
          <w:rFonts w:hint="eastAsia" w:ascii="仿宋" w:hAnsi="仿宋" w:eastAsia="仿宋"/>
          <w:b w:val="0"/>
          <w:bCs/>
          <w:sz w:val="32"/>
          <w:szCs w:val="32"/>
        </w:rPr>
        <w:t>万元，占总收入的100%；</w:t>
      </w:r>
      <w:r>
        <w:rPr>
          <w:rFonts w:hint="eastAsia" w:ascii="仿宋" w:hAnsi="仿宋" w:eastAsia="仿宋" w:cs="宋体"/>
          <w:b w:val="0"/>
          <w:bCs/>
          <w:kern w:val="0"/>
          <w:sz w:val="32"/>
          <w:szCs w:val="32"/>
        </w:rPr>
        <w:t>事业收入0万元；经营收入0万元；附属单位上缴收入0万元；其他收入0万元。</w:t>
      </w:r>
    </w:p>
    <w:p>
      <w:pPr>
        <w:numPr>
          <w:ilvl w:val="0"/>
          <w:numId w:val="3"/>
        </w:numPr>
        <w:pBdr>
          <w:bottom w:val="single" w:color="FFFFFF" w:sz="4" w:space="29"/>
        </w:pBdr>
        <w:tabs>
          <w:tab w:val="left" w:pos="1440"/>
        </w:tabs>
        <w:autoSpaceDE w:val="0"/>
        <w:autoSpaceDN w:val="0"/>
        <w:spacing w:line="560" w:lineRule="exact"/>
        <w:ind w:firstLine="642" w:firstLineChars="200"/>
        <w:jc w:val="left"/>
        <w:rPr>
          <w:rFonts w:hint="eastAsia" w:ascii="楷体" w:eastAsia="楷体" w:cs="楷体"/>
          <w:b/>
          <w:bCs w:val="0"/>
          <w:color w:val="000000"/>
          <w:kern w:val="0"/>
          <w:sz w:val="32"/>
        </w:rPr>
      </w:pPr>
      <w:r>
        <w:rPr>
          <w:rFonts w:hint="eastAsia" w:ascii="楷体" w:eastAsia="楷体" w:cs="楷体"/>
          <w:b/>
          <w:bCs w:val="0"/>
          <w:color w:val="000000"/>
          <w:kern w:val="0"/>
          <w:sz w:val="32"/>
        </w:rPr>
        <w:t>部门财政资金支出情况</w:t>
      </w:r>
    </w:p>
    <w:p>
      <w:pPr>
        <w:numPr>
          <w:ilvl w:val="0"/>
          <w:numId w:val="4"/>
        </w:numPr>
        <w:pBdr>
          <w:bottom w:val="single" w:color="FFFFFF" w:sz="4" w:space="29"/>
        </w:pBdr>
        <w:tabs>
          <w:tab w:val="left" w:pos="1440"/>
          <w:tab w:val="clear" w:pos="312"/>
        </w:tabs>
        <w:autoSpaceDE w:val="0"/>
        <w:autoSpaceDN w:val="0"/>
        <w:spacing w:line="560" w:lineRule="exact"/>
        <w:ind w:firstLine="640" w:firstLineChars="200"/>
        <w:jc w:val="left"/>
        <w:rPr>
          <w:rFonts w:hint="eastAsia" w:ascii="仿宋" w:eastAsia="仿宋" w:cs="楷体_GB2312"/>
          <w:bCs/>
          <w:sz w:val="32"/>
          <w:szCs w:val="32"/>
        </w:rPr>
      </w:pPr>
      <w:r>
        <w:rPr>
          <w:rFonts w:hint="eastAsia" w:ascii="仿宋" w:eastAsia="仿宋" w:cs="楷体_GB2312"/>
          <w:bCs/>
          <w:sz w:val="32"/>
          <w:szCs w:val="32"/>
        </w:rPr>
        <w:t>一般公共预算财政拨款支出决算总体情况</w:t>
      </w:r>
    </w:p>
    <w:p>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Cs/>
          <w:sz w:val="32"/>
          <w:szCs w:val="32"/>
        </w:rPr>
      </w:pPr>
      <w:r>
        <w:rPr>
          <w:rFonts w:hint="eastAsia" w:ascii="仿宋" w:hAnsi="仿宋" w:eastAsia="仿宋" w:cs="仿宋_GB2312"/>
          <w:b w:val="0"/>
          <w:bCs/>
          <w:sz w:val="32"/>
          <w:szCs w:val="32"/>
        </w:rPr>
        <w:t>金川县退役军人事务局202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年度一般公共预算财政拨款支出</w:t>
      </w:r>
      <w:r>
        <w:rPr>
          <w:rFonts w:hint="eastAsia" w:ascii="仿宋" w:hAnsi="仿宋" w:eastAsia="仿宋" w:cs="仿宋_GB2312"/>
          <w:b w:val="0"/>
          <w:bCs/>
          <w:sz w:val="32"/>
          <w:szCs w:val="32"/>
          <w:lang w:val="en-US" w:eastAsia="zh-CN"/>
        </w:rPr>
        <w:t>894.98</w:t>
      </w:r>
      <w:r>
        <w:rPr>
          <w:rFonts w:hint="eastAsia" w:ascii="仿宋" w:hAnsi="仿宋" w:eastAsia="仿宋" w:cs="仿宋_GB2312"/>
          <w:b w:val="0"/>
          <w:bCs/>
          <w:sz w:val="32"/>
          <w:szCs w:val="32"/>
        </w:rPr>
        <w:t>万元，占本年支出合计的100%。与</w:t>
      </w:r>
      <w:r>
        <w:rPr>
          <w:rFonts w:hint="eastAsia" w:ascii="仿宋" w:hAnsi="仿宋" w:eastAsia="仿宋" w:cs="仿宋_GB2312"/>
          <w:b w:val="0"/>
          <w:bCs/>
          <w:sz w:val="32"/>
          <w:szCs w:val="32"/>
          <w:lang w:val="en-US" w:eastAsia="zh-CN"/>
        </w:rPr>
        <w:t>2020</w:t>
      </w:r>
      <w:r>
        <w:rPr>
          <w:rFonts w:hint="eastAsia" w:ascii="仿宋" w:hAnsi="仿宋" w:eastAsia="仿宋" w:cs="仿宋_GB2312"/>
          <w:b w:val="0"/>
          <w:bCs/>
          <w:sz w:val="32"/>
          <w:szCs w:val="32"/>
        </w:rPr>
        <w:t>年一般公共预算财政拨款支出</w:t>
      </w:r>
      <w:r>
        <w:rPr>
          <w:rFonts w:hint="eastAsia" w:ascii="仿宋" w:hAnsi="仿宋" w:eastAsia="仿宋" w:cs="仿宋_GB2312"/>
          <w:b/>
          <w:bCs/>
          <w:sz w:val="32"/>
          <w:szCs w:val="32"/>
        </w:rPr>
        <w:t>656.51</w:t>
      </w:r>
      <w:r>
        <w:rPr>
          <w:rFonts w:hint="eastAsia" w:ascii="仿宋" w:hAnsi="仿宋" w:eastAsia="仿宋" w:cs="仿宋_GB2312"/>
          <w:b w:val="0"/>
          <w:bCs/>
          <w:sz w:val="32"/>
          <w:szCs w:val="32"/>
        </w:rPr>
        <w:t>万元相比，一般公共预算财政拨款支出总计增加</w:t>
      </w:r>
      <w:r>
        <w:rPr>
          <w:rFonts w:hint="eastAsia" w:ascii="仿宋" w:hAnsi="仿宋" w:eastAsia="仿宋" w:cs="仿宋_GB2312"/>
          <w:b w:val="0"/>
          <w:bCs/>
          <w:sz w:val="32"/>
          <w:szCs w:val="32"/>
          <w:lang w:val="en-US" w:eastAsia="zh-CN"/>
        </w:rPr>
        <w:t>238.47</w:t>
      </w:r>
      <w:r>
        <w:rPr>
          <w:rFonts w:hint="eastAsia" w:ascii="仿宋" w:hAnsi="仿宋" w:eastAsia="仿宋" w:cs="仿宋_GB2312"/>
          <w:b w:val="0"/>
          <w:bCs/>
          <w:sz w:val="32"/>
          <w:szCs w:val="32"/>
        </w:rPr>
        <w:t>万元，增幅为</w:t>
      </w:r>
      <w:r>
        <w:rPr>
          <w:rFonts w:hint="eastAsia" w:ascii="仿宋" w:hAnsi="仿宋" w:eastAsia="仿宋" w:cs="仿宋_GB2312"/>
          <w:b w:val="0"/>
          <w:bCs/>
          <w:color w:val="auto"/>
          <w:sz w:val="32"/>
          <w:szCs w:val="32"/>
          <w:lang w:val="en-US" w:eastAsia="zh-CN"/>
        </w:rPr>
        <w:t>36.32</w:t>
      </w:r>
      <w:r>
        <w:rPr>
          <w:rFonts w:hint="eastAsia" w:ascii="仿宋" w:hAnsi="仿宋" w:eastAsia="仿宋" w:cs="仿宋_GB2312"/>
          <w:b w:val="0"/>
          <w:bCs/>
          <w:color w:val="auto"/>
          <w:sz w:val="32"/>
          <w:szCs w:val="32"/>
        </w:rPr>
        <w:t>%</w:t>
      </w:r>
      <w:r>
        <w:rPr>
          <w:rFonts w:hint="eastAsia" w:ascii="仿宋" w:hAnsi="仿宋" w:eastAsia="仿宋" w:cs="仿宋_GB2312"/>
          <w:b w:val="0"/>
          <w:bCs/>
          <w:sz w:val="32"/>
          <w:szCs w:val="32"/>
        </w:rPr>
        <w:t>。</w:t>
      </w:r>
    </w:p>
    <w:p>
      <w:pPr>
        <w:numPr>
          <w:ilvl w:val="0"/>
          <w:numId w:val="0"/>
        </w:numPr>
        <w:pBdr>
          <w:bottom w:val="single" w:color="FFFFFF" w:sz="4" w:space="29"/>
        </w:pBdr>
        <w:tabs>
          <w:tab w:val="left" w:pos="1440"/>
        </w:tabs>
        <w:autoSpaceDE w:val="0"/>
        <w:autoSpaceDN w:val="0"/>
        <w:spacing w:line="560" w:lineRule="exact"/>
        <w:jc w:val="left"/>
        <w:rPr>
          <w:rFonts w:hint="eastAsia" w:ascii="仿宋" w:eastAsia="仿宋" w:cs="楷体_GB2312"/>
          <w:bCs/>
          <w:sz w:val="32"/>
          <w:szCs w:val="32"/>
        </w:rPr>
      </w:pPr>
      <w:r>
        <w:rPr>
          <w:rFonts w:hint="eastAsia" w:ascii="仿宋" w:eastAsia="仿宋" w:cs="楷体_GB2312"/>
          <w:bCs/>
          <w:sz w:val="32"/>
          <w:szCs w:val="32"/>
          <w:lang w:val="en-US" w:eastAsia="zh-CN"/>
        </w:rPr>
        <w:t xml:space="preserve">    2.</w:t>
      </w:r>
      <w:r>
        <w:rPr>
          <w:rFonts w:hint="eastAsia" w:ascii="仿宋" w:eastAsia="仿宋" w:cs="楷体_GB2312"/>
          <w:bCs/>
          <w:sz w:val="32"/>
          <w:szCs w:val="32"/>
        </w:rPr>
        <w:t>一般公共预算财政拨款支出决算结构情况</w:t>
      </w:r>
    </w:p>
    <w:p>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Cs/>
          <w:sz w:val="32"/>
          <w:szCs w:val="32"/>
        </w:rPr>
      </w:pPr>
      <w:r>
        <w:rPr>
          <w:rFonts w:hint="eastAsia" w:ascii="仿宋" w:hAnsi="仿宋" w:eastAsia="仿宋" w:cs="仿宋_GB2312"/>
          <w:b w:val="0"/>
          <w:bCs/>
          <w:sz w:val="32"/>
          <w:szCs w:val="32"/>
        </w:rPr>
        <w:t>退役军人事务局202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年一般公共预算财政拨款支出合计</w:t>
      </w:r>
      <w:r>
        <w:rPr>
          <w:rFonts w:hint="eastAsia" w:ascii="仿宋" w:hAnsi="仿宋" w:eastAsia="仿宋" w:cs="仿宋_GB2312"/>
          <w:b w:val="0"/>
          <w:bCs/>
          <w:sz w:val="32"/>
          <w:szCs w:val="32"/>
          <w:lang w:val="en-US" w:eastAsia="zh-CN"/>
        </w:rPr>
        <w:t>894.98</w:t>
      </w:r>
      <w:r>
        <w:rPr>
          <w:rFonts w:hint="eastAsia" w:ascii="仿宋" w:hAnsi="仿宋" w:eastAsia="仿宋" w:cs="仿宋_GB2312"/>
          <w:b w:val="0"/>
          <w:bCs/>
          <w:sz w:val="32"/>
          <w:szCs w:val="32"/>
        </w:rPr>
        <w:t>万元，其中社会保障和就业支出</w:t>
      </w:r>
      <w:r>
        <w:rPr>
          <w:rFonts w:hint="eastAsia" w:ascii="仿宋" w:hAnsi="仿宋" w:eastAsia="仿宋" w:cs="仿宋_GB2312"/>
          <w:b w:val="0"/>
          <w:bCs/>
          <w:sz w:val="32"/>
          <w:szCs w:val="32"/>
          <w:lang w:val="en-US" w:eastAsia="zh-CN"/>
        </w:rPr>
        <w:t>857.44</w:t>
      </w:r>
      <w:r>
        <w:rPr>
          <w:rFonts w:hint="eastAsia" w:ascii="仿宋" w:hAnsi="仿宋" w:eastAsia="仿宋" w:cs="仿宋_GB2312"/>
          <w:b w:val="0"/>
          <w:bCs/>
          <w:sz w:val="32"/>
          <w:szCs w:val="32"/>
        </w:rPr>
        <w:t>万元，占</w:t>
      </w:r>
      <w:r>
        <w:rPr>
          <w:rFonts w:hint="eastAsia" w:ascii="仿宋" w:hAnsi="仿宋" w:eastAsia="仿宋" w:cs="仿宋_GB2312"/>
          <w:b w:val="0"/>
          <w:bCs/>
          <w:sz w:val="32"/>
          <w:szCs w:val="32"/>
          <w:lang w:val="en-US" w:eastAsia="zh-CN"/>
        </w:rPr>
        <w:t>95.8</w:t>
      </w:r>
      <w:r>
        <w:rPr>
          <w:rFonts w:hint="eastAsia" w:ascii="仿宋" w:hAnsi="仿宋" w:eastAsia="仿宋" w:cs="仿宋_GB2312"/>
          <w:b w:val="0"/>
          <w:bCs/>
          <w:sz w:val="32"/>
          <w:szCs w:val="32"/>
        </w:rPr>
        <w:t>%；卫生健康支出</w:t>
      </w:r>
      <w:r>
        <w:rPr>
          <w:rFonts w:hint="eastAsia" w:ascii="仿宋" w:hAnsi="仿宋" w:eastAsia="仿宋" w:cs="仿宋_GB2312"/>
          <w:b w:val="0"/>
          <w:bCs/>
          <w:sz w:val="32"/>
          <w:szCs w:val="32"/>
          <w:lang w:val="en-US" w:eastAsia="zh-CN"/>
        </w:rPr>
        <w:t>14.09</w:t>
      </w:r>
      <w:r>
        <w:rPr>
          <w:rFonts w:hint="eastAsia" w:ascii="仿宋" w:hAnsi="仿宋" w:eastAsia="仿宋" w:cs="仿宋_GB2312"/>
          <w:b w:val="0"/>
          <w:bCs/>
          <w:sz w:val="32"/>
          <w:szCs w:val="32"/>
        </w:rPr>
        <w:t>万元，占</w:t>
      </w:r>
      <w:r>
        <w:rPr>
          <w:rFonts w:hint="eastAsia" w:ascii="仿宋" w:hAnsi="仿宋" w:eastAsia="仿宋" w:cs="仿宋_GB2312"/>
          <w:b w:val="0"/>
          <w:bCs/>
          <w:sz w:val="32"/>
          <w:szCs w:val="32"/>
          <w:lang w:val="en-US" w:eastAsia="zh-CN"/>
        </w:rPr>
        <w:t>1.57</w:t>
      </w:r>
      <w:r>
        <w:rPr>
          <w:rFonts w:hint="eastAsia" w:ascii="仿宋" w:hAnsi="仿宋" w:eastAsia="仿宋" w:cs="仿宋_GB2312"/>
          <w:b w:val="0"/>
          <w:bCs/>
          <w:sz w:val="32"/>
          <w:szCs w:val="32"/>
        </w:rPr>
        <w:t>%；住房保障支出</w:t>
      </w:r>
      <w:r>
        <w:rPr>
          <w:rFonts w:hint="eastAsia" w:ascii="仿宋" w:hAnsi="仿宋" w:eastAsia="仿宋" w:cs="仿宋_GB2312"/>
          <w:b w:val="0"/>
          <w:bCs/>
          <w:sz w:val="32"/>
          <w:szCs w:val="32"/>
          <w:lang w:val="en-US" w:eastAsia="zh-CN"/>
        </w:rPr>
        <w:t>8.71</w:t>
      </w:r>
      <w:r>
        <w:rPr>
          <w:rFonts w:hint="eastAsia" w:ascii="仿宋" w:hAnsi="仿宋" w:eastAsia="仿宋" w:cs="仿宋_GB2312"/>
          <w:b w:val="0"/>
          <w:bCs/>
          <w:sz w:val="32"/>
          <w:szCs w:val="32"/>
        </w:rPr>
        <w:t>万元，占</w:t>
      </w:r>
      <w:r>
        <w:rPr>
          <w:rFonts w:hint="eastAsia" w:ascii="仿宋" w:hAnsi="仿宋" w:eastAsia="仿宋" w:cs="仿宋_GB2312"/>
          <w:b w:val="0"/>
          <w:bCs/>
          <w:sz w:val="32"/>
          <w:szCs w:val="32"/>
          <w:lang w:val="en-US" w:eastAsia="zh-CN"/>
        </w:rPr>
        <w:t>0.98%，其他支出14.74万元，占1.65%</w:t>
      </w:r>
      <w:r>
        <w:rPr>
          <w:rFonts w:hint="eastAsia" w:ascii="仿宋" w:hAnsi="仿宋" w:eastAsia="仿宋" w:cs="仿宋_GB2312"/>
          <w:b w:val="0"/>
          <w:bCs/>
          <w:sz w:val="32"/>
          <w:szCs w:val="32"/>
        </w:rPr>
        <w:t>；</w:t>
      </w:r>
    </w:p>
    <w:p>
      <w:pPr>
        <w:numPr>
          <w:ilvl w:val="0"/>
          <w:numId w:val="0"/>
        </w:numPr>
        <w:pBdr>
          <w:bottom w:val="single" w:color="FFFFFF" w:sz="4" w:space="29"/>
        </w:pBdr>
        <w:tabs>
          <w:tab w:val="left" w:pos="1440"/>
        </w:tabs>
        <w:autoSpaceDE w:val="0"/>
        <w:autoSpaceDN w:val="0"/>
        <w:spacing w:line="560" w:lineRule="exact"/>
        <w:jc w:val="left"/>
        <w:rPr>
          <w:rFonts w:hint="eastAsia" w:ascii="仿宋" w:eastAsia="仿宋" w:cs="黑体"/>
          <w:bCs/>
          <w:sz w:val="32"/>
          <w:szCs w:val="32"/>
        </w:rPr>
      </w:pPr>
      <w:r>
        <w:rPr>
          <w:rFonts w:hint="eastAsia" w:ascii="仿宋" w:eastAsia="仿宋" w:cs="黑体"/>
          <w:bCs/>
          <w:sz w:val="32"/>
          <w:szCs w:val="32"/>
          <w:lang w:val="en-US" w:eastAsia="zh-CN"/>
        </w:rPr>
        <w:t xml:space="preserve">    3.</w:t>
      </w:r>
      <w:r>
        <w:rPr>
          <w:rFonts w:hint="eastAsia" w:ascii="仿宋" w:eastAsia="仿宋" w:cs="黑体"/>
          <w:bCs/>
          <w:sz w:val="32"/>
          <w:szCs w:val="32"/>
        </w:rPr>
        <w:t>一般公共预算财政拨款基本支出决算情况</w:t>
      </w:r>
    </w:p>
    <w:p>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金川县退役军人事务局202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年一般公共预算财政拨款基本支出</w:t>
      </w:r>
      <w:r>
        <w:rPr>
          <w:rFonts w:hint="eastAsia" w:ascii="仿宋" w:hAnsi="仿宋" w:eastAsia="仿宋" w:cs="仿宋_GB2312"/>
          <w:b w:val="0"/>
          <w:bCs/>
          <w:sz w:val="32"/>
          <w:szCs w:val="32"/>
          <w:lang w:val="en-US" w:eastAsia="zh-CN"/>
        </w:rPr>
        <w:t>894.98</w:t>
      </w:r>
      <w:r>
        <w:rPr>
          <w:rFonts w:hint="eastAsia" w:ascii="仿宋" w:hAnsi="仿宋" w:eastAsia="仿宋" w:cs="仿宋_GB2312"/>
          <w:b w:val="0"/>
          <w:bCs/>
          <w:sz w:val="32"/>
          <w:szCs w:val="32"/>
        </w:rPr>
        <w:t>万元，其中：</w:t>
      </w:r>
    </w:p>
    <w:p>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人员经费</w:t>
      </w:r>
      <w:r>
        <w:rPr>
          <w:rFonts w:hint="eastAsia" w:ascii="仿宋" w:hAnsi="仿宋" w:eastAsia="仿宋" w:cs="仿宋_GB2312"/>
          <w:b w:val="0"/>
          <w:bCs/>
          <w:sz w:val="32"/>
          <w:szCs w:val="32"/>
          <w:lang w:val="en-US" w:eastAsia="zh-CN"/>
        </w:rPr>
        <w:t>109.06</w:t>
      </w:r>
      <w:r>
        <w:rPr>
          <w:rFonts w:hint="eastAsia" w:ascii="仿宋" w:hAnsi="仿宋" w:eastAsia="仿宋" w:cs="仿宋_GB2312"/>
          <w:b w:val="0"/>
          <w:bCs/>
          <w:sz w:val="32"/>
          <w:szCs w:val="32"/>
        </w:rPr>
        <w:t>万元，主要包括：基本工资</w:t>
      </w:r>
      <w:r>
        <w:rPr>
          <w:rFonts w:hint="eastAsia" w:ascii="仿宋" w:hAnsi="仿宋" w:eastAsia="仿宋" w:cs="仿宋_GB2312"/>
          <w:b w:val="0"/>
          <w:bCs/>
          <w:sz w:val="32"/>
          <w:szCs w:val="32"/>
          <w:lang w:val="en-US" w:eastAsia="zh-CN"/>
        </w:rPr>
        <w:t>24.42</w:t>
      </w:r>
      <w:r>
        <w:rPr>
          <w:rFonts w:hint="eastAsia" w:ascii="仿宋" w:hAnsi="仿宋" w:eastAsia="仿宋" w:cs="仿宋_GB2312"/>
          <w:b w:val="0"/>
          <w:bCs/>
          <w:sz w:val="32"/>
          <w:szCs w:val="32"/>
        </w:rPr>
        <w:t>万元、津贴补贴</w:t>
      </w:r>
      <w:r>
        <w:rPr>
          <w:rFonts w:hint="eastAsia" w:ascii="仿宋" w:hAnsi="仿宋" w:eastAsia="仿宋" w:cs="仿宋_GB2312"/>
          <w:b w:val="0"/>
          <w:bCs/>
          <w:sz w:val="32"/>
          <w:szCs w:val="32"/>
          <w:lang w:val="en-US" w:eastAsia="zh-CN"/>
        </w:rPr>
        <w:t>30.31</w:t>
      </w:r>
      <w:r>
        <w:rPr>
          <w:rFonts w:hint="eastAsia" w:ascii="仿宋" w:hAnsi="仿宋" w:eastAsia="仿宋" w:cs="仿宋_GB2312"/>
          <w:b w:val="0"/>
          <w:bCs/>
          <w:sz w:val="32"/>
          <w:szCs w:val="32"/>
        </w:rPr>
        <w:t>万元、奖金</w:t>
      </w:r>
      <w:r>
        <w:rPr>
          <w:rFonts w:hint="eastAsia" w:ascii="仿宋" w:hAnsi="仿宋" w:eastAsia="仿宋" w:cs="仿宋_GB2312"/>
          <w:b w:val="0"/>
          <w:bCs/>
          <w:sz w:val="32"/>
          <w:szCs w:val="32"/>
          <w:lang w:val="en-US" w:eastAsia="zh-CN"/>
        </w:rPr>
        <w:t>2.06</w:t>
      </w:r>
      <w:r>
        <w:rPr>
          <w:rFonts w:hint="eastAsia" w:ascii="仿宋" w:hAnsi="仿宋" w:eastAsia="仿宋" w:cs="仿宋_GB2312"/>
          <w:b w:val="0"/>
          <w:bCs/>
          <w:sz w:val="32"/>
          <w:szCs w:val="32"/>
        </w:rPr>
        <w:t>万元、伙食补助费0万元、绩效工资0万元、机关事业单位基本养老保险缴费</w:t>
      </w:r>
      <w:r>
        <w:rPr>
          <w:rFonts w:hint="eastAsia" w:ascii="仿宋" w:hAnsi="仿宋" w:eastAsia="仿宋" w:cs="仿宋_GB2312"/>
          <w:b w:val="0"/>
          <w:bCs/>
          <w:sz w:val="32"/>
          <w:szCs w:val="32"/>
          <w:lang w:val="en-US" w:eastAsia="zh-CN"/>
        </w:rPr>
        <w:t>8.95</w:t>
      </w:r>
      <w:r>
        <w:rPr>
          <w:rFonts w:hint="eastAsia" w:ascii="仿宋" w:hAnsi="仿宋" w:eastAsia="仿宋" w:cs="仿宋_GB2312"/>
          <w:b w:val="0"/>
          <w:bCs/>
          <w:sz w:val="32"/>
          <w:szCs w:val="32"/>
        </w:rPr>
        <w:t>万元、职业年金缴费</w:t>
      </w:r>
      <w:r>
        <w:rPr>
          <w:rFonts w:hint="eastAsia" w:ascii="仿宋" w:hAnsi="仿宋" w:eastAsia="仿宋" w:cs="仿宋_GB2312"/>
          <w:b w:val="0"/>
          <w:bCs/>
          <w:sz w:val="32"/>
          <w:szCs w:val="32"/>
          <w:lang w:val="en-US" w:eastAsia="zh-CN"/>
        </w:rPr>
        <w:t>4.47</w:t>
      </w:r>
      <w:r>
        <w:rPr>
          <w:rFonts w:hint="eastAsia" w:ascii="仿宋" w:hAnsi="仿宋" w:eastAsia="仿宋" w:cs="仿宋_GB2312"/>
          <w:b w:val="0"/>
          <w:bCs/>
          <w:sz w:val="32"/>
          <w:szCs w:val="32"/>
        </w:rPr>
        <w:t>万元、其他社会保障缴费</w:t>
      </w:r>
      <w:r>
        <w:rPr>
          <w:rFonts w:hint="eastAsia" w:ascii="仿宋" w:hAnsi="仿宋" w:eastAsia="仿宋" w:cs="仿宋_GB2312"/>
          <w:b w:val="0"/>
          <w:bCs/>
          <w:sz w:val="32"/>
          <w:szCs w:val="32"/>
          <w:lang w:val="en-US" w:eastAsia="zh-CN"/>
        </w:rPr>
        <w:t>0.71</w:t>
      </w:r>
      <w:r>
        <w:rPr>
          <w:rFonts w:hint="eastAsia" w:ascii="仿宋" w:hAnsi="仿宋" w:eastAsia="仿宋" w:cs="仿宋_GB2312"/>
          <w:b w:val="0"/>
          <w:bCs/>
          <w:sz w:val="32"/>
          <w:szCs w:val="32"/>
        </w:rPr>
        <w:t>万元、其他工资福利支出0万元、离休费0万元、退休费0万元、抚恤金0万元、奖励金</w:t>
      </w:r>
      <w:r>
        <w:rPr>
          <w:rFonts w:hint="eastAsia" w:ascii="仿宋" w:hAnsi="仿宋" w:eastAsia="仿宋" w:cs="仿宋_GB2312"/>
          <w:b w:val="0"/>
          <w:bCs/>
          <w:sz w:val="32"/>
          <w:szCs w:val="32"/>
          <w:lang w:val="en-US" w:eastAsia="zh-CN"/>
        </w:rPr>
        <w:t>24.28</w:t>
      </w:r>
      <w:r>
        <w:rPr>
          <w:rFonts w:hint="eastAsia" w:ascii="仿宋" w:hAnsi="仿宋" w:eastAsia="仿宋" w:cs="仿宋_GB2312"/>
          <w:b w:val="0"/>
          <w:bCs/>
          <w:sz w:val="32"/>
          <w:szCs w:val="32"/>
        </w:rPr>
        <w:t>万元、职工医疗补助</w:t>
      </w:r>
      <w:r>
        <w:rPr>
          <w:rFonts w:hint="eastAsia" w:ascii="仿宋" w:hAnsi="仿宋" w:eastAsia="仿宋" w:cs="仿宋_GB2312"/>
          <w:b w:val="0"/>
          <w:bCs/>
          <w:sz w:val="32"/>
          <w:szCs w:val="32"/>
          <w:lang w:val="en-US" w:eastAsia="zh-CN"/>
        </w:rPr>
        <w:t>4.02</w:t>
      </w:r>
      <w:r>
        <w:rPr>
          <w:rFonts w:hint="eastAsia" w:ascii="仿宋" w:hAnsi="仿宋" w:eastAsia="仿宋" w:cs="仿宋_GB2312"/>
          <w:b w:val="0"/>
          <w:bCs/>
          <w:sz w:val="32"/>
          <w:szCs w:val="32"/>
        </w:rPr>
        <w:t>万元、公务员医疗补助</w:t>
      </w:r>
      <w:r>
        <w:rPr>
          <w:rFonts w:hint="eastAsia" w:ascii="仿宋" w:hAnsi="仿宋" w:eastAsia="仿宋" w:cs="仿宋_GB2312"/>
          <w:b w:val="0"/>
          <w:bCs/>
          <w:sz w:val="32"/>
          <w:szCs w:val="32"/>
          <w:lang w:val="en-US" w:eastAsia="zh-CN"/>
        </w:rPr>
        <w:t>1.13</w:t>
      </w:r>
      <w:r>
        <w:rPr>
          <w:rFonts w:hint="eastAsia" w:ascii="仿宋" w:hAnsi="仿宋" w:eastAsia="仿宋" w:cs="仿宋_GB2312"/>
          <w:b w:val="0"/>
          <w:bCs/>
          <w:sz w:val="32"/>
          <w:szCs w:val="32"/>
        </w:rPr>
        <w:t>万元、生活补助0万元、住房公积金</w:t>
      </w:r>
      <w:r>
        <w:rPr>
          <w:rFonts w:hint="eastAsia" w:ascii="仿宋" w:hAnsi="仿宋" w:eastAsia="仿宋" w:cs="仿宋_GB2312"/>
          <w:b w:val="0"/>
          <w:bCs/>
          <w:sz w:val="32"/>
          <w:szCs w:val="32"/>
          <w:lang w:val="en-US" w:eastAsia="zh-CN"/>
        </w:rPr>
        <w:t>8.71</w:t>
      </w:r>
      <w:r>
        <w:rPr>
          <w:rFonts w:hint="eastAsia" w:ascii="仿宋" w:hAnsi="仿宋" w:eastAsia="仿宋" w:cs="仿宋_GB2312"/>
          <w:b w:val="0"/>
          <w:bCs/>
          <w:sz w:val="32"/>
          <w:szCs w:val="32"/>
        </w:rPr>
        <w:t>万元、提租补贴0万元、购房补贴0万元。</w:t>
      </w:r>
    </w:p>
    <w:p>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公用经费</w:t>
      </w:r>
      <w:r>
        <w:rPr>
          <w:rFonts w:hint="eastAsia" w:ascii="仿宋" w:hAnsi="仿宋" w:eastAsia="仿宋" w:cs="仿宋_GB2312"/>
          <w:b w:val="0"/>
          <w:bCs/>
          <w:sz w:val="32"/>
          <w:szCs w:val="32"/>
          <w:lang w:val="en-US" w:eastAsia="zh-CN"/>
        </w:rPr>
        <w:t>11.14</w:t>
      </w:r>
      <w:r>
        <w:rPr>
          <w:rFonts w:hint="eastAsia" w:ascii="仿宋" w:hAnsi="仿宋" w:eastAsia="仿宋" w:cs="仿宋_GB2312"/>
          <w:b w:val="0"/>
          <w:bCs/>
          <w:sz w:val="32"/>
          <w:szCs w:val="32"/>
        </w:rPr>
        <w:t>万元，主要包括：办公费</w:t>
      </w:r>
      <w:r>
        <w:rPr>
          <w:rFonts w:hint="eastAsia" w:ascii="仿宋" w:hAnsi="仿宋" w:eastAsia="仿宋" w:cs="仿宋_GB2312"/>
          <w:b w:val="0"/>
          <w:bCs/>
          <w:sz w:val="32"/>
          <w:szCs w:val="32"/>
          <w:lang w:val="en-US" w:eastAsia="zh-CN"/>
        </w:rPr>
        <w:t>3.3</w:t>
      </w:r>
      <w:r>
        <w:rPr>
          <w:rFonts w:hint="eastAsia" w:ascii="仿宋" w:hAnsi="仿宋" w:eastAsia="仿宋" w:cs="仿宋_GB2312"/>
          <w:b w:val="0"/>
          <w:bCs/>
          <w:sz w:val="32"/>
          <w:szCs w:val="32"/>
        </w:rPr>
        <w:t>万元、印刷费0万元、咨询费0万元、手续费0万元、水费0.05万元、电费0.4万元、邮电费</w:t>
      </w:r>
      <w:r>
        <w:rPr>
          <w:rFonts w:hint="eastAsia" w:ascii="仿宋" w:hAnsi="仿宋" w:eastAsia="仿宋" w:cs="仿宋_GB2312"/>
          <w:b w:val="0"/>
          <w:bCs/>
          <w:sz w:val="32"/>
          <w:szCs w:val="32"/>
          <w:lang w:val="en-US" w:eastAsia="zh-CN"/>
        </w:rPr>
        <w:t>1.2</w:t>
      </w:r>
      <w:r>
        <w:rPr>
          <w:rFonts w:hint="eastAsia" w:ascii="仿宋" w:hAnsi="仿宋" w:eastAsia="仿宋" w:cs="仿宋_GB2312"/>
          <w:b w:val="0"/>
          <w:bCs/>
          <w:sz w:val="32"/>
          <w:szCs w:val="32"/>
        </w:rPr>
        <w:t>万元、取暖费0万元、物业管理费0万元、差旅费</w:t>
      </w:r>
      <w:r>
        <w:rPr>
          <w:rFonts w:hint="eastAsia" w:ascii="仿宋" w:hAnsi="仿宋" w:eastAsia="仿宋" w:cs="仿宋_GB2312"/>
          <w:b w:val="0"/>
          <w:bCs/>
          <w:sz w:val="32"/>
          <w:szCs w:val="32"/>
          <w:lang w:val="en-US" w:eastAsia="zh-CN"/>
        </w:rPr>
        <w:t>4.59</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劳务费0.4万元、</w:t>
      </w:r>
      <w:r>
        <w:rPr>
          <w:rFonts w:hint="eastAsia" w:ascii="仿宋" w:hAnsi="仿宋" w:eastAsia="仿宋" w:cs="仿宋_GB2312"/>
          <w:b w:val="0"/>
          <w:bCs/>
          <w:sz w:val="32"/>
          <w:szCs w:val="32"/>
        </w:rPr>
        <w:t>因公出国（境）费用0万元、公务用车维修（护）费</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万元、租赁费0万元、会议费0万元、培训费0万元、劳务费0万元、取暖费0万元、委托业务费0万元、工会经费0万元、福利费0万元、其他交通费</w:t>
      </w:r>
      <w:r>
        <w:rPr>
          <w:rFonts w:hint="eastAsia" w:ascii="仿宋" w:hAnsi="仿宋" w:eastAsia="仿宋" w:cs="仿宋_GB2312"/>
          <w:b w:val="0"/>
          <w:bCs/>
          <w:sz w:val="32"/>
          <w:szCs w:val="32"/>
          <w:lang w:val="en-US" w:eastAsia="zh-CN"/>
        </w:rPr>
        <w:t>1.2</w:t>
      </w:r>
      <w:r>
        <w:rPr>
          <w:rFonts w:hint="eastAsia" w:ascii="仿宋" w:hAnsi="仿宋" w:eastAsia="仿宋" w:cs="仿宋_GB2312"/>
          <w:b w:val="0"/>
          <w:bCs/>
          <w:sz w:val="32"/>
          <w:szCs w:val="32"/>
        </w:rPr>
        <w:t>万元、税金及附加费用0万元、接待费0万元，其他商品和服务支出0万元。</w:t>
      </w:r>
    </w:p>
    <w:p>
      <w:pPr>
        <w:numPr>
          <w:ilvl w:val="0"/>
          <w:numId w:val="0"/>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项目支出</w:t>
      </w:r>
      <w:r>
        <w:rPr>
          <w:rFonts w:hint="eastAsia" w:ascii="仿宋" w:hAnsi="仿宋" w:eastAsia="仿宋" w:cs="仿宋_GB2312"/>
          <w:b w:val="0"/>
          <w:bCs/>
          <w:sz w:val="32"/>
          <w:szCs w:val="32"/>
          <w:lang w:val="en-US" w:eastAsia="zh-CN"/>
        </w:rPr>
        <w:t>774.78</w:t>
      </w:r>
      <w:r>
        <w:rPr>
          <w:rFonts w:hint="eastAsia" w:ascii="仿宋" w:hAnsi="仿宋" w:eastAsia="仿宋" w:cs="仿宋_GB2312"/>
          <w:b w:val="0"/>
          <w:bCs/>
          <w:sz w:val="32"/>
          <w:szCs w:val="32"/>
        </w:rPr>
        <w:t>万元，主要包括：伤残抚恤</w:t>
      </w:r>
      <w:r>
        <w:rPr>
          <w:rFonts w:hint="eastAsia" w:ascii="仿宋" w:hAnsi="仿宋" w:eastAsia="仿宋" w:cs="仿宋_GB2312"/>
          <w:b w:val="0"/>
          <w:bCs/>
          <w:sz w:val="32"/>
          <w:szCs w:val="32"/>
          <w:lang w:val="en-US" w:eastAsia="zh-CN"/>
        </w:rPr>
        <w:t>15.88</w:t>
      </w:r>
      <w:r>
        <w:rPr>
          <w:rFonts w:hint="eastAsia" w:ascii="仿宋" w:hAnsi="仿宋" w:eastAsia="仿宋" w:cs="仿宋_GB2312"/>
          <w:b w:val="0"/>
          <w:bCs/>
          <w:sz w:val="32"/>
          <w:szCs w:val="32"/>
        </w:rPr>
        <w:t>万元、在乡复员、退伍军人生活补助</w:t>
      </w:r>
      <w:r>
        <w:rPr>
          <w:rFonts w:hint="eastAsia" w:ascii="仿宋" w:hAnsi="仿宋" w:eastAsia="仿宋" w:cs="仿宋_GB2312"/>
          <w:b w:val="0"/>
          <w:bCs/>
          <w:sz w:val="32"/>
          <w:szCs w:val="32"/>
          <w:lang w:val="en-US" w:eastAsia="zh-CN"/>
        </w:rPr>
        <w:t>392.95</w:t>
      </w:r>
      <w:r>
        <w:rPr>
          <w:rFonts w:hint="eastAsia" w:ascii="仿宋" w:hAnsi="仿宋" w:eastAsia="仿宋" w:cs="仿宋_GB2312"/>
          <w:b w:val="0"/>
          <w:bCs/>
          <w:sz w:val="32"/>
          <w:szCs w:val="32"/>
        </w:rPr>
        <w:t>万元、义务兵优待</w:t>
      </w:r>
      <w:r>
        <w:rPr>
          <w:rFonts w:hint="eastAsia" w:ascii="仿宋" w:hAnsi="仿宋" w:eastAsia="仿宋" w:cs="仿宋_GB2312"/>
          <w:b w:val="0"/>
          <w:bCs/>
          <w:sz w:val="32"/>
          <w:szCs w:val="32"/>
          <w:lang w:val="en-US" w:eastAsia="zh-CN"/>
        </w:rPr>
        <w:t>77.56</w:t>
      </w:r>
      <w:r>
        <w:rPr>
          <w:rFonts w:hint="eastAsia" w:ascii="仿宋" w:hAnsi="仿宋" w:eastAsia="仿宋" w:cs="仿宋_GB2312"/>
          <w:b w:val="0"/>
          <w:bCs/>
          <w:sz w:val="32"/>
          <w:szCs w:val="32"/>
        </w:rPr>
        <w:t>万元、退役士兵安置</w:t>
      </w:r>
      <w:r>
        <w:rPr>
          <w:rFonts w:hint="eastAsia" w:ascii="仿宋" w:hAnsi="仿宋" w:eastAsia="仿宋" w:cs="仿宋_GB2312"/>
          <w:b w:val="0"/>
          <w:bCs/>
          <w:sz w:val="32"/>
          <w:szCs w:val="32"/>
          <w:lang w:val="en-US" w:eastAsia="zh-CN"/>
        </w:rPr>
        <w:t>53</w:t>
      </w:r>
      <w:r>
        <w:rPr>
          <w:rFonts w:hint="eastAsia" w:ascii="仿宋" w:hAnsi="仿宋" w:eastAsia="仿宋" w:cs="仿宋_GB2312"/>
          <w:b w:val="0"/>
          <w:bCs/>
          <w:sz w:val="32"/>
          <w:szCs w:val="32"/>
        </w:rPr>
        <w:t>万元、军队移交政府的离退休人员安置</w:t>
      </w:r>
      <w:r>
        <w:rPr>
          <w:rFonts w:hint="eastAsia" w:ascii="仿宋" w:hAnsi="仿宋" w:eastAsia="仿宋" w:cs="仿宋_GB2312"/>
          <w:b w:val="0"/>
          <w:bCs/>
          <w:sz w:val="32"/>
          <w:szCs w:val="32"/>
          <w:lang w:val="en-US" w:eastAsia="zh-CN"/>
        </w:rPr>
        <w:t>29.67</w:t>
      </w:r>
      <w:r>
        <w:rPr>
          <w:rFonts w:hint="eastAsia" w:ascii="仿宋" w:hAnsi="仿宋" w:eastAsia="仿宋" w:cs="仿宋_GB2312"/>
          <w:b w:val="0"/>
          <w:bCs/>
          <w:sz w:val="32"/>
          <w:szCs w:val="32"/>
        </w:rPr>
        <w:t>万元、军队移交政府离退休干部管理机构</w:t>
      </w:r>
      <w:r>
        <w:rPr>
          <w:rFonts w:hint="eastAsia" w:ascii="仿宋" w:hAnsi="仿宋" w:eastAsia="仿宋" w:cs="仿宋_GB2312"/>
          <w:b w:val="0"/>
          <w:bCs/>
          <w:sz w:val="32"/>
          <w:szCs w:val="32"/>
          <w:lang w:val="en-US" w:eastAsia="zh-CN"/>
        </w:rPr>
        <w:t>3.15</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退役士兵管理教育1.05万元、</w:t>
      </w:r>
      <w:r>
        <w:rPr>
          <w:rFonts w:hint="eastAsia" w:ascii="仿宋" w:hAnsi="仿宋" w:eastAsia="仿宋" w:cs="仿宋_GB2312"/>
          <w:b w:val="0"/>
          <w:bCs/>
          <w:sz w:val="32"/>
          <w:szCs w:val="32"/>
        </w:rPr>
        <w:t>军队专业干部安置</w:t>
      </w:r>
      <w:r>
        <w:rPr>
          <w:rFonts w:hint="eastAsia" w:ascii="仿宋" w:hAnsi="仿宋" w:eastAsia="仿宋" w:cs="仿宋_GB2312"/>
          <w:b w:val="0"/>
          <w:bCs/>
          <w:sz w:val="32"/>
          <w:szCs w:val="32"/>
          <w:lang w:val="en-US" w:eastAsia="zh-CN"/>
        </w:rPr>
        <w:t>34.45</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其他退役安置支出16万元、</w:t>
      </w:r>
      <w:r>
        <w:rPr>
          <w:rFonts w:hint="eastAsia" w:ascii="仿宋" w:hAnsi="仿宋" w:eastAsia="仿宋" w:cs="仿宋_GB2312"/>
          <w:b w:val="0"/>
          <w:bCs/>
          <w:sz w:val="32"/>
          <w:szCs w:val="32"/>
        </w:rPr>
        <w:t>拥军优属</w:t>
      </w:r>
      <w:r>
        <w:rPr>
          <w:rFonts w:hint="eastAsia" w:ascii="仿宋" w:hAnsi="仿宋" w:eastAsia="仿宋" w:cs="仿宋_GB2312"/>
          <w:b w:val="0"/>
          <w:bCs/>
          <w:sz w:val="32"/>
          <w:szCs w:val="32"/>
          <w:lang w:val="en-US" w:eastAsia="zh-CN"/>
        </w:rPr>
        <w:t>116.7</w:t>
      </w:r>
      <w:r>
        <w:rPr>
          <w:rFonts w:hint="eastAsia" w:ascii="仿宋" w:hAnsi="仿宋" w:eastAsia="仿宋" w:cs="仿宋_GB2312"/>
          <w:b w:val="0"/>
          <w:bCs/>
          <w:sz w:val="32"/>
          <w:szCs w:val="32"/>
        </w:rPr>
        <w:t>万元、其他退役军人事务管理支出</w:t>
      </w:r>
      <w:r>
        <w:rPr>
          <w:rFonts w:hint="eastAsia" w:ascii="仿宋" w:hAnsi="仿宋" w:eastAsia="仿宋" w:cs="仿宋_GB2312"/>
          <w:b w:val="0"/>
          <w:bCs/>
          <w:sz w:val="32"/>
          <w:szCs w:val="32"/>
          <w:lang w:val="en-US" w:eastAsia="zh-CN"/>
        </w:rPr>
        <w:t>10.67</w:t>
      </w:r>
      <w:r>
        <w:rPr>
          <w:rFonts w:hint="eastAsia" w:ascii="仿宋" w:hAnsi="仿宋" w:eastAsia="仿宋" w:cs="仿宋_GB2312"/>
          <w:b w:val="0"/>
          <w:bCs/>
          <w:sz w:val="32"/>
          <w:szCs w:val="32"/>
        </w:rPr>
        <w:t>万元、优抚对象医疗补助</w:t>
      </w:r>
      <w:r>
        <w:rPr>
          <w:rFonts w:hint="eastAsia" w:ascii="仿宋" w:hAnsi="仿宋" w:eastAsia="仿宋" w:cs="仿宋_GB2312"/>
          <w:b w:val="0"/>
          <w:bCs/>
          <w:sz w:val="32"/>
          <w:szCs w:val="32"/>
          <w:lang w:val="en-US" w:eastAsia="zh-CN"/>
        </w:rPr>
        <w:t>8.95</w:t>
      </w:r>
      <w:r>
        <w:rPr>
          <w:rFonts w:hint="eastAsia" w:ascii="仿宋" w:hAnsi="仿宋" w:eastAsia="仿宋" w:cs="仿宋_GB2312"/>
          <w:b w:val="0"/>
          <w:bCs/>
          <w:sz w:val="32"/>
          <w:szCs w:val="32"/>
        </w:rPr>
        <w:t>万元、</w:t>
      </w:r>
      <w:r>
        <w:rPr>
          <w:rFonts w:hint="eastAsia" w:ascii="仿宋" w:hAnsi="仿宋" w:eastAsia="仿宋" w:cs="仿宋_GB2312"/>
          <w:b w:val="0"/>
          <w:bCs/>
          <w:sz w:val="32"/>
          <w:szCs w:val="32"/>
          <w:lang w:val="en-US" w:eastAsia="zh-CN"/>
        </w:rPr>
        <w:t>其他支出14.75</w:t>
      </w:r>
      <w:r>
        <w:rPr>
          <w:rFonts w:hint="eastAsia" w:ascii="仿宋" w:hAnsi="仿宋" w:eastAsia="仿宋" w:cs="仿宋_GB2312"/>
          <w:b w:val="0"/>
          <w:bCs/>
          <w:sz w:val="32"/>
          <w:szCs w:val="32"/>
        </w:rPr>
        <w:t>万元。</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黑体"/>
          <w:b w:val="0"/>
          <w:bCs/>
          <w:sz w:val="32"/>
          <w:szCs w:val="32"/>
        </w:rPr>
      </w:pPr>
      <w:r>
        <w:rPr>
          <w:rFonts w:hint="eastAsia" w:ascii="仿宋" w:eastAsia="仿宋" w:cs="黑体"/>
          <w:bCs/>
          <w:sz w:val="32"/>
          <w:szCs w:val="32"/>
        </w:rPr>
        <w:t>4.“三公”经费财政拨款支出决算情况</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楷体_GB2312"/>
          <w:sz w:val="32"/>
          <w:szCs w:val="32"/>
        </w:rPr>
      </w:pPr>
      <w:r>
        <w:rPr>
          <w:rFonts w:hint="eastAsia" w:ascii="仿宋" w:eastAsia="仿宋" w:cs="楷体_GB2312"/>
          <w:sz w:val="32"/>
          <w:szCs w:val="32"/>
        </w:rPr>
        <w:t>一是“三公”经费财政拨款支出决算总体情况说明</w:t>
      </w:r>
    </w:p>
    <w:p>
      <w:p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年度“三公”经费财政拨款支出决算中，因公出国（境）费支出决算0万元；公务用车运行维护费支出决算</w:t>
      </w:r>
      <w:r>
        <w:rPr>
          <w:rFonts w:hint="eastAsia" w:ascii="仿宋" w:hAnsi="仿宋" w:eastAsia="仿宋" w:cs="仿宋_GB2312"/>
          <w:b w:val="0"/>
          <w:bCs/>
          <w:sz w:val="32"/>
          <w:szCs w:val="32"/>
          <w:lang w:val="en-US" w:eastAsia="zh-CN"/>
        </w:rPr>
        <w:t>0</w:t>
      </w:r>
      <w:r>
        <w:rPr>
          <w:rFonts w:hint="eastAsia" w:ascii="仿宋" w:hAnsi="仿宋" w:eastAsia="仿宋" w:cs="仿宋_GB2312"/>
          <w:b w:val="0"/>
          <w:bCs/>
          <w:sz w:val="32"/>
          <w:szCs w:val="32"/>
        </w:rPr>
        <w:t>万元；公务接待费支出决算0万元。具体情况如下：</w:t>
      </w:r>
    </w:p>
    <w:p>
      <w:pPr>
        <w:numPr>
          <w:ilvl w:val="0"/>
          <w:numId w:val="5"/>
        </w:numPr>
        <w:pBdr>
          <w:bottom w:val="single" w:color="FFFFFF" w:sz="4" w:space="29"/>
        </w:pBdr>
        <w:tabs>
          <w:tab w:val="left" w:pos="1440"/>
        </w:tabs>
        <w:autoSpaceDE w:val="0"/>
        <w:autoSpaceDN w:val="0"/>
        <w:spacing w:line="560" w:lineRule="exact"/>
        <w:ind w:firstLine="640" w:firstLineChars="200"/>
        <w:jc w:val="left"/>
        <w:rPr>
          <w:rFonts w:hint="eastAsia" w:ascii="仿宋" w:hAnsi="仿宋" w:eastAsia="仿宋" w:cs="仿宋_GB2312"/>
          <w:b w:val="0"/>
          <w:bCs/>
          <w:sz w:val="32"/>
          <w:szCs w:val="32"/>
        </w:rPr>
      </w:pPr>
      <w:r>
        <w:rPr>
          <w:rFonts w:hint="eastAsia" w:ascii="仿宋" w:hAnsi="仿宋" w:eastAsia="仿宋" w:cs="仿宋_GB2312"/>
          <w:sz w:val="32"/>
          <w:szCs w:val="32"/>
        </w:rPr>
        <w:t>因公出国（境）经费</w:t>
      </w:r>
      <w:r>
        <w:rPr>
          <w:rFonts w:hint="eastAsia" w:ascii="仿宋" w:hAnsi="仿宋" w:eastAsia="仿宋" w:cs="仿宋_GB2312"/>
          <w:sz w:val="32"/>
          <w:szCs w:val="32"/>
          <w:lang w:eastAsia="zh-CN"/>
        </w:rPr>
        <w:t>：</w:t>
      </w: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年因公出国（境）费0万元。全年安排因公出国（境）团组0次，出国（境）0人。</w:t>
      </w:r>
    </w:p>
    <w:p>
      <w:pPr>
        <w:numPr>
          <w:ilvl w:val="0"/>
          <w:numId w:val="5"/>
        </w:numPr>
        <w:pBdr>
          <w:bottom w:val="single" w:color="FFFFFF" w:sz="4" w:space="29"/>
        </w:pBdr>
        <w:tabs>
          <w:tab w:val="left" w:pos="1440"/>
        </w:tabs>
        <w:autoSpaceDE w:val="0"/>
        <w:autoSpaceDN w:val="0"/>
        <w:spacing w:line="560" w:lineRule="exact"/>
        <w:ind w:left="0" w:leftChars="0" w:firstLine="640" w:firstLineChars="200"/>
        <w:jc w:val="left"/>
        <w:rPr>
          <w:rFonts w:hint="eastAsia" w:ascii="仿宋" w:hAnsi="仿宋" w:eastAsia="仿宋" w:cs="仿宋_GB2312"/>
          <w:b w:val="0"/>
          <w:bCs/>
          <w:sz w:val="32"/>
          <w:szCs w:val="32"/>
        </w:rPr>
      </w:pPr>
      <w:r>
        <w:rPr>
          <w:rFonts w:hint="eastAsia" w:ascii="仿宋" w:hAnsi="仿宋" w:eastAsia="仿宋" w:cs="仿宋_GB2312"/>
          <w:sz w:val="32"/>
          <w:szCs w:val="32"/>
        </w:rPr>
        <w:t>公务用车运行维护费</w:t>
      </w:r>
      <w:r>
        <w:rPr>
          <w:rFonts w:hint="eastAsia" w:ascii="仿宋" w:hAnsi="仿宋" w:eastAsia="仿宋" w:cs="仿宋_GB2312"/>
          <w:sz w:val="32"/>
          <w:szCs w:val="32"/>
          <w:lang w:eastAsia="zh-CN"/>
        </w:rPr>
        <w:t>：</w:t>
      </w: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年公务用车运行维护费1.2万元.其中：公务用车购置支出0万元。全年按规定更新购置公务用车0辆，其中：轿车0辆、金额0万元，越野车0辆、金额0万元，载客汽车0辆、金额0万元。</w:t>
      </w:r>
      <w:r>
        <w:rPr>
          <w:rFonts w:hint="eastAsia" w:ascii="仿宋" w:hAnsi="仿宋" w:eastAsia="仿宋" w:cs="仿宋_GB2312"/>
          <w:sz w:val="32"/>
          <w:szCs w:val="32"/>
        </w:rPr>
        <w:t>公务接待费</w:t>
      </w:r>
      <w:r>
        <w:rPr>
          <w:rFonts w:hint="eastAsia" w:ascii="仿宋" w:hAnsi="仿宋" w:eastAsia="仿宋" w:cs="仿宋_GB2312"/>
          <w:sz w:val="32"/>
          <w:szCs w:val="32"/>
          <w:lang w:eastAsia="zh-CN"/>
        </w:rPr>
        <w:t>：</w:t>
      </w:r>
      <w:r>
        <w:rPr>
          <w:rFonts w:hint="eastAsia" w:ascii="仿宋" w:hAnsi="仿宋" w:eastAsia="仿宋" w:cs="仿宋_GB2312"/>
          <w:b w:val="0"/>
          <w:bCs/>
          <w:sz w:val="32"/>
          <w:szCs w:val="32"/>
        </w:rPr>
        <w:t>202</w:t>
      </w:r>
      <w:r>
        <w:rPr>
          <w:rFonts w:hint="eastAsia" w:ascii="仿宋" w:hAnsi="仿宋" w:eastAsia="仿宋" w:cs="仿宋_GB2312"/>
          <w:b w:val="0"/>
          <w:bCs/>
          <w:sz w:val="32"/>
          <w:szCs w:val="32"/>
          <w:lang w:val="en-US" w:eastAsia="zh-CN"/>
        </w:rPr>
        <w:t>1</w:t>
      </w:r>
      <w:r>
        <w:rPr>
          <w:rFonts w:hint="eastAsia" w:ascii="仿宋" w:hAnsi="仿宋" w:eastAsia="仿宋" w:cs="仿宋_GB2312"/>
          <w:b w:val="0"/>
          <w:bCs/>
          <w:sz w:val="32"/>
          <w:szCs w:val="32"/>
        </w:rPr>
        <w:t>年公务接待费支出为0万元。</w:t>
      </w:r>
    </w:p>
    <w:p>
      <w:pPr>
        <w:numPr>
          <w:ilvl w:val="0"/>
          <w:numId w:val="0"/>
        </w:numPr>
        <w:pBdr>
          <w:bottom w:val="single" w:color="FFFFFF" w:sz="4" w:space="29"/>
        </w:pBdr>
        <w:tabs>
          <w:tab w:val="left" w:pos="1440"/>
        </w:tabs>
        <w:autoSpaceDE w:val="0"/>
        <w:autoSpaceDN w:val="0"/>
        <w:spacing w:line="560" w:lineRule="exact"/>
        <w:ind w:firstLine="642" w:firstLineChars="200"/>
        <w:jc w:val="left"/>
        <w:rPr>
          <w:rFonts w:ascii="仿宋_GB2312" w:hAnsi="仿宋_GB2312" w:cs="仿宋"/>
          <w:b/>
          <w:bCs w:val="0"/>
          <w:sz w:val="32"/>
          <w:szCs w:val="32"/>
        </w:rPr>
      </w:pPr>
      <w:r>
        <w:rPr>
          <w:rFonts w:hint="eastAsia" w:ascii="黑体" w:cs="宋体"/>
          <w:b/>
          <w:bCs w:val="0"/>
          <w:kern w:val="0"/>
          <w:sz w:val="32"/>
        </w:rPr>
        <w:t>三、部门整体预算绩效管理情况</w:t>
      </w:r>
    </w:p>
    <w:p>
      <w:pPr>
        <w:pBdr>
          <w:bottom w:val="single" w:color="FFFFFF" w:sz="4" w:space="29"/>
        </w:pBdr>
        <w:tabs>
          <w:tab w:val="left" w:pos="1440"/>
        </w:tabs>
        <w:autoSpaceDE w:val="0"/>
        <w:autoSpaceDN w:val="0"/>
        <w:spacing w:line="560" w:lineRule="exact"/>
        <w:ind w:firstLine="642" w:firstLineChars="200"/>
        <w:jc w:val="left"/>
        <w:rPr>
          <w:rFonts w:hint="eastAsia" w:ascii="楷体" w:eastAsia="楷体" w:cs="楷体"/>
          <w:b/>
          <w:bCs w:val="0"/>
          <w:sz w:val="32"/>
          <w:szCs w:val="32"/>
        </w:rPr>
      </w:pPr>
      <w:r>
        <w:rPr>
          <w:rFonts w:hint="eastAsia" w:ascii="楷体" w:eastAsia="楷体" w:cs="楷体"/>
          <w:b/>
          <w:bCs w:val="0"/>
          <w:sz w:val="32"/>
          <w:szCs w:val="32"/>
          <w:lang w:val="zh-CN"/>
        </w:rPr>
        <w:t>（一）</w:t>
      </w:r>
      <w:r>
        <w:rPr>
          <w:rFonts w:hint="eastAsia" w:ascii="楷体" w:eastAsia="楷体" w:cs="楷体"/>
          <w:b/>
          <w:bCs w:val="0"/>
          <w:sz w:val="32"/>
          <w:szCs w:val="32"/>
        </w:rPr>
        <w:t>部门预算管理</w:t>
      </w:r>
    </w:p>
    <w:p>
      <w:pPr>
        <w:pBdr>
          <w:bottom w:val="single" w:color="FFFFFF" w:sz="4" w:space="29"/>
        </w:pBdr>
        <w:tabs>
          <w:tab w:val="left" w:pos="1440"/>
        </w:tabs>
        <w:autoSpaceDE w:val="0"/>
        <w:autoSpaceDN w:val="0"/>
        <w:spacing w:line="560" w:lineRule="exact"/>
        <w:ind w:firstLine="640" w:firstLineChars="200"/>
        <w:jc w:val="left"/>
        <w:rPr>
          <w:rFonts w:hint="eastAsia" w:ascii="仿宋_GB2312" w:eastAsia="仿宋_GB2312" w:cs="仿宋_GB2312"/>
          <w:bCs/>
          <w:kern w:val="0"/>
          <w:sz w:val="32"/>
          <w:szCs w:val="32"/>
          <w:lang w:val="zh-CN"/>
        </w:rPr>
      </w:pPr>
      <w:r>
        <w:rPr>
          <w:rFonts w:hint="eastAsia" w:ascii="仿宋_GB2312" w:eastAsia="仿宋_GB2312" w:cs="仿宋_GB2312"/>
          <w:bCs/>
          <w:kern w:val="0"/>
          <w:sz w:val="32"/>
          <w:szCs w:val="32"/>
          <w:lang w:val="zh-CN"/>
        </w:rPr>
        <w:t>（</w:t>
      </w:r>
      <w:r>
        <w:rPr>
          <w:rFonts w:hint="eastAsia" w:ascii="仿宋_GB2312" w:eastAsia="仿宋_GB2312" w:cs="仿宋_GB2312"/>
          <w:bCs/>
          <w:kern w:val="0"/>
          <w:sz w:val="32"/>
          <w:szCs w:val="32"/>
        </w:rPr>
        <w:t>1</w:t>
      </w:r>
      <w:r>
        <w:rPr>
          <w:rFonts w:hint="eastAsia" w:ascii="仿宋_GB2312" w:eastAsia="仿宋_GB2312" w:cs="仿宋_GB2312"/>
          <w:bCs/>
          <w:kern w:val="0"/>
          <w:sz w:val="32"/>
          <w:szCs w:val="32"/>
          <w:lang w:val="zh-CN"/>
        </w:rPr>
        <w:t>）预算编制质量：</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val="0"/>
          <w:sz w:val="32"/>
          <w:szCs w:val="32"/>
          <w:lang w:val="zh-CN"/>
        </w:rPr>
      </w:pPr>
      <w:r>
        <w:rPr>
          <w:rFonts w:hint="eastAsia" w:ascii="仿宋" w:eastAsia="仿宋" w:cs="仿宋_GB2312"/>
          <w:b w:val="0"/>
          <w:bCs w:val="0"/>
          <w:sz w:val="32"/>
          <w:szCs w:val="32"/>
        </w:rPr>
        <w:t>金川县</w:t>
      </w:r>
      <w:r>
        <w:rPr>
          <w:rFonts w:hint="eastAsia" w:ascii="仿宋" w:eastAsia="仿宋" w:cs="仿宋_GB2312"/>
          <w:b w:val="0"/>
          <w:bCs w:val="0"/>
          <w:sz w:val="32"/>
          <w:szCs w:val="32"/>
          <w:lang w:val="en-US" w:eastAsia="zh-CN"/>
        </w:rPr>
        <w:t>退役军人事务局</w:t>
      </w:r>
      <w:r>
        <w:rPr>
          <w:rFonts w:hint="eastAsia" w:ascii="仿宋" w:eastAsia="仿宋" w:cs="仿宋_GB2312"/>
          <w:b w:val="0"/>
          <w:bCs w:val="0"/>
          <w:sz w:val="32"/>
          <w:szCs w:val="32"/>
        </w:rPr>
        <w:t>严格按照县级部门对预算编制的相关要求。绩效目标制定，做到了要素的完整，以及指标细化、量化。202</w:t>
      </w:r>
      <w:r>
        <w:rPr>
          <w:rFonts w:hint="eastAsia" w:ascii="仿宋" w:eastAsia="仿宋" w:cs="仿宋_GB2312"/>
          <w:b w:val="0"/>
          <w:bCs w:val="0"/>
          <w:sz w:val="32"/>
          <w:szCs w:val="32"/>
          <w:lang w:val="en-US" w:eastAsia="zh-CN"/>
        </w:rPr>
        <w:t>1</w:t>
      </w:r>
      <w:r>
        <w:rPr>
          <w:rFonts w:hint="eastAsia" w:ascii="仿宋" w:eastAsia="仿宋" w:cs="仿宋_GB2312"/>
          <w:b w:val="0"/>
          <w:bCs w:val="0"/>
          <w:sz w:val="32"/>
          <w:szCs w:val="32"/>
        </w:rPr>
        <w:t>年</w:t>
      </w:r>
      <w:r>
        <w:rPr>
          <w:rFonts w:hint="eastAsia" w:ascii="仿宋" w:eastAsia="仿宋" w:cs="仿宋_GB2312"/>
          <w:b w:val="0"/>
          <w:bCs w:val="0"/>
          <w:sz w:val="32"/>
          <w:szCs w:val="32"/>
          <w:lang w:val="zh-CN"/>
        </w:rPr>
        <w:t>年初预算科学准确，实际完成情况与预期绩效目标基本一致，部门公务经费支出与年初预算基本一致。单位预算内支出进度达标</w:t>
      </w:r>
      <w:r>
        <w:rPr>
          <w:rFonts w:hint="eastAsia" w:ascii="仿宋" w:eastAsia="仿宋" w:cs="仿宋_GB2312"/>
          <w:b w:val="0"/>
          <w:bCs w:val="0"/>
          <w:sz w:val="32"/>
          <w:szCs w:val="32"/>
        </w:rPr>
        <w:t>，年底预算情况全部完成。部门决算、绩效目标、及年末结余结转严格按照县财政局的要求严格完成，无违规记录。</w:t>
      </w:r>
    </w:p>
    <w:p>
      <w:pPr>
        <w:pBdr>
          <w:bottom w:val="single" w:color="FFFFFF" w:sz="4" w:space="29"/>
        </w:pBdr>
        <w:tabs>
          <w:tab w:val="left" w:pos="1440"/>
        </w:tabs>
        <w:autoSpaceDE w:val="0"/>
        <w:autoSpaceDN w:val="0"/>
        <w:spacing w:line="560" w:lineRule="exact"/>
        <w:ind w:firstLine="642" w:firstLineChars="200"/>
        <w:jc w:val="left"/>
        <w:rPr>
          <w:rFonts w:hint="eastAsia" w:ascii="仿宋" w:eastAsia="仿宋" w:cs="仿宋_GB2312"/>
          <w:b/>
          <w:bCs w:val="0"/>
          <w:sz w:val="32"/>
          <w:szCs w:val="32"/>
        </w:rPr>
      </w:pPr>
      <w:r>
        <w:rPr>
          <w:rFonts w:hint="eastAsia" w:ascii="仿宋" w:eastAsia="仿宋" w:cs="仿宋_GB2312"/>
          <w:b/>
          <w:bCs w:val="0"/>
          <w:sz w:val="32"/>
          <w:szCs w:val="32"/>
        </w:rPr>
        <w:t>（二）结果应用情况</w:t>
      </w:r>
    </w:p>
    <w:p>
      <w:pPr>
        <w:numPr>
          <w:ilvl w:val="0"/>
          <w:numId w:val="0"/>
        </w:numPr>
        <w:pBdr>
          <w:bottom w:val="single" w:color="FFFFFF" w:sz="4" w:space="29"/>
        </w:pBdr>
        <w:tabs>
          <w:tab w:val="left" w:pos="0"/>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内控制度管理：202</w:t>
      </w: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年我局</w:t>
      </w:r>
      <w:r>
        <w:rPr>
          <w:rFonts w:hint="eastAsia" w:ascii="仿宋" w:eastAsia="仿宋" w:cs="仿宋_GB2312"/>
          <w:b w:val="0"/>
          <w:bCs/>
          <w:sz w:val="32"/>
          <w:szCs w:val="32"/>
          <w:lang w:val="en-US" w:eastAsia="zh-CN"/>
        </w:rPr>
        <w:t>完善</w:t>
      </w:r>
      <w:r>
        <w:rPr>
          <w:rFonts w:hint="eastAsia" w:ascii="仿宋" w:eastAsia="仿宋" w:cs="仿宋_GB2312"/>
          <w:b w:val="0"/>
          <w:bCs/>
          <w:sz w:val="32"/>
          <w:szCs w:val="32"/>
        </w:rPr>
        <w:t>了收支管理制度、会计档案管理制度、资产管理制度、合同管理制度、决策管理制度及相关制度流程图。</w:t>
      </w:r>
    </w:p>
    <w:p>
      <w:pPr>
        <w:numPr>
          <w:ilvl w:val="0"/>
          <w:numId w:val="6"/>
        </w:num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根据相关要求，单位使用预算资金基本符合相关的预算财务管理制度，我局在财政局下达预决算批复后20日内在指定网站公开预决算信息。</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lang w:val="en-US" w:eastAsia="zh-CN"/>
        </w:rPr>
        <w:t>3</w:t>
      </w:r>
      <w:r>
        <w:rPr>
          <w:rFonts w:hint="eastAsia" w:ascii="仿宋" w:eastAsia="仿宋" w:cs="仿宋_GB2312"/>
          <w:b w:val="0"/>
          <w:bCs/>
          <w:sz w:val="32"/>
          <w:szCs w:val="32"/>
        </w:rPr>
        <w:t>、绩效评价：202</w:t>
      </w: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年根据相关文件要求，单位编制了202</w:t>
      </w: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年部门整体支出绩效目标并认真组织开展部门整体绩效文件工作并且按照相关要求进行绩效自我评价，按要求及时上报，绩效评价及依法接受财政监督情况等。</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lang w:val="en-US" w:eastAsia="zh-CN"/>
        </w:rPr>
        <w:t>4</w:t>
      </w:r>
      <w:r>
        <w:rPr>
          <w:rFonts w:hint="eastAsia" w:ascii="仿宋" w:eastAsia="仿宋" w:cs="仿宋_GB2312"/>
          <w:b w:val="0"/>
          <w:bCs/>
          <w:sz w:val="32"/>
          <w:szCs w:val="32"/>
        </w:rPr>
        <w:t>、整体绩效：我局按照规定完全履行职责，整体评价良好，服务对象基本满意从预算执行来情况看，预算资金覆盖我局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pBdr>
          <w:bottom w:val="single" w:color="FFFFFF" w:sz="4" w:space="29"/>
        </w:pBdr>
        <w:tabs>
          <w:tab w:val="left" w:pos="1440"/>
        </w:tabs>
        <w:autoSpaceDE w:val="0"/>
        <w:autoSpaceDN w:val="0"/>
        <w:spacing w:line="560" w:lineRule="exact"/>
        <w:ind w:firstLine="642" w:firstLineChars="200"/>
        <w:jc w:val="left"/>
        <w:rPr>
          <w:rFonts w:hint="eastAsia" w:ascii="黑体" w:cs="宋体"/>
          <w:b/>
          <w:bCs w:val="0"/>
          <w:kern w:val="0"/>
          <w:sz w:val="32"/>
        </w:rPr>
      </w:pPr>
      <w:r>
        <w:rPr>
          <w:rFonts w:hint="eastAsia" w:ascii="黑体" w:cs="宋体"/>
          <w:b/>
          <w:bCs w:val="0"/>
          <w:kern w:val="0"/>
          <w:sz w:val="32"/>
        </w:rPr>
        <w:t>四、评价结论及建议</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（一）评价结论。整体评价良好，预算支出和决算支出情况相符。</w:t>
      </w:r>
    </w:p>
    <w:p>
      <w:pPr>
        <w:pBdr>
          <w:bottom w:val="single" w:color="FFFFFF" w:sz="4" w:space="29"/>
        </w:pBdr>
        <w:tabs>
          <w:tab w:val="left" w:pos="1440"/>
        </w:tabs>
        <w:autoSpaceDE w:val="0"/>
        <w:autoSpaceDN w:val="0"/>
        <w:spacing w:line="560" w:lineRule="exact"/>
        <w:ind w:firstLine="640" w:firstLineChars="200"/>
        <w:jc w:val="left"/>
        <w:rPr>
          <w:rFonts w:ascii="仿宋" w:hAnsi="仿宋" w:eastAsia="仿宋" w:cs="仿宋"/>
          <w:b w:val="0"/>
          <w:bCs/>
          <w:sz w:val="32"/>
          <w:szCs w:val="32"/>
        </w:rPr>
      </w:pPr>
      <w:r>
        <w:rPr>
          <w:rFonts w:hint="eastAsia" w:ascii="仿宋" w:eastAsia="仿宋" w:cs="仿宋_GB2312"/>
          <w:b w:val="0"/>
          <w:bCs/>
          <w:sz w:val="32"/>
          <w:szCs w:val="32"/>
        </w:rPr>
        <w:t>（二）存在问题。</w:t>
      </w:r>
      <w:r>
        <w:rPr>
          <w:rFonts w:hint="eastAsia" w:ascii="仿宋" w:hAnsi="仿宋" w:eastAsia="仿宋" w:cs="仿宋"/>
          <w:b w:val="0"/>
          <w:bCs/>
          <w:sz w:val="32"/>
          <w:szCs w:val="32"/>
          <w:lang w:val="zh-CN"/>
        </w:rPr>
        <w:t>通过对我</w:t>
      </w:r>
      <w:r>
        <w:rPr>
          <w:rFonts w:hint="eastAsia" w:ascii="仿宋" w:hAnsi="仿宋" w:eastAsia="仿宋" w:cs="仿宋"/>
          <w:b w:val="0"/>
          <w:bCs/>
          <w:sz w:val="32"/>
          <w:szCs w:val="32"/>
        </w:rPr>
        <w:t>单位</w:t>
      </w:r>
      <w:r>
        <w:rPr>
          <w:rFonts w:hint="eastAsia" w:ascii="仿宋" w:hAnsi="仿宋" w:eastAsia="仿宋" w:cs="仿宋"/>
          <w:b w:val="0"/>
          <w:bCs/>
          <w:sz w:val="32"/>
          <w:szCs w:val="32"/>
          <w:lang w:val="zh-CN"/>
        </w:rPr>
        <w:t>整体支出情况的分析，反映出目前整体支出的预算编制、执行和管理过程中，</w:t>
      </w:r>
      <w:r>
        <w:rPr>
          <w:rFonts w:hint="eastAsia" w:ascii="仿宋" w:hAnsi="仿宋" w:eastAsia="仿宋" w:cs="仿宋"/>
          <w:b w:val="0"/>
          <w:bCs/>
          <w:sz w:val="32"/>
          <w:szCs w:val="32"/>
        </w:rPr>
        <w:t>主要存在两点不足。一是</w:t>
      </w:r>
      <w:r>
        <w:rPr>
          <w:rFonts w:hint="eastAsia" w:ascii="仿宋" w:hAnsi="仿宋" w:eastAsia="仿宋" w:cs="仿宋"/>
          <w:b w:val="0"/>
          <w:bCs/>
          <w:sz w:val="32"/>
          <w:szCs w:val="32"/>
          <w:lang w:val="en-US" w:eastAsia="zh-CN"/>
        </w:rPr>
        <w:t>项目</w:t>
      </w:r>
      <w:r>
        <w:rPr>
          <w:rFonts w:hint="eastAsia" w:ascii="仿宋" w:hAnsi="仿宋" w:eastAsia="仿宋" w:cs="仿宋"/>
          <w:b w:val="0"/>
          <w:bCs/>
          <w:sz w:val="32"/>
          <w:szCs w:val="32"/>
        </w:rPr>
        <w:t>支出进度较缓；二是部门决算上报处理效率还需继续提升。</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改进建议。在202</w:t>
      </w:r>
      <w:r>
        <w:rPr>
          <w:rFonts w:hint="eastAsia" w:ascii="仿宋" w:eastAsia="仿宋" w:cs="仿宋_GB2312"/>
          <w:b w:val="0"/>
          <w:bCs/>
          <w:sz w:val="32"/>
          <w:szCs w:val="32"/>
          <w:lang w:val="en-US" w:eastAsia="zh-CN"/>
        </w:rPr>
        <w:t>2</w:t>
      </w:r>
      <w:r>
        <w:rPr>
          <w:rFonts w:hint="eastAsia" w:ascii="仿宋" w:eastAsia="仿宋" w:cs="仿宋_GB2312"/>
          <w:b w:val="0"/>
          <w:bCs/>
          <w:sz w:val="32"/>
          <w:szCs w:val="32"/>
        </w:rPr>
        <w:t>年我局严格执行财经纪律制度，督促财务工作有序开展，切实加强财务人员的业务培训，认真组织财务人员学习相关法律、法规，切实增强财经法制观念，进一步提高财务管理能力和会计业务水平。</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p>
    <w:p>
      <w:pPr>
        <w:pStyle w:val="3"/>
        <w:pageBreakBefore w:val="0"/>
        <w:kinsoku/>
        <w:wordWrap/>
        <w:overflowPunct/>
        <w:topLinePunct w:val="0"/>
        <w:bidi w:val="0"/>
        <w:spacing w:line="560" w:lineRule="exact"/>
        <w:ind w:left="0" w:firstLine="642" w:firstLineChars="200"/>
        <w:jc w:val="center"/>
        <w:textAlignment w:val="auto"/>
        <w:rPr>
          <w:rFonts w:hint="default" w:ascii="Times New Roman" w:hAnsi="Times New Roman" w:cs="Times New Roman"/>
          <w:sz w:val="32"/>
          <w:szCs w:val="32"/>
        </w:rPr>
      </w:pPr>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p>
    <w:p>
      <w:pPr>
        <w:pStyle w:val="2"/>
        <w:rPr>
          <w:rFonts w:hint="default" w:ascii="Times New Roman" w:hAnsi="Times New Roman" w:cs="Times New Roman"/>
          <w:sz w:val="32"/>
          <w:szCs w:val="32"/>
        </w:rPr>
      </w:pPr>
    </w:p>
    <w:p>
      <w:pPr>
        <w:pStyle w:val="2"/>
        <w:rPr>
          <w:rFonts w:hint="default" w:ascii="Times New Roman" w:hAnsi="Times New Roman" w:cs="Times New Roman"/>
          <w:sz w:val="32"/>
          <w:szCs w:val="32"/>
        </w:rPr>
      </w:pPr>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p>
    <w:p>
      <w:pPr>
        <w:pStyle w:val="3"/>
        <w:pageBreakBefore w:val="0"/>
        <w:kinsoku/>
        <w:wordWrap/>
        <w:overflowPunct/>
        <w:topLinePunct w:val="0"/>
        <w:bidi w:val="0"/>
        <w:spacing w:line="560" w:lineRule="exact"/>
        <w:ind w:left="0" w:firstLine="642" w:firstLineChars="200"/>
        <w:jc w:val="center"/>
        <w:textAlignment w:val="auto"/>
        <w:rPr>
          <w:rFonts w:hint="default" w:ascii="Times New Roman" w:hAnsi="Times New Roman" w:cs="Times New Roman"/>
          <w:sz w:val="32"/>
          <w:szCs w:val="32"/>
        </w:rPr>
      </w:pPr>
    </w:p>
    <w:p>
      <w:pPr>
        <w:pageBreakBefore w:val="0"/>
        <w:kinsoku/>
        <w:wordWrap/>
        <w:overflowPunct/>
        <w:topLinePunct w:val="0"/>
        <w:bidi w:val="0"/>
        <w:spacing w:line="560" w:lineRule="exact"/>
        <w:ind w:left="0" w:leftChars="0" w:firstLine="0" w:firstLineChars="0"/>
        <w:textAlignment w:val="auto"/>
        <w:rPr>
          <w:rFonts w:hint="default" w:ascii="Times New Roman" w:hAnsi="Times New Roman" w:cs="Times New Roman"/>
          <w:sz w:val="32"/>
          <w:szCs w:val="32"/>
        </w:rPr>
      </w:pPr>
    </w:p>
    <w:p>
      <w:pPr>
        <w:pStyle w:val="3"/>
        <w:pageBreakBefore w:val="0"/>
        <w:kinsoku/>
        <w:wordWrap/>
        <w:overflowPunct/>
        <w:topLinePunct w:val="0"/>
        <w:bidi w:val="0"/>
        <w:spacing w:line="560" w:lineRule="exact"/>
        <w:ind w:left="0" w:firstLine="880" w:firstLineChars="200"/>
        <w:jc w:val="center"/>
        <w:textAlignment w:val="auto"/>
        <w:rPr>
          <w:rFonts w:hint="default" w:ascii="Times New Roman" w:hAnsi="Times New Roman" w:eastAsia="方正小标宋简体" w:cs="Times New Roman"/>
          <w:b w:val="0"/>
          <w:bCs/>
          <w:sz w:val="44"/>
          <w:szCs w:val="44"/>
        </w:rPr>
      </w:pPr>
      <w:bookmarkStart w:id="81" w:name="_Toc26602"/>
      <w:bookmarkStart w:id="82" w:name="_Toc14763"/>
      <w:r>
        <w:rPr>
          <w:rFonts w:hint="default" w:ascii="Times New Roman" w:hAnsi="Times New Roman" w:eastAsia="方正小标宋简体" w:cs="Times New Roman"/>
          <w:b w:val="0"/>
          <w:bCs/>
          <w:sz w:val="44"/>
          <w:szCs w:val="44"/>
        </w:rPr>
        <w:t>第五部分附表</w:t>
      </w:r>
      <w:bookmarkEnd w:id="79"/>
      <w:bookmarkEnd w:id="80"/>
      <w:bookmarkEnd w:id="81"/>
      <w:bookmarkEnd w:id="82"/>
    </w:p>
    <w:p>
      <w:pPr>
        <w:snapToGrid w:val="0"/>
        <w:jc w:val="left"/>
        <w:rPr>
          <w:rFonts w:hint="eastAsia" w:ascii="黑体" w:cs="黑体"/>
          <w:szCs w:val="44"/>
        </w:rPr>
      </w:pP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一、收入支出决算总表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二、收入总表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三、支出总表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四、财政拨款收入支出决算总表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五、财政拨款支出决算明细表（政府经济分类科目）</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六、一般公共预算财政拨款支出决算表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七、一般公共预算财政拨款支出决算明细表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八、一般公共预算财政拨款基本支出决算表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九、一般公共预算财政拨款项目支出决算表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十、一般公共预算财政拨款“三公”经费支出决算表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十一、政府性基金预算财政拨款收入支出决算表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十二、政府性基金预算财政拨款“三公”经费支出决算表</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十三、国有资产经营预算支出决算表</w:t>
      </w:r>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p>
    <w:sectPr>
      <w:footerReference r:id="rId12"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roman"/>
    <w:pitch w:val="default"/>
    <w:sig w:usb0="E7006EFF" w:usb1="D200FDFF" w:usb2="0A246029" w:usb3="0400200C" w:csb0="600001FF" w:csb1="DFFF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4</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AKkLCq1AQAAVAMAAA4AAAAAAAAAAQAgAAAANAEAAGRycy9lMm9E&#10;b2MueG1sUEsFBgAAAAAGAAYAWQEAAFs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108E1F"/>
    <w:multiLevelType w:val="singleLevel"/>
    <w:tmpl w:val="86108E1F"/>
    <w:lvl w:ilvl="0" w:tentative="0">
      <w:start w:val="1"/>
      <w:numFmt w:val="decimal"/>
      <w:suff w:val="nothing"/>
      <w:lvlText w:val="（%1）"/>
      <w:lvlJc w:val="left"/>
    </w:lvl>
  </w:abstractNum>
  <w:abstractNum w:abstractNumId="1">
    <w:nsid w:val="B660F902"/>
    <w:multiLevelType w:val="singleLevel"/>
    <w:tmpl w:val="B660F902"/>
    <w:lvl w:ilvl="0" w:tentative="0">
      <w:start w:val="2"/>
      <w:numFmt w:val="decimal"/>
      <w:suff w:val="nothing"/>
      <w:lvlText w:val="%1、"/>
      <w:lvlJc w:val="left"/>
      <w:pPr>
        <w:tabs>
          <w:tab w:val="left" w:pos="0"/>
        </w:tabs>
        <w:ind w:left="0" w:firstLine="0"/>
      </w:pPr>
    </w:lvl>
  </w:abstractNum>
  <w:abstractNum w:abstractNumId="2">
    <w:nsid w:val="FC769A98"/>
    <w:multiLevelType w:val="singleLevel"/>
    <w:tmpl w:val="FC769A98"/>
    <w:lvl w:ilvl="0" w:tentative="0">
      <w:start w:val="1"/>
      <w:numFmt w:val="chineseCounting"/>
      <w:suff w:val="nothing"/>
      <w:lvlText w:val="（%1）"/>
      <w:lvlJc w:val="left"/>
      <w:pPr>
        <w:tabs>
          <w:tab w:val="left" w:pos="0"/>
        </w:tabs>
        <w:ind w:left="0" w:firstLine="0"/>
      </w:pPr>
      <w:rPr>
        <w:rFonts w:hint="eastAsia"/>
      </w:rPr>
    </w:lvl>
  </w:abstractNum>
  <w:abstractNum w:abstractNumId="3">
    <w:nsid w:val="0F29D89B"/>
    <w:multiLevelType w:val="singleLevel"/>
    <w:tmpl w:val="0F29D89B"/>
    <w:lvl w:ilvl="0" w:tentative="0">
      <w:start w:val="1"/>
      <w:numFmt w:val="chineseCounting"/>
      <w:suff w:val="nothing"/>
      <w:lvlText w:val="（%1）"/>
      <w:lvlJc w:val="left"/>
      <w:pPr>
        <w:tabs>
          <w:tab w:val="left" w:pos="0"/>
        </w:tabs>
        <w:ind w:left="0" w:firstLine="0"/>
      </w:pPr>
      <w:rPr>
        <w:rFonts w:hint="eastAsia" w:cs="Times New Roman"/>
      </w:rPr>
    </w:lvl>
  </w:abstractNum>
  <w:abstractNum w:abstractNumId="4">
    <w:nsid w:val="51260672"/>
    <w:multiLevelType w:val="singleLevel"/>
    <w:tmpl w:val="51260672"/>
    <w:lvl w:ilvl="0" w:tentative="0">
      <w:start w:val="1"/>
      <w:numFmt w:val="decimal"/>
      <w:lvlText w:val="%1."/>
      <w:lvlJc w:val="left"/>
      <w:pPr>
        <w:tabs>
          <w:tab w:val="left" w:pos="312"/>
        </w:tabs>
      </w:pPr>
    </w:lvl>
  </w:abstractNum>
  <w:abstractNum w:abstractNumId="5">
    <w:nsid w:val="5683897A"/>
    <w:multiLevelType w:val="singleLevel"/>
    <w:tmpl w:val="5683897A"/>
    <w:lvl w:ilvl="0" w:tentative="0">
      <w:start w:val="1"/>
      <w:numFmt w:val="chineseCounting"/>
      <w:suff w:val="nothing"/>
      <w:lvlText w:val="%1、"/>
      <w:lvlJc w:val="left"/>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NDBkYzA4OWVjMjNkZTgzOTRiZmZmMDM0MDM0YmYifQ=="/>
  </w:docVars>
  <w:rsids>
    <w:rsidRoot w:val="4F8351D0"/>
    <w:rsid w:val="02471A55"/>
    <w:rsid w:val="05361B69"/>
    <w:rsid w:val="0BE42D0C"/>
    <w:rsid w:val="0CFA5D7A"/>
    <w:rsid w:val="0D2E03F9"/>
    <w:rsid w:val="0DD41378"/>
    <w:rsid w:val="110D6070"/>
    <w:rsid w:val="11602D87"/>
    <w:rsid w:val="13070B2A"/>
    <w:rsid w:val="159873F6"/>
    <w:rsid w:val="1C174D37"/>
    <w:rsid w:val="1C4F65C7"/>
    <w:rsid w:val="1D043119"/>
    <w:rsid w:val="1DB75627"/>
    <w:rsid w:val="1ECB06C1"/>
    <w:rsid w:val="1F5B3D90"/>
    <w:rsid w:val="235B675F"/>
    <w:rsid w:val="24EF7670"/>
    <w:rsid w:val="3083096E"/>
    <w:rsid w:val="30F10937"/>
    <w:rsid w:val="31876ED9"/>
    <w:rsid w:val="32EB6030"/>
    <w:rsid w:val="341A7A00"/>
    <w:rsid w:val="381E409C"/>
    <w:rsid w:val="3A3C1398"/>
    <w:rsid w:val="3A4F02BC"/>
    <w:rsid w:val="3D2D6B2F"/>
    <w:rsid w:val="3E614EDE"/>
    <w:rsid w:val="403C197B"/>
    <w:rsid w:val="40AD420F"/>
    <w:rsid w:val="42A476AC"/>
    <w:rsid w:val="4440539A"/>
    <w:rsid w:val="45082784"/>
    <w:rsid w:val="45DE4E6B"/>
    <w:rsid w:val="4712301E"/>
    <w:rsid w:val="4CA87F80"/>
    <w:rsid w:val="4D5A647C"/>
    <w:rsid w:val="4DA132D9"/>
    <w:rsid w:val="4E4361B3"/>
    <w:rsid w:val="4F8351D0"/>
    <w:rsid w:val="550D19E1"/>
    <w:rsid w:val="5A1078D0"/>
    <w:rsid w:val="60EF6FE2"/>
    <w:rsid w:val="62581361"/>
    <w:rsid w:val="62BA4457"/>
    <w:rsid w:val="62D809D6"/>
    <w:rsid w:val="65436640"/>
    <w:rsid w:val="67917361"/>
    <w:rsid w:val="6AAD47A3"/>
    <w:rsid w:val="6C426A44"/>
    <w:rsid w:val="6CC91B21"/>
    <w:rsid w:val="6D225B80"/>
    <w:rsid w:val="71DE36F8"/>
    <w:rsid w:val="77844FC2"/>
    <w:rsid w:val="799E5694"/>
    <w:rsid w:val="7CF73522"/>
    <w:rsid w:val="7D806949"/>
    <w:rsid w:val="7DA41F1A"/>
    <w:rsid w:val="7FFFEFE9"/>
    <w:rsid w:val="AFFF25C9"/>
    <w:rsid w:val="DEFFC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4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line="576" w:lineRule="exact"/>
      <w:ind w:firstLine="200"/>
      <w:outlineLvl w:val="0"/>
    </w:pPr>
    <w:rPr>
      <w:rFonts w:eastAsia="黑体"/>
      <w:b/>
      <w:kern w:val="44"/>
    </w:rPr>
  </w:style>
  <w:style w:type="paragraph" w:styleId="4">
    <w:name w:val="heading 2"/>
    <w:basedOn w:val="1"/>
    <w:next w:val="1"/>
    <w:link w:val="19"/>
    <w:qFormat/>
    <w:uiPriority w:val="0"/>
    <w:pPr>
      <w:keepNext/>
      <w:keepLines/>
      <w:spacing w:line="576" w:lineRule="exact"/>
      <w:ind w:firstLine="200"/>
      <w:outlineLvl w:val="1"/>
    </w:pPr>
    <w:rPr>
      <w:rFonts w:ascii="Arial" w:hAnsi="Arial" w:eastAsia="楷体"/>
      <w:b/>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Subtitle"/>
    <w:basedOn w:val="1"/>
    <w:qFormat/>
    <w:uiPriority w:val="11"/>
    <w:pPr>
      <w:spacing w:before="240" w:after="60" w:line="312" w:lineRule="auto"/>
      <w:jc w:val="center"/>
      <w:outlineLvl w:val="1"/>
    </w:pPr>
    <w:rPr>
      <w:rFonts w:ascii="DejaVu Sans" w:hAnsi="DejaVu Sans"/>
      <w:kern w:val="28"/>
    </w:rPr>
  </w:style>
  <w:style w:type="paragraph" w:styleId="5">
    <w:name w:val="Body Text"/>
    <w:basedOn w:val="1"/>
    <w:unhideWhenUsed/>
    <w:qFormat/>
    <w:uiPriority w:val="99"/>
    <w:pPr>
      <w:spacing w:after="120"/>
    </w:pPr>
  </w:style>
  <w:style w:type="paragraph" w:styleId="6">
    <w:name w:val="Body Text Indent"/>
    <w:basedOn w:val="1"/>
    <w:qFormat/>
    <w:uiPriority w:val="0"/>
    <w:pPr>
      <w:tabs>
        <w:tab w:val="left" w:pos="960"/>
      </w:tabs>
      <w:spacing w:line="540" w:lineRule="exact"/>
      <w:ind w:firstLine="1700" w:firstLineChars="1700"/>
    </w:pPr>
    <w:rPr>
      <w:sz w:val="32"/>
      <w:szCs w:val="32"/>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5"/>
    <w:qFormat/>
    <w:uiPriority w:val="0"/>
    <w:pPr>
      <w:ind w:firstLine="420" w:firstLineChars="100"/>
    </w:pPr>
    <w:rPr>
      <w:rFonts w:ascii="Calibri" w:hAnsi="Calibri" w:eastAsia="宋体"/>
      <w:sz w:val="21"/>
    </w:rPr>
  </w:style>
  <w:style w:type="paragraph" w:styleId="14">
    <w:name w:val="Body Text First Indent 2"/>
    <w:basedOn w:val="6"/>
    <w:qFormat/>
    <w:uiPriority w:val="0"/>
    <w:pPr>
      <w:ind w:firstLine="200" w:firstLineChars="200"/>
    </w:p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9">
    <w:name w:val="标题 2 Char"/>
    <w:basedOn w:val="16"/>
    <w:link w:val="4"/>
    <w:qFormat/>
    <w:uiPriority w:val="0"/>
    <w:rPr>
      <w:rFonts w:ascii="Arial" w:hAnsi="Arial" w:eastAsia="楷体"/>
      <w: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2021</a:t>
            </a:r>
            <a:r>
              <a:rPr altLang="en-US"/>
              <a:t>年收支对比图</a:t>
            </a:r>
            <a:endParaRPr lang="en-US" altLang="zh-CN"/>
          </a:p>
        </c:rich>
      </c:tx>
      <c:layout/>
      <c:overlay val="false"/>
      <c:spPr>
        <a:noFill/>
        <a:ln>
          <a:noFill/>
        </a:ln>
        <a:effectLst/>
      </c:spPr>
    </c:title>
    <c:autoTitleDeleted val="false"/>
    <c:plotArea>
      <c:layout/>
      <c:barChart>
        <c:barDir val="col"/>
        <c:grouping val="clustered"/>
        <c:varyColors val="false"/>
        <c:ser>
          <c:idx val="0"/>
          <c:order val="0"/>
          <c:tx>
            <c:strRef>
              <c:f>'[新建 XLSX 工作表.xlsx]Sheet1'!$A$29</c:f>
              <c:strCache>
                <c:ptCount val="1"/>
                <c:pt idx="0">
                  <c:v>2020年</c:v>
                </c:pt>
              </c:strCache>
            </c:strRef>
          </c:tx>
          <c:spPr>
            <a:solidFill>
              <a:srgbClr val="4F81BD"/>
            </a:solidFill>
            <a:ln>
              <a:noFill/>
            </a:ln>
            <a:effectLst/>
          </c:spPr>
          <c:invertIfNegative val="false"/>
          <c:dLbls>
            <c:delete val="true"/>
          </c:dLbls>
          <c:cat>
            <c:strRef>
              <c:f>'[新建 XLSX 工作表.xlsx]Sheet1'!$B$28:$C$28</c:f>
              <c:strCache>
                <c:ptCount val="2"/>
                <c:pt idx="0">
                  <c:v>总收入</c:v>
                </c:pt>
                <c:pt idx="1">
                  <c:v>总支出</c:v>
                </c:pt>
              </c:strCache>
            </c:strRef>
          </c:cat>
          <c:val>
            <c:numRef>
              <c:f>'[新建 XLSX 工作表.xlsx]Sheet1'!$B$29:$C$29</c:f>
              <c:numCache>
                <c:formatCode>General</c:formatCode>
                <c:ptCount val="2"/>
                <c:pt idx="0">
                  <c:v>671.03</c:v>
                </c:pt>
                <c:pt idx="1">
                  <c:v>656.51</c:v>
                </c:pt>
              </c:numCache>
            </c:numRef>
          </c:val>
        </c:ser>
        <c:ser>
          <c:idx val="1"/>
          <c:order val="1"/>
          <c:tx>
            <c:strRef>
              <c:f>'[新建 XLSX 工作表.xlsx]Sheet1'!$A$30</c:f>
              <c:strCache>
                <c:ptCount val="1"/>
                <c:pt idx="0">
                  <c:v>2021年</c:v>
                </c:pt>
              </c:strCache>
            </c:strRef>
          </c:tx>
          <c:spPr>
            <a:solidFill>
              <a:srgbClr val="C0504D"/>
            </a:solidFill>
            <a:ln>
              <a:noFill/>
            </a:ln>
            <a:effectLst/>
          </c:spPr>
          <c:invertIfNegative val="false"/>
          <c:dLbls>
            <c:delete val="true"/>
          </c:dLbls>
          <c:cat>
            <c:strRef>
              <c:f>'[新建 XLSX 工作表.xlsx]Sheet1'!$B$28:$C$28</c:f>
              <c:strCache>
                <c:ptCount val="2"/>
                <c:pt idx="0">
                  <c:v>总收入</c:v>
                </c:pt>
                <c:pt idx="1">
                  <c:v>总支出</c:v>
                </c:pt>
              </c:strCache>
            </c:strRef>
          </c:cat>
          <c:val>
            <c:numRef>
              <c:f>'[新建 XLSX 工作表.xlsx]Sheet1'!$B$30:$C$30</c:f>
              <c:numCache>
                <c:formatCode>General</c:formatCode>
                <c:ptCount val="2"/>
                <c:pt idx="0">
                  <c:v>831.7</c:v>
                </c:pt>
                <c:pt idx="1">
                  <c:v>894.98</c:v>
                </c:pt>
              </c:numCache>
            </c:numRef>
          </c:val>
        </c:ser>
        <c:dLbls>
          <c:showLegendKey val="false"/>
          <c:showVal val="false"/>
          <c:showCatName val="false"/>
          <c:showSerName val="false"/>
          <c:showPercent val="false"/>
          <c:showBubbleSize val="false"/>
        </c:dLbls>
        <c:gapWidth val="219"/>
        <c:overlap val="-27"/>
        <c:axId val="760639494"/>
        <c:axId val="128390419"/>
      </c:barChart>
      <c:catAx>
        <c:axId val="760639494"/>
        <c:scaling>
          <c:orientation val="minMax"/>
        </c:scaling>
        <c:delete val="false"/>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128390419"/>
        <c:crosses val="autoZero"/>
        <c:auto val="true"/>
        <c:lblAlgn val="ctr"/>
        <c:lblOffset val="100"/>
        <c:noMultiLvlLbl val="false"/>
      </c:catAx>
      <c:valAx>
        <c:axId val="128390419"/>
        <c:scaling>
          <c:orientation val="minMax"/>
        </c:scaling>
        <c:delete val="false"/>
        <c:axPos val="l"/>
        <c:majorGridlines>
          <c:spPr>
            <a:ln w="9525" cap="flat" cmpd="sng" algn="ctr">
              <a:solidFill>
                <a:srgbClr val="D9D9D9">
                  <a:lumMod val="15000"/>
                  <a:lumOff val="85000"/>
                </a:srgb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760639494"/>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2021</a:t>
            </a:r>
            <a:r>
              <a:rPr altLang="en-US"/>
              <a:t>年支出情况</a:t>
            </a:r>
            <a:endParaRPr lang="en-US" altLang="zh-CN"/>
          </a:p>
        </c:rich>
      </c:tx>
      <c:layout/>
      <c:overlay val="false"/>
      <c:spPr>
        <a:noFill/>
        <a:ln>
          <a:noFill/>
        </a:ln>
        <a:effectLst/>
      </c:spPr>
    </c:title>
    <c:autoTitleDeleted val="false"/>
    <c:plotArea>
      <c:layout/>
      <c:barChart>
        <c:barDir val="col"/>
        <c:grouping val="clustered"/>
        <c:varyColors val="false"/>
        <c:ser>
          <c:idx val="0"/>
          <c:order val="0"/>
          <c:spPr>
            <a:solidFill>
              <a:srgbClr val="4F81BD"/>
            </a:solidFill>
            <a:ln>
              <a:noFill/>
            </a:ln>
            <a:effectLst/>
          </c:spPr>
          <c:invertIfNegative val="false"/>
          <c:dLbls>
            <c:delete val="true"/>
          </c:dLbls>
          <c:cat>
            <c:strRef>
              <c:f>'[新建 XLSX 工作表.xlsx]Sheet1'!$A$2:$A$5</c:f>
              <c:strCache>
                <c:ptCount val="4"/>
                <c:pt idx="0">
                  <c:v>基本支出</c:v>
                </c:pt>
                <c:pt idx="1">
                  <c:v>项目支出</c:v>
                </c:pt>
                <c:pt idx="2">
                  <c:v>上缴上级支出</c:v>
                </c:pt>
                <c:pt idx="3">
                  <c:v>经营支出</c:v>
                </c:pt>
              </c:strCache>
            </c:strRef>
          </c:cat>
          <c:val>
            <c:numRef>
              <c:f>'[新建 XLSX 工作表.xlsx]Sheet1'!$B$2:$B$5</c:f>
              <c:numCache>
                <c:formatCode>General</c:formatCode>
                <c:ptCount val="4"/>
                <c:pt idx="0">
                  <c:v>120.2</c:v>
                </c:pt>
                <c:pt idx="1">
                  <c:v>774.78</c:v>
                </c:pt>
                <c:pt idx="2">
                  <c:v>0</c:v>
                </c:pt>
                <c:pt idx="3">
                  <c:v>0</c:v>
                </c:pt>
              </c:numCache>
            </c:numRef>
          </c:val>
        </c:ser>
        <c:dLbls>
          <c:showLegendKey val="false"/>
          <c:showVal val="false"/>
          <c:showCatName val="false"/>
          <c:showSerName val="false"/>
          <c:showPercent val="false"/>
          <c:showBubbleSize val="false"/>
        </c:dLbls>
        <c:gapWidth val="219"/>
        <c:overlap val="-27"/>
        <c:axId val="417697130"/>
        <c:axId val="418452370"/>
      </c:barChart>
      <c:catAx>
        <c:axId val="417697130"/>
        <c:scaling>
          <c:orientation val="minMax"/>
        </c:scaling>
        <c:delete val="false"/>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418452370"/>
        <c:crosses val="autoZero"/>
        <c:auto val="true"/>
        <c:lblAlgn val="ctr"/>
        <c:lblOffset val="100"/>
        <c:noMultiLvlLbl val="false"/>
      </c:catAx>
      <c:valAx>
        <c:axId val="418452370"/>
        <c:scaling>
          <c:orientation val="minMax"/>
        </c:scaling>
        <c:delete val="false"/>
        <c:axPos val="l"/>
        <c:majorGridlines>
          <c:spPr>
            <a:ln w="9525" cap="flat" cmpd="sng" algn="ctr">
              <a:solidFill>
                <a:srgbClr val="D9D9D9">
                  <a:lumMod val="15000"/>
                  <a:lumOff val="85000"/>
                </a:srgb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crossAx val="417697130"/>
        <c:crosses val="autoZero"/>
        <c:crossBetween val="between"/>
      </c:valAx>
      <c:spPr>
        <a:noFill/>
        <a:ln>
          <a:noFill/>
        </a:ln>
        <a:effectLst/>
      </c:spPr>
    </c:plotArea>
    <c:plotVisOnly val="true"/>
    <c:dispBlanksAs val="gap"/>
    <c:showDLblsOverMax val="false"/>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人员经费</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Pt>
            <c:idx val="3"/>
            <c:bubble3D val="false"/>
            <c:spPr>
              <a:solidFill>
                <a:schemeClr val="accent4"/>
              </a:solidFill>
              <a:ln>
                <a:noFill/>
              </a:ln>
              <a:effectLst>
                <a:outerShdw blurRad="254000" sx="102000" sy="102000" algn="ctr" rotWithShape="0">
                  <a:prstClr val="black">
                    <a:alpha val="20000"/>
                  </a:prstClr>
                </a:outerShdw>
              </a:effectLst>
            </c:spPr>
          </c:dPt>
          <c:dPt>
            <c:idx val="4"/>
            <c:bubble3D val="false"/>
            <c:spPr>
              <a:solidFill>
                <a:schemeClr val="accent5"/>
              </a:solidFill>
              <a:ln>
                <a:noFill/>
              </a:ln>
              <a:effectLst>
                <a:outerShdw blurRad="254000" sx="102000" sy="102000" algn="ctr" rotWithShape="0">
                  <a:prstClr val="black">
                    <a:alpha val="20000"/>
                  </a:prstClr>
                </a:outerShdw>
              </a:effectLst>
            </c:spPr>
          </c:dPt>
          <c:dPt>
            <c:idx val="5"/>
            <c:bubble3D val="false"/>
            <c:spPr>
              <a:solidFill>
                <a:schemeClr val="accent6"/>
              </a:solidFill>
              <a:ln>
                <a:noFill/>
              </a:ln>
              <a:effectLst>
                <a:outerShdw blurRad="254000" sx="102000" sy="102000" algn="ctr" rotWithShape="0">
                  <a:prstClr val="black">
                    <a:alpha val="20000"/>
                  </a:prstClr>
                </a:outerShdw>
              </a:effectLst>
            </c:spPr>
          </c:dPt>
          <c:dPt>
            <c:idx val="6"/>
            <c:bubble3D val="false"/>
            <c:spPr>
              <a:solidFill>
                <a:schemeClr val="accent1">
                  <a:lumMod val="60000"/>
                </a:schemeClr>
              </a:solidFill>
              <a:ln>
                <a:noFill/>
              </a:ln>
              <a:effectLst>
                <a:outerShdw blurRad="254000" sx="102000" sy="102000" algn="ctr" rotWithShape="0">
                  <a:prstClr val="black">
                    <a:alpha val="20000"/>
                  </a:prstClr>
                </a:outerShdw>
              </a:effectLst>
            </c:spPr>
          </c:dPt>
          <c:dPt>
            <c:idx val="7"/>
            <c:bubble3D val="false"/>
            <c:spPr>
              <a:solidFill>
                <a:schemeClr val="accent2">
                  <a:lumMod val="60000"/>
                </a:schemeClr>
              </a:solidFill>
              <a:ln>
                <a:noFill/>
              </a:ln>
              <a:effectLst>
                <a:outerShdw blurRad="254000" sx="102000" sy="102000" algn="ctr" rotWithShape="0">
                  <a:prstClr val="black">
                    <a:alpha val="20000"/>
                  </a:prstClr>
                </a:outerShdw>
              </a:effectLst>
            </c:spPr>
          </c:dPt>
          <c:dPt>
            <c:idx val="8"/>
            <c:bubble3D val="false"/>
            <c:spPr>
              <a:solidFill>
                <a:schemeClr val="accent3">
                  <a:lumMod val="60000"/>
                </a:schemeClr>
              </a:solidFill>
              <a:ln>
                <a:noFill/>
              </a:ln>
              <a:effectLst>
                <a:outerShdw blurRad="254000" sx="102000" sy="102000" algn="ctr" rotWithShape="0">
                  <a:prstClr val="black">
                    <a:alpha val="20000"/>
                  </a:prstClr>
                </a:outerShdw>
              </a:effectLst>
            </c:spPr>
          </c:dPt>
          <c:dPt>
            <c:idx val="9"/>
            <c:bubble3D val="false"/>
            <c:spPr>
              <a:solidFill>
                <a:schemeClr val="accent4">
                  <a:lumMod val="60000"/>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Sheet1!$A$2:$A$11</c:f>
              <c:strCache>
                <c:ptCount val="10"/>
                <c:pt idx="0">
                  <c:v>基本工资</c:v>
                </c:pt>
                <c:pt idx="1">
                  <c:v>津贴补贴</c:v>
                </c:pt>
                <c:pt idx="2">
                  <c:v>奖金</c:v>
                </c:pt>
                <c:pt idx="3">
                  <c:v>养老保险</c:v>
                </c:pt>
                <c:pt idx="4">
                  <c:v>职业年金</c:v>
                </c:pt>
                <c:pt idx="5">
                  <c:v>其他社会保险</c:v>
                </c:pt>
                <c:pt idx="6">
                  <c:v>奖励金</c:v>
                </c:pt>
                <c:pt idx="7">
                  <c:v>职工医疗</c:v>
                </c:pt>
                <c:pt idx="8">
                  <c:v>公务员医疗</c:v>
                </c:pt>
                <c:pt idx="9">
                  <c:v>住房公积金</c:v>
                </c:pt>
              </c:strCache>
            </c:strRef>
          </c:cat>
          <c:val>
            <c:numRef>
              <c:f>Sheet1!$B$2:$B$11</c:f>
              <c:numCache>
                <c:formatCode>0.00%</c:formatCode>
                <c:ptCount val="10"/>
                <c:pt idx="0">
                  <c:v>0.221</c:v>
                </c:pt>
                <c:pt idx="1">
                  <c:v>0.28</c:v>
                </c:pt>
                <c:pt idx="2">
                  <c:v>0.02</c:v>
                </c:pt>
                <c:pt idx="3">
                  <c:v>0.08</c:v>
                </c:pt>
                <c:pt idx="4">
                  <c:v>0.04</c:v>
                </c:pt>
                <c:pt idx="5">
                  <c:v>0.006</c:v>
                </c:pt>
                <c:pt idx="6">
                  <c:v>0.223</c:v>
                </c:pt>
                <c:pt idx="7">
                  <c:v>0.04</c:v>
                </c:pt>
                <c:pt idx="8">
                  <c:v>0.01</c:v>
                </c:pt>
                <c:pt idx="9">
                  <c:v>0.08</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公用经费</a:t>
            </a:r>
          </a:p>
        </c:rich>
      </c:tx>
      <c:layout/>
      <c:overlay val="false"/>
      <c:spPr>
        <a:noFill/>
        <a:ln>
          <a:noFill/>
        </a:ln>
        <a:effectLst/>
      </c:spPr>
    </c:title>
    <c:autoTitleDeleted val="false"/>
    <c:plotArea>
      <c:layout/>
      <c:barChart>
        <c:barDir val="bar"/>
        <c:grouping val="clustered"/>
        <c:varyColors val="false"/>
        <c:ser>
          <c:idx val="0"/>
          <c:order val="0"/>
          <c:tx>
            <c:strRef>
              <c:f>Sheet1!$B$1</c:f>
              <c:strCache>
                <c:ptCount val="1"/>
                <c:pt idx="0">
                  <c:v>万元</c:v>
                </c:pt>
              </c:strCache>
            </c:strRef>
          </c:tx>
          <c:spPr>
            <a:solidFill>
              <a:schemeClr val="accent1"/>
            </a:solidFill>
            <a:ln>
              <a:noFill/>
            </a:ln>
            <a:effectLst/>
          </c:spPr>
          <c:invertIfNegative val="false"/>
          <c:dLbls>
            <c:delete val="true"/>
          </c:dLbls>
          <c:cat>
            <c:strRef>
              <c:f>Sheet1!$A$2:$A$8</c:f>
              <c:strCache>
                <c:ptCount val="7"/>
                <c:pt idx="0">
                  <c:v>办公费</c:v>
                </c:pt>
                <c:pt idx="1">
                  <c:v>水费</c:v>
                </c:pt>
                <c:pt idx="2">
                  <c:v>电费</c:v>
                </c:pt>
                <c:pt idx="3">
                  <c:v>邮电费</c:v>
                </c:pt>
                <c:pt idx="4">
                  <c:v>差旅费</c:v>
                </c:pt>
                <c:pt idx="5">
                  <c:v>劳务费</c:v>
                </c:pt>
                <c:pt idx="6">
                  <c:v>其他交通费</c:v>
                </c:pt>
              </c:strCache>
            </c:strRef>
          </c:cat>
          <c:val>
            <c:numRef>
              <c:f>Sheet1!$B$2:$B$8</c:f>
              <c:numCache>
                <c:formatCode>General</c:formatCode>
                <c:ptCount val="7"/>
                <c:pt idx="0">
                  <c:v>3.3</c:v>
                </c:pt>
                <c:pt idx="1">
                  <c:v>0.05</c:v>
                </c:pt>
                <c:pt idx="2">
                  <c:v>0.4</c:v>
                </c:pt>
                <c:pt idx="3">
                  <c:v>1.2</c:v>
                </c:pt>
                <c:pt idx="4">
                  <c:v>4.59</c:v>
                </c:pt>
                <c:pt idx="5">
                  <c:v>0.4</c:v>
                </c:pt>
                <c:pt idx="6">
                  <c:v>1.2</c:v>
                </c:pt>
              </c:numCache>
            </c:numRef>
          </c:val>
        </c:ser>
        <c:dLbls>
          <c:showLegendKey val="false"/>
          <c:showVal val="false"/>
          <c:showCatName val="false"/>
          <c:showSerName val="false"/>
          <c:showPercent val="false"/>
          <c:showBubbleSize val="false"/>
        </c:dLbls>
        <c:gapWidth val="182"/>
        <c:overlap val="0"/>
        <c:axId val="15396606"/>
        <c:axId val="489307955"/>
      </c:barChart>
      <c:catAx>
        <c:axId val="15396606"/>
        <c:scaling>
          <c:orientation val="minMax"/>
        </c:scaling>
        <c:delete val="false"/>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89307955"/>
        <c:crosses val="autoZero"/>
        <c:auto val="true"/>
        <c:lblAlgn val="ctr"/>
        <c:lblOffset val="100"/>
        <c:noMultiLvlLbl val="false"/>
      </c:catAx>
      <c:valAx>
        <c:axId val="4893079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396606"/>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项目支出</a:t>
            </a:r>
          </a:p>
        </c:rich>
      </c:tx>
      <c:layout>
        <c:manualLayout>
          <c:xMode val="edge"/>
          <c:yMode val="edge"/>
          <c:x val="0.449625"/>
          <c:y val="0.02"/>
        </c:manualLayout>
      </c:layout>
      <c:overlay val="false"/>
      <c:spPr>
        <a:noFill/>
        <a:ln>
          <a:noFill/>
        </a:ln>
        <a:effectLst/>
      </c:spPr>
    </c:title>
    <c:autoTitleDeleted val="false"/>
    <c:plotArea>
      <c:layout/>
      <c:barChart>
        <c:barDir val="bar"/>
        <c:grouping val="clustered"/>
        <c:varyColors val="false"/>
        <c:ser>
          <c:idx val="0"/>
          <c:order val="0"/>
          <c:tx>
            <c:strRef>
              <c:f>Sheet1!$B$1</c:f>
              <c:strCache>
                <c:ptCount val="1"/>
                <c:pt idx="0">
                  <c:v>万元</c:v>
                </c:pt>
              </c:strCache>
            </c:strRef>
          </c:tx>
          <c:spPr>
            <a:solidFill>
              <a:schemeClr val="accent1"/>
            </a:solidFill>
            <a:ln>
              <a:noFill/>
            </a:ln>
            <a:effectLst/>
          </c:spPr>
          <c:invertIfNegative val="false"/>
          <c:dLbls>
            <c:delete val="true"/>
          </c:dLbls>
          <c:cat>
            <c:strRef>
              <c:f>Sheet1!$A$2:$A$14</c:f>
              <c:strCache>
                <c:ptCount val="13"/>
                <c:pt idx="0">
                  <c:v>伤残抚恤</c:v>
                </c:pt>
                <c:pt idx="1">
                  <c:v>在乡复员、退伍军人生活补助</c:v>
                </c:pt>
                <c:pt idx="2">
                  <c:v>义务兵优待</c:v>
                </c:pt>
                <c:pt idx="3">
                  <c:v>退役士兵安置</c:v>
                </c:pt>
                <c:pt idx="4">
                  <c:v>军队移交政府离退休人员安置</c:v>
                </c:pt>
                <c:pt idx="5">
                  <c:v>军队移交政府离退休干部管理机构</c:v>
                </c:pt>
                <c:pt idx="6">
                  <c:v>退役士兵管理教育</c:v>
                </c:pt>
                <c:pt idx="7">
                  <c:v>军队转业干部安置</c:v>
                </c:pt>
                <c:pt idx="8">
                  <c:v>其他退役安置</c:v>
                </c:pt>
                <c:pt idx="9">
                  <c:v>拥军优属</c:v>
                </c:pt>
                <c:pt idx="10">
                  <c:v>其他退役军人事务管理</c:v>
                </c:pt>
                <c:pt idx="11">
                  <c:v>有福对象医疗补助</c:v>
                </c:pt>
                <c:pt idx="12">
                  <c:v>其他支出</c:v>
                </c:pt>
              </c:strCache>
            </c:strRef>
          </c:cat>
          <c:val>
            <c:numRef>
              <c:f>Sheet1!$B$2:$B$14</c:f>
              <c:numCache>
                <c:formatCode>General</c:formatCode>
                <c:ptCount val="13"/>
                <c:pt idx="0">
                  <c:v>15.88</c:v>
                </c:pt>
                <c:pt idx="1">
                  <c:v>392.95</c:v>
                </c:pt>
                <c:pt idx="2">
                  <c:v>77.56</c:v>
                </c:pt>
                <c:pt idx="3">
                  <c:v>53</c:v>
                </c:pt>
                <c:pt idx="4">
                  <c:v>29.67</c:v>
                </c:pt>
                <c:pt idx="5">
                  <c:v>3.15</c:v>
                </c:pt>
                <c:pt idx="6">
                  <c:v>1.05</c:v>
                </c:pt>
                <c:pt idx="7">
                  <c:v>34.45</c:v>
                </c:pt>
                <c:pt idx="8">
                  <c:v>16</c:v>
                </c:pt>
                <c:pt idx="9">
                  <c:v>116.7</c:v>
                </c:pt>
                <c:pt idx="10">
                  <c:v>10.67</c:v>
                </c:pt>
                <c:pt idx="11">
                  <c:v>8.95</c:v>
                </c:pt>
                <c:pt idx="12">
                  <c:v>14.75</c:v>
                </c:pt>
              </c:numCache>
            </c:numRef>
          </c:val>
        </c:ser>
        <c:dLbls>
          <c:showLegendKey val="false"/>
          <c:showVal val="false"/>
          <c:showCatName val="false"/>
          <c:showSerName val="false"/>
          <c:showPercent val="false"/>
          <c:showBubbleSize val="false"/>
        </c:dLbls>
        <c:gapWidth val="182"/>
        <c:overlap val="0"/>
        <c:axId val="846406904"/>
        <c:axId val="144797378"/>
      </c:barChart>
      <c:catAx>
        <c:axId val="846406904"/>
        <c:scaling>
          <c:orientation val="minMax"/>
        </c:scaling>
        <c:delete val="false"/>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44797378"/>
        <c:crosses val="autoZero"/>
        <c:auto val="true"/>
        <c:lblAlgn val="ctr"/>
        <c:lblOffset val="100"/>
        <c:noMultiLvlLbl val="false"/>
      </c:catAx>
      <c:valAx>
        <c:axId val="144797378"/>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46406904"/>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6921</Words>
  <Characters>7603</Characters>
  <Lines>0</Lines>
  <Paragraphs>0</Paragraphs>
  <TotalTime>1</TotalTime>
  <ScaleCrop>false</ScaleCrop>
  <LinksUpToDate>false</LinksUpToDate>
  <CharactersWithSpaces>8326</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2022-08-25T17:11:00Z</dcterms:created>
  <dc:creator>皮不死克斯</dc:creator>
  <cp:lastModifiedBy>tyjrswj</cp:lastModifiedBy>
  <cp:lastPrinted>2022-08-30T08:58:00Z</cp:lastPrinted>
  <dcterms:modified xsi:type="dcterms:W3CDTF">2022-08-30T09:44:06Z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A07E988415AF48559783C20607AA131D</vt:lpwstr>
  </property>
</Properties>
</file>