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193"/>
      <w:bookmarkStart w:id="3" w:name="_Toc15378441"/>
      <w:bookmarkStart w:id="4" w:name="_Toc15377425"/>
      <w:bookmarkStart w:id="5" w:name="_Toc15396475"/>
      <w:r>
        <w:rPr>
          <w:rFonts w:ascii="黑体" w:eastAsia="黑体"/>
          <w:color w:val="000000"/>
          <w:sz w:val="72"/>
          <w:szCs w:val="72"/>
        </w:rPr>
        <w:t>20</w:t>
      </w:r>
      <w:r>
        <w:rPr>
          <w:rFonts w:ascii="黑体" w:eastAsia="黑体" w:hint="eastAsia"/>
          <w:color w:val="000000"/>
          <w:sz w:val="72"/>
          <w:szCs w:val="72"/>
          <w:lang w:val="en-US" w:eastAsia="zh-CN"/>
        </w:rPr>
        <w:t>22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hint="eastAsia"/>
          <w:color w:val="000000"/>
          <w:sz w:val="72"/>
          <w:szCs w:val="72"/>
          <w:lang w:val="en-US" w:eastAsia="zh-CN"/>
        </w:rPr>
      </w:pPr>
      <w:bookmarkStart w:id="6" w:name="_Toc15377194"/>
      <w:bookmarkStart w:id="7" w:name="_Toc15396598"/>
      <w:bookmarkStart w:id="8" w:name="_Toc15306268"/>
      <w:bookmarkStart w:id="9" w:name="_Toc15377426"/>
      <w:bookmarkStart w:id="10" w:name="_Toc15378442"/>
      <w:bookmarkStart w:id="11" w:name="_Toc15396476"/>
      <w:bookmarkEnd w:id="0"/>
      <w:r>
        <w:rPr>
          <w:rFonts w:ascii="方正小标宋简体" w:eastAsia="方正小标宋简体" w:hint="eastAsia"/>
          <w:color w:val="000000"/>
          <w:sz w:val="72"/>
          <w:szCs w:val="72"/>
          <w:lang w:val="en-US" w:eastAsia="zh-CN"/>
        </w:rPr>
        <w:t>金川县行政审批局</w:t>
      </w:r>
    </w:p>
    <w:p>
      <w:pPr>
        <w:adjustRightInd w:val="0"/>
        <w:snapToGrid w:val="0"/>
        <w:spacing w:line="360" w:lineRule="auto"/>
        <w:jc w:val="center"/>
        <w:outlineLvl w:val="0"/>
        <w:rPr>
          <w:rFonts w:ascii="方正小标宋简体" w:eastAsia="方正小标宋简体" w:hint="eastAsia"/>
          <w:color w:val="000000"/>
          <w:sz w:val="72"/>
          <w:szCs w:val="72"/>
          <w:lang w:eastAsia="zh-CN"/>
        </w:rPr>
      </w:pPr>
      <w:r>
        <w:rPr>
          <w:rFonts w:ascii="方正小标宋简体" w:eastAsia="方正小标宋简体" w:hint="eastAsia"/>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right" w:leader="dot" w:pos="8296"/>
        </w:tabs>
        <w:rPr>
          <w:rFonts w:hint="eastAsia"/>
        </w:rPr>
      </w:pPr>
      <w:r>
        <w:rPr>
          <w:rFonts w:hint="eastAsia"/>
        </w:rPr>
        <w:t>公开时间：20</w:t>
      </w:r>
      <w:r>
        <w:rPr>
          <w:rFonts w:hint="eastAsia"/>
          <w:lang w:val="en-US" w:eastAsia="zh-CN"/>
        </w:rPr>
        <w:t>23</w:t>
      </w:r>
      <w:r>
        <w:rPr>
          <w:rFonts w:hint="eastAsia"/>
        </w:rPr>
        <w:t>年</w:t>
      </w:r>
      <w:r>
        <w:rPr>
          <w:rFonts w:hint="eastAsia"/>
          <w:lang w:val="en-US" w:eastAsia="zh-CN"/>
        </w:rPr>
        <w:t>8</w:t>
      </w:r>
      <w:r>
        <w:rPr>
          <w:rFonts w:hint="eastAsia"/>
        </w:rPr>
        <w:t>月</w:t>
      </w:r>
      <w:r>
        <w:rPr>
          <w:rFonts w:hint="eastAsia"/>
          <w:lang w:val="en-US" w:eastAsia="zh-CN"/>
        </w:rPr>
        <w:t>30</w:t>
      </w:r>
      <w:r>
        <w:rPr>
          <w:rFonts w:hint="eastAsia"/>
        </w:rPr>
        <w:t>日</w:t>
      </w:r>
    </w:p>
    <w:p>
      <w:pPr>
        <w:rPr>
          <w:rFonts w:hint="eastAsia"/>
        </w:rPr>
      </w:pPr>
    </w:p>
    <w:p>
      <w:pPr>
        <w:rPr>
          <w:rFonts w:hint="eastAsia"/>
        </w:rPr>
      </w:pPr>
    </w:p>
    <w:p>
      <w:pPr>
        <w:rPr>
          <w:rFonts w:hint="eastAsia"/>
        </w:rPr>
      </w:pP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22"/>
        <w:tabs>
          <w:tab w:val="right" w:leader="dot" w:pos="8296"/>
        </w:tabs>
        <w:rPr>
          <w:rFonts w:ascii="仿宋" w:eastAsia="仿宋" w:cs="Arial"/>
          <w:sz w:val="28"/>
          <w:szCs w:val="28"/>
          <w:lang w:val="en-US" w:eastAsia="zh-CN"/>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4</w:t>
      </w:r>
      <w:r>
        <w:rPr>
          <w:rFonts w:ascii="仿宋" w:eastAsia="仿宋" w:hint="eastAsia"/>
          <w:sz w:val="28"/>
          <w:szCs w:val="28"/>
        </w:rPr>
        <w:fldChar w:fldCharType="end"/>
      </w:r>
      <w:r>
        <w:rPr>
          <w:rFonts w:ascii="仿宋" w:eastAsia="仿宋" w:hint="eastAsia"/>
          <w:sz w:val="28"/>
          <w:szCs w:val="28"/>
          <w:lang w:val="en-US" w:eastAsia="zh-CN"/>
        </w:rPr>
        <w:t>-9</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9-10</w:t>
      </w:r>
      <w:r>
        <w:rPr>
          <w:rFonts w:ascii="仿宋" w:eastAsia="仿宋"/>
          <w:sz w:val="28"/>
          <w:szCs w:val="28"/>
        </w:rPr>
        <w:fldChar w:fldCharType="end"/>
      </w:r>
    </w:p>
    <w:p>
      <w:pPr>
        <w:pStyle w:val="21"/>
        <w:tabs>
          <w:tab w:val="right" w:leader="dot" w:pos="8296"/>
        </w:tabs>
        <w:rPr>
          <w:rFonts w:eastAsia="仿宋" w:hint="eastAsia"/>
          <w:lang w:val="en-US" w:eastAsia="zh-CN"/>
        </w:rPr>
      </w:pPr>
      <w:r>
        <w:fldChar w:fldCharType="begin"/>
      </w:r>
      <w:r>
        <w:instrText xml:space="preserve"> HYPERLINK \l "_Toc15396602" </w:instrText>
      </w:r>
      <w:r>
        <w:fldChar w:fldCharType="separate"/>
      </w:r>
      <w:r>
        <w:rPr>
          <w:rFonts w:hint="eastAsia"/>
        </w:rPr>
        <w:t>第二部分</w:t>
      </w:r>
      <w:r>
        <w:t xml:space="preserve"> </w:t>
      </w:r>
      <w:r>
        <w:rPr>
          <w:rFonts w:hint="eastAsia"/>
        </w:rPr>
        <w:t>部门决算</w:t>
      </w:r>
      <w:r>
        <w:rPr>
          <w:rFonts w:hint="eastAsia"/>
          <w:lang w:eastAsia="zh-CN"/>
        </w:rPr>
        <w:t>情况说明</w:t>
      </w:r>
      <w:r>
        <w:tab/>
      </w:r>
      <w:r>
        <w:rPr>
          <w:rFonts w:hint="eastAsia"/>
          <w:lang w:val="en-US" w:eastAsia="zh-CN"/>
        </w:rPr>
        <w:t>1</w:t>
      </w:r>
      <w:r>
        <w:fldChar w:fldCharType="end"/>
      </w:r>
      <w:r>
        <w:rPr>
          <w:rFonts w:hint="eastAsia"/>
          <w:lang w:val="en-US" w:eastAsia="zh-CN"/>
        </w:rPr>
        <w:t>1</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"_Toc15396603" </w:instrText>
      </w:r>
      <w:r>
        <w:fldChar w:fldCharType="separate"/>
      </w:r>
      <w:r>
        <w:rPr>
          <w:rFonts w:ascii="仿宋" w:eastAsia="仿宋" w:cs="Times New Roman" w:hint="eastAsia"/>
          <w:bCs/>
          <w:sz w:val="28"/>
          <w:szCs w:val="28"/>
        </w:rPr>
        <w:t>一、</w:t>
      </w:r>
      <w:r>
        <w:rPr>
          <w:rFonts w:ascii="仿宋" w:eastAsia="仿宋" w:hint="eastAsia"/>
          <w:sz w:val="28"/>
          <w:szCs w:val="28"/>
        </w:rPr>
        <w:t>收</w:t>
      </w:r>
      <w:r>
        <w:rPr>
          <w:rFonts w:ascii="仿宋" w:eastAsia="仿宋" w:cs="Times New Roman"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1</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"_Toc15396604" </w:instrText>
      </w:r>
      <w:r>
        <w:fldChar w:fldCharType="separate"/>
      </w:r>
      <w:r>
        <w:rPr>
          <w:rFonts w:ascii="仿宋" w:eastAsia="仿宋" w:cs="Times New Roman" w:hint="eastAsia"/>
          <w:bCs/>
          <w:sz w:val="28"/>
          <w:szCs w:val="28"/>
        </w:rPr>
        <w:t>二、</w:t>
      </w:r>
      <w:r>
        <w:rPr>
          <w:rFonts w:ascii="仿宋" w:eastAsia="仿宋" w:hint="eastAsia"/>
          <w:sz w:val="28"/>
          <w:szCs w:val="28"/>
        </w:rPr>
        <w:t>收</w:t>
      </w:r>
      <w:r>
        <w:rPr>
          <w:rFonts w:ascii="仿宋" w:eastAsia="仿宋" w:cs="Times New Roman" w:hint="eastAsia"/>
          <w:bCs/>
          <w:sz w:val="28"/>
          <w:szCs w:val="28"/>
        </w:rPr>
        <w:t>入决算情况说明</w:t>
      </w:r>
      <w:r>
        <w:rPr>
          <w:rFonts w:ascii="仿宋" w:eastAsia="仿宋"/>
          <w:sz w:val="28"/>
          <w:szCs w:val="28"/>
        </w:rPr>
        <w:tab/>
      </w:r>
      <w:r>
        <w:rPr>
          <w:rFonts w:ascii="仿宋" w:eastAsia="仿宋" w:hint="eastAsia"/>
          <w:sz w:val="28"/>
          <w:szCs w:val="28"/>
          <w:lang w:val="en-US" w:eastAsia="zh-CN"/>
        </w:rPr>
        <w:t xml:space="preserve"> 11</w:t>
      </w:r>
      <w:r>
        <w:rPr>
          <w:rFonts w:ascii="仿宋" w:eastAsia="仿宋"/>
          <w:sz w:val="28"/>
          <w:szCs w:val="28"/>
        </w:rPr>
        <w:fldChar w:fldCharType="end"/>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"_Toc15396605" </w:instrText>
      </w:r>
      <w:r>
        <w:fldChar w:fldCharType="separate"/>
      </w:r>
      <w:r>
        <w:rPr>
          <w:rFonts w:ascii="仿宋" w:eastAsia="仿宋" w:cs="Times New Roman" w:hint="eastAsia"/>
          <w:bCs/>
          <w:sz w:val="28"/>
          <w:szCs w:val="28"/>
        </w:rPr>
        <w:t>三、</w:t>
      </w:r>
      <w:r>
        <w:rPr>
          <w:rFonts w:ascii="仿宋" w:eastAsia="仿宋" w:hint="eastAsia"/>
          <w:sz w:val="28"/>
          <w:szCs w:val="28"/>
        </w:rPr>
        <w:t>支</w:t>
      </w:r>
      <w:r>
        <w:rPr>
          <w:rFonts w:ascii="仿宋" w:eastAsia="仿宋" w:cs="Times New Roman" w:hint="eastAsia"/>
          <w:bCs/>
          <w:sz w:val="28"/>
          <w:szCs w:val="28"/>
        </w:rPr>
        <w:t>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cs="Times New Roman"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12-1</w:t>
      </w:r>
      <w:r>
        <w:rPr>
          <w:rFonts w:ascii="仿宋" w:eastAsia="仿宋"/>
          <w:sz w:val="28"/>
          <w:szCs w:val="28"/>
        </w:rPr>
        <w:fldChar w:fldCharType="end"/>
      </w:r>
      <w:r>
        <w:rPr>
          <w:rFonts w:ascii="仿宋" w:eastAsia="仿宋" w:hint="eastAsia"/>
          <w:sz w:val="28"/>
          <w:szCs w:val="28"/>
          <w:lang w:val="en-US" w:eastAsia="zh-CN"/>
        </w:rPr>
        <w:t>3</w:t>
      </w:r>
    </w:p>
    <w:p>
      <w:pPr>
        <w:pStyle w:val="22"/>
        <w:tabs>
          <w:tab w:val="right" w:leader="dot" w:pos="8296"/>
        </w:tabs>
        <w:rPr>
          <w:rFonts w:ascii="仿宋" w:eastAsia="仿宋" w:cs="Arial"/>
          <w:sz w:val="28"/>
          <w:szCs w:val="28"/>
          <w:lang w:val="en-US" w:eastAsia="zh-CN"/>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cs="Times New Roman"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13-1</w:t>
      </w:r>
      <w:r>
        <w:rPr>
          <w:rFonts w:ascii="仿宋" w:eastAsia="仿宋"/>
          <w:sz w:val="28"/>
          <w:szCs w:val="28"/>
        </w:rPr>
        <w:fldChar w:fldCharType="end"/>
      </w:r>
      <w:r>
        <w:rPr>
          <w:rFonts w:ascii="仿宋" w:eastAsia="仿宋" w:hint="eastAsia"/>
          <w:sz w:val="28"/>
          <w:szCs w:val="28"/>
          <w:lang w:val="en-US" w:eastAsia="zh-CN"/>
        </w:rPr>
        <w:t>3</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cs="Times New Roman"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15-1</w:t>
      </w:r>
      <w:r>
        <w:rPr>
          <w:rFonts w:ascii="仿宋" w:eastAsia="仿宋"/>
          <w:sz w:val="28"/>
          <w:szCs w:val="28"/>
        </w:rPr>
        <w:fldChar w:fldCharType="end"/>
      </w:r>
      <w:r>
        <w:rPr>
          <w:rFonts w:ascii="仿宋" w:eastAsia="仿宋" w:hint="eastAsia"/>
          <w:sz w:val="28"/>
          <w:szCs w:val="28"/>
          <w:lang w:val="en-US" w:eastAsia="zh-CN"/>
        </w:rPr>
        <w:t>6</w:t>
      </w:r>
    </w:p>
    <w:p>
      <w:pPr>
        <w:pStyle w:val="22"/>
        <w:tabs>
          <w:tab w:val="right" w:leader="dot" w:pos="8296"/>
        </w:tabs>
        <w:rPr>
          <w:rFonts w:ascii="仿宋" w:eastAsia="仿宋" w:cs="Arial"/>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cs="Times New Roman"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7-18</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cs="Times New Roman" w:hint="eastAsia"/>
          <w:bCs/>
          <w:sz w:val="28"/>
          <w:szCs w:val="28"/>
        </w:rPr>
        <w:t>政府性基金预算</w:t>
      </w:r>
      <w:r>
        <w:rPr>
          <w:rFonts w:ascii="仿宋" w:eastAsia="仿宋" w:cs="Times New Roman" w:hint="eastAsia"/>
          <w:bCs/>
          <w:sz w:val="28"/>
          <w:szCs w:val="28"/>
          <w:lang w:eastAsia="zh-CN"/>
        </w:rPr>
        <w:t>收入、</w:t>
      </w:r>
      <w:r>
        <w:rPr>
          <w:rFonts w:ascii="仿宋" w:eastAsia="仿宋" w:cs="Times New Roman" w:hint="eastAsia"/>
          <w:bCs/>
          <w:sz w:val="28"/>
          <w:szCs w:val="28"/>
        </w:rPr>
        <w:t>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8</w:t>
      </w:r>
    </w:p>
    <w:p>
      <w:pPr>
        <w:pStyle w:val="22"/>
        <w:tabs>
          <w:tab w:val="right" w:leader="dot" w:pos="8296"/>
        </w:tabs>
        <w:rPr>
          <w:rFonts w:ascii="仿宋" w:eastAsia="仿宋"/>
          <w:sz w:val="28"/>
          <w:szCs w:val="28"/>
          <w:lang w:val="en-US" w:eastAsia="zh-CN"/>
        </w:rPr>
      </w:pPr>
      <w:r>
        <w:fldChar w:fldCharType="begin"/>
      </w:r>
      <w:r>
        <w:instrText xml:space="preserve"> HYPERLINK \l "_Toc15396611" </w:instrText>
      </w:r>
      <w:r>
        <w:fldChar w:fldCharType="separate"/>
      </w:r>
      <w:r>
        <w:rPr>
          <w:rFonts w:ascii="仿宋" w:eastAsia="仿宋" w:cs="Times New Roman" w:hint="eastAsia"/>
          <w:bCs/>
          <w:sz w:val="28"/>
          <w:szCs w:val="28"/>
        </w:rPr>
        <w:t>九、</w:t>
      </w:r>
      <w:r>
        <w:rPr>
          <w:rFonts w:ascii="仿宋" w:eastAsia="仿宋" w:hint="eastAsia"/>
          <w:sz w:val="28"/>
          <w:szCs w:val="28"/>
        </w:rPr>
        <w:t xml:space="preserve"> 国</w:t>
      </w:r>
      <w:r>
        <w:rPr>
          <w:rFonts w:ascii="仿宋" w:eastAsia="仿宋" w:cs="Times New Roman" w:hint="eastAsia"/>
          <w:bCs/>
          <w:sz w:val="28"/>
          <w:szCs w:val="28"/>
        </w:rPr>
        <w:t>有资本经营预算支出决算情况说明</w:t>
      </w:r>
      <w:r>
        <w:rPr>
          <w:rFonts w:ascii="仿宋" w:eastAsia="仿宋"/>
          <w:sz w:val="28"/>
          <w:szCs w:val="28"/>
        </w:rPr>
        <w:tab/>
      </w:r>
      <w:r>
        <w:rPr>
          <w:rFonts w:ascii="仿宋" w:eastAsia="仿宋" w:hint="eastAsia"/>
          <w:sz w:val="28"/>
          <w:szCs w:val="28"/>
          <w:lang w:val="en-US" w:eastAsia="zh-CN"/>
        </w:rPr>
        <w:t xml:space="preserve"> 1</w:t>
      </w:r>
      <w:r>
        <w:rPr>
          <w:rFonts w:ascii="仿宋" w:eastAsia="仿宋"/>
          <w:sz w:val="28"/>
          <w:szCs w:val="28"/>
        </w:rPr>
        <w:fldChar w:fldCharType="end"/>
      </w:r>
      <w:r>
        <w:rPr>
          <w:rFonts w:ascii="仿宋" w:eastAsia="仿宋" w:hint="eastAsia"/>
          <w:sz w:val="28"/>
          <w:szCs w:val="28"/>
          <w:lang w:val="en-US" w:eastAsia="zh-CN"/>
        </w:rPr>
        <w:t>8</w:t>
      </w:r>
    </w:p>
    <w:p>
      <w:pPr>
        <w:pStyle w:val="22"/>
        <w:tabs>
          <w:tab w:val="right" w:leader="dot" w:pos="8296"/>
        </w:tabs>
        <w:rPr>
          <w:rFonts w:ascii="仿宋" w:eastAsia="仿宋"/>
          <w:sz w:val="28"/>
          <w:szCs w:val="28"/>
          <w:lang w:val="en-US"/>
        </w:rPr>
      </w:pPr>
      <w:r>
        <w:rPr>
          <w:rStyle w:val="26"/>
          <w:rFonts w:ascii="仿宋" w:eastAsia="仿宋" w:cs="Times New Roman" w:hint="eastAsia"/>
          <w:bCs/>
          <w:kern w:val="2"/>
          <w:sz w:val="28"/>
          <w:szCs w:val="28"/>
          <w:lang w:val="en-US" w:eastAsia="zh-CN" w:bidi="ar-SA"/>
        </w:rPr>
        <w:t xml:space="preserve"> 十、预算绩效情况说明   ............................18-19</w:t>
      </w:r>
    </w:p>
    <w:p>
      <w:pPr>
        <w:rPr>
          <w:lang w:val="en-US" w:eastAsia="zh-CN"/>
        </w:rPr>
      </w:pP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cs="Times New Roman"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9</w:t>
      </w:r>
    </w:p>
    <w:p>
      <w:pPr>
        <w:pStyle w:val="21"/>
        <w:tabs>
          <w:tab w:val="right" w:leader="dot" w:pos="8296"/>
        </w:tabs>
        <w:rPr>
          <w:rFonts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2</w:t>
      </w:r>
      <w:r>
        <w:fldChar w:fldCharType="end"/>
      </w:r>
      <w:r>
        <w:rPr>
          <w:rFonts w:hint="eastAsia"/>
          <w:lang w:val="en-US" w:eastAsia="zh-CN"/>
        </w:rPr>
        <w:t>0-22</w:t>
      </w:r>
    </w:p>
    <w:p>
      <w:pPr>
        <w:pStyle w:val="21"/>
        <w:tabs>
          <w:tab w:val="right" w:leader="dot" w:pos="8296"/>
        </w:tabs>
        <w:rPr>
          <w:rFonts w:eastAsia="仿宋" w:cs="Arial" w:hint="eastAsia"/>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3</w:t>
      </w:r>
    </w:p>
    <w:p>
      <w:pPr>
        <w:pStyle w:val="22"/>
        <w:tabs>
          <w:tab w:val="right" w:leader="dot" w:pos="8296"/>
        </w:tabs>
        <w:rPr>
          <w:rFonts w:ascii="仿宋" w:eastAsia="仿宋" w:cs="Arial"/>
          <w:sz w:val="28"/>
          <w:szCs w:val="28"/>
          <w:lang w:val="en-US" w:eastAsia="zh-CN"/>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hint="eastAsia"/>
          <w:sz w:val="28"/>
          <w:szCs w:val="28"/>
          <w:lang w:val="en-US" w:eastAsia="zh-CN"/>
        </w:rPr>
        <w:t>2</w:t>
      </w:r>
      <w:r>
        <w:rPr>
          <w:rFonts w:ascii="仿宋" w:eastAsia="仿宋"/>
          <w:sz w:val="28"/>
          <w:szCs w:val="28"/>
        </w:rPr>
        <w:fldChar w:fldCharType="end"/>
      </w:r>
      <w:r>
        <w:rPr>
          <w:rFonts w:ascii="仿宋" w:eastAsia="仿宋" w:hint="eastAsia"/>
          <w:sz w:val="28"/>
          <w:szCs w:val="28"/>
          <w:lang w:val="en-US" w:eastAsia="zh-CN"/>
        </w:rPr>
        <w:t>3-29</w:t>
      </w:r>
    </w:p>
    <w:p>
      <w:pPr>
        <w:pStyle w:val="21"/>
        <w:tabs>
          <w:tab w:val="right" w:leader="dot" w:pos="8296"/>
        </w:tabs>
        <w:rPr>
          <w:rFonts w:eastAsia="仿宋" w:cs="Arial" w:hint="eastAsia"/>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3</w:t>
      </w:r>
      <w:r>
        <w:fldChar w:fldCharType="end"/>
      </w:r>
      <w:r>
        <w:rPr>
          <w:rFonts w:hint="eastAsia"/>
          <w:lang w:val="en-US" w:eastAsia="zh-CN"/>
        </w:rPr>
        <w:t>0</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rPr>
        <w:t>一、</w:t>
      </w:r>
      <w:r>
        <w:fldChar w:fldCharType="begin"/>
      </w:r>
      <w:r>
        <w:instrText xml:space="preserve"> HYPERLINK \l "_Toc15396619" </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rPr>
        <w:t>二、</w:t>
      </w:r>
      <w:r>
        <w:fldChar w:fldCharType="begin"/>
      </w:r>
      <w:r>
        <w:instrText xml:space="preserve"> HYPERLINK \l "_Toc15396620" </w:instrText>
      </w:r>
      <w:r>
        <w:fldChar w:fldCharType="separate"/>
      </w:r>
      <w:r>
        <w:rPr>
          <w:rFonts w:ascii="仿宋" w:eastAsia="仿宋" w:hint="eastAsia"/>
          <w:b w:val="0"/>
          <w:color w:val="000000"/>
          <w:sz w:val="28"/>
          <w:szCs w:val="28"/>
        </w:rPr>
        <w:t>收</w:t>
      </w:r>
      <w:r>
        <w:rPr>
          <w:rStyle w:val="2Char"/>
          <w:rFonts w:ascii="仿宋" w:eastAsia="仿宋" w:hint="eastAsia"/>
          <w:b w:val="0"/>
          <w:bCs w:val="0"/>
          <w:sz w:val="28"/>
          <w:szCs w:val="28"/>
        </w:rPr>
        <w:t>入决算表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rPr>
        <w:t>三、</w:t>
      </w:r>
      <w:r>
        <w:fldChar w:fldCharType="begin"/>
      </w:r>
      <w:r>
        <w:instrText xml:space="preserve"> HYPERLINK \l "_Toc15396621" </w:instrText>
      </w:r>
      <w:r>
        <w:fldChar w:fldCharType="separate"/>
      </w:r>
      <w:r>
        <w:rPr>
          <w:rFonts w:ascii="仿宋" w:eastAsia="仿宋" w:hint="eastAsia"/>
          <w:b w:val="0"/>
          <w:color w:val="000000"/>
          <w:sz w:val="28"/>
          <w:szCs w:val="28"/>
        </w:rPr>
        <w:t>支</w:t>
      </w:r>
      <w:r>
        <w:rPr>
          <w:rStyle w:val="2Char"/>
          <w:rFonts w:ascii="仿宋" w:eastAsia="仿宋" w:hint="eastAsia"/>
          <w:b w:val="0"/>
          <w:bCs w:val="0"/>
          <w:sz w:val="28"/>
          <w:szCs w:val="28"/>
        </w:rPr>
        <w:t>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rPr>
        <w:t>四、</w:t>
      </w:r>
      <w:r>
        <w:fldChar w:fldCharType="begin"/>
      </w:r>
      <w:r>
        <w:instrText xml:space="preserve"> HYPERLINK \l "_Toc15396622" </w:instrText>
      </w:r>
      <w:r>
        <w:fldChar w:fldCharType="separate"/>
      </w:r>
      <w:r>
        <w:rPr>
          <w:rFonts w:ascii="仿宋" w:eastAsia="仿宋" w:hint="eastAsia"/>
          <w:b w:val="0"/>
          <w:color w:val="000000"/>
          <w:sz w:val="28"/>
          <w:szCs w:val="28"/>
        </w:rPr>
        <w:t>财</w:t>
      </w:r>
      <w:r>
        <w:rPr>
          <w:rStyle w:val="2Char"/>
          <w:rFonts w:ascii="仿宋" w:eastAsia="仿宋" w:hint="eastAsia"/>
          <w:b w:val="0"/>
          <w:bCs w:val="0"/>
          <w:sz w:val="28"/>
          <w:szCs w:val="28"/>
        </w:rPr>
        <w:t>政拨款收入支出决算总表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hint="eastAsia"/>
          <w:sz w:val="28"/>
          <w:szCs w:val="28"/>
          <w:lang w:val="en-US" w:eastAsia="zh-CN"/>
        </w:rPr>
      </w:pPr>
      <w:r>
        <w:rPr>
          <w:rFonts w:ascii="仿宋" w:eastAsia="仿宋" w:hint="eastAsia"/>
          <w:sz w:val="28"/>
          <w:szCs w:val="28"/>
          <w:lang w:eastAsia="zh-CN"/>
        </w:rPr>
        <w:t>五</w:t>
      </w:r>
      <w:r>
        <w:rPr>
          <w:rFonts w:ascii="仿宋" w:eastAsia="仿宋" w:hint="eastAsia"/>
          <w:sz w:val="28"/>
          <w:szCs w:val="28"/>
        </w:rPr>
        <w:t>、</w:t>
      </w:r>
      <w:r>
        <w:fldChar w:fldCharType="begin"/>
      </w:r>
      <w:r>
        <w:instrText xml:space="preserve"> HYPERLINK \l "_Toc15396624" </w:instrText>
      </w:r>
      <w:r>
        <w:fldChar w:fldCharType="separate"/>
      </w:r>
      <w:r>
        <w:rPr>
          <w:rStyle w:val="2Char"/>
          <w:rFonts w:ascii="仿宋" w:eastAsia="仿宋" w:hint="eastAsia"/>
          <w:b w:val="0"/>
          <w:bCs w:val="0"/>
          <w:sz w:val="28"/>
          <w:szCs w:val="28"/>
        </w:rPr>
        <w:t>财政拨款支出决算明细表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lang w:eastAsia="zh-CN"/>
        </w:rPr>
        <w:t>六</w:t>
      </w:r>
      <w:r>
        <w:rPr>
          <w:rFonts w:ascii="仿宋" w:eastAsia="仿宋" w:hint="eastAsia"/>
          <w:sz w:val="28"/>
          <w:szCs w:val="28"/>
        </w:rPr>
        <w:t>、</w:t>
      </w:r>
      <w:r>
        <w:rPr>
          <w:rFonts w:ascii="仿宋" w:eastAsia="仿宋" w:hint="eastAsia"/>
          <w:sz w:val="28"/>
          <w:szCs w:val="28"/>
          <w:lang w:eastAsia="zh-CN"/>
        </w:rPr>
        <w:t>一般公共预算</w:t>
      </w:r>
      <w:r>
        <w:fldChar w:fldCharType="begin"/>
      </w:r>
      <w:r>
        <w:instrText xml:space="preserve"> HYPERLINK \l "_Toc15396624" </w:instrText>
      </w:r>
      <w:r>
        <w:fldChar w:fldCharType="separate"/>
      </w:r>
      <w:r>
        <w:rPr>
          <w:rStyle w:val="2Char"/>
          <w:rFonts w:ascii="仿宋" w:eastAsia="仿宋" w:hint="eastAsia"/>
          <w:b w:val="0"/>
          <w:bCs w:val="0"/>
          <w:sz w:val="28"/>
          <w:szCs w:val="28"/>
        </w:rPr>
        <w:t>财政拨款支出决算表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lang w:eastAsia="zh-CN"/>
        </w:rPr>
        <w:t>七</w:t>
      </w:r>
      <w:r>
        <w:rPr>
          <w:rFonts w:ascii="仿宋" w:eastAsia="仿宋" w:hint="eastAsia"/>
          <w:sz w:val="28"/>
          <w:szCs w:val="28"/>
        </w:rPr>
        <w:t>、</w:t>
      </w:r>
      <w:r>
        <w:fldChar w:fldCharType="begin"/>
      </w:r>
      <w:r>
        <w:instrText xml:space="preserve"> HYPERLINK \l "_Toc15396624" </w:instrText>
      </w:r>
      <w:r>
        <w:fldChar w:fldCharType="separate"/>
      </w:r>
      <w:r>
        <w:rPr>
          <w:rFonts w:ascii="仿宋" w:eastAsia="仿宋" w:hint="eastAsia"/>
          <w:sz w:val="28"/>
          <w:szCs w:val="28"/>
          <w:lang w:eastAsia="zh-CN"/>
        </w:rPr>
        <w:t>一般公共预算</w:t>
      </w:r>
      <w:r>
        <w:fldChar w:fldCharType="begin"/>
      </w:r>
      <w:r>
        <w:instrText xml:space="preserve"> HYPERLINK \l "_Toc15396624" </w:instrText>
      </w:r>
      <w:r>
        <w:fldChar w:fldCharType="separate"/>
      </w:r>
      <w:r>
        <w:rPr>
          <w:rStyle w:val="2Char"/>
          <w:rFonts w:ascii="仿宋" w:eastAsia="仿宋" w:hint="eastAsia"/>
          <w:b w:val="0"/>
          <w:bCs w:val="0"/>
          <w:sz w:val="28"/>
          <w:szCs w:val="28"/>
        </w:rPr>
        <w:t>财政拨款支出决算明细表</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eastAsia="仿宋" w:hint="eastAsia"/>
          <w:lang w:val="en-US" w:eastAsia="zh-CN"/>
        </w:rPr>
      </w:pPr>
      <w:r>
        <w:rPr>
          <w:rFonts w:ascii="仿宋" w:eastAsia="仿宋" w:hint="eastAsia"/>
          <w:sz w:val="28"/>
          <w:szCs w:val="28"/>
          <w:lang w:eastAsia="zh-CN"/>
        </w:rPr>
        <w:t>八</w:t>
      </w:r>
      <w:r>
        <w:rPr>
          <w:rFonts w:ascii="仿宋" w:eastAsia="仿宋" w:hint="eastAsia"/>
          <w:sz w:val="28"/>
          <w:szCs w:val="28"/>
        </w:rPr>
        <w:t>、</w:t>
      </w:r>
      <w:r>
        <w:fldChar w:fldCharType="begin"/>
      </w:r>
      <w:r>
        <w:instrText xml:space="preserve"> HYPERLINK \l "_Toc15396624" </w:instrText>
      </w:r>
      <w:r>
        <w:fldChar w:fldCharType="separate"/>
      </w:r>
      <w:r>
        <w:rPr>
          <w:rFonts w:ascii="仿宋" w:eastAsia="仿宋" w:hint="eastAsia"/>
          <w:sz w:val="28"/>
          <w:szCs w:val="28"/>
          <w:lang w:eastAsia="zh-CN"/>
        </w:rPr>
        <w:t>一般公共预算</w:t>
      </w:r>
      <w:r>
        <w:fldChar w:fldCharType="begin"/>
      </w:r>
      <w:r>
        <w:instrText xml:space="preserve"> HYPERLINK \l "_Toc15396624" </w:instrText>
      </w:r>
      <w:r>
        <w:fldChar w:fldCharType="separate"/>
      </w:r>
      <w:r>
        <w:rPr>
          <w:rStyle w:val="2Char"/>
          <w:rFonts w:ascii="仿宋" w:eastAsia="仿宋" w:hint="eastAsia"/>
          <w:b w:val="0"/>
          <w:bCs w:val="0"/>
          <w:sz w:val="28"/>
          <w:szCs w:val="28"/>
        </w:rPr>
        <w:t>财政拨款基本支出决算表</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hint="eastAsia"/>
          <w:sz w:val="28"/>
          <w:szCs w:val="28"/>
          <w:lang w:val="en-US" w:eastAsia="zh-CN"/>
        </w:rPr>
      </w:pPr>
      <w:r>
        <w:rPr>
          <w:rFonts w:ascii="仿宋" w:eastAsia="仿宋" w:hint="eastAsia"/>
          <w:sz w:val="28"/>
          <w:szCs w:val="28"/>
          <w:lang w:eastAsia="zh-CN"/>
        </w:rPr>
        <w:t>九</w:t>
      </w:r>
      <w:r>
        <w:rPr>
          <w:rFonts w:ascii="仿宋" w:eastAsia="仿宋" w:hint="eastAsia"/>
          <w:sz w:val="28"/>
          <w:szCs w:val="28"/>
        </w:rPr>
        <w:t>、</w:t>
      </w:r>
      <w:r>
        <w:fldChar w:fldCharType="begin"/>
      </w:r>
      <w:r>
        <w:instrText xml:space="preserve"> HYPERLINK \l "_Toc15396626" </w:instrText>
      </w:r>
      <w:r>
        <w:fldChar w:fldCharType="separate"/>
      </w:r>
      <w:r>
        <w:rPr>
          <w:rFonts w:ascii="仿宋" w:eastAsia="仿宋" w:hint="eastAsia"/>
          <w:sz w:val="28"/>
          <w:szCs w:val="28"/>
        </w:rPr>
        <w:t>一般公共预算财政拨款</w:t>
      </w:r>
      <w:r>
        <w:rPr>
          <w:rFonts w:ascii="仿宋" w:eastAsia="仿宋" w:hint="eastAsia"/>
          <w:sz w:val="28"/>
          <w:szCs w:val="28"/>
          <w:lang w:eastAsia="zh-CN"/>
        </w:rPr>
        <w:t>项目</w:t>
      </w:r>
      <w:r>
        <w:rPr>
          <w:rFonts w:ascii="仿宋" w:eastAsia="仿宋" w:hint="eastAsia"/>
          <w:sz w:val="28"/>
          <w:szCs w:val="28"/>
        </w:rPr>
        <w:t>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eastAsia="仿宋" w:hint="eastAsia"/>
          <w:lang w:val="en-US" w:eastAsia="zh-CN"/>
        </w:rPr>
      </w:pPr>
      <w:r>
        <w:rPr>
          <w:rFonts w:ascii="仿宋" w:eastAsia="仿宋" w:hint="eastAsia"/>
          <w:sz w:val="28"/>
          <w:szCs w:val="28"/>
          <w:lang w:eastAsia="zh-CN"/>
        </w:rPr>
        <w:t>十</w:t>
      </w:r>
      <w:r>
        <w:rPr>
          <w:rFonts w:ascii="仿宋" w:eastAsia="仿宋" w:hint="eastAsia"/>
          <w:sz w:val="28"/>
          <w:szCs w:val="28"/>
        </w:rPr>
        <w:t>、</w:t>
      </w:r>
      <w:r>
        <w:fldChar w:fldCharType="begin"/>
      </w:r>
      <w:r>
        <w:instrText xml:space="preserve"> HYPERLINK \l "_Toc15396624" </w:instrText>
      </w:r>
      <w:r>
        <w:fldChar w:fldCharType="separate"/>
      </w:r>
      <w:r>
        <w:rPr>
          <w:rStyle w:val="2Char"/>
          <w:rFonts w:ascii="仿宋" w:eastAsia="仿宋" w:hint="eastAsia"/>
          <w:b w:val="0"/>
          <w:bCs w:val="0"/>
          <w:sz w:val="28"/>
          <w:szCs w:val="28"/>
        </w:rPr>
        <w:t>一般公共预算财政拨款“三公”经费支出决算表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hint="eastAsia"/>
          <w:sz w:val="28"/>
          <w:szCs w:val="28"/>
          <w:lang w:val="en-US" w:eastAsia="zh-CN"/>
        </w:rPr>
      </w:pPr>
      <w:r>
        <w:rPr>
          <w:rFonts w:ascii="仿宋" w:eastAsia="仿宋" w:hint="eastAsia"/>
          <w:sz w:val="28"/>
          <w:szCs w:val="28"/>
          <w:lang w:eastAsia="zh-CN"/>
        </w:rPr>
        <w:t>十一</w:t>
      </w:r>
      <w:r>
        <w:rPr>
          <w:rFonts w:ascii="仿宋" w:eastAsia="仿宋" w:hint="eastAsia"/>
          <w:sz w:val="28"/>
          <w:szCs w:val="28"/>
        </w:rPr>
        <w:t>、</w:t>
      </w:r>
      <w:r>
        <w:fldChar w:fldCharType="begin"/>
      </w:r>
      <w:r>
        <w:instrText xml:space="preserve"> HYPERLINK \l "_Toc15396627" </w:instrText>
      </w:r>
      <w:r>
        <w:fldChar w:fldCharType="separate"/>
      </w:r>
      <w:r>
        <w:rPr>
          <w:rFonts w:ascii="仿宋" w:eastAsia="仿宋" w:hint="eastAsia"/>
          <w:sz w:val="28"/>
          <w:szCs w:val="28"/>
          <w:lang w:eastAsia="zh-CN"/>
        </w:rPr>
        <w:t>政府性基金预算财政拨款收入支出决算表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eastAsia="仿宋" w:hint="eastAsia"/>
        </w:rPr>
      </w:pPr>
      <w:r>
        <w:rPr>
          <w:rFonts w:ascii="仿宋" w:eastAsia="仿宋" w:hint="eastAsia"/>
          <w:sz w:val="28"/>
          <w:szCs w:val="28"/>
          <w:lang w:eastAsia="zh-CN"/>
        </w:rPr>
        <w:t>十二</w:t>
      </w:r>
      <w:r>
        <w:rPr>
          <w:rFonts w:ascii="仿宋" w:eastAsia="仿宋" w:hint="eastAsia"/>
          <w:sz w:val="28"/>
          <w:szCs w:val="28"/>
        </w:rPr>
        <w:t>、</w:t>
      </w:r>
      <w:r>
        <w:fldChar w:fldCharType="begin"/>
      </w:r>
      <w:r>
        <w:instrText xml:space="preserve"> HYPERLINK \l "_Toc15396624" </w:instrText>
      </w:r>
      <w:r>
        <w:fldChar w:fldCharType="separate"/>
      </w:r>
      <w:r>
        <w:rPr>
          <w:rStyle w:val="2Char"/>
          <w:rFonts w:ascii="仿宋" w:eastAsia="仿宋" w:hint="eastAsia"/>
          <w:b w:val="0"/>
          <w:bCs w:val="0"/>
          <w:sz w:val="28"/>
          <w:szCs w:val="28"/>
        </w:rPr>
        <w:t>国有资本经营预算财政拨款收入支出决算表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cs="Arial" w:hint="eastAsia"/>
          <w:sz w:val="28"/>
          <w:szCs w:val="28"/>
          <w:lang w:val="en-US" w:eastAsia="zh-CN"/>
        </w:rPr>
      </w:pPr>
      <w:r>
        <w:rPr>
          <w:rFonts w:ascii="仿宋" w:eastAsia="仿宋" w:hint="eastAsia"/>
          <w:sz w:val="28"/>
          <w:szCs w:val="28"/>
          <w:lang w:eastAsia="zh-CN"/>
        </w:rPr>
        <w:t>十三</w:t>
      </w:r>
      <w:r>
        <w:rPr>
          <w:rFonts w:ascii="仿宋" w:eastAsia="仿宋" w:hint="eastAsia"/>
          <w:sz w:val="28"/>
          <w:szCs w:val="28"/>
        </w:rPr>
        <w:t>、</w:t>
      </w:r>
      <w:r>
        <w:fldChar w:fldCharType="begin"/>
      </w:r>
      <w:r>
        <w:instrText xml:space="preserve"> HYPERLINK \l "_Toc15396628" </w:instrText>
      </w:r>
      <w:r>
        <w:fldChar w:fldCharType="separate"/>
      </w:r>
      <w:r>
        <w:rPr>
          <w:rFonts w:ascii="仿宋" w:eastAsia="仿宋" w:hint="eastAsia"/>
          <w:sz w:val="28"/>
          <w:szCs w:val="28"/>
          <w:lang w:eastAsia="zh-CN"/>
        </w:rPr>
        <w:t>国有资本经营预算财政拨款支出决算表</w:t>
      </w:r>
      <w:r>
        <w:rPr>
          <w:rFonts w:ascii="仿宋" w:eastAsia="仿宋"/>
          <w:sz w:val="28"/>
          <w:szCs w:val="28"/>
        </w:rPr>
        <w:tab/>
      </w:r>
      <w:r>
        <w:rPr>
          <w:rFonts w:ascii="仿宋" w:eastAsia="仿宋" w:hint="eastAsia"/>
          <w:sz w:val="28"/>
          <w:szCs w:val="28"/>
          <w:lang w:val="en-US" w:eastAsia="zh-CN"/>
        </w:rPr>
        <w:t>3</w:t>
      </w:r>
      <w:r>
        <w:rPr>
          <w:rFonts w:ascii="仿宋" w:eastAsia="仿宋"/>
          <w:sz w:val="28"/>
          <w:szCs w:val="28"/>
        </w:rPr>
        <w:fldChar w:fldCharType="end"/>
      </w:r>
      <w:r>
        <w:rPr>
          <w:rFonts w:ascii="仿宋" w:eastAsia="仿宋" w:hint="eastAsia"/>
          <w:sz w:val="28"/>
          <w:szCs w:val="28"/>
          <w:lang w:val="en-US" w:eastAsia="zh-CN"/>
        </w:rPr>
        <w:t>0</w:t>
      </w:r>
    </w:p>
    <w:p>
      <w:pPr>
        <w:pStyle w:val="22"/>
        <w:tabs>
          <w:tab w:val="right" w:leader="dot" w:pos="8296"/>
        </w:tabs>
        <w:rPr>
          <w:rFonts w:ascii="仿宋" w:eastAsia="仿宋" w:cs="Arial" w:hint="eastAsia"/>
          <w:sz w:val="28"/>
          <w:szCs w:val="28"/>
          <w:lang w:val="en-US" w:eastAsia="zh-CN"/>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14" w:name="_Toc15377197"/>
      <w:bookmarkStart w:id="15" w:name="_Toc15396600"/>
      <w:r>
        <w:rPr>
          <w:rFonts w:ascii="黑体" w:eastAsia="黑体" w:hint="eastAsia"/>
          <w:b w:val="0"/>
          <w:color w:val="000000"/>
        </w:rPr>
        <w:t>一、基</w:t>
      </w:r>
      <w:r>
        <w:rPr>
          <w:rStyle w:val="2Char"/>
          <w:rFonts w:ascii="黑体" w:eastAsia="黑体" w:hint="eastAsia"/>
          <w:b w:val="0"/>
          <w:bCs w:val="0"/>
        </w:rPr>
        <w:t>本职能及主要工作</w:t>
      </w:r>
      <w:bookmarkStart w:id="16" w:name="_Toc15377198"/>
      <w:bookmarkStart w:id="17" w:name="_Toc15378445"/>
      <w:bookmarkEnd w:id="14"/>
      <w:bookmarkEnd w:id="15"/>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18" w:name="_Toc15377199"/>
      <w:bookmarkStart w:id="19" w:name="_Toc15378446"/>
      <w:bookmarkEnd w:id="16"/>
      <w:bookmarkEnd w:id="17"/>
    </w:p>
    <w:p>
      <w:pPr>
        <w:pStyle w:val="33"/>
        <w:keepNext w:val="0"/>
        <w:keepLines w:val="0"/>
        <w:widowControl/>
        <w:suppressLineNumbers w:val="0"/>
        <w:spacing w:before="0" w:beforeAutospacing="0"/>
        <w:ind w:left="0"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shd w:val="clear" w:color="auto" w:fill="FFFFFF"/>
        </w:rPr>
        <w:t xml:space="preserve">行政审批局： </w:t>
      </w:r>
      <w:r>
        <w:rPr>
          <w:rFonts w:ascii="仿宋_GB2312" w:eastAsia="仿宋_GB2312" w:cs="仿宋_GB2312" w:hint="eastAsia"/>
          <w:kern w:val="0"/>
          <w:sz w:val="32"/>
          <w:szCs w:val="32"/>
        </w:rPr>
        <w:t>负责深化行政审批制度改革和“放管服”改革工作，承担县本级行政权力清单和责任清单的动态调整，指导全县行政权力清单和责任清单工作，建立完善相关工作机制；负责县本级行政审批工作；负责协调入驻县行政审批局的政务服务平台的各部门的行政审批工作；指导乡（镇）行政审批工作；负责全县政务服务管理工作，指导全县政务服务体系建设；负责全县公共资源交易管理工作，指导全县公共资源交易服务体系建设；负责对涉及县行政审批局的政务服务平台、县公共资源交易中心、县行政审批服务机构的投诉举报的承办、转办和督办工作；完成县委、县政府交办的其他任务。</w:t>
      </w:r>
    </w:p>
    <w:p>
      <w:pPr>
        <w:pStyle w:val="16"/>
        <w:keepNext w:val="0"/>
        <w:keepLines w:val="0"/>
        <w:widowControl/>
        <w:suppressLineNumbers w:val="0"/>
        <w:autoSpaceDE w:val="0"/>
        <w:autoSpaceDN/>
        <w:adjustRightInd w:val="0"/>
        <w:snapToGrid w:val="0"/>
        <w:spacing w:beforeLines="0" w:before="72" w:beforeAutospacing="0" w:after="0" w:afterAutospacing="1" w:line="440" w:lineRule="exact"/>
        <w:ind w:left="0" w:right="0" w:firstLineChars="200" w:firstLine="640"/>
        <w:jc w:val="left"/>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政务服务和公共资源交易服务中心： 提高政府采购资金使用效率，规范政府投资工程建设项目比选活动和国有产权交易、维护国家利益和当事人的合法利益，促进廉政建设。</w:t>
      </w:r>
    </w:p>
    <w:p>
      <w:pPr>
        <w:pStyle w:val="16"/>
        <w:keepNext w:val="0"/>
        <w:keepLines w:val="0"/>
        <w:widowControl/>
        <w:suppressLineNumbers w:val="0"/>
        <w:autoSpaceDE w:val="0"/>
        <w:autoSpaceDN/>
        <w:adjustRightInd w:val="0"/>
        <w:snapToGrid w:val="0"/>
        <w:spacing w:beforeLines="0" w:before="72" w:beforeAutospacing="0" w:after="0" w:afterAutospacing="1" w:line="440" w:lineRule="exact"/>
        <w:ind w:left="0" w:right="0" w:firstLineChars="200" w:firstLine="640"/>
        <w:jc w:val="left"/>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依法接受政府采购业务代理范围的政府采购项目；在政府投资工程建设项目招标阶段，行使招标职责；接受委托国有产权交易，负责组织开展土地使用产权和矿业权招拍挂交易活动。</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22</w:t>
      </w:r>
      <w:r>
        <w:rPr>
          <w:rFonts w:ascii="楷体" w:eastAsia="楷体" w:cs="楷体" w:hint="eastAsia"/>
          <w:bCs/>
          <w:color w:val="000000"/>
          <w:sz w:val="32"/>
          <w:szCs w:val="32"/>
        </w:rPr>
        <w:t>年重点工作完成情况</w:t>
      </w:r>
      <w:bookmarkEnd w:id="18"/>
      <w:bookmarkEnd w:id="19"/>
    </w:p>
    <w:p>
      <w:pPr>
        <w:pStyle w:val="33"/>
        <w:keepNext w:val="0"/>
        <w:keepLines w:val="0"/>
        <w:widowControl/>
        <w:numPr>
          <w:ilvl w:val="0"/>
          <w:numId w:val="1"/>
        </w:numPr>
        <w:suppressLineNumbers w:val="0"/>
        <w:spacing w:before="0" w:beforeAutospacing="0"/>
        <w:ind w:left="0"/>
        <w:jc w:val="left"/>
        <w:rPr>
          <w:rFonts w:ascii="仿宋_GB2312" w:eastAsia="仿宋_GB2312" w:cs="仿宋_GB2312" w:hint="eastAsia"/>
          <w:kern w:val="0"/>
          <w:sz w:val="32"/>
          <w:szCs w:val="32"/>
          <w:shd w:val="clear" w:color="auto" w:fill="FFFFFF"/>
        </w:rPr>
      </w:pPr>
      <w:bookmarkStart w:id="20" w:name="_Toc15396601"/>
      <w:bookmarkStart w:id="21" w:name="_Toc15377200"/>
      <w:r>
        <w:rPr>
          <w:rFonts w:ascii="仿宋_GB2312" w:eastAsia="仿宋_GB2312" w:cs="仿宋_GB2312" w:hint="eastAsia"/>
          <w:kern w:val="0"/>
          <w:sz w:val="32"/>
          <w:szCs w:val="32"/>
          <w:shd w:val="clear" w:color="auto" w:fill="FFFFFF"/>
        </w:rPr>
        <w:t>概述单位工作开展情况及主要事业成效。</w:t>
      </w:r>
    </w:p>
    <w:p>
      <w:pPr>
        <w:widowControl w:val="0"/>
        <w:spacing w:line="576" w:lineRule="exact"/>
        <w:ind w:firstLineChars="200" w:firstLine="640"/>
        <w:rPr>
          <w:rStyle w:val="45"/>
          <w:rFonts w:ascii="楷体_GB2312" w:eastAsia="楷体_GB2312" w:cs="仿宋_GB2312" w:hint="eastAsia"/>
          <w:b/>
          <w:bCs/>
          <w:sz w:val="32"/>
          <w:szCs w:val="32"/>
        </w:rPr>
      </w:pPr>
      <w:r>
        <w:rPr>
          <w:rStyle w:val="46"/>
          <w:rFonts w:ascii="楷体_GB2312" w:eastAsia="楷体_GB2312" w:cs="楷体_GB2312" w:hint="eastAsia"/>
          <w:b/>
          <w:bCs/>
          <w:color w:val="000000"/>
          <w:sz w:val="32"/>
          <w:szCs w:val="32"/>
        </w:rPr>
        <w:t>（一）</w:t>
      </w:r>
      <w:r>
        <w:rPr>
          <w:rStyle w:val="45"/>
          <w:rFonts w:ascii="楷体_GB2312" w:eastAsia="楷体_GB2312" w:cs="楷体_GB2312" w:hint="eastAsia"/>
          <w:b/>
          <w:bCs/>
          <w:sz w:val="32"/>
          <w:szCs w:val="32"/>
        </w:rPr>
        <w:t>抓好两项改革“后半篇”，巩固提升基层治理效能</w:t>
      </w:r>
    </w:p>
    <w:p>
      <w:pPr>
        <w:widowControl w:val="0"/>
        <w:spacing w:line="576" w:lineRule="exact"/>
        <w:ind w:firstLineChars="200" w:firstLine="640"/>
        <w:rPr>
          <w:rFonts w:ascii="仿宋_GB2312" w:eastAsia="仿宋_GB2312" w:cs="仿宋_GB2312" w:hint="eastAsia"/>
          <w:color w:val="000000"/>
          <w:sz w:val="32"/>
          <w:szCs w:val="32"/>
        </w:rPr>
      </w:pPr>
      <w:r>
        <w:rPr>
          <w:rStyle w:val="43"/>
          <w:rFonts w:ascii="仿宋_GB2312" w:eastAsia="仿宋_GB2312" w:cs="仿宋_GB2312" w:hint="eastAsia"/>
          <w:b/>
          <w:bCs/>
          <w:color w:val="000000"/>
          <w:sz w:val="32"/>
          <w:szCs w:val="32"/>
        </w:rPr>
        <w:t>一是持续推进镇村便民服务体系“标准化规范化便利化”（以下简称“三化”）建设</w:t>
      </w:r>
      <w:r>
        <w:rPr>
          <w:rStyle w:val="43"/>
          <w:rFonts w:ascii="仿宋_GB2312" w:eastAsia="仿宋_GB2312" w:cs="仿宋_GB2312" w:hint="eastAsia"/>
          <w:color w:val="000000"/>
          <w:sz w:val="32"/>
          <w:szCs w:val="32"/>
        </w:rPr>
        <w:t>。我局在2021年完成了安宁镇、观音桥镇、卡拉脚乡3个乡镇所属13村、1个社区的镇村便民服务体系“三化”建设后，</w:t>
      </w:r>
      <w:r>
        <w:rPr>
          <w:rStyle w:val="46"/>
          <w:rFonts w:ascii="仿宋_GB2312" w:eastAsia="仿宋_GB2312" w:hint="eastAsia"/>
          <w:bCs/>
          <w:color w:val="000000"/>
          <w:sz w:val="32"/>
          <w:szCs w:val="32"/>
        </w:rPr>
        <w:t>完成了剩余的19个乡镇、72个村、2个社区的便民服务体系“三化”建设，并严格按照《“示范便民服务中心”评估验收标准》和《“示范便民服务站”评估验收标准》进行自查验收工作。</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firstLineChars="200" w:firstLine="640"/>
        <w:jc w:val="left"/>
        <w:textAlignment w:val="baseline"/>
        <w:rPr>
          <w:rStyle w:val="46"/>
          <w:rFonts w:ascii="仿宋_GB2312" w:eastAsia="仿宋_GB2312" w:cs="仿宋_GB2312" w:hint="eastAsia"/>
          <w:bCs/>
          <w:color w:val="000000"/>
          <w:sz w:val="32"/>
          <w:szCs w:val="32"/>
          <w:lang w:val="en-US"/>
        </w:rPr>
      </w:pPr>
      <w:r>
        <w:rPr>
          <w:rStyle w:val="43"/>
          <w:rFonts w:ascii="仿宋_GB2312" w:eastAsia="仿宋_GB2312" w:cs="仿宋_GB2312" w:hint="eastAsia"/>
          <w:b/>
          <w:bCs/>
          <w:color w:val="000000"/>
          <w:sz w:val="32"/>
          <w:szCs w:val="32"/>
        </w:rPr>
        <w:t>二是探索创新开展好“互联网＋政务＋金融＋邮政＋就业”工作。</w:t>
      </w:r>
      <w:r>
        <w:rPr>
          <w:rStyle w:val="46"/>
          <w:rFonts w:ascii="仿宋_GB2312" w:eastAsia="仿宋_GB2312" w:cs="仿宋_GB2312" w:hint="eastAsia"/>
          <w:bCs/>
          <w:color w:val="000000"/>
          <w:sz w:val="32"/>
          <w:szCs w:val="32"/>
        </w:rPr>
        <w:t>协同县人社局、县农行、邮政局等部门召开了工</w:t>
      </w:r>
      <w:r>
        <w:rPr>
          <w:rStyle w:val="46"/>
          <w:rFonts w:ascii="仿宋_GB2312" w:eastAsia="仿宋_GB2312" w:cs="仿宋_GB2312" w:hint="eastAsia"/>
          <w:bCs/>
          <w:color w:val="000000"/>
          <w:sz w:val="32"/>
          <w:szCs w:val="32"/>
          <w:lang w:val="en-US"/>
        </w:rPr>
        <w:t xml:space="preserve">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firstLineChars="200" w:firstLine="640"/>
        <w:jc w:val="left"/>
        <w:textAlignment w:val="baseline"/>
        <w:rPr>
          <w:rStyle w:val="46"/>
          <w:rFonts w:ascii="仿宋_GB2312" w:eastAsia="仿宋_GB2312" w:cs="仿宋_GB2312" w:hint="eastAsia"/>
          <w:bCs/>
          <w:color w:val="000000"/>
          <w:sz w:val="32"/>
          <w:szCs w:val="32"/>
          <w:lang w:val="en-US"/>
        </w:rPr>
      </w:pPr>
    </w:p>
    <w:p>
      <w:pPr>
        <w:widowControl w:val="0"/>
        <w:spacing w:line="576" w:lineRule="exact"/>
        <w:rPr>
          <w:rFonts w:ascii="仿宋_GB2312" w:eastAsia="仿宋_GB2312" w:cs="仿宋_GB2312" w:hint="eastAsia"/>
          <w:color w:val="FF0000"/>
          <w:sz w:val="32"/>
          <w:szCs w:val="32"/>
        </w:rPr>
      </w:pPr>
      <w:r>
        <w:rPr>
          <w:rStyle w:val="46"/>
          <w:rFonts w:ascii="仿宋_GB2312" w:eastAsia="仿宋_GB2312" w:cs="仿宋_GB2312" w:hint="eastAsia"/>
          <w:bCs/>
          <w:color w:val="000000"/>
          <w:sz w:val="32"/>
          <w:szCs w:val="32"/>
        </w:rPr>
        <w:t>作推进会，明确确立了各行业职责，确定了工作运行模式,</w:t>
      </w:r>
      <w:r>
        <w:rPr>
          <w:rStyle w:val="46"/>
          <w:rFonts w:ascii="仿宋_GB2312" w:eastAsia="仿宋_GB2312" w:hint="eastAsia"/>
          <w:bCs/>
          <w:color w:val="000000"/>
          <w:sz w:val="32"/>
          <w:szCs w:val="32"/>
        </w:rPr>
        <w:t xml:space="preserve"> 目前现已完成了4个偏远村的</w:t>
      </w:r>
      <w:r>
        <w:rPr>
          <w:rStyle w:val="43"/>
          <w:rFonts w:ascii="仿宋_GB2312" w:eastAsia="仿宋_GB2312" w:cs="仿宋_GB2312" w:hint="eastAsia"/>
          <w:b/>
          <w:bCs/>
          <w:color w:val="000000"/>
          <w:sz w:val="32"/>
          <w:szCs w:val="32"/>
        </w:rPr>
        <w:t>“互联网＋政务＋金融＋邮政＋就业”</w:t>
      </w:r>
      <w:r>
        <w:rPr>
          <w:rStyle w:val="46"/>
          <w:rFonts w:ascii="仿宋_GB2312" w:eastAsia="仿宋_GB2312" w:hint="eastAsia"/>
          <w:bCs/>
          <w:color w:val="000000"/>
          <w:sz w:val="32"/>
          <w:szCs w:val="32"/>
        </w:rPr>
        <w:t>示范点建设</w:t>
      </w:r>
      <w:r>
        <w:rPr>
          <w:rStyle w:val="46"/>
          <w:rFonts w:ascii="仿宋_GB2312" w:eastAsia="仿宋_GB2312" w:hint="eastAsia"/>
          <w:sz w:val="32"/>
          <w:szCs w:val="32"/>
        </w:rPr>
        <w:t>工作</w:t>
      </w:r>
      <w:r>
        <w:rPr>
          <w:rStyle w:val="46"/>
          <w:rFonts w:ascii="仿宋_GB2312" w:eastAsia="仿宋_GB2312" w:cs="仿宋_GB2312" w:hint="eastAsia"/>
          <w:bCs/>
          <w:color w:val="000000"/>
          <w:sz w:val="32"/>
          <w:szCs w:val="32"/>
        </w:rPr>
        <w:t>。</w:t>
      </w:r>
    </w:p>
    <w:p>
      <w:pPr>
        <w:snapToGrid w:val="0"/>
        <w:spacing w:line="560" w:lineRule="exact"/>
        <w:ind w:firstLineChars="200" w:firstLine="640"/>
        <w:rPr>
          <w:rStyle w:val="43"/>
          <w:rFonts w:ascii="仿宋_GB2312" w:eastAsia="仿宋_GB2312" w:hint="eastAsia"/>
          <w:color w:val="000000"/>
          <w:sz w:val="32"/>
          <w:szCs w:val="32"/>
        </w:rPr>
      </w:pPr>
      <w:r>
        <w:rPr>
          <w:rStyle w:val="43"/>
          <w:rFonts w:ascii="仿宋_GB2312" w:eastAsia="仿宋_GB2312" w:cs="仿宋_GB2312" w:hint="eastAsia"/>
          <w:b/>
          <w:bCs/>
          <w:color w:val="000000"/>
          <w:sz w:val="32"/>
          <w:szCs w:val="32"/>
        </w:rPr>
        <w:t>三是规范编制金川县乡镇片区便民服务设施专项规划。</w:t>
      </w:r>
      <w:r>
        <w:rPr>
          <w:rStyle w:val="43"/>
          <w:rFonts w:ascii="仿宋_GB2312" w:eastAsia="仿宋_GB2312" w:cs="仿宋_GB2312" w:hint="eastAsia"/>
          <w:color w:val="000000"/>
          <w:sz w:val="32"/>
          <w:szCs w:val="32"/>
        </w:rPr>
        <w:t>根据四川省政府政务服务中心 四川省公共资源交易中心关于印发《乡镇级片区便民服务设施专项规划编制方案》的通知要求，</w:t>
      </w:r>
      <w:r>
        <w:rPr>
          <w:rStyle w:val="46"/>
          <w:rFonts w:ascii="仿宋_GB2312" w:eastAsia="仿宋_GB2312" w:hint="eastAsia"/>
          <w:bCs/>
          <w:color w:val="000000"/>
          <w:sz w:val="32"/>
          <w:szCs w:val="32"/>
        </w:rPr>
        <w:t>完成了金川县乡镇片区便民服务设施专项规划的初步编制工作，目前正在准备征求乡镇意见建议。</w:t>
      </w:r>
    </w:p>
    <w:p>
      <w:pPr>
        <w:widowControl w:val="0"/>
        <w:spacing w:line="576" w:lineRule="exact"/>
        <w:ind w:firstLineChars="200" w:firstLine="640"/>
        <w:rPr>
          <w:rStyle w:val="46"/>
          <w:rFonts w:ascii="楷体_GB2312" w:eastAsia="楷体_GB2312" w:cs="楷体_GB2312" w:hint="eastAsia"/>
          <w:b/>
          <w:bCs/>
          <w:color w:val="000000"/>
          <w:sz w:val="32"/>
          <w:szCs w:val="32"/>
        </w:rPr>
      </w:pPr>
      <w:r>
        <w:rPr>
          <w:rStyle w:val="46"/>
          <w:rFonts w:ascii="楷体_GB2312" w:eastAsia="楷体_GB2312" w:cs="楷体_GB2312" w:hint="eastAsia"/>
          <w:b/>
          <w:bCs/>
          <w:color w:val="000000"/>
          <w:sz w:val="32"/>
          <w:szCs w:val="32"/>
        </w:rPr>
        <w:t>（二）抓实重点</w:t>
      </w:r>
      <w:r>
        <w:rPr>
          <w:rStyle w:val="45"/>
          <w:rFonts w:ascii="楷体_GB2312" w:eastAsia="楷体_GB2312" w:cs="楷体_GB2312" w:hint="eastAsia"/>
          <w:b/>
          <w:bCs/>
          <w:sz w:val="32"/>
          <w:szCs w:val="32"/>
        </w:rPr>
        <w:t>改革，提升政务服务效能</w:t>
      </w:r>
    </w:p>
    <w:p>
      <w:pPr>
        <w:pStyle w:val="19"/>
        <w:tabs>
          <w:tab w:val="center" w:pos="4153"/>
          <w:tab w:val="right" w:pos="8306"/>
        </w:tabs>
        <w:spacing w:line="560" w:lineRule="exact"/>
        <w:ind w:firstLineChars="200" w:firstLine="640"/>
        <w:rPr>
          <w:rStyle w:val="46"/>
          <w:rFonts w:ascii="仿宋_GB2312" w:eastAsia="仿宋_GB2312" w:hint="eastAsia"/>
          <w:bCs/>
          <w:color w:val="000000"/>
          <w:sz w:val="32"/>
          <w:szCs w:val="32"/>
        </w:rPr>
      </w:pPr>
      <w:r>
        <w:rPr>
          <w:rStyle w:val="47"/>
          <w:rFonts w:ascii="仿宋_GB2312" w:eastAsia="仿宋_GB2312" w:cs="仿宋_GB2312" w:hint="eastAsia"/>
          <w:b/>
          <w:bCs/>
          <w:color w:val="000000"/>
          <w:sz w:val="32"/>
          <w:szCs w:val="32"/>
        </w:rPr>
        <w:t>一是</w:t>
      </w:r>
      <w:r>
        <w:rPr>
          <w:rStyle w:val="43"/>
          <w:rFonts w:ascii="仿宋_GB2312" w:eastAsia="仿宋_GB2312" w:hint="eastAsia"/>
          <w:b/>
          <w:bCs/>
          <w:color w:val="000000"/>
          <w:sz w:val="32"/>
          <w:szCs w:val="32"/>
        </w:rPr>
        <w:t>纵深推进“一网通办”前提下“最多跑一次”改革</w:t>
      </w:r>
      <w:r>
        <w:rPr>
          <w:rStyle w:val="45"/>
          <w:rFonts w:ascii="仿宋_GB2312" w:eastAsia="仿宋_GB2312" w:cs="仿宋_GB2312" w:hint="eastAsia"/>
          <w:b/>
          <w:bCs/>
          <w:sz w:val="32"/>
          <w:szCs w:val="32"/>
        </w:rPr>
        <w:t>。</w:t>
      </w:r>
      <w:r>
        <w:rPr>
          <w:rStyle w:val="43"/>
          <w:rFonts w:ascii="仿宋_GB2312" w:eastAsia="仿宋_GB2312" w:cs="仿宋_GB2312" w:hint="eastAsia"/>
          <w:b/>
          <w:bCs/>
          <w:color w:val="000000"/>
          <w:sz w:val="32"/>
          <w:szCs w:val="32"/>
        </w:rPr>
        <w:t>完成网上实名认证。</w:t>
      </w:r>
      <w:r>
        <w:rPr>
          <w:rStyle w:val="43"/>
          <w:rFonts w:ascii="仿宋_GB2312" w:eastAsia="仿宋_GB2312" w:cs="仿宋_GB2312" w:hint="eastAsia"/>
          <w:color w:val="000000"/>
          <w:sz w:val="32"/>
          <w:szCs w:val="32"/>
        </w:rPr>
        <w:t>把所有事项纳入细化人员角色权限并谨慎授权，在一体化政务服务平台注册管理员及工作人员832名，实名认证832名，认证率100%；</w:t>
      </w:r>
      <w:r>
        <w:rPr>
          <w:rStyle w:val="43"/>
          <w:rFonts w:ascii="仿宋_GB2312" w:eastAsia="仿宋_GB2312" w:cs="仿宋_GB2312" w:hint="eastAsia"/>
          <w:b/>
          <w:bCs/>
          <w:color w:val="000000"/>
          <w:sz w:val="32"/>
          <w:szCs w:val="32"/>
        </w:rPr>
        <w:t>推进“电子证照共享应用”。</w:t>
      </w:r>
      <w:r>
        <w:rPr>
          <w:rStyle w:val="43"/>
          <w:rFonts w:ascii="仿宋_GB2312" w:eastAsia="仿宋_GB2312" w:cs="仿宋_GB2312" w:hint="eastAsia"/>
          <w:color w:val="000000"/>
          <w:sz w:val="32"/>
          <w:szCs w:val="32"/>
        </w:rPr>
        <w:t>目前已完成50个部门、19个乡镇电子证照的采集工作，共计采集电子印章84个，绑定电子证照种类74个，证照印章配置率达100%，</w:t>
      </w:r>
      <w:r>
        <w:rPr>
          <w:rStyle w:val="43"/>
          <w:rFonts w:ascii="仿宋_GB2312" w:eastAsia="仿宋_GB2312" w:cs="仿宋_GB2312" w:hint="eastAsia"/>
          <w:bCs/>
          <w:color w:val="000000"/>
          <w:sz w:val="32"/>
          <w:szCs w:val="32"/>
        </w:rPr>
        <w:t>今年生产电子证照1480余件</w:t>
      </w:r>
      <w:r>
        <w:rPr>
          <w:rStyle w:val="43"/>
          <w:rFonts w:ascii="仿宋_GB2312" w:eastAsia="仿宋_GB2312" w:cs="仿宋_GB2312" w:hint="eastAsia"/>
          <w:color w:val="000000"/>
          <w:sz w:val="32"/>
          <w:szCs w:val="32"/>
        </w:rPr>
        <w:t>；</w:t>
      </w:r>
      <w:r>
        <w:rPr>
          <w:rStyle w:val="43"/>
          <w:rFonts w:ascii="仿宋_GB2312" w:eastAsia="仿宋_GB2312" w:cs="仿宋_GB2312" w:hint="eastAsia"/>
          <w:b/>
          <w:bCs/>
          <w:color w:val="000000"/>
          <w:sz w:val="32"/>
          <w:szCs w:val="32"/>
        </w:rPr>
        <w:t>大力推广政务事项网上办理。</w:t>
      </w:r>
      <w:r>
        <w:rPr>
          <w:rStyle w:val="46"/>
          <w:rFonts w:ascii="仿宋_GB2312" w:eastAsia="仿宋_GB2312" w:hint="eastAsia"/>
          <w:bCs/>
          <w:color w:val="000000"/>
          <w:sz w:val="32"/>
          <w:szCs w:val="32"/>
        </w:rPr>
        <w:t>全县依申请行使事项4756件可在一体化平台办理，截至目前，累计在“一体化平台”办结行政审批事项2568件、公共服务事项119508件，其中“全程网办”件112609件，全程网办率达94%以上，</w:t>
      </w:r>
      <w:r>
        <w:rPr>
          <w:rStyle w:val="46"/>
          <w:rFonts w:ascii="仿宋_GB2312" w:eastAsia="仿宋_GB2312" w:hint="eastAsia"/>
          <w:bCs/>
          <w:sz w:val="32"/>
          <w:szCs w:val="32"/>
        </w:rPr>
        <w:t>规范配置一件事一次办事项37项，汇总各部门需要共享的数据500余件。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firstLineChars="200" w:firstLine="640"/>
        <w:jc w:val="left"/>
        <w:textAlignment w:val="baseline"/>
        <w:rPr>
          <w:rStyle w:val="46"/>
          <w:rFonts w:ascii="仿宋_GB2312" w:eastAsia="仿宋_GB2312" w:cs="仿宋_GB2312" w:hint="eastAsia"/>
          <w:bCs/>
          <w:color w:val="000000"/>
          <w:sz w:val="32"/>
          <w:szCs w:val="32"/>
          <w:lang w:val="en-US"/>
        </w:rPr>
      </w:pPr>
      <w:r>
        <w:rPr>
          <w:rStyle w:val="45"/>
          <w:rFonts w:ascii="仿宋_GB2312" w:eastAsia="仿宋_GB2312" w:cs="仿宋_GB2312" w:hint="eastAsia"/>
          <w:b/>
          <w:sz w:val="32"/>
          <w:szCs w:val="32"/>
        </w:rPr>
        <w:t>二是稳步实施审批制度改革工作。</w:t>
      </w:r>
      <w:r>
        <w:rPr>
          <w:rFonts w:ascii="仿宋_GB2312" w:eastAsia="仿宋_GB2312" w:cs="仿宋_GB2312" w:hint="eastAsia"/>
          <w:sz w:val="32"/>
          <w:szCs w:val="32"/>
          <w:shd w:val="clear" w:color="auto" w:fill="FFFFFF"/>
        </w:rPr>
        <w:t>继续依法依规做好市场准入、发改、林草、文体、民政、卫健、交通、城管等已划转至我局审批事项的审批服务工作，</w:t>
      </w:r>
      <w:r>
        <w:rPr>
          <w:rFonts w:ascii="仿宋_GB2312" w:eastAsia="仿宋_GB2312" w:cs="仿宋_GB2312" w:hint="eastAsia"/>
          <w:sz w:val="32"/>
          <w:szCs w:val="32"/>
        </w:rPr>
        <w:t>2022年1-10月</w:t>
      </w:r>
      <w:r>
        <w:rPr>
          <w:rStyle w:val="43"/>
          <w:rFonts w:ascii="仿宋_GB2312" w:eastAsia="仿宋_GB2312" w:cs="仿宋_GB2312" w:hint="eastAsia"/>
          <w:sz w:val="32"/>
          <w:szCs w:val="32"/>
        </w:rPr>
        <w:t>，县</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jc w:val="left"/>
        <w:textAlignment w:val="baseline"/>
        <w:rPr>
          <w:rStyle w:val="46"/>
          <w:rFonts w:ascii="仿宋_GB2312" w:eastAsia="仿宋_GB2312" w:cs="仿宋_GB2312" w:hint="eastAsia"/>
          <w:bCs/>
          <w:color w:val="000000"/>
          <w:sz w:val="32"/>
          <w:szCs w:val="32"/>
          <w:lang w:val="en-US"/>
        </w:rPr>
      </w:pPr>
      <w:r>
        <w:rPr>
          <w:rStyle w:val="43"/>
          <w:rFonts w:ascii="仿宋_GB2312" w:eastAsia="仿宋_GB2312" w:cs="仿宋_GB2312" w:hint="eastAsia"/>
          <w:sz w:val="32"/>
          <w:szCs w:val="32"/>
        </w:rPr>
        <w:t>行政审批服务中心共办理行政审批事项2075件，共出现场75次，召开审批协调会18次，审批服务事项按时办结率达到100％。</w:t>
      </w:r>
    </w:p>
    <w:p>
      <w:pPr>
        <w:widowControl w:val="0"/>
        <w:spacing w:line="576" w:lineRule="exact"/>
        <w:ind w:firstLineChars="200" w:firstLine="640"/>
        <w:rPr>
          <w:rStyle w:val="47"/>
          <w:rFonts w:ascii="仿宋_GB2312" w:eastAsia="仿宋_GB2312" w:cs="仿宋_GB2312" w:hint="eastAsia"/>
          <w:sz w:val="32"/>
          <w:szCs w:val="32"/>
        </w:rPr>
      </w:pPr>
      <w:r>
        <w:rPr>
          <w:rStyle w:val="43"/>
          <w:rFonts w:ascii="仿宋_GB2312" w:eastAsia="仿宋_GB2312" w:cs="仿宋_GB2312" w:hint="eastAsia"/>
          <w:b/>
          <w:bCs/>
          <w:color w:val="000000"/>
          <w:sz w:val="32"/>
          <w:szCs w:val="32"/>
        </w:rPr>
        <w:t>三是创新开展“综窗”改革。</w:t>
      </w:r>
      <w:r>
        <w:rPr>
          <w:rStyle w:val="43"/>
          <w:rFonts w:ascii="仿宋_GB2312" w:eastAsia="仿宋_GB2312" w:cs="仿宋_GB2312" w:hint="eastAsia"/>
          <w:color w:val="000000"/>
          <w:sz w:val="32"/>
          <w:szCs w:val="32"/>
        </w:rPr>
        <w:t>按照“前台综合受理、后台分类审批、统一窗口出件”的审批模式，持续做好政务服务大厅、19个乡镇便民服务中心“综窗”改革工作，</w:t>
      </w:r>
      <w:r>
        <w:rPr>
          <w:rStyle w:val="43"/>
          <w:rFonts w:ascii="仿宋_GB2312" w:eastAsia="仿宋_GB2312" w:cs="仿宋_GB2312" w:hint="eastAsia"/>
          <w:sz w:val="32"/>
          <w:szCs w:val="32"/>
        </w:rPr>
        <w:t>审批工作全过程实行“受审分离”“不见面审批”切实</w:t>
      </w:r>
      <w:r>
        <w:rPr>
          <w:rStyle w:val="47"/>
          <w:rFonts w:ascii="仿宋_GB2312" w:eastAsia="仿宋_GB2312" w:cs="仿宋_GB2312" w:hint="eastAsia"/>
          <w:sz w:val="32"/>
          <w:szCs w:val="32"/>
        </w:rPr>
        <w:t>有效解决办事群众反映的办事难、办事慢、办事繁的问题</w:t>
      </w:r>
      <w:r>
        <w:rPr>
          <w:rStyle w:val="43"/>
          <w:rFonts w:ascii="仿宋_GB2312" w:eastAsia="仿宋_GB2312" w:cs="仿宋_GB2312" w:hint="eastAsia"/>
          <w:sz w:val="32"/>
          <w:szCs w:val="32"/>
        </w:rPr>
        <w:t>。截至目前，</w:t>
      </w:r>
      <w:r>
        <w:rPr>
          <w:rStyle w:val="47"/>
          <w:rFonts w:ascii="仿宋_GB2312" w:eastAsia="仿宋_GB2312" w:cs="仿宋_GB2312" w:hint="eastAsia"/>
          <w:sz w:val="32"/>
          <w:szCs w:val="32"/>
        </w:rPr>
        <w:t>审批综窗共计受理、转办1042件审批服务事项，获得办事群众赠送锦旗一面、感谢信3封。</w:t>
      </w:r>
    </w:p>
    <w:p>
      <w:pPr>
        <w:pStyle w:val="49"/>
        <w:widowControl w:val="0"/>
        <w:spacing w:line="576" w:lineRule="exact"/>
        <w:rPr>
          <w:rStyle w:val="45"/>
          <w:rFonts w:ascii="仿宋_GB2312" w:eastAsia="仿宋_GB2312" w:cs="仿宋_GB2312" w:hint="eastAsia"/>
          <w:szCs w:val="32"/>
        </w:rPr>
      </w:pPr>
      <w:r>
        <w:rPr>
          <w:rStyle w:val="43"/>
          <w:rFonts w:ascii="仿宋_GB2312" w:eastAsia="仿宋_GB2312" w:cs="仿宋_GB2312" w:hint="eastAsia"/>
          <w:b/>
          <w:bCs/>
          <w:sz w:val="32"/>
          <w:szCs w:val="32"/>
        </w:rPr>
        <w:t>四是持续推进“证照分离”改革。</w:t>
      </w:r>
      <w:r>
        <w:rPr>
          <w:rStyle w:val="45"/>
          <w:rFonts w:ascii="仿宋_GB2312" w:eastAsia="仿宋_GB2312" w:cs="仿宋_GB2312" w:hint="eastAsia"/>
          <w:szCs w:val="32"/>
        </w:rPr>
        <w:t>按照“证照分离”改革相关文件要求，继续建立健全备案管理制度，全面实行告知承诺制，进一步简化申请材料，优化办事流程,确保涉及我局办理的44项“证照分离”改革事项全面落实到位。</w:t>
      </w:r>
    </w:p>
    <w:p>
      <w:pPr>
        <w:widowControl w:val="0"/>
        <w:spacing w:line="576" w:lineRule="exact"/>
        <w:ind w:firstLineChars="200" w:firstLine="640"/>
        <w:rPr>
          <w:rStyle w:val="47"/>
          <w:rFonts w:ascii="仿宋_GB2312" w:eastAsia="仿宋_GB2312" w:cs="仿宋_GB2312" w:hint="eastAsia"/>
          <w:sz w:val="32"/>
          <w:szCs w:val="32"/>
        </w:rPr>
      </w:pPr>
      <w:r>
        <w:rPr>
          <w:rStyle w:val="47"/>
          <w:rFonts w:ascii="仿宋_GB2312" w:eastAsia="仿宋_GB2312" w:cs="仿宋_GB2312" w:hint="eastAsia"/>
          <w:b/>
          <w:bCs/>
          <w:sz w:val="32"/>
          <w:szCs w:val="32"/>
        </w:rPr>
        <w:t>五是督促推动“工程项目审批制度改革”（简称“工改”）。</w:t>
      </w:r>
      <w:r>
        <w:rPr>
          <w:rStyle w:val="47"/>
          <w:rFonts w:ascii="仿宋_GB2312" w:eastAsia="仿宋_GB2312" w:cs="仿宋_GB2312" w:hint="eastAsia"/>
          <w:color w:val="000000"/>
          <w:sz w:val="32"/>
          <w:szCs w:val="32"/>
        </w:rPr>
        <w:t>按照省州统一部署，采取多种督促举措，协同住建局共同推进了</w:t>
      </w:r>
      <w:r>
        <w:rPr>
          <w:rStyle w:val="47"/>
          <w:rFonts w:ascii="仿宋_GB2312" w:eastAsia="仿宋_GB2312" w:cs="仿宋_GB2312" w:hint="eastAsia"/>
          <w:sz w:val="32"/>
          <w:szCs w:val="32"/>
        </w:rPr>
        <w:t>工程项目网上并联审批，全面开通工程项目建设绿色通道，切实减少了企业“多头跑”现象。2022</w:t>
      </w:r>
      <w:r>
        <w:rPr>
          <w:rStyle w:val="47"/>
          <w:rFonts w:ascii="仿宋_GB2312" w:eastAsia="仿宋_GB2312" w:cs="仿宋_GB2312" w:hint="eastAsia"/>
          <w:bCs/>
          <w:sz w:val="32"/>
          <w:szCs w:val="32"/>
        </w:rPr>
        <w:t>年</w:t>
      </w:r>
      <w:r>
        <w:rPr>
          <w:rStyle w:val="47"/>
          <w:rFonts w:ascii="仿宋_GB2312" w:eastAsia="仿宋_GB2312" w:cs="仿宋_GB2312" w:hint="eastAsia"/>
          <w:sz w:val="32"/>
          <w:szCs w:val="32"/>
        </w:rPr>
        <w:t>我县共在“工改”系统办理主件295件、辅件503件。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firstLineChars="200" w:firstLine="640"/>
        <w:jc w:val="left"/>
        <w:textAlignment w:val="baseline"/>
        <w:rPr>
          <w:rStyle w:val="46"/>
          <w:rFonts w:ascii="仿宋_GB2312" w:eastAsia="仿宋_GB2312" w:cs="仿宋_GB2312" w:hint="eastAsia"/>
          <w:bCs/>
          <w:color w:val="000000"/>
          <w:sz w:val="32"/>
          <w:szCs w:val="32"/>
          <w:lang w:val="en-US"/>
        </w:rPr>
      </w:pPr>
      <w:r>
        <w:rPr>
          <w:rStyle w:val="43"/>
          <w:rFonts w:ascii="楷体_GB2312" w:eastAsia="楷体_GB2312" w:cs="仿宋_GB2312" w:hint="eastAsia"/>
          <w:b/>
          <w:bCs/>
          <w:color w:val="000000"/>
          <w:sz w:val="32"/>
          <w:szCs w:val="32"/>
        </w:rPr>
        <w:t>（三）动态梳理全县权力事项清单，对权力事项进行清单式管理。</w:t>
      </w:r>
      <w:r>
        <w:rPr>
          <w:rStyle w:val="46"/>
          <w:rFonts w:ascii="仿宋_GB2312" w:eastAsia="仿宋_GB2312" w:hint="eastAsia"/>
          <w:bCs/>
          <w:color w:val="000000"/>
          <w:sz w:val="32"/>
          <w:szCs w:val="32"/>
        </w:rPr>
        <w:t>动态调整</w:t>
      </w:r>
      <w:r>
        <w:rPr>
          <w:rStyle w:val="43"/>
          <w:rFonts w:ascii="仿宋_GB2312" w:eastAsia="仿宋_GB2312" w:cs="仿宋_GB2312" w:hint="eastAsia"/>
          <w:color w:val="000000"/>
          <w:sz w:val="32"/>
          <w:szCs w:val="32"/>
        </w:rPr>
        <w:t>、科学编制权力事项清单，做到“法无授权不可为、法定职责必须为”，</w:t>
      </w:r>
      <w:r>
        <w:rPr>
          <w:rStyle w:val="46"/>
          <w:rFonts w:ascii="仿宋_GB2312" w:eastAsia="仿宋_GB2312" w:hint="eastAsia"/>
          <w:bCs/>
          <w:color w:val="000000"/>
          <w:sz w:val="32"/>
          <w:szCs w:val="32"/>
        </w:rPr>
        <w:t>2022年对全县2021年行政权力事项和公共服务事项进行梳理,梳理出（2021年本）行政权力事项5244项、公共服务事项159项，并在一体化政</w:t>
      </w:r>
    </w:p>
    <w:p>
      <w:pPr>
        <w:widowControl w:val="0"/>
        <w:spacing w:line="576" w:lineRule="exact"/>
        <w:ind w:firstLineChars="200" w:firstLine="640"/>
        <w:rPr>
          <w:rStyle w:val="47"/>
          <w:rFonts w:ascii="仿宋_GB2312" w:eastAsia="仿宋_GB2312" w:cs="楷体_GB2312" w:hint="eastAsia"/>
          <w:b/>
          <w:bCs/>
          <w:sz w:val="32"/>
          <w:szCs w:val="32"/>
        </w:rPr>
      </w:pPr>
      <w:r>
        <w:rPr>
          <w:rStyle w:val="46"/>
          <w:rFonts w:ascii="仿宋_GB2312" w:eastAsia="仿宋_GB2312" w:hint="eastAsia"/>
          <w:bCs/>
          <w:color w:val="000000"/>
          <w:sz w:val="32"/>
          <w:szCs w:val="32"/>
        </w:rPr>
        <w:t>务服务平台进行了动态调整，一体化平台认领率达100%。</w:t>
      </w:r>
    </w:p>
    <w:p>
      <w:pPr>
        <w:widowControl w:val="0"/>
        <w:spacing w:line="576" w:lineRule="exact"/>
        <w:ind w:firstLineChars="200" w:firstLine="640"/>
        <w:rPr>
          <w:rStyle w:val="47"/>
          <w:rFonts w:ascii="楷体_GB2312" w:eastAsia="楷体_GB2312" w:cs="楷体_GB2312" w:hint="eastAsia"/>
          <w:b/>
          <w:bCs/>
          <w:sz w:val="32"/>
          <w:szCs w:val="32"/>
        </w:rPr>
      </w:pPr>
      <w:r>
        <w:rPr>
          <w:rStyle w:val="45"/>
          <w:rFonts w:ascii="楷体_GB2312" w:eastAsia="楷体_GB2312" w:cs="楷体_GB2312" w:hint="eastAsia"/>
          <w:b/>
          <w:sz w:val="32"/>
          <w:szCs w:val="32"/>
        </w:rPr>
        <w:t>（四）积极</w:t>
      </w:r>
      <w:r>
        <w:rPr>
          <w:rStyle w:val="47"/>
          <w:rFonts w:ascii="楷体_GB2312" w:eastAsia="楷体_GB2312" w:cs="楷体_GB2312" w:hint="eastAsia"/>
          <w:b/>
          <w:bCs/>
          <w:sz w:val="32"/>
          <w:szCs w:val="32"/>
        </w:rPr>
        <w:t>下放权利，助力乡镇发展</w:t>
      </w:r>
    </w:p>
    <w:p>
      <w:pPr>
        <w:pStyle w:val="50"/>
        <w:widowControl w:val="0"/>
        <w:spacing w:line="576" w:lineRule="exact"/>
        <w:ind w:firstLineChars="200" w:firstLine="640"/>
        <w:rPr>
          <w:rStyle w:val="46"/>
          <w:rFonts w:ascii="仿宋_GB2312" w:eastAsia="仿宋_GB2312" w:hint="eastAsia"/>
          <w:bCs/>
          <w:color w:val="000000"/>
          <w:sz w:val="32"/>
          <w:szCs w:val="32"/>
        </w:rPr>
      </w:pPr>
      <w:r>
        <w:rPr>
          <w:rStyle w:val="46"/>
          <w:rFonts w:ascii="仿宋_GB2312" w:eastAsia="仿宋_GB2312" w:hint="eastAsia"/>
          <w:bCs/>
          <w:color w:val="000000"/>
          <w:sz w:val="32"/>
          <w:szCs w:val="32"/>
        </w:rPr>
        <w:t>按照“依法下放、宜放则放”原则，将社保、医保、林草、公安等与群众生活密切相关的116项法定行政权力事项、24项县级行政权力事项、56项公共服务事项下放至乡镇，并动态调整，切实提升乡镇治理效能和治理水平。</w:t>
      </w:r>
    </w:p>
    <w:p>
      <w:pPr>
        <w:pStyle w:val="50"/>
        <w:widowControl w:val="0"/>
        <w:spacing w:line="576" w:lineRule="exact"/>
        <w:ind w:firstLineChars="200" w:firstLine="640"/>
        <w:rPr>
          <w:rStyle w:val="43"/>
          <w:rFonts w:ascii="楷体_GB2312" w:eastAsia="楷体_GB2312" w:cs="楷体_GB2312" w:hint="eastAsia"/>
          <w:b/>
          <w:bCs/>
          <w:sz w:val="32"/>
          <w:szCs w:val="32"/>
        </w:rPr>
      </w:pPr>
      <w:r>
        <w:rPr>
          <w:rStyle w:val="45"/>
          <w:rFonts w:ascii="楷体_GB2312" w:eastAsia="楷体_GB2312" w:cs="楷体_GB2312" w:hint="eastAsia"/>
          <w:b/>
          <w:sz w:val="32"/>
          <w:szCs w:val="32"/>
        </w:rPr>
        <w:t>（五）</w:t>
      </w:r>
      <w:r>
        <w:rPr>
          <w:rStyle w:val="43"/>
          <w:rFonts w:ascii="楷体_GB2312" w:eastAsia="楷体_GB2312" w:cs="楷体_GB2312" w:hint="eastAsia"/>
          <w:b/>
          <w:bCs/>
          <w:sz w:val="32"/>
          <w:szCs w:val="32"/>
        </w:rPr>
        <w:t>持续推进“跨省通办”“川渝通办”工作，切实解决异地办事难问题</w:t>
      </w:r>
    </w:p>
    <w:p>
      <w:pPr>
        <w:pStyle w:val="50"/>
        <w:widowControl w:val="0"/>
        <w:spacing w:line="576" w:lineRule="exact"/>
        <w:ind w:firstLineChars="200" w:firstLine="640"/>
        <w:rPr>
          <w:rStyle w:val="43"/>
          <w:rFonts w:ascii="仿宋_GB2312" w:eastAsia="仿宋_GB2312" w:cs="仿宋_GB2312" w:hint="eastAsia"/>
          <w:sz w:val="32"/>
          <w:szCs w:val="32"/>
        </w:rPr>
      </w:pPr>
      <w:r>
        <w:rPr>
          <w:rStyle w:val="43"/>
          <w:rFonts w:ascii="仿宋_GB2312" w:eastAsia="仿宋_GB2312" w:cs="仿宋_GB2312" w:hint="eastAsia"/>
          <w:sz w:val="32"/>
          <w:szCs w:val="32"/>
        </w:rPr>
        <w:t>按照成渝地区双城经济圈“放管服”改革相关工作要求及四川省政务服务“跨省通办”工作要求，持续做好教育、就业、社保、医保</w:t>
      </w:r>
      <w:r>
        <w:rPr>
          <w:rStyle w:val="47"/>
          <w:rFonts w:ascii="仿宋_GB2312" w:eastAsia="仿宋_GB2312" w:cs="仿宋_GB2312" w:hint="eastAsia"/>
          <w:color w:val="000000"/>
          <w:kern w:val="0"/>
          <w:sz w:val="32"/>
          <w:szCs w:val="32"/>
        </w:rPr>
        <w:t>等与群众生活密切相关领域</w:t>
      </w:r>
      <w:r>
        <w:rPr>
          <w:rStyle w:val="43"/>
          <w:rFonts w:ascii="仿宋_GB2312" w:eastAsia="仿宋_GB2312" w:cs="仿宋_GB2312" w:hint="eastAsia"/>
          <w:sz w:val="32"/>
          <w:szCs w:val="32"/>
        </w:rPr>
        <w:t>的办事高频率“跨省通办”、“川渝通办”事项的办理、梳理工作</w:t>
      </w:r>
      <w:r>
        <w:rPr>
          <w:rStyle w:val="47"/>
          <w:rFonts w:ascii="仿宋_GB2312" w:eastAsia="仿宋_GB2312" w:cs="仿宋_GB2312" w:hint="eastAsia"/>
          <w:color w:val="000000"/>
          <w:kern w:val="0"/>
          <w:sz w:val="32"/>
          <w:szCs w:val="32"/>
        </w:rPr>
        <w:t>，</w:t>
      </w:r>
      <w:r>
        <w:rPr>
          <w:rStyle w:val="43"/>
          <w:rFonts w:ascii="仿宋_GB2312" w:eastAsia="仿宋_GB2312" w:cs="仿宋_GB2312" w:hint="eastAsia"/>
          <w:sz w:val="32"/>
          <w:szCs w:val="32"/>
        </w:rPr>
        <w:t>有效解决了各类市场主体和广大办事群众异地办事难问题。目前，已办理“川渝通办”事项1件、“跨省通办”事项4件。</w:t>
      </w:r>
    </w:p>
    <w:p>
      <w:pPr>
        <w:widowControl w:val="0"/>
        <w:spacing w:line="576" w:lineRule="exact"/>
        <w:ind w:firstLineChars="200" w:firstLine="640"/>
        <w:rPr>
          <w:rStyle w:val="43"/>
          <w:rFonts w:ascii="楷体_GB2312" w:eastAsia="楷体_GB2312" w:cs="楷体_GB2312" w:hint="eastAsia"/>
          <w:b/>
          <w:bCs/>
          <w:sz w:val="32"/>
          <w:szCs w:val="32"/>
        </w:rPr>
      </w:pPr>
      <w:r>
        <w:rPr>
          <w:rStyle w:val="43"/>
          <w:rFonts w:ascii="楷体_GB2312" w:eastAsia="楷体_GB2312" w:cs="楷体_GB2312" w:hint="eastAsia"/>
          <w:b/>
          <w:bCs/>
          <w:sz w:val="32"/>
          <w:szCs w:val="32"/>
        </w:rPr>
        <w:t>（六）激发市场活力，规范公共资源交易工作</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firstLineChars="200" w:firstLine="640"/>
        <w:jc w:val="left"/>
        <w:textAlignment w:val="baseline"/>
        <w:rPr>
          <w:rStyle w:val="46"/>
          <w:rFonts w:ascii="仿宋_GB2312" w:eastAsia="仿宋_GB2312" w:cs="仿宋_GB2312" w:hint="eastAsia"/>
          <w:bCs/>
          <w:color w:val="000000"/>
          <w:sz w:val="32"/>
          <w:szCs w:val="32"/>
          <w:lang w:val="en-US"/>
        </w:rPr>
      </w:pPr>
      <w:r>
        <w:rPr>
          <w:rStyle w:val="47"/>
          <w:rFonts w:ascii="仿宋_GB2312" w:eastAsia="仿宋_GB2312" w:cs="仿宋_GB2312" w:hint="eastAsia"/>
          <w:bCs/>
          <w:color w:val="000000"/>
          <w:sz w:val="32"/>
          <w:szCs w:val="32"/>
        </w:rPr>
        <w:t>继续简化程序、严把环节，以规范操作为重点，以提高采购质量和效率为目的,大力推行采购项目“网上办”，所有项目依托“四川省一体化平台系统”实行网上申请、网上审核，所有采购程序由原来需要多次跑到现在的“0跑腿”；采购资料由原来的多份纸质资料到现在的“无纸化”办公，全面实现了开标前与采购人“不见面办公”。截</w:t>
      </w:r>
      <w:r>
        <w:rPr>
          <w:rStyle w:val="47"/>
          <w:rFonts w:ascii="仿宋_GB2312" w:eastAsia="仿宋_GB2312" w:cs="仿宋_GB2312"/>
          <w:bCs/>
          <w:color w:val="000000"/>
          <w:sz w:val="32"/>
          <w:szCs w:val="32"/>
        </w:rPr>
        <w:t>至</w:t>
      </w:r>
      <w:r>
        <w:rPr>
          <w:rStyle w:val="47"/>
          <w:rFonts w:ascii="仿宋_GB2312" w:eastAsia="仿宋_GB2312" w:cs="仿宋_GB2312" w:hint="eastAsia"/>
          <w:bCs/>
          <w:color w:val="000000"/>
          <w:sz w:val="32"/>
          <w:szCs w:val="32"/>
        </w:rPr>
        <w:t>目前，完成了政府集中采购33项，预算6242.69万元，成交金额5956.45万元，节约资金286.24万元，资金节约率为4.6%。完成工程项目进场登记18项。</w:t>
      </w:r>
    </w:p>
    <w:p>
      <w:pPr>
        <w:pStyle w:val="51"/>
        <w:widowControl w:val="0"/>
        <w:spacing w:line="576" w:lineRule="exact"/>
        <w:ind w:firstLineChars="200" w:firstLine="640"/>
        <w:rPr>
          <w:rStyle w:val="45"/>
          <w:rFonts w:ascii="楷体_GB2312" w:eastAsia="楷体_GB2312" w:cs="楷体_GB2312" w:hint="eastAsia"/>
          <w:b/>
          <w:bCs/>
          <w:sz w:val="32"/>
          <w:szCs w:val="32"/>
        </w:rPr>
      </w:pPr>
      <w:r>
        <w:rPr>
          <w:rStyle w:val="45"/>
          <w:rFonts w:ascii="楷体_GB2312" w:eastAsia="楷体_GB2312" w:cs="楷体_GB2312" w:hint="eastAsia"/>
          <w:b/>
          <w:bCs/>
          <w:sz w:val="32"/>
          <w:szCs w:val="32"/>
        </w:rPr>
        <w:t>（七）抓好大厅管理，提升窗口服务质量</w:t>
      </w:r>
    </w:p>
    <w:p>
      <w:pPr>
        <w:pStyle w:val="50"/>
        <w:widowControl w:val="0"/>
        <w:spacing w:line="576" w:lineRule="exact"/>
        <w:ind w:firstLineChars="200" w:firstLine="640"/>
        <w:rPr>
          <w:rStyle w:val="45"/>
          <w:rFonts w:ascii="仿宋_GB2312" w:eastAsia="仿宋_GB2312" w:cs="仿宋_GB2312" w:hint="eastAsia"/>
          <w:sz w:val="32"/>
          <w:szCs w:val="32"/>
        </w:rPr>
      </w:pPr>
      <w:r>
        <w:rPr>
          <w:rStyle w:val="45"/>
          <w:rFonts w:ascii="仿宋_GB2312" w:eastAsia="仿宋_GB2312" w:cs="仿宋_GB2312" w:hint="eastAsia"/>
          <w:sz w:val="32"/>
          <w:szCs w:val="32"/>
        </w:rPr>
        <w:t>进一步建立完善了政务大厅各项管理制度，严格执行首问责任、一次性告知、服务承诺等大厅工作制度，用制度管好窗口队伍，全面提升窗口工作人员的服务水平和服务能力。持续深入开展了“窗口腐败”问题专项整治工作，确保了窗口优质服务、廉洁服务；为迎接党的二十大，进一步夯实巩固省级文明城市创建成果，全面提升政务大厅服务质量和服务水平，开展了“最美窗口在行动”主题活动。</w:t>
      </w:r>
    </w:p>
    <w:p>
      <w:pPr>
        <w:pStyle w:val="50"/>
        <w:widowControl w:val="0"/>
        <w:spacing w:line="576" w:lineRule="exact"/>
        <w:ind w:firstLineChars="200" w:firstLine="640"/>
        <w:rPr>
          <w:rStyle w:val="43"/>
          <w:rFonts w:ascii="楷体_GB2312" w:eastAsia="楷体_GB2312" w:cs="楷体_GB2312" w:hint="eastAsia"/>
          <w:b/>
          <w:bCs/>
          <w:color w:val="000000"/>
          <w:sz w:val="32"/>
          <w:szCs w:val="32"/>
        </w:rPr>
      </w:pPr>
      <w:r>
        <w:rPr>
          <w:rStyle w:val="43"/>
          <w:rFonts w:ascii="楷体_GB2312" w:eastAsia="楷体_GB2312" w:cs="楷体_GB2312" w:hint="eastAsia"/>
          <w:b/>
          <w:bCs/>
          <w:color w:val="000000"/>
          <w:sz w:val="32"/>
          <w:szCs w:val="32"/>
        </w:rPr>
        <w:t>（八）深化“五办服务”，助推政务服务高效率</w:t>
      </w:r>
    </w:p>
    <w:p>
      <w:pPr>
        <w:pStyle w:val="50"/>
        <w:widowControl w:val="0"/>
        <w:spacing w:line="576" w:lineRule="exact"/>
        <w:ind w:firstLineChars="200" w:firstLine="640"/>
        <w:rPr>
          <w:rStyle w:val="45"/>
          <w:rFonts w:ascii="仿宋_GB2312" w:eastAsia="仿宋_GB2312" w:cs="仿宋_GB2312" w:hint="eastAsia"/>
          <w:color w:val="FF0000"/>
          <w:sz w:val="32"/>
          <w:szCs w:val="32"/>
        </w:rPr>
      </w:pPr>
      <w:r>
        <w:rPr>
          <w:rStyle w:val="47"/>
          <w:rFonts w:ascii="仿宋_GB2312" w:eastAsia="仿宋_GB2312" w:cs="仿宋_GB2312" w:hint="eastAsia"/>
          <w:color w:val="000000"/>
          <w:sz w:val="32"/>
          <w:szCs w:val="32"/>
        </w:rPr>
        <w:t>为了切实把办事群众（企业）的事办好、办实，</w:t>
      </w:r>
      <w:r>
        <w:rPr>
          <w:rStyle w:val="43"/>
          <w:rFonts w:ascii="仿宋_GB2312" w:eastAsia="仿宋_GB2312" w:cs="仿宋_GB2312" w:hint="eastAsia"/>
          <w:color w:val="000000"/>
          <w:sz w:val="32"/>
          <w:szCs w:val="32"/>
        </w:rPr>
        <w:t>金川县行政审批局始终坚持以人民群众为中心的服务理念，</w:t>
      </w:r>
      <w:r>
        <w:rPr>
          <w:rStyle w:val="47"/>
          <w:rFonts w:ascii="仿宋_GB2312" w:eastAsia="仿宋_GB2312" w:cs="仿宋_GB2312" w:hint="eastAsia"/>
          <w:color w:val="000000"/>
          <w:sz w:val="32"/>
          <w:szCs w:val="32"/>
        </w:rPr>
        <w:t>聚焦群众</w:t>
      </w:r>
      <w:r>
        <w:rPr>
          <w:rStyle w:val="47"/>
          <w:rFonts w:ascii="仿宋_GB2312" w:eastAsia="仿宋_GB2312" w:cs="仿宋_GB2312"/>
          <w:color w:val="000000"/>
          <w:sz w:val="32"/>
          <w:szCs w:val="32"/>
        </w:rPr>
        <w:t>急难愁盼</w:t>
      </w:r>
      <w:r>
        <w:rPr>
          <w:rStyle w:val="47"/>
          <w:rFonts w:ascii="仿宋_GB2312" w:eastAsia="仿宋_GB2312" w:cs="仿宋_GB2312" w:hint="eastAsia"/>
          <w:color w:val="000000"/>
          <w:sz w:val="32"/>
          <w:szCs w:val="32"/>
        </w:rPr>
        <w:t>的问题，扎</w:t>
      </w:r>
      <w:r>
        <w:rPr>
          <w:rStyle w:val="43"/>
          <w:rFonts w:ascii="仿宋_GB2312" w:eastAsia="仿宋_GB2312" w:cs="仿宋_GB2312" w:hint="eastAsia"/>
          <w:color w:val="000000"/>
          <w:sz w:val="32"/>
          <w:szCs w:val="32"/>
        </w:rPr>
        <w:t>实开展了</w:t>
      </w:r>
      <w:r>
        <w:rPr>
          <w:rStyle w:val="47"/>
          <w:rFonts w:ascii="仿宋_GB2312" w:eastAsia="仿宋_GB2312" w:cs="仿宋_GB2312" w:hint="eastAsia"/>
          <w:b/>
          <w:bCs/>
          <w:color w:val="000000"/>
          <w:sz w:val="32"/>
          <w:szCs w:val="32"/>
        </w:rPr>
        <w:t>“一件事一次办”、“上门办”、“帮办代办”、“党员示范办”、“党员协调办”等“五办服务”</w:t>
      </w:r>
      <w:r>
        <w:rPr>
          <w:rStyle w:val="43"/>
          <w:rFonts w:ascii="仿宋_GB2312" w:eastAsia="仿宋_GB2312" w:cs="仿宋_GB2312" w:hint="eastAsia"/>
          <w:color w:val="000000"/>
          <w:sz w:val="32"/>
          <w:szCs w:val="32"/>
        </w:rPr>
        <w:t>，实实在在为企业和群众“办实事、解难题”，让群众的幸福“升温”。截至目前</w:t>
      </w:r>
      <w:r>
        <w:rPr>
          <w:rStyle w:val="45"/>
          <w:rFonts w:ascii="仿宋_GB2312" w:eastAsia="仿宋_GB2312" w:cs="仿宋_GB2312" w:hint="eastAsia"/>
          <w:color w:val="000000"/>
          <w:sz w:val="32"/>
          <w:szCs w:val="32"/>
        </w:rPr>
        <w:t>，</w:t>
      </w:r>
      <w:r>
        <w:rPr>
          <w:rStyle w:val="43"/>
          <w:rFonts w:ascii="仿宋_GB2312" w:eastAsia="仿宋_GB2312" w:cs="仿宋_GB2312" w:hint="eastAsia"/>
          <w:color w:val="000000"/>
          <w:sz w:val="32"/>
          <w:szCs w:val="32"/>
        </w:rPr>
        <w:t>办理“一件事一次办”40 件，“上门办”185件，“帮办代办”1400余件，“党员示范办”事项6500余件，“党员干部协调办”解决困难诉求8件。</w:t>
      </w:r>
    </w:p>
    <w:p>
      <w:pPr>
        <w:widowControl w:val="0"/>
        <w:spacing w:line="576" w:lineRule="exact"/>
        <w:ind w:firstLineChars="200" w:firstLine="640"/>
        <w:rPr>
          <w:rStyle w:val="43"/>
          <w:rFonts w:ascii="楷体_GB2312" w:eastAsia="楷体_GB2312" w:cs="楷体_GB2312" w:hint="eastAsia"/>
          <w:b/>
          <w:bCs/>
          <w:color w:val="000000"/>
          <w:sz w:val="32"/>
          <w:szCs w:val="32"/>
        </w:rPr>
      </w:pPr>
      <w:r>
        <w:rPr>
          <w:rStyle w:val="43"/>
          <w:rFonts w:ascii="楷体_GB2312" w:eastAsia="楷体_GB2312" w:cs="楷体_GB2312" w:hint="eastAsia"/>
          <w:b/>
          <w:bCs/>
          <w:color w:val="000000"/>
          <w:sz w:val="32"/>
          <w:szCs w:val="32"/>
        </w:rPr>
        <w:t>（九）抓好服务监督，畅通诉求评价渠道</w:t>
      </w:r>
    </w:p>
    <w:p>
      <w:pPr>
        <w:widowControl w:val="0"/>
        <w:spacing w:line="576" w:lineRule="exact"/>
        <w:ind w:firstLineChars="200" w:firstLine="640"/>
        <w:rPr>
          <w:rStyle w:val="46"/>
          <w:rFonts w:ascii="仿宋_GB2312" w:eastAsia="仿宋_GB2312" w:cs="仿宋_GB2312" w:hint="eastAsia"/>
          <w:bCs/>
          <w:color w:val="000000"/>
          <w:sz w:val="32"/>
          <w:szCs w:val="32"/>
          <w:lang w:val="en-US"/>
        </w:rPr>
      </w:pPr>
      <w:r>
        <w:rPr>
          <w:rStyle w:val="47"/>
          <w:rFonts w:ascii="仿宋_GB2312" w:eastAsia="仿宋_GB2312" w:cs="仿宋_GB2312" w:hint="eastAsia"/>
          <w:sz w:val="32"/>
          <w:szCs w:val="32"/>
        </w:rPr>
        <w:t>继续做好政务服务线上“好差评”评价工作和“12345政务服务热线”转办工作。目前“一体化平台”上办件“好差评”主动评价率已达到91%以上，满意率为100%；</w:t>
      </w:r>
      <w:r>
        <w:rPr>
          <w:rStyle w:val="46"/>
          <w:rFonts w:ascii="仿宋_GB2312" w:eastAsia="仿宋_GB2312" w:hint="eastAsia"/>
          <w:bCs/>
          <w:color w:val="000000"/>
          <w:sz w:val="32"/>
          <w:szCs w:val="32"/>
        </w:rPr>
        <w:t>受理12345政务服务热线工单485件，办结462件，在办15件，办结率96.9%，并完成72个部门知识库采集。</w:t>
      </w:r>
    </w:p>
    <w:p>
      <w:pPr>
        <w:numPr>
          <w:ilvl w:val="0"/>
          <w:numId w:val="1"/>
        </w:numPr>
        <w:spacing w:line="578" w:lineRule="exact"/>
        <w:ind w:left="0" w:firstLine="0"/>
        <w:rPr>
          <w:rFonts w:ascii="仿宋_GB2312" w:eastAsia="仿宋_GB2312" w:hint="eastAsia"/>
          <w:color w:val="000000"/>
          <w:sz w:val="32"/>
          <w:szCs w:val="32"/>
          <w:lang w:eastAsia="zh-CN"/>
        </w:rPr>
      </w:pPr>
      <w:r>
        <w:rPr>
          <w:rStyle w:val="2Char"/>
          <w:rFonts w:ascii="黑体" w:eastAsia="黑体" w:hint="eastAsia"/>
          <w:b w:val="0"/>
          <w:bCs w:val="0"/>
        </w:rPr>
        <w:t>机构设置</w:t>
      </w:r>
      <w:bookmarkEnd w:id="20"/>
      <w:bookmarkEnd w:id="21"/>
    </w:p>
    <w:p>
      <w:pPr>
        <w:spacing w:line="578" w:lineRule="exact"/>
        <w:ind w:left="0" w:firstLineChars="200" w:firstLine="640"/>
        <w:rPr>
          <w:rFonts w:ascii="仿宋_GB2312" w:eastAsia="仿宋_GB2312" w:hint="eastAsia"/>
          <w:color w:val="000000"/>
          <w:sz w:val="32"/>
          <w:szCs w:val="32"/>
          <w:lang w:eastAsia="zh-CN"/>
        </w:rPr>
      </w:pPr>
      <w:r>
        <w:rPr>
          <w:rFonts w:ascii="Times New Roman" w:eastAsia="仿宋_GB2312" w:hAnsi="Times New Roman"/>
          <w:kern w:val="0"/>
          <w:sz w:val="32"/>
          <w:szCs w:val="32"/>
        </w:rPr>
        <w:t>金川县行政审批局（简称县行政审批局）是金川县人民政府工作部门，为正科级。</w:t>
      </w:r>
      <w:r>
        <w:rPr>
          <w:rFonts w:ascii="仿宋_GB2312" w:eastAsia="仿宋_GB2312" w:hint="eastAsia"/>
          <w:bCs/>
          <w:color w:val="000000"/>
          <w:sz w:val="32"/>
          <w:szCs w:val="32"/>
        </w:rPr>
        <w:t>设</w:t>
      </w:r>
      <w:r>
        <w:rPr>
          <w:rFonts w:ascii="仿宋_GB2312" w:eastAsia="仿宋_GB2312" w:hint="eastAsia"/>
          <w:color w:val="000000"/>
          <w:sz w:val="32"/>
          <w:szCs w:val="32"/>
        </w:rPr>
        <w:t>统一核算机构为1个，独立编制机构</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个，其中:行政单位1个，参照公务员法管理的事业单位</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个</w:t>
      </w:r>
      <w:r>
        <w:rPr>
          <w:rFonts w:ascii="仿宋_GB2312" w:eastAsia="仿宋_GB2312" w:hint="eastAsia"/>
          <w:color w:val="000000"/>
          <w:sz w:val="32"/>
          <w:szCs w:val="32"/>
          <w:lang w:eastAsia="zh-CN"/>
        </w:rPr>
        <w:t>，</w:t>
      </w:r>
      <w:r>
        <w:rPr>
          <w:rFonts w:ascii="仿宋_GB2312" w:eastAsia="仿宋_GB2312" w:hint="eastAsia"/>
          <w:color w:val="000000"/>
          <w:sz w:val="32"/>
          <w:szCs w:val="32"/>
        </w:rPr>
        <w:t>事业单位</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个</w:t>
      </w:r>
      <w:r>
        <w:rPr>
          <w:rFonts w:ascii="仿宋_GB2312" w:eastAsia="仿宋_GB2312" w:hint="eastAsia"/>
          <w:color w:val="000000"/>
          <w:sz w:val="32"/>
          <w:szCs w:val="32"/>
          <w:lang w:eastAsia="zh-CN"/>
        </w:rPr>
        <w:t>。</w:t>
      </w:r>
    </w:p>
    <w:p>
      <w:pPr>
        <w:pStyle w:val="24"/>
        <w:keepNext w:val="0"/>
        <w:keepLines w:val="0"/>
        <w:widowControl/>
        <w:suppressLineNumbers w:val="0"/>
        <w:spacing w:before="0" w:beforeAutospacing="0"/>
        <w:ind w:left="0"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shd w:val="clear" w:color="auto" w:fill="FFFFFF"/>
        </w:rPr>
        <w:t>本单位本年度纳入本套决算编制范围的独立编制机构数共</w:t>
      </w:r>
      <w:r>
        <w:rPr>
          <w:rFonts w:ascii="仿宋_GB2312" w:eastAsia="仿宋_GB2312" w:cs="仿宋_GB2312" w:hint="eastAsia"/>
          <w:sz w:val="32"/>
          <w:szCs w:val="32"/>
          <w:shd w:val="clear" w:color="auto" w:fill="FFFFFF"/>
          <w:lang w:val="en-US" w:eastAsia="zh-CN"/>
        </w:rPr>
        <w:t>3</w:t>
      </w:r>
      <w:r>
        <w:rPr>
          <w:rFonts w:ascii="仿宋_GB2312" w:eastAsia="仿宋_GB2312" w:cs="仿宋_GB2312" w:hint="eastAsia"/>
          <w:sz w:val="32"/>
          <w:szCs w:val="32"/>
          <w:shd w:val="clear" w:color="auto" w:fill="FFFFFF"/>
        </w:rPr>
        <w:t>个，比上年增加</w:t>
      </w:r>
      <w:r>
        <w:rPr>
          <w:rFonts w:ascii="仿宋_GB2312" w:eastAsia="仿宋_GB2312" w:cs="仿宋_GB2312" w:hint="eastAsia"/>
          <w:sz w:val="32"/>
          <w:szCs w:val="32"/>
          <w:shd w:val="clear" w:color="auto" w:fill="FFFFFF"/>
          <w:lang w:val="en-US" w:eastAsia="zh-CN"/>
        </w:rPr>
        <w:t>1</w:t>
      </w:r>
      <w:r>
        <w:rPr>
          <w:rFonts w:ascii="仿宋_GB2312" w:eastAsia="仿宋_GB2312" w:cs="仿宋_GB2312" w:hint="eastAsia"/>
          <w:sz w:val="32"/>
          <w:szCs w:val="32"/>
          <w:shd w:val="clear" w:color="auto" w:fill="FFFFFF"/>
        </w:rPr>
        <w:t>个，</w:t>
      </w:r>
      <w:r>
        <w:rPr>
          <w:rStyle w:val="25"/>
          <w:rFonts w:ascii="仿宋_GB2312" w:eastAsia="仿宋_GB2312" w:cs="仿宋_GB2312" w:hint="eastAsia"/>
          <w:sz w:val="32"/>
          <w:szCs w:val="32"/>
          <w:shd w:val="clear" w:color="auto" w:fill="FFFFFF"/>
        </w:rPr>
        <w:t>变动情况及原因为</w:t>
      </w:r>
      <w:r>
        <w:rPr>
          <w:rStyle w:val="25"/>
          <w:rFonts w:ascii="仿宋_GB2312" w:eastAsia="仿宋_GB2312" w:cs="仿宋_GB2312" w:hint="eastAsia"/>
          <w:sz w:val="32"/>
          <w:szCs w:val="32"/>
          <w:shd w:val="clear" w:color="auto" w:fill="FFFFFF"/>
          <w:lang w:val="en-US" w:eastAsia="zh-CN"/>
        </w:rPr>
        <w:t>新增决算单位1个</w:t>
      </w:r>
      <w:r>
        <w:rPr>
          <w:rFonts w:ascii="仿宋_GB2312" w:eastAsia="仿宋_GB2312" w:cs="仿宋_GB2312" w:hint="eastAsia"/>
          <w:sz w:val="32"/>
          <w:szCs w:val="32"/>
          <w:shd w:val="clear" w:color="auto" w:fill="FFFFFF"/>
        </w:rPr>
        <w:t>；独立核算机构数共</w:t>
      </w:r>
      <w:r>
        <w:rPr>
          <w:rFonts w:ascii="仿宋_GB2312" w:eastAsia="仿宋_GB2312" w:cs="仿宋_GB2312" w:hint="eastAsia"/>
          <w:sz w:val="32"/>
          <w:szCs w:val="32"/>
          <w:shd w:val="clear" w:color="auto" w:fill="FFFFFF"/>
          <w:lang w:val="en-US" w:eastAsia="zh-CN"/>
        </w:rPr>
        <w:t>3</w:t>
      </w:r>
      <w:r>
        <w:rPr>
          <w:rFonts w:ascii="仿宋_GB2312" w:eastAsia="仿宋_GB2312" w:cs="仿宋_GB2312" w:hint="eastAsia"/>
          <w:sz w:val="32"/>
          <w:szCs w:val="32"/>
          <w:shd w:val="clear" w:color="auto" w:fill="FFFFFF"/>
        </w:rPr>
        <w:t>个，比上年增加</w:t>
      </w:r>
      <w:r>
        <w:rPr>
          <w:rFonts w:ascii="仿宋_GB2312" w:eastAsia="仿宋_GB2312" w:cs="仿宋_GB2312" w:hint="eastAsia"/>
          <w:sz w:val="32"/>
          <w:szCs w:val="32"/>
          <w:shd w:val="clear" w:color="auto" w:fill="FFFFFF"/>
          <w:lang w:val="en-US" w:eastAsia="zh-CN"/>
        </w:rPr>
        <w:t>1</w:t>
      </w:r>
      <w:r>
        <w:rPr>
          <w:rFonts w:ascii="仿宋_GB2312" w:eastAsia="仿宋_GB2312" w:cs="仿宋_GB2312" w:hint="eastAsia"/>
          <w:sz w:val="32"/>
          <w:szCs w:val="32"/>
          <w:shd w:val="clear" w:color="auto" w:fill="FFFFFF"/>
        </w:rPr>
        <w:t>个，</w:t>
      </w:r>
      <w:r>
        <w:rPr>
          <w:rStyle w:val="25"/>
          <w:rFonts w:ascii="仿宋_GB2312" w:eastAsia="仿宋_GB2312" w:cs="仿宋_GB2312" w:hint="eastAsia"/>
          <w:sz w:val="32"/>
          <w:szCs w:val="32"/>
          <w:shd w:val="clear" w:color="auto" w:fill="FFFFFF"/>
        </w:rPr>
        <w:t>变动情况及原因为</w:t>
      </w:r>
      <w:r>
        <w:rPr>
          <w:rStyle w:val="25"/>
          <w:rFonts w:ascii="仿宋_GB2312" w:eastAsia="仿宋_GB2312" w:cs="仿宋_GB2312" w:hint="eastAsia"/>
          <w:sz w:val="32"/>
          <w:szCs w:val="32"/>
          <w:shd w:val="clear" w:color="auto" w:fill="FFFFFF"/>
          <w:lang w:val="en-US" w:eastAsia="zh-CN"/>
        </w:rPr>
        <w:t>新增决算单位1个</w:t>
      </w:r>
      <w:r>
        <w:rPr>
          <w:rStyle w:val="25"/>
          <w:rFonts w:ascii="仿宋_GB2312" w:eastAsia="仿宋_GB2312" w:cs="仿宋_GB2312" w:hint="eastAsia"/>
          <w:sz w:val="32"/>
          <w:szCs w:val="32"/>
          <w:shd w:val="clear" w:color="auto" w:fill="FFFFFF"/>
        </w:rPr>
        <w:t>。</w:t>
      </w:r>
    </w:p>
    <w:p>
      <w:pPr>
        <w:pStyle w:val="24"/>
        <w:keepNext w:val="0"/>
        <w:keepLines w:val="0"/>
        <w:widowControl/>
        <w:suppressLineNumbers w:val="0"/>
        <w:spacing w:before="0" w:beforeAutospacing="0"/>
        <w:ind w:left="0" w:firstLineChars="200" w:firstLine="640"/>
        <w:jc w:val="left"/>
        <w:rPr>
          <w:rFonts w:ascii="楷体" w:eastAsia="楷体" w:cs="楷体" w:hint="eastAsia"/>
          <w:bCs/>
          <w:color w:val="000000"/>
          <w:sz w:val="32"/>
          <w:szCs w:val="32"/>
        </w:rPr>
      </w:pPr>
      <w:r>
        <w:rPr>
          <w:rFonts w:ascii="仿宋_GB2312" w:eastAsia="仿宋_GB2312" w:cs="仿宋_GB2312" w:hint="eastAsia"/>
          <w:sz w:val="32"/>
          <w:szCs w:val="32"/>
          <w:shd w:val="clear" w:color="auto" w:fill="FFFFFF"/>
        </w:rPr>
        <w:t>本单位本年度年末实有人数为2</w:t>
      </w:r>
      <w:r>
        <w:rPr>
          <w:rFonts w:ascii="仿宋_GB2312" w:eastAsia="仿宋_GB2312" w:cs="仿宋_GB2312" w:hint="eastAsia"/>
          <w:sz w:val="32"/>
          <w:szCs w:val="32"/>
          <w:shd w:val="clear" w:color="auto" w:fill="FFFFFF"/>
          <w:lang w:val="en-US" w:eastAsia="zh-CN"/>
        </w:rPr>
        <w:t>8</w:t>
      </w:r>
      <w:r>
        <w:rPr>
          <w:rFonts w:ascii="仿宋_GB2312" w:eastAsia="仿宋_GB2312" w:cs="仿宋_GB2312" w:hint="eastAsia"/>
          <w:sz w:val="32"/>
          <w:szCs w:val="32"/>
          <w:shd w:val="clear" w:color="auto" w:fill="FFFFFF"/>
        </w:rPr>
        <w:t>人，比上年增加</w:t>
      </w:r>
      <w:r>
        <w:rPr>
          <w:rFonts w:ascii="仿宋_GB2312" w:eastAsia="仿宋_GB2312" w:cs="仿宋_GB2312" w:hint="eastAsia"/>
          <w:sz w:val="32"/>
          <w:szCs w:val="32"/>
          <w:shd w:val="clear" w:color="auto" w:fill="FFFFFF"/>
          <w:lang w:val="en-US" w:eastAsia="zh-CN"/>
        </w:rPr>
        <w:t>4</w:t>
      </w:r>
      <w:r>
        <w:rPr>
          <w:rFonts w:ascii="仿宋_GB2312" w:eastAsia="仿宋_GB2312" w:cs="仿宋_GB2312" w:hint="eastAsia"/>
          <w:sz w:val="32"/>
          <w:szCs w:val="32"/>
          <w:shd w:val="clear" w:color="auto" w:fill="FFFFFF"/>
        </w:rPr>
        <w:t>人；年末实有离退休人数为0人，比上年增加0人；</w:t>
      </w:r>
      <w:r>
        <w:rPr>
          <w:rStyle w:val="25"/>
          <w:rFonts w:ascii="仿宋_GB2312" w:eastAsia="仿宋_GB2312" w:cs="仿宋_GB2312" w:hint="eastAsia"/>
          <w:sz w:val="32"/>
          <w:szCs w:val="32"/>
          <w:shd w:val="clear" w:color="auto" w:fill="FFFFFF"/>
        </w:rPr>
        <w:t>变动情况及原因为为人员增加。</w:t>
      </w:r>
      <w:r>
        <w:rPr>
          <w:rFonts w:ascii="仿宋_GB2312" w:eastAsia="仿宋_GB2312" w:cs="仿宋_GB2312" w:hint="eastAsia"/>
          <w:sz w:val="32"/>
          <w:szCs w:val="32"/>
          <w:shd w:val="clear" w:color="auto" w:fill="FFFFFF"/>
        </w:rPr>
        <w:t>年末实有其他人数为0人，比上年增加0人；</w:t>
      </w:r>
      <w:r>
        <w:rPr>
          <w:rStyle w:val="25"/>
          <w:rFonts w:ascii="仿宋_GB2312" w:eastAsia="仿宋_GB2312" w:cs="仿宋_GB2312" w:hint="eastAsia"/>
          <w:sz w:val="32"/>
          <w:szCs w:val="32"/>
          <w:shd w:val="clear" w:color="auto" w:fill="FFFFFF"/>
        </w:rPr>
        <w:t>变动情况及原因为......。</w:t>
      </w:r>
    </w:p>
    <w:p>
      <w:pPr>
        <w:widowControl/>
        <w:ind w:firstLineChars="200" w:firstLine="640"/>
        <w:jc w:val="left"/>
        <w:rPr>
          <w:rFonts w:ascii="仿宋_GB2312" w:eastAsia="仿宋_GB2312" w:hint="eastAsia"/>
          <w:color w:val="000000"/>
          <w:sz w:val="32"/>
          <w:szCs w:val="32"/>
          <w:lang w:eastAsia="zh-CN"/>
        </w:rPr>
      </w:pPr>
    </w:p>
    <w:p>
      <w:pPr>
        <w:pStyle w:val="15"/>
        <w:rPr>
          <w:rFonts w:hint="eastAsia"/>
          <w:lang w:eastAsia="zh-CN"/>
        </w:rPr>
      </w:pPr>
    </w:p>
    <w:p>
      <w:pPr>
        <w:pStyle w:val="1"/>
        <w:ind w:right="440"/>
        <w:jc w:val="both"/>
        <w:rPr>
          <w:rFonts w:ascii="黑体" w:eastAsia="黑体" w:hint="eastAsia"/>
          <w:b w:val="0"/>
          <w:color w:val="000000"/>
        </w:rPr>
      </w:pPr>
      <w:bookmarkStart w:id="22" w:name="_Toc15377204"/>
      <w:bookmarkStart w:id="23" w:name="_Toc15396602"/>
    </w:p>
    <w:p>
      <w:pPr>
        <w:pStyle w:val="1"/>
        <w:ind w:right="440"/>
        <w:jc w:val="both"/>
        <w:rPr>
          <w:rFonts w:ascii="黑体" w:eastAsia="黑体" w:hint="eastAsia"/>
          <w:b w:val="0"/>
          <w:color w:val="000000"/>
        </w:rPr>
      </w:pPr>
    </w:p>
    <w:p>
      <w:pPr>
        <w:pStyle w:val="1"/>
        <w:ind w:right="440"/>
        <w:jc w:val="both"/>
        <w:rPr>
          <w:rFonts w:ascii="黑体" w:eastAsia="黑体" w:hint="eastAsia"/>
          <w:b w:val="0"/>
          <w:color w:val="000000"/>
        </w:rPr>
      </w:pPr>
    </w:p>
    <w:p>
      <w:pPr>
        <w:pStyle w:val="1"/>
        <w:ind w:right="440"/>
        <w:jc w:val="both"/>
        <w:rPr>
          <w:rFonts w:ascii="黑体" w:eastAsia="黑体" w:hint="eastAsia"/>
          <w:b w:val="0"/>
          <w:color w:val="000000"/>
        </w:rPr>
      </w:pPr>
    </w:p>
    <w:p>
      <w:pPr>
        <w:pStyle w:val="1"/>
        <w:ind w:right="440"/>
        <w:jc w:val="both"/>
        <w:rPr>
          <w:rFonts w:ascii="黑体" w:eastAsia="黑体" w:hint="eastAsia"/>
          <w:b w:val="0"/>
          <w:color w:val="000000"/>
        </w:rPr>
      </w:pPr>
    </w:p>
    <w:p>
      <w:pPr>
        <w:pStyle w:val="1"/>
        <w:ind w:right="440"/>
        <w:jc w:val="both"/>
        <w:rPr>
          <w:rFonts w:ascii="黑体" w:eastAsia="黑体" w:hint="eastAsia"/>
          <w:b w:val="0"/>
          <w:color w:val="000000"/>
        </w:rPr>
      </w:pPr>
    </w:p>
    <w:p>
      <w:pPr>
        <w:pStyle w:val="1"/>
        <w:ind w:right="440"/>
        <w:jc w:val="both"/>
        <w:rPr>
          <w:rFonts w:ascii="黑体" w:eastAsia="黑体" w:hint="eastAsia"/>
          <w:b w:val="0"/>
          <w:color w:val="000000"/>
        </w:rPr>
      </w:pPr>
    </w:p>
    <w:p>
      <w:pPr>
        <w:rPr>
          <w:rFonts w:ascii="黑体" w:eastAsia="黑体" w:hint="eastAsia"/>
          <w:b w:val="0"/>
          <w:color w:val="000000"/>
        </w:rPr>
      </w:pPr>
    </w:p>
    <w:p>
      <w:pPr>
        <w:pStyle w:val="19"/>
        <w:tabs>
          <w:tab w:val="center" w:pos="4153"/>
          <w:tab w:val="right" w:pos="8306"/>
        </w:tabs>
        <w:rPr>
          <w:rFonts w:ascii="黑体" w:eastAsia="黑体" w:hint="eastAsia"/>
          <w:b w:val="0"/>
          <w:color w:val="000000"/>
        </w:rPr>
      </w:pPr>
    </w:p>
    <w:p>
      <w:pPr>
        <w:pStyle w:val="19"/>
        <w:tabs>
          <w:tab w:val="center" w:pos="4153"/>
          <w:tab w:val="right" w:pos="8306"/>
        </w:tabs>
        <w:rPr>
          <w:rFonts w:ascii="黑体" w:eastAsia="黑体" w:hint="eastAsia"/>
          <w:b w:val="0"/>
          <w:color w:val="000000"/>
        </w:rPr>
      </w:pPr>
    </w:p>
    <w:p>
      <w:pPr>
        <w:pStyle w:val="19"/>
        <w:tabs>
          <w:tab w:val="center" w:pos="4153"/>
          <w:tab w:val="right" w:pos="8306"/>
        </w:tabs>
        <w:rPr>
          <w:rFonts w:ascii="黑体" w:eastAsia="黑体" w:hint="eastAsia"/>
          <w:b w:val="0"/>
          <w:color w:val="000000"/>
        </w:rPr>
      </w:pPr>
    </w:p>
    <w:p>
      <w:pPr>
        <w:pStyle w:val="1"/>
        <w:ind w:right="440"/>
        <w:jc w:val="right"/>
      </w:pPr>
      <w:bookmarkStart w:id="24" w:name="_Toc15396613"/>
      <w:bookmarkStart w:id="25" w:name="_Toc15377225"/>
      <w:bookmarkEnd w:id="22"/>
      <w:bookmarkEnd w:id="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22</w:t>
      </w:r>
      <w:r>
        <w:rPr>
          <w:rStyle w:val="1Char"/>
          <w:rFonts w:ascii="黑体" w:eastAsia="黑体" w:hint="eastAsia"/>
          <w:b w:val="0"/>
          <w:bCs w:val="0"/>
        </w:rPr>
        <w:t>年度部门决算情况说明</w:t>
      </w:r>
    </w:p>
    <w:p>
      <w:pPr>
        <w:pStyle w:val="31"/>
        <w:numPr>
          <w:ilvl w:val="0"/>
          <w:numId w:val="2"/>
        </w:numPr>
        <w:spacing w:line="240" w:lineRule="auto"/>
        <w:ind w:left="0" w:firstLineChars="0" w:firstLine="0"/>
        <w:outlineLvl w:val="1"/>
        <w:rPr>
          <w:rStyle w:val="2Char"/>
          <w:rFonts w:ascii="黑体" w:eastAsia="黑体"/>
          <w:b w:val="0"/>
        </w:rPr>
      </w:pPr>
      <w:bookmarkStart w:id="26" w:name="_Toc15377205"/>
      <w:bookmarkStart w:id="27"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6"/>
      <w:bookmarkEnd w:id="27"/>
    </w:p>
    <w:p>
      <w:pPr>
        <w:snapToGrid w:val="0"/>
        <w:spacing w:line="520" w:lineRule="exact"/>
        <w:ind w:firstLineChars="200" w:firstLine="632"/>
        <w:rPr>
          <w:rStyle w:val="41"/>
          <w:rFonts w:ascii="仿宋_GB2312" w:eastAsia="仿宋_GB2312" w:cs="仿宋_GB2312" w:hint="eastAsia"/>
          <w:b w:val="0"/>
          <w:bCs/>
          <w:sz w:val="32"/>
          <w:szCs w:val="32"/>
          <w:shd w:val="clear" w:color="auto" w:fill="FFFFFF"/>
        </w:rPr>
      </w:pPr>
      <w:r>
        <w:rPr>
          <w:rFonts w:ascii="仿宋_GB2312" w:eastAsia="仿宋_GB2312" w:hint="eastAsia"/>
          <w:color w:val="000000"/>
          <w:spacing w:val="-2"/>
          <w:kern w:val="2"/>
          <w:sz w:val="32"/>
          <w:szCs w:val="32"/>
          <w:lang w:val="en-US" w:eastAsia="zh-CN" w:bidi="ar-SA"/>
        </w:rPr>
        <w:t>2022年度总收入557.57万元，较上年收入增加145.07万元，增长35.17%。增加的主要原因</w:t>
      </w:r>
      <w:r>
        <w:rPr>
          <w:rStyle w:val="41"/>
          <w:rFonts w:ascii="仿宋_GB2312" w:eastAsia="仿宋_GB2312" w:cs="仿宋_GB2312" w:hint="eastAsia"/>
          <w:b w:val="0"/>
          <w:bCs/>
          <w:sz w:val="32"/>
          <w:szCs w:val="32"/>
          <w:shd w:val="clear" w:color="auto" w:fill="FFFFFF"/>
        </w:rPr>
        <w:t>为人员增加</w:t>
      </w:r>
    </w:p>
    <w:p>
      <w:pPr>
        <w:snapToGrid w:val="0"/>
        <w:spacing w:line="520" w:lineRule="exact"/>
        <w:ind w:firstLineChars="200" w:firstLine="632"/>
        <w:rPr>
          <w:rFonts w:ascii="仿宋" w:eastAsia="仿宋"/>
          <w:color w:val="auto"/>
          <w:sz w:val="32"/>
          <w:szCs w:val="32"/>
          <w:lang w:val="en-US" w:eastAsia="zh-CN"/>
        </w:rPr>
      </w:pPr>
      <w:r>
        <w:rPr>
          <w:rFonts w:ascii="仿宋_GB2312" w:eastAsia="仿宋_GB2312" w:hint="eastAsia"/>
          <w:color w:val="auto"/>
          <w:spacing w:val="-2"/>
          <w:kern w:val="2"/>
          <w:sz w:val="32"/>
          <w:szCs w:val="32"/>
          <w:lang w:val="en-US" w:eastAsia="zh-CN" w:bidi="ar-SA"/>
        </w:rPr>
        <w:t>2022年总支出</w:t>
      </w:r>
      <w:r>
        <w:rPr>
          <w:rFonts w:ascii="仿宋_GB2312" w:eastAsia="仿宋_GB2312" w:hint="eastAsia"/>
          <w:color w:val="000000"/>
          <w:spacing w:val="-2"/>
          <w:kern w:val="2"/>
          <w:sz w:val="32"/>
          <w:szCs w:val="32"/>
          <w:lang w:val="en-US" w:eastAsia="zh-CN" w:bidi="ar-SA"/>
        </w:rPr>
        <w:t>557.57</w:t>
      </w:r>
      <w:r>
        <w:rPr>
          <w:rFonts w:ascii="仿宋_GB2312" w:eastAsia="仿宋_GB2312" w:hint="eastAsia"/>
          <w:color w:val="auto"/>
          <w:spacing w:val="-2"/>
          <w:kern w:val="2"/>
          <w:sz w:val="32"/>
          <w:szCs w:val="32"/>
          <w:lang w:val="en-US" w:eastAsia="zh-CN" w:bidi="ar-SA"/>
        </w:rPr>
        <w:t>万元，较上年支出增加</w:t>
      </w:r>
      <w:r>
        <w:rPr>
          <w:rFonts w:ascii="仿宋_GB2312" w:eastAsia="仿宋_GB2312" w:hint="eastAsia"/>
          <w:color w:val="000000"/>
          <w:spacing w:val="-2"/>
          <w:kern w:val="2"/>
          <w:sz w:val="32"/>
          <w:szCs w:val="32"/>
          <w:lang w:val="en-US" w:eastAsia="zh-CN" w:bidi="ar-SA"/>
        </w:rPr>
        <w:t>145.07</w:t>
      </w:r>
      <w:r>
        <w:rPr>
          <w:rFonts w:ascii="仿宋_GB2312" w:eastAsia="仿宋_GB2312" w:hint="eastAsia"/>
          <w:color w:val="auto"/>
          <w:spacing w:val="-2"/>
          <w:kern w:val="2"/>
          <w:sz w:val="32"/>
          <w:szCs w:val="32"/>
          <w:lang w:val="en-US" w:eastAsia="zh-CN" w:bidi="ar-SA"/>
        </w:rPr>
        <w:t>万元，增长35.17%。主要原因</w:t>
      </w:r>
      <w:r>
        <w:rPr>
          <w:rStyle w:val="41"/>
          <w:rFonts w:ascii="仿宋_GB2312" w:eastAsia="仿宋_GB2312" w:cs="仿宋_GB2312" w:hint="eastAsia"/>
          <w:b w:val="0"/>
          <w:bCs/>
          <w:sz w:val="32"/>
          <w:szCs w:val="32"/>
          <w:shd w:val="clear" w:color="auto" w:fill="FFFFFF"/>
        </w:rPr>
        <w:t>为人员增加</w:t>
      </w:r>
      <w:r>
        <w:rPr>
          <w:rFonts w:ascii="仿宋_GB2312" w:eastAsia="仿宋_GB2312" w:hint="eastAsia"/>
          <w:color w:val="auto"/>
          <w:spacing w:val="-2"/>
          <w:kern w:val="2"/>
          <w:sz w:val="32"/>
          <w:szCs w:val="32"/>
          <w:lang w:val="en-US" w:eastAsia="zh-CN" w:bidi="ar-SA"/>
        </w:rPr>
        <w:t>。</w:t>
      </w:r>
    </w:p>
    <w:p>
      <w:pPr>
        <w:spacing w:line="600" w:lineRule="exact"/>
        <w:ind w:firstLineChars="200" w:firstLine="420"/>
        <w:rPr>
          <w:rFonts w:ascii="黑体" w:eastAsia="黑体" w:cs="Times New Roman" w:hint="eastAsia"/>
          <w:color w:val="000000"/>
          <w:kern w:val="2"/>
          <w:sz w:val="32"/>
          <w:szCs w:val="32"/>
          <w:lang w:val="en-US" w:eastAsia="zh-CN" w:bidi="ar-SA"/>
        </w:rPr>
      </w:pPr>
      <w:bookmarkStart w:id="28" w:name="_Toc15396604"/>
      <w:bookmarkStart w:id="29" w:name="_Toc15377206"/>
      <w:r>
        <w:drawing>
          <wp:anchor distT="0" distB="0" distL="114300" distR="114300" simplePos="0" relativeHeight="31" behindDoc="0" locked="0" layoutInCell="1" hidden="0" allowOverlap="1">
            <wp:simplePos x="0" y="0"/>
            <wp:positionH relativeFrom="column">
              <wp:posOffset>946785</wp:posOffset>
            </wp:positionH>
            <wp:positionV relativeFrom="paragraph">
              <wp:posOffset>204470</wp:posOffset>
            </wp:positionV>
            <wp:extent cx="3203575" cy="1467485"/>
            <wp:effectExtent l="0" t="0" r="0" b="0"/>
            <wp:wrapSquare wrapText="bothSides"/>
            <wp:docPr id="7" name="图表 1"/>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rPr>
          <w:rFonts w:ascii="黑体" w:eastAsia="黑体" w:cs="Times New Roman" w:hint="eastAsia"/>
          <w:color w:val="000000"/>
          <w:kern w:val="2"/>
          <w:sz w:val="32"/>
          <w:szCs w:val="32"/>
          <w:lang w:val="en-US" w:eastAsia="zh-CN" w:bidi="ar-SA"/>
        </w:rPr>
      </w:pPr>
    </w:p>
    <w:p>
      <w:pPr>
        <w:spacing w:line="600" w:lineRule="exact"/>
        <w:ind w:firstLineChars="200" w:firstLine="640"/>
        <w:rPr>
          <w:rFonts w:ascii="黑体" w:eastAsia="黑体" w:cs="Times New Roman" w:hint="eastAsia"/>
          <w:color w:val="000000"/>
          <w:kern w:val="2"/>
          <w:sz w:val="32"/>
          <w:szCs w:val="32"/>
          <w:lang w:val="en-US" w:eastAsia="zh-CN" w:bidi="ar-SA"/>
        </w:rPr>
      </w:pPr>
    </w:p>
    <w:p>
      <w:pPr>
        <w:spacing w:line="600" w:lineRule="exact"/>
        <w:ind w:firstLineChars="200" w:firstLine="640"/>
        <w:rPr>
          <w:rFonts w:ascii="黑体" w:eastAsia="黑体" w:cs="Times New Roman" w:hint="eastAsia"/>
          <w:color w:val="000000"/>
          <w:kern w:val="2"/>
          <w:sz w:val="32"/>
          <w:szCs w:val="32"/>
          <w:lang w:val="en-US" w:eastAsia="zh-CN" w:bidi="ar-SA"/>
        </w:rPr>
      </w:pPr>
    </w:p>
    <w:p>
      <w:pPr>
        <w:spacing w:line="600" w:lineRule="exact"/>
        <w:rPr>
          <w:rFonts w:ascii="黑体" w:eastAsia="黑体" w:cs="Times New Roman" w:hint="eastAsia"/>
          <w:color w:val="000000"/>
          <w:kern w:val="2"/>
          <w:sz w:val="32"/>
          <w:szCs w:val="32"/>
          <w:lang w:val="en-US" w:eastAsia="zh-CN" w:bidi="ar-SA"/>
        </w:rPr>
      </w:pPr>
    </w:p>
    <w:p>
      <w:pPr>
        <w:spacing w:line="600" w:lineRule="exact"/>
        <w:ind w:firstLineChars="200" w:firstLine="640"/>
        <w:rPr>
          <w:rStyle w:val="2Char"/>
          <w:rFonts w:ascii="黑体" w:eastAsia="黑体"/>
          <w:b w:val="0"/>
        </w:rPr>
      </w:pPr>
      <w:r>
        <w:rPr>
          <w:rFonts w:ascii="黑体" w:eastAsia="黑体" w:cs="Times New Roman" w:hint="eastAsia"/>
          <w:color w:val="000000"/>
          <w:kern w:val="2"/>
          <w:sz w:val="32"/>
          <w:szCs w:val="32"/>
          <w:lang w:val="en-US" w:eastAsia="zh-CN" w:bidi="ar-SA"/>
        </w:rPr>
        <w:t>二、收入决</w:t>
      </w:r>
      <w:r>
        <w:rPr>
          <w:rStyle w:val="2Char"/>
          <w:rFonts w:ascii="黑体" w:eastAsia="黑体" w:hint="eastAsia"/>
          <w:b w:val="0"/>
        </w:rPr>
        <w:t>算情况说明</w:t>
      </w:r>
      <w:bookmarkEnd w:id="28"/>
      <w:bookmarkEnd w:id="29"/>
    </w:p>
    <w:p>
      <w:pPr>
        <w:spacing w:line="600" w:lineRule="exact"/>
        <w:ind w:firstLineChars="200" w:firstLine="640"/>
        <w:outlineLvl w:val="1"/>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557.57</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557.57</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val="en-US" w:eastAsia="zh-CN"/>
        </w:rPr>
        <w:t>。</w:t>
      </w:r>
    </w:p>
    <w:p>
      <w:pPr>
        <w:spacing w:line="600" w:lineRule="exact"/>
        <w:ind w:firstLineChars="200" w:firstLine="420"/>
        <w:outlineLvl w:val="1"/>
        <w:rPr>
          <w:rFonts w:ascii="黑体" w:eastAsia="黑体" w:cs="Times New Roman" w:hint="eastAsia"/>
          <w:color w:val="000000"/>
          <w:kern w:val="2"/>
          <w:sz w:val="32"/>
          <w:szCs w:val="32"/>
          <w:lang w:val="en-US" w:eastAsia="zh-CN" w:bidi="ar-SA"/>
        </w:rPr>
      </w:pPr>
      <w:bookmarkStart w:id="30" w:name="_Toc15377207"/>
      <w:bookmarkStart w:id="31" w:name="_Toc15396605"/>
      <w:r>
        <w:drawing>
          <wp:anchor distT="0" distB="0" distL="114300" distR="114300" simplePos="0" relativeHeight="39" behindDoc="0" locked="0" layoutInCell="1" hidden="0" allowOverlap="1">
            <wp:simplePos x="0" y="0"/>
            <wp:positionH relativeFrom="column">
              <wp:posOffset>1185545</wp:posOffset>
            </wp:positionH>
            <wp:positionV relativeFrom="paragraph">
              <wp:posOffset>264795</wp:posOffset>
            </wp:positionV>
            <wp:extent cx="2924175" cy="1746885"/>
            <wp:effectExtent l="0" t="0" r="0" b="0"/>
            <wp:wrapSquare wrapText="bothSides"/>
            <wp:docPr id="8" name="图表 2"/>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pStyle w:val="19"/>
        <w:tabs>
          <w:tab w:val="center" w:pos="4153"/>
          <w:tab w:val="right" w:pos="8306"/>
        </w:tabs>
        <w:rPr>
          <w:rFonts w:ascii="黑体" w:eastAsia="黑体" w:cs="Times New Roman" w:hint="eastAsia"/>
          <w:color w:val="000000"/>
          <w:kern w:val="2"/>
          <w:sz w:val="32"/>
          <w:szCs w:val="32"/>
          <w:lang w:val="en-US" w:eastAsia="zh-CN" w:bidi="ar-SA"/>
        </w:rPr>
      </w:pPr>
    </w:p>
    <w:p>
      <w:pPr>
        <w:pStyle w:val="19"/>
        <w:tabs>
          <w:tab w:val="center" w:pos="4153"/>
          <w:tab w:val="right" w:pos="8306"/>
        </w:tabs>
        <w:rPr>
          <w:rFonts w:ascii="黑体" w:eastAsia="黑体" w:cs="Times New Roman" w:hint="eastAsia"/>
          <w:color w:val="000000"/>
          <w:kern w:val="2"/>
          <w:sz w:val="32"/>
          <w:szCs w:val="32"/>
          <w:lang w:val="en-US" w:eastAsia="zh-CN" w:bidi="ar-SA"/>
        </w:rPr>
      </w:pPr>
    </w:p>
    <w:p>
      <w:pPr>
        <w:spacing w:line="600" w:lineRule="exact"/>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lang w:val="en-US" w:eastAsia="zh-CN" w:bidi="ar-SA"/>
        </w:rPr>
      </w:pPr>
    </w:p>
    <w:p>
      <w:pPr>
        <w:spacing w:line="600" w:lineRule="exact"/>
        <w:ind w:firstLineChars="200" w:firstLine="640"/>
        <w:outlineLvl w:val="1"/>
        <w:rPr>
          <w:rStyle w:val="2Char"/>
          <w:rFonts w:ascii="黑体" w:eastAsia="黑体"/>
          <w:b w:val="0"/>
        </w:rPr>
      </w:pPr>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30"/>
      <w:bookmarkEnd w:id="31"/>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557.57</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486.25</w:t>
      </w:r>
      <w:r>
        <w:rPr>
          <w:rFonts w:ascii="仿宋" w:eastAsia="仿宋" w:hint="eastAsia"/>
          <w:color w:val="000000"/>
          <w:sz w:val="32"/>
          <w:szCs w:val="32"/>
        </w:rPr>
        <w:t>万元，占</w:t>
      </w:r>
      <w:r>
        <w:rPr>
          <w:rFonts w:ascii="仿宋" w:eastAsia="仿宋" w:hint="eastAsia"/>
          <w:color w:val="000000"/>
          <w:sz w:val="32"/>
          <w:szCs w:val="32"/>
          <w:lang w:val="en-US" w:eastAsia="zh-CN"/>
        </w:rPr>
        <w:t>87.21</w:t>
      </w:r>
      <w:r>
        <w:rPr>
          <w:rFonts w:ascii="仿宋" w:eastAsia="仿宋" w:hint="eastAsia"/>
          <w:color w:val="000000"/>
          <w:sz w:val="32"/>
          <w:szCs w:val="32"/>
        </w:rPr>
        <w:t>%；项目支出</w:t>
      </w:r>
      <w:r>
        <w:rPr>
          <w:rFonts w:ascii="仿宋" w:eastAsia="仿宋" w:hint="eastAsia"/>
          <w:color w:val="000000"/>
          <w:sz w:val="32"/>
          <w:szCs w:val="32"/>
          <w:lang w:val="en-US" w:eastAsia="zh-CN"/>
        </w:rPr>
        <w:t>71.32</w:t>
      </w:r>
      <w:r>
        <w:rPr>
          <w:rFonts w:ascii="仿宋" w:eastAsia="仿宋" w:hint="eastAsia"/>
          <w:color w:val="000000"/>
          <w:sz w:val="32"/>
          <w:szCs w:val="32"/>
        </w:rPr>
        <w:t>万元，占</w:t>
      </w:r>
      <w:r>
        <w:rPr>
          <w:rFonts w:ascii="仿宋" w:eastAsia="仿宋" w:hint="eastAsia"/>
          <w:color w:val="000000"/>
          <w:sz w:val="32"/>
          <w:szCs w:val="32"/>
          <w:lang w:val="en-US" w:eastAsia="zh-CN"/>
        </w:rPr>
        <w:t>12.79</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420"/>
        <w:rPr>
          <w:rFonts w:ascii="仿宋_GB2312" w:eastAsia="仿宋_GB2312" w:hint="eastAsia"/>
          <w:color w:val="FF0000"/>
          <w:sz w:val="32"/>
          <w:szCs w:val="32"/>
          <w:lang w:eastAsia="zh-CN"/>
        </w:rPr>
      </w:pPr>
      <w:r>
        <w:drawing>
          <wp:anchor distT="0" distB="0" distL="114300" distR="114300" simplePos="0" relativeHeight="33" behindDoc="0" locked="0" layoutInCell="1" hidden="0" allowOverlap="1">
            <wp:simplePos x="0" y="0"/>
            <wp:positionH relativeFrom="column">
              <wp:posOffset>1232535</wp:posOffset>
            </wp:positionH>
            <wp:positionV relativeFrom="paragraph">
              <wp:posOffset>242570</wp:posOffset>
            </wp:positionV>
            <wp:extent cx="3248025" cy="1887854"/>
            <wp:effectExtent l="0" t="0" r="0" b="0"/>
            <wp:wrapSquare wrapText="bothSides"/>
            <wp:docPr id="9" name="图表 3"/>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Fonts w:ascii="仿宋_GB2312" w:eastAsia="仿宋_GB2312" w:hint="eastAsia"/>
          <w:color w:val="FF0000"/>
          <w:sz w:val="32"/>
          <w:szCs w:val="32"/>
          <w:lang w:eastAsia="zh-CN"/>
        </w:rPr>
      </w:pPr>
    </w:p>
    <w:p>
      <w:pPr>
        <w:spacing w:line="600" w:lineRule="exact"/>
        <w:ind w:firstLineChars="200" w:firstLine="640"/>
        <w:rPr>
          <w:rFonts w:ascii="仿宋_GB2312" w:eastAsia="仿宋_GB2312" w:hint="eastAsia"/>
          <w:color w:val="FF0000"/>
          <w:sz w:val="32"/>
          <w:szCs w:val="32"/>
          <w:lang w:eastAsia="zh-CN"/>
        </w:rPr>
      </w:pPr>
    </w:p>
    <w:p>
      <w:pPr>
        <w:spacing w:line="600" w:lineRule="exact"/>
        <w:ind w:firstLineChars="200" w:firstLine="640"/>
        <w:rPr>
          <w:rFonts w:ascii="仿宋_GB2312" w:eastAsia="仿宋_GB2312" w:hint="eastAsia"/>
          <w:color w:val="FF0000"/>
          <w:sz w:val="32"/>
          <w:szCs w:val="32"/>
          <w:lang w:eastAsia="zh-CN"/>
        </w:rPr>
      </w:pPr>
    </w:p>
    <w:p>
      <w:pPr>
        <w:spacing w:line="600" w:lineRule="exact"/>
        <w:ind w:firstLineChars="200" w:firstLine="640"/>
        <w:rPr>
          <w:rFonts w:ascii="仿宋_GB2312" w:eastAsia="仿宋_GB2312" w:hint="eastAsia"/>
          <w:color w:val="FF0000"/>
          <w:sz w:val="32"/>
          <w:szCs w:val="32"/>
          <w:lang w:eastAsia="zh-CN"/>
        </w:rPr>
      </w:pPr>
    </w:p>
    <w:p>
      <w:pPr>
        <w:pStyle w:val="19"/>
        <w:tabs>
          <w:tab w:val="center" w:pos="4153"/>
          <w:tab w:val="right" w:pos="8306"/>
        </w:tabs>
        <w:rPr>
          <w:rFonts w:ascii="仿宋_GB2312" w:eastAsia="仿宋_GB2312" w:hint="eastAsia"/>
          <w:color w:val="FF0000"/>
          <w:sz w:val="32"/>
          <w:szCs w:val="32"/>
          <w:lang w:eastAsia="zh-CN"/>
        </w:rPr>
      </w:pPr>
    </w:p>
    <w:p>
      <w:pPr>
        <w:pStyle w:val="19"/>
        <w:tabs>
          <w:tab w:val="center" w:pos="4153"/>
          <w:tab w:val="right" w:pos="8306"/>
        </w:tabs>
        <w:rPr>
          <w:rFonts w:ascii="仿宋_GB2312" w:eastAsia="仿宋_GB2312" w:hint="eastAsia"/>
          <w:color w:val="FF0000"/>
          <w:sz w:val="32"/>
          <w:szCs w:val="32"/>
          <w:lang w:eastAsia="zh-CN"/>
        </w:rPr>
      </w:pPr>
    </w:p>
    <w:p>
      <w:pPr>
        <w:spacing w:line="600" w:lineRule="exact"/>
        <w:ind w:firstLineChars="200" w:firstLine="640"/>
        <w:outlineLvl w:val="1"/>
        <w:rPr>
          <w:rStyle w:val="2Char"/>
          <w:rFonts w:ascii="黑体" w:eastAsia="黑体"/>
          <w:b w:val="0"/>
        </w:rPr>
      </w:pPr>
      <w:bookmarkStart w:id="32" w:name="_Toc15396606"/>
      <w:bookmarkStart w:id="33"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2"/>
      <w:bookmarkEnd w:id="33"/>
    </w:p>
    <w:p>
      <w:pPr>
        <w:snapToGrid w:val="0"/>
        <w:spacing w:line="520" w:lineRule="exact"/>
        <w:ind w:firstLineChars="200" w:firstLine="640"/>
        <w:rPr>
          <w:rStyle w:val="41"/>
          <w:rFonts w:ascii="仿宋_GB2312" w:eastAsia="仿宋_GB2312" w:cs="仿宋_GB2312" w:hint="eastAsia"/>
          <w:b w:val="0"/>
          <w:bCs/>
          <w:sz w:val="32"/>
          <w:szCs w:val="32"/>
          <w:shd w:val="clear" w:color="auto" w:fill="FFFFFF"/>
        </w:rPr>
      </w:pPr>
      <w:r>
        <w:rPr>
          <w:rFonts w:ascii="仿宋" w:eastAsia="仿宋" w:hint="eastAsia"/>
          <w:color w:val="000000"/>
          <w:sz w:val="32"/>
          <w:szCs w:val="32"/>
          <w:lang w:val="en-US" w:eastAsia="zh-CN"/>
        </w:rPr>
        <w:t>2022年财政拨款收入557.57万元。与2021年相比，一般公共预算财政拨款收入较上年增加145.07万元，增长</w:t>
      </w:r>
      <w:r>
        <w:rPr>
          <w:rFonts w:ascii="仿宋_GB2312" w:eastAsia="仿宋_GB2312" w:hint="eastAsia"/>
          <w:color w:val="000000"/>
          <w:spacing w:val="-2"/>
          <w:kern w:val="2"/>
          <w:sz w:val="32"/>
          <w:szCs w:val="32"/>
          <w:lang w:val="en-US" w:eastAsia="zh-CN" w:bidi="ar-SA"/>
        </w:rPr>
        <w:t>35.17</w:t>
      </w:r>
      <w:r>
        <w:rPr>
          <w:rFonts w:ascii="仿宋" w:eastAsia="仿宋" w:hint="eastAsia"/>
          <w:color w:val="000000"/>
          <w:sz w:val="32"/>
          <w:szCs w:val="32"/>
          <w:lang w:val="en-US" w:eastAsia="zh-CN"/>
        </w:rPr>
        <w:t>%。</w:t>
      </w:r>
      <w:r>
        <w:rPr>
          <w:rFonts w:ascii="仿宋_GB2312" w:eastAsia="仿宋_GB2312" w:hint="eastAsia"/>
          <w:color w:val="000000"/>
          <w:spacing w:val="-2"/>
          <w:kern w:val="2"/>
          <w:sz w:val="32"/>
          <w:szCs w:val="32"/>
          <w:lang w:val="en-US" w:eastAsia="zh-CN" w:bidi="ar-SA"/>
        </w:rPr>
        <w:t>增加的主要原因</w:t>
      </w:r>
      <w:r>
        <w:rPr>
          <w:rStyle w:val="41"/>
          <w:rFonts w:ascii="仿宋_GB2312" w:eastAsia="仿宋_GB2312" w:cs="仿宋_GB2312" w:hint="eastAsia"/>
          <w:b w:val="0"/>
          <w:bCs/>
          <w:sz w:val="32"/>
          <w:szCs w:val="32"/>
          <w:shd w:val="clear" w:color="auto" w:fill="FFFFFF"/>
        </w:rPr>
        <w:t>为人员增加</w:t>
      </w:r>
    </w:p>
    <w:p>
      <w:pPr>
        <w:snapToGrid w:val="0"/>
        <w:spacing w:line="520" w:lineRule="exact"/>
        <w:ind w:firstLineChars="200" w:firstLine="640"/>
        <w:rPr>
          <w:rFonts w:ascii="仿宋" w:eastAsia="仿宋" w:hint="eastAsia"/>
          <w:color w:val="000000"/>
          <w:sz w:val="32"/>
          <w:szCs w:val="32"/>
          <w:lang w:val="en-US" w:eastAsia="zh-CN"/>
        </w:rPr>
      </w:pPr>
    </w:p>
    <w:p>
      <w:pPr>
        <w:snapToGrid w:val="0"/>
        <w:spacing w:line="520" w:lineRule="exact"/>
        <w:ind w:firstLineChars="200" w:firstLine="420"/>
        <w:rPr>
          <w:rFonts w:ascii="仿宋" w:eastAsia="仿宋" w:hint="eastAsia"/>
          <w:color w:val="000000"/>
          <w:sz w:val="32"/>
          <w:szCs w:val="32"/>
          <w:lang w:val="en-US" w:eastAsia="zh-CN"/>
        </w:rPr>
      </w:pPr>
      <w:r>
        <w:drawing>
          <wp:anchor distT="0" distB="0" distL="114300" distR="114300" simplePos="0" relativeHeight="35" behindDoc="0" locked="0" layoutInCell="1" hidden="0" allowOverlap="1">
            <wp:simplePos x="0" y="0"/>
            <wp:positionH relativeFrom="column">
              <wp:posOffset>433069</wp:posOffset>
            </wp:positionH>
            <wp:positionV relativeFrom="paragraph">
              <wp:posOffset>55879</wp:posOffset>
            </wp:positionV>
            <wp:extent cx="4200525" cy="1296670"/>
            <wp:effectExtent l="0" t="0" r="0" b="0"/>
            <wp:wrapSquare wrapText="bothSides"/>
            <wp:docPr id="10" name="图表 5"/>
            <wp:cNvGraphicFramePr>
              <a:graphicFrameLocks noChangeAspect="0"/>
            </wp:cNvGraphicFramePr>
            <a:graphic>
              <a:graphicData uri="http://schemas.openxmlformats.org/drawingml/2006/chart">
                <c:chart xmlns:c="http://schemas.openxmlformats.org/drawingml/2006/chart" r:id="rId8"/>
              </a:graphicData>
            </a:graphic>
          </wp:anchor>
        </w:drawing>
      </w:r>
    </w:p>
    <w:p>
      <w:pPr>
        <w:snapToGrid w:val="0"/>
        <w:spacing w:line="520" w:lineRule="exact"/>
        <w:ind w:firstLineChars="200" w:firstLine="640"/>
        <w:rPr>
          <w:rFonts w:ascii="仿宋" w:eastAsia="仿宋" w:hint="eastAsia"/>
          <w:color w:val="000000"/>
          <w:sz w:val="32"/>
          <w:szCs w:val="32"/>
          <w:lang w:val="en-US" w:eastAsia="zh-CN"/>
        </w:rPr>
      </w:pPr>
    </w:p>
    <w:p>
      <w:pPr>
        <w:snapToGrid w:val="0"/>
        <w:spacing w:line="520" w:lineRule="exact"/>
        <w:ind w:firstLineChars="200" w:firstLine="640"/>
        <w:rPr>
          <w:rFonts w:ascii="仿宋" w:eastAsia="仿宋" w:hint="eastAsia"/>
          <w:color w:val="000000"/>
          <w:sz w:val="32"/>
          <w:szCs w:val="32"/>
          <w:lang w:val="en-US" w:eastAsia="zh-CN"/>
        </w:rPr>
      </w:pPr>
    </w:p>
    <w:p>
      <w:pPr>
        <w:snapToGrid w:val="0"/>
        <w:spacing w:line="520" w:lineRule="exact"/>
        <w:ind w:firstLineChars="200" w:firstLine="640"/>
        <w:rPr>
          <w:rFonts w:ascii="仿宋" w:eastAsia="仿宋" w:hint="eastAsia"/>
          <w:color w:val="000000"/>
          <w:sz w:val="32"/>
          <w:szCs w:val="32"/>
          <w:lang w:val="en-US" w:eastAsia="zh-CN"/>
        </w:rPr>
      </w:pPr>
    </w:p>
    <w:p>
      <w:pPr>
        <w:snapToGrid w:val="0"/>
        <w:spacing w:line="520" w:lineRule="exact"/>
        <w:rPr>
          <w:rFonts w:ascii="仿宋" w:eastAsia="仿宋" w:hint="eastAsia"/>
          <w:color w:val="000000"/>
          <w:sz w:val="32"/>
          <w:szCs w:val="32"/>
          <w:lang w:val="en-US" w:eastAsia="zh-CN"/>
        </w:rPr>
      </w:pPr>
    </w:p>
    <w:p>
      <w:pPr>
        <w:snapToGrid w:val="0"/>
        <w:spacing w:line="520" w:lineRule="exact"/>
        <w:ind w:firstLineChars="200" w:firstLine="640"/>
        <w:rPr>
          <w:rFonts w:ascii="仿宋_GB2312" w:eastAsia="宋体" w:hAnsi="仿宋_GB2312"/>
          <w:color w:val="auto"/>
          <w:spacing w:val="-2"/>
          <w:kern w:val="2"/>
          <w:sz w:val="32"/>
          <w:szCs w:val="32"/>
          <w:lang w:val="en-US" w:eastAsia="zh-CN" w:bidi="ar-SA"/>
        </w:rPr>
      </w:pPr>
      <w:r>
        <w:rPr>
          <w:rFonts w:ascii="仿宋" w:eastAsia="仿宋" w:hint="eastAsia"/>
          <w:color w:val="000000"/>
          <w:sz w:val="32"/>
          <w:szCs w:val="32"/>
          <w:lang w:val="en-US" w:eastAsia="zh-CN"/>
        </w:rPr>
        <w:t>2022年财政拨款支出557.57万元，</w:t>
      </w:r>
      <w:r>
        <w:rPr>
          <w:rFonts w:ascii="仿宋" w:eastAsia="仿宋" w:hint="eastAsia"/>
          <w:color w:val="auto"/>
          <w:sz w:val="32"/>
          <w:szCs w:val="32"/>
          <w:lang w:val="en-US" w:eastAsia="zh-CN"/>
        </w:rPr>
        <w:t>较上年支出增加</w:t>
      </w:r>
      <w:r>
        <w:rPr>
          <w:rFonts w:ascii="仿宋" w:eastAsia="仿宋" w:hint="eastAsia"/>
          <w:color w:val="000000"/>
          <w:sz w:val="32"/>
          <w:szCs w:val="32"/>
          <w:lang w:val="en-US" w:eastAsia="zh-CN"/>
        </w:rPr>
        <w:t>145.07</w:t>
      </w:r>
      <w:r>
        <w:rPr>
          <w:rFonts w:ascii="仿宋" w:eastAsia="仿宋" w:hint="eastAsia"/>
          <w:color w:val="auto"/>
          <w:sz w:val="32"/>
          <w:szCs w:val="32"/>
          <w:lang w:val="en-US" w:eastAsia="zh-CN"/>
        </w:rPr>
        <w:t>万元，增长</w:t>
      </w:r>
      <w:r>
        <w:rPr>
          <w:rFonts w:ascii="仿宋_GB2312" w:eastAsia="仿宋_GB2312" w:hint="eastAsia"/>
          <w:color w:val="000000"/>
          <w:spacing w:val="-2"/>
          <w:kern w:val="2"/>
          <w:sz w:val="32"/>
          <w:szCs w:val="32"/>
          <w:lang w:val="en-US" w:eastAsia="zh-CN" w:bidi="ar-SA"/>
        </w:rPr>
        <w:t>35.17</w:t>
      </w:r>
      <w:r>
        <w:rPr>
          <w:rFonts w:ascii="仿宋" w:eastAsia="仿宋" w:hint="eastAsia"/>
          <w:color w:val="auto"/>
          <w:sz w:val="32"/>
          <w:szCs w:val="32"/>
          <w:lang w:val="en-US" w:eastAsia="zh-CN"/>
        </w:rPr>
        <w:t>%</w:t>
      </w:r>
      <w:r>
        <w:rPr>
          <w:rFonts w:ascii="仿宋_GB2312" w:eastAsia="仿宋_GB2312" w:hint="eastAsia"/>
          <w:color w:val="auto"/>
          <w:spacing w:val="-2"/>
          <w:kern w:val="2"/>
          <w:sz w:val="32"/>
          <w:szCs w:val="32"/>
          <w:lang w:val="en-US" w:eastAsia="zh-CN" w:bidi="ar-SA"/>
        </w:rPr>
        <w:t>。</w:t>
      </w:r>
      <w:bookmarkStart w:id="34" w:name="_Toc15396607"/>
      <w:bookmarkStart w:id="35" w:name="_Toc15377209"/>
      <w:r>
        <w:rPr>
          <w:rFonts w:ascii="仿宋_GB2312" w:eastAsia="仿宋_GB2312" w:hint="eastAsia"/>
          <w:color w:val="000000"/>
          <w:spacing w:val="-2"/>
          <w:kern w:val="2"/>
          <w:sz w:val="32"/>
          <w:szCs w:val="32"/>
          <w:lang w:val="en-US" w:eastAsia="zh-CN" w:bidi="ar-SA"/>
        </w:rPr>
        <w:t>增加的主要原因</w:t>
      </w:r>
      <w:r>
        <w:rPr>
          <w:rStyle w:val="41"/>
          <w:rFonts w:ascii="仿宋_GB2312" w:eastAsia="仿宋_GB2312" w:cs="仿宋_GB2312" w:hint="eastAsia"/>
          <w:b w:val="0"/>
          <w:bCs/>
          <w:sz w:val="32"/>
          <w:szCs w:val="32"/>
          <w:shd w:val="clear" w:color="auto" w:fill="FFFFFF"/>
        </w:rPr>
        <w:t>为人员增加</w:t>
      </w:r>
    </w:p>
    <w:p>
      <w:pPr>
        <w:pStyle w:val="19"/>
        <w:tabs>
          <w:tab w:val="center" w:pos="4153"/>
          <w:tab w:val="right" w:pos="8306"/>
        </w:tabs>
        <w:jc w:val="center"/>
        <w:rPr>
          <w:rFonts w:ascii="仿宋_GB2312" w:eastAsia="仿宋_GB2312" w:hint="eastAsia"/>
          <w:color w:val="auto"/>
          <w:spacing w:val="-2"/>
          <w:kern w:val="2"/>
          <w:sz w:val="32"/>
          <w:szCs w:val="32"/>
          <w:lang w:val="en-US" w:eastAsia="zh-CN" w:bidi="ar-SA"/>
        </w:rPr>
      </w:pPr>
      <w:r>
        <w:drawing>
          <wp:inline distT="0" distB="0" distL="114300" distR="114300">
            <wp:extent cx="3591560" cy="2305050"/>
            <wp:effectExtent l="0" t="0" r="0" b="0"/>
            <wp:docPr id="11" name="图表 4"/>
            <wp:cNvGraphicFramePr>
              <a:graphicFrameLocks noChangeAspect="0"/>
            </wp:cNvGraphicFramePr>
            <a:graphic>
              <a:graphicData uri="http://schemas.openxmlformats.org/drawingml/2006/chart">
                <c:chart xmlns:c="http://schemas.openxmlformats.org/drawingml/2006/chart" r:id="rId9"/>
              </a:graphicData>
            </a:graphic>
          </wp:inline>
        </w:drawing>
      </w:r>
    </w:p>
    <w:p>
      <w:pPr>
        <w:snapToGrid w:val="0"/>
        <w:spacing w:line="520" w:lineRule="exact"/>
        <w:ind w:firstLineChars="200" w:firstLine="640"/>
        <w:rPr>
          <w:rFonts w:ascii="黑体" w:eastAsia="黑体" w:hint="eastAsia"/>
          <w:color w:val="000000"/>
          <w:sz w:val="32"/>
          <w:szCs w:val="32"/>
        </w:rPr>
      </w:pPr>
    </w:p>
    <w:p>
      <w:pPr>
        <w:pStyle w:val="40"/>
        <w:rPr>
          <w:rFonts w:hint="eastAsia"/>
        </w:rPr>
      </w:pPr>
    </w:p>
    <w:p>
      <w:pPr>
        <w:snapToGrid w:val="0"/>
        <w:spacing w:line="52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4"/>
      <w:bookmarkEnd w:id="35"/>
    </w:p>
    <w:p>
      <w:pPr>
        <w:spacing w:line="600" w:lineRule="exact"/>
        <w:ind w:firstLineChars="200" w:firstLine="640"/>
        <w:outlineLvl w:val="2"/>
        <w:rPr>
          <w:rFonts w:ascii="仿宋" w:eastAsia="仿宋"/>
          <w:b/>
          <w:color w:val="000000"/>
          <w:sz w:val="32"/>
          <w:szCs w:val="32"/>
        </w:rPr>
      </w:pPr>
      <w:bookmarkStart w:id="36" w:name="_Toc15377210"/>
      <w:r>
        <w:rPr>
          <w:rFonts w:ascii="仿宋" w:eastAsia="仿宋" w:hint="eastAsia"/>
          <w:b/>
          <w:color w:val="000000"/>
          <w:sz w:val="32"/>
          <w:szCs w:val="32"/>
        </w:rPr>
        <w:t>（一）一般公共预算财政拨款支出决算总体情况</w:t>
      </w:r>
      <w:bookmarkEnd w:id="36"/>
    </w:p>
    <w:p>
      <w:pPr>
        <w:snapToGrid w:val="0"/>
        <w:spacing w:line="520" w:lineRule="exact"/>
        <w:ind w:firstLineChars="200" w:firstLine="640"/>
        <w:rPr>
          <w:rStyle w:val="41"/>
          <w:rFonts w:ascii="仿宋_GB2312" w:eastAsia="仿宋_GB2312" w:cs="仿宋_GB2312" w:hint="eastAsia"/>
          <w:b w:val="0"/>
          <w:bCs/>
          <w:sz w:val="32"/>
          <w:szCs w:val="32"/>
          <w:shd w:val="clear" w:color="auto" w:fill="FFFFFF"/>
          <w:lang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一般公共预算财政拨款支出557.57万元，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年相比，一般公共预算财政拨款</w:t>
      </w:r>
      <w:r>
        <w:rPr>
          <w:rFonts w:ascii="仿宋_GB2312" w:eastAsia="仿宋_GB2312" w:hint="eastAsia"/>
          <w:spacing w:val="-2"/>
          <w:kern w:val="2"/>
          <w:sz w:val="32"/>
          <w:szCs w:val="32"/>
          <w:lang w:val="en-US" w:eastAsia="zh-CN" w:bidi="ar-SA"/>
        </w:rPr>
        <w:t>支出增加</w:t>
      </w:r>
      <w:r>
        <w:rPr>
          <w:rFonts w:ascii="仿宋" w:eastAsia="仿宋" w:hint="eastAsia"/>
          <w:color w:val="000000"/>
          <w:sz w:val="32"/>
          <w:szCs w:val="32"/>
          <w:lang w:val="en-US" w:eastAsia="zh-CN"/>
        </w:rPr>
        <w:t>145.07</w:t>
      </w:r>
      <w:r>
        <w:rPr>
          <w:rFonts w:ascii="仿宋_GB2312" w:eastAsia="仿宋_GB2312" w:hint="eastAsia"/>
          <w:spacing w:val="-2"/>
          <w:kern w:val="2"/>
          <w:sz w:val="32"/>
          <w:szCs w:val="32"/>
          <w:lang w:val="en-US" w:eastAsia="zh-CN" w:bidi="ar-SA"/>
        </w:rPr>
        <w:t>万元，增加</w:t>
      </w:r>
      <w:r>
        <w:rPr>
          <w:rFonts w:ascii="仿宋_GB2312" w:eastAsia="仿宋_GB2312" w:hint="eastAsia"/>
          <w:color w:val="000000"/>
          <w:spacing w:val="-2"/>
          <w:kern w:val="2"/>
          <w:sz w:val="32"/>
          <w:szCs w:val="32"/>
          <w:lang w:val="en-US" w:eastAsia="zh-CN" w:bidi="ar-SA"/>
        </w:rPr>
        <w:t>35.17</w:t>
      </w:r>
      <w:r>
        <w:rPr>
          <w:rFonts w:ascii="仿宋_GB2312" w:eastAsia="仿宋_GB2312" w:hint="eastAsia"/>
          <w:spacing w:val="-2"/>
          <w:kern w:val="2"/>
          <w:sz w:val="32"/>
          <w:szCs w:val="32"/>
          <w:lang w:val="en-US" w:eastAsia="zh-CN" w:bidi="ar-SA"/>
        </w:rPr>
        <w:t>%。</w:t>
      </w:r>
      <w:r>
        <w:rPr>
          <w:rFonts w:ascii="仿宋_GB2312" w:eastAsia="仿宋_GB2312" w:hint="eastAsia"/>
          <w:color w:val="auto"/>
          <w:spacing w:val="-2"/>
          <w:kern w:val="2"/>
          <w:sz w:val="32"/>
          <w:szCs w:val="32"/>
          <w:lang w:val="en-US" w:eastAsia="zh-CN" w:bidi="ar-SA"/>
        </w:rPr>
        <w:t>主要原因</w:t>
      </w:r>
      <w:r>
        <w:rPr>
          <w:rStyle w:val="41"/>
          <w:rFonts w:ascii="仿宋_GB2312" w:eastAsia="仿宋_GB2312" w:cs="仿宋_GB2312" w:hint="eastAsia"/>
          <w:b w:val="0"/>
          <w:bCs/>
          <w:sz w:val="32"/>
          <w:szCs w:val="32"/>
          <w:shd w:val="clear" w:color="auto" w:fill="FFFFFF"/>
        </w:rPr>
        <w:t>为人员增加</w:t>
      </w:r>
      <w:r>
        <w:rPr>
          <w:rStyle w:val="41"/>
          <w:rFonts w:ascii="仿宋_GB2312" w:eastAsia="仿宋_GB2312" w:cs="仿宋_GB2312" w:hint="eastAsia"/>
          <w:b w:val="0"/>
          <w:bCs/>
          <w:sz w:val="32"/>
          <w:szCs w:val="32"/>
          <w:shd w:val="clear" w:color="auto" w:fill="FFFFFF"/>
          <w:lang w:eastAsia="zh-CN"/>
        </w:rPr>
        <w:t>。</w:t>
      </w:r>
    </w:p>
    <w:p>
      <w:pPr>
        <w:snapToGrid w:val="0"/>
        <w:spacing w:line="520" w:lineRule="exact"/>
        <w:ind w:firstLineChars="200" w:firstLine="632"/>
      </w:pPr>
      <w:r>
        <w:rPr>
          <w:rFonts w:ascii="仿宋_GB2312" w:eastAsia="仿宋_GB2312" w:hint="eastAsia"/>
          <w:color w:val="FF0000"/>
          <w:spacing w:val="-2"/>
          <w:kern w:val="2"/>
          <w:sz w:val="32"/>
          <w:szCs w:val="32"/>
          <w:lang w:val="en-US" w:eastAsia="zh-CN" w:bidi="ar-SA"/>
        </w:rPr>
        <w:t>.</w:t>
      </w:r>
      <w:bookmarkStart w:id="37" w:name="_Toc15377211"/>
    </w:p>
    <w:p>
      <w:pPr>
        <w:pStyle w:val="40"/>
      </w:pPr>
      <w:r>
        <w:drawing>
          <wp:anchor distT="0" distB="0" distL="114300" distR="114300" simplePos="0" relativeHeight="37" behindDoc="0" locked="0" layoutInCell="1" hidden="0" allowOverlap="1">
            <wp:simplePos x="0" y="0"/>
            <wp:positionH relativeFrom="column">
              <wp:posOffset>604520</wp:posOffset>
            </wp:positionH>
            <wp:positionV relativeFrom="paragraph">
              <wp:posOffset>155575</wp:posOffset>
            </wp:positionV>
            <wp:extent cx="3696970" cy="2390775"/>
            <wp:effectExtent l="0" t="0" r="0" b="0"/>
            <wp:wrapSquare wrapText="bothSides"/>
            <wp:docPr id="12" name="图表 5"/>
            <wp:cNvGraphicFramePr>
              <a:graphicFrameLocks noChangeAspect="0"/>
            </wp:cNvGraphicFramePr>
            <a:graphic>
              <a:graphicData uri="http://schemas.openxmlformats.org/drawingml/2006/chart">
                <c:chart xmlns:c="http://schemas.openxmlformats.org/drawingml/2006/chart" r:id="rId10"/>
              </a:graphicData>
            </a:graphic>
          </wp:anchor>
        </w:drawing>
      </w:r>
    </w:p>
    <w:p>
      <w:pPr>
        <w:pStyle w:val="40"/>
      </w:pPr>
    </w:p>
    <w:p>
      <w:pPr>
        <w:pStyle w:val="40"/>
        <w:rPr>
          <w:rFonts w:hint="eastAsia"/>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7"/>
    </w:p>
    <w:p>
      <w:pPr>
        <w:spacing w:line="600" w:lineRule="exact"/>
        <w:ind w:firstLine="640"/>
        <w:rPr>
          <w:rFonts w:ascii="仿宋" w:eastAsia="仿宋" w:hint="eastAsia"/>
          <w:b/>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557.57</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446.24</w:t>
      </w:r>
      <w:r>
        <w:rPr>
          <w:rFonts w:ascii="仿宋" w:eastAsia="仿宋" w:hint="eastAsia"/>
          <w:color w:val="000000"/>
          <w:sz w:val="32"/>
          <w:szCs w:val="32"/>
        </w:rPr>
        <w:t>万元，占</w:t>
      </w:r>
      <w:r>
        <w:rPr>
          <w:rFonts w:ascii="仿宋" w:eastAsia="仿宋" w:hint="eastAsia"/>
          <w:color w:val="000000"/>
          <w:sz w:val="32"/>
          <w:szCs w:val="32"/>
          <w:lang w:val="en-US" w:eastAsia="zh-CN"/>
        </w:rPr>
        <w:t>80.03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56.20</w:t>
      </w:r>
      <w:r>
        <w:rPr>
          <w:rFonts w:ascii="仿宋" w:eastAsia="仿宋" w:hint="eastAsia"/>
          <w:color w:val="000000"/>
          <w:sz w:val="32"/>
          <w:szCs w:val="32"/>
        </w:rPr>
        <w:t>万元，占</w:t>
      </w:r>
      <w:r>
        <w:rPr>
          <w:rFonts w:ascii="仿宋" w:eastAsia="仿宋" w:hint="eastAsia"/>
          <w:color w:val="000000"/>
          <w:sz w:val="32"/>
          <w:szCs w:val="32"/>
          <w:lang w:val="en-US" w:eastAsia="zh-CN"/>
        </w:rPr>
        <w:t>10.08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21.61</w:t>
      </w:r>
      <w:r>
        <w:rPr>
          <w:rFonts w:ascii="仿宋" w:eastAsia="仿宋" w:hint="eastAsia"/>
          <w:color w:val="000000"/>
          <w:sz w:val="32"/>
          <w:szCs w:val="32"/>
        </w:rPr>
        <w:t>万元，占</w:t>
      </w:r>
      <w:r>
        <w:rPr>
          <w:rFonts w:ascii="仿宋" w:eastAsia="仿宋" w:hint="eastAsia"/>
          <w:color w:val="000000"/>
          <w:sz w:val="32"/>
          <w:szCs w:val="32"/>
          <w:lang w:val="en-US" w:eastAsia="zh-CN"/>
        </w:rPr>
        <w:t>3.88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33.52</w:t>
      </w:r>
      <w:r>
        <w:rPr>
          <w:rFonts w:ascii="仿宋" w:eastAsia="仿宋" w:hint="eastAsia"/>
          <w:color w:val="000000"/>
          <w:sz w:val="32"/>
          <w:szCs w:val="32"/>
        </w:rPr>
        <w:t>万元，占</w:t>
      </w:r>
      <w:r>
        <w:rPr>
          <w:rFonts w:ascii="仿宋" w:eastAsia="仿宋" w:hint="eastAsia"/>
          <w:color w:val="000000"/>
          <w:sz w:val="32"/>
          <w:szCs w:val="32"/>
          <w:lang w:val="en-US" w:eastAsia="zh-CN"/>
        </w:rPr>
        <w:t>6.01</w:t>
      </w:r>
      <w:r>
        <w:rPr>
          <w:rFonts w:ascii="仿宋" w:eastAsia="仿宋"/>
          <w:color w:val="000000"/>
          <w:sz w:val="32"/>
          <w:szCs w:val="32"/>
        </w:rPr>
        <w:t>%</w:t>
      </w:r>
      <w:r>
        <w:rPr>
          <w:rFonts w:ascii="仿宋" w:eastAsia="仿宋" w:hint="eastAsia"/>
          <w:color w:val="000000"/>
          <w:sz w:val="32"/>
          <w:szCs w:val="32"/>
        </w:rPr>
        <w:t>。</w:t>
      </w:r>
      <w:bookmarkStart w:id="38" w:name="_Toc15377212"/>
      <w:bookmarkStart w:id="39" w:name="_Toc15377213"/>
      <w:bookmarkStart w:id="40" w:name="_Toc15377444"/>
      <w:bookmarkStart w:id="41" w:name="_Toc15378460"/>
    </w:p>
    <w:p>
      <w:pPr>
        <w:pStyle w:val="19"/>
        <w:tabs>
          <w:tab w:val="center" w:pos="4153"/>
          <w:tab w:val="right" w:pos="8306"/>
        </w:tabs>
        <w:jc w:val="center"/>
        <w:rPr>
          <w:rFonts w:ascii="仿宋" w:eastAsia="仿宋" w:hint="eastAsia"/>
          <w:b/>
          <w:color w:val="000000"/>
          <w:sz w:val="32"/>
          <w:szCs w:val="32"/>
        </w:rPr>
      </w:pPr>
    </w:p>
    <w:p>
      <w:pPr>
        <w:pStyle w:val="19"/>
        <w:tabs>
          <w:tab w:val="center" w:pos="4153"/>
          <w:tab w:val="right" w:pos="8306"/>
        </w:tabs>
        <w:jc w:val="center"/>
        <w:rPr>
          <w:rFonts w:ascii="仿宋" w:eastAsia="仿宋" w:hint="eastAsia"/>
          <w:b/>
          <w:color w:val="000000"/>
          <w:sz w:val="32"/>
          <w:szCs w:val="32"/>
        </w:rPr>
      </w:pPr>
      <w:r>
        <w:drawing>
          <wp:inline distT="0" distB="0" distL="114300" distR="114300">
            <wp:extent cx="3848734" cy="2277110"/>
            <wp:effectExtent l="0" t="0" r="0" b="0"/>
            <wp:docPr id="13" name="图表 6"/>
            <wp:cNvGraphicFramePr>
              <a:graphicFrameLocks noChangeAspect="0"/>
            </wp:cNvGraphicFramePr>
            <a:graphic>
              <a:graphicData uri="http://schemas.openxmlformats.org/drawingml/2006/chart">
                <c:chart xmlns:c="http://schemas.openxmlformats.org/drawingml/2006/chart" r:id="rId11"/>
              </a:graphicData>
            </a:graphic>
          </wp:inline>
        </w:drawing>
      </w:r>
    </w:p>
    <w:p>
      <w:pPr>
        <w:pStyle w:val="19"/>
        <w:tabs>
          <w:tab w:val="center" w:pos="4153"/>
          <w:tab w:val="right" w:pos="8306"/>
        </w:tabs>
        <w:rPr>
          <w:rFonts w:ascii="仿宋" w:eastAsia="仿宋" w:hint="eastAsia"/>
          <w:b/>
          <w:color w:val="000000"/>
          <w:sz w:val="32"/>
          <w:szCs w:val="32"/>
        </w:rPr>
      </w:pPr>
    </w:p>
    <w:p>
      <w:pPr>
        <w:spacing w:line="600" w:lineRule="exact"/>
        <w:ind w:firstLineChars="200" w:firstLine="640"/>
        <w:outlineLvl w:val="2"/>
        <w:rPr>
          <w:rFonts w:ascii="仿宋" w:eastAsia="仿宋" w:hint="eastAsia"/>
          <w:b/>
          <w:color w:val="000000"/>
          <w:sz w:val="32"/>
          <w:szCs w:val="32"/>
          <w:lang w:val="en-US" w:eastAsia="zh-CN"/>
        </w:rPr>
      </w:pPr>
      <w:r>
        <w:rPr>
          <w:rFonts w:ascii="仿宋" w:eastAsia="仿宋" w:hint="eastAsia"/>
          <w:b/>
          <w:color w:val="000000"/>
          <w:sz w:val="32"/>
          <w:szCs w:val="32"/>
        </w:rPr>
        <w:t>（三）一般公共预算财政拨款支出决算具体情况</w:t>
      </w:r>
      <w:bookmarkEnd w:id="38"/>
    </w:p>
    <w:p>
      <w:pPr>
        <w:spacing w:line="600" w:lineRule="exact"/>
        <w:outlineLvl w:val="2"/>
        <w:rPr>
          <w:rFonts w:ascii="仿宋" w:eastAsia="仿宋"/>
          <w:b w:val="0"/>
          <w:bCs/>
          <w:color w:val="FF0000"/>
          <w:sz w:val="32"/>
          <w:szCs w:val="32"/>
        </w:rPr>
      </w:pPr>
      <w:r>
        <w:rPr>
          <w:rFonts w:ascii="仿宋" w:eastAsia="仿宋" w:hint="eastAsia"/>
          <w:b w:val="0"/>
          <w:bCs/>
          <w:color w:val="000000"/>
          <w:sz w:val="32"/>
          <w:szCs w:val="32"/>
          <w:lang w:val="en-US" w:eastAsia="zh-CN"/>
        </w:rPr>
        <w:t xml:space="preserve">    </w:t>
      </w:r>
      <w:r>
        <w:rPr>
          <w:rFonts w:ascii="仿宋" w:eastAsia="仿宋" w:hint="eastAsia"/>
          <w:b w:val="0"/>
          <w:bCs/>
          <w:color w:val="000000"/>
          <w:sz w:val="32"/>
          <w:szCs w:val="32"/>
        </w:rPr>
        <w:t>20</w:t>
      </w:r>
      <w:r>
        <w:rPr>
          <w:rFonts w:ascii="仿宋" w:eastAsia="仿宋" w:hint="eastAsia"/>
          <w:b w:val="0"/>
          <w:bCs/>
          <w:color w:val="000000"/>
          <w:sz w:val="32"/>
          <w:szCs w:val="32"/>
          <w:lang w:val="en-US" w:eastAsia="zh-CN"/>
        </w:rPr>
        <w:t>22</w:t>
      </w:r>
      <w:r>
        <w:rPr>
          <w:rFonts w:ascii="仿宋" w:eastAsia="仿宋" w:hint="eastAsia"/>
          <w:b w:val="0"/>
          <w:bCs/>
          <w:color w:val="000000"/>
          <w:sz w:val="32"/>
          <w:szCs w:val="32"/>
        </w:rPr>
        <w:t>年</w:t>
      </w:r>
      <w:r>
        <w:rPr>
          <w:rFonts w:ascii="仿宋" w:eastAsia="仿宋" w:hint="eastAsia"/>
          <w:b w:val="0"/>
          <w:bCs/>
          <w:color w:val="000000"/>
          <w:sz w:val="32"/>
          <w:szCs w:val="32"/>
          <w:lang w:eastAsia="zh-CN"/>
        </w:rPr>
        <w:t>一</w:t>
      </w:r>
      <w:r>
        <w:rPr>
          <w:rFonts w:ascii="仿宋" w:eastAsia="仿宋" w:hint="eastAsia"/>
          <w:b w:val="0"/>
          <w:bCs/>
          <w:color w:val="000000"/>
          <w:sz w:val="32"/>
          <w:szCs w:val="32"/>
        </w:rPr>
        <w:t>般公共预算</w:t>
      </w:r>
      <w:r>
        <w:rPr>
          <w:rFonts w:ascii="仿宋" w:eastAsia="仿宋" w:hint="eastAsia"/>
          <w:b w:val="0"/>
          <w:bCs/>
          <w:color w:val="000000"/>
          <w:sz w:val="32"/>
          <w:szCs w:val="32"/>
          <w:lang w:val="en-US" w:eastAsia="zh-CN"/>
        </w:rPr>
        <w:t>数为313.26万元，</w:t>
      </w:r>
      <w:r>
        <w:rPr>
          <w:rFonts w:ascii="仿宋" w:eastAsia="仿宋" w:hint="eastAsia"/>
          <w:b w:val="0"/>
          <w:bCs/>
          <w:color w:val="000000"/>
          <w:sz w:val="32"/>
          <w:szCs w:val="32"/>
        </w:rPr>
        <w:t>支出决算数为</w:t>
      </w:r>
      <w:r>
        <w:rPr>
          <w:rFonts w:ascii="仿宋" w:eastAsia="仿宋" w:hint="eastAsia"/>
          <w:b w:val="0"/>
          <w:bCs/>
          <w:color w:val="000000"/>
          <w:sz w:val="32"/>
          <w:szCs w:val="32"/>
          <w:lang w:val="en-US" w:eastAsia="zh-CN"/>
        </w:rPr>
        <w:t>557.57万元</w:t>
      </w:r>
      <w:r>
        <w:rPr>
          <w:rFonts w:ascii="仿宋" w:eastAsia="仿宋" w:hint="eastAsia"/>
          <w:b w:val="0"/>
          <w:bCs/>
          <w:color w:val="000000"/>
          <w:sz w:val="32"/>
          <w:szCs w:val="32"/>
        </w:rPr>
        <w:t>，完</w:t>
      </w:r>
      <w:r>
        <w:rPr>
          <w:rStyle w:val="25"/>
          <w:rFonts w:ascii="仿宋" w:eastAsia="仿宋" w:hint="eastAsia"/>
          <w:b w:val="0"/>
          <w:bCs/>
          <w:color w:val="000000"/>
          <w:sz w:val="32"/>
          <w:szCs w:val="32"/>
        </w:rPr>
        <w:t>成预算</w:t>
      </w:r>
      <w:r>
        <w:rPr>
          <w:rStyle w:val="25"/>
          <w:rFonts w:ascii="仿宋" w:eastAsia="仿宋" w:hint="eastAsia"/>
          <w:b w:val="0"/>
          <w:bCs/>
          <w:color w:val="000000"/>
          <w:sz w:val="32"/>
          <w:szCs w:val="32"/>
          <w:lang w:val="en-US" w:eastAsia="zh-CN"/>
        </w:rPr>
        <w:t>177.99</w:t>
      </w:r>
      <w:r>
        <w:rPr>
          <w:rStyle w:val="25"/>
          <w:rFonts w:ascii="仿宋" w:eastAsia="仿宋"/>
          <w:b w:val="0"/>
          <w:bCs/>
          <w:color w:val="000000"/>
          <w:sz w:val="32"/>
          <w:szCs w:val="32"/>
        </w:rPr>
        <w:t>%</w:t>
      </w:r>
      <w:r>
        <w:rPr>
          <w:rStyle w:val="25"/>
          <w:rFonts w:ascii="仿宋" w:eastAsia="仿宋" w:hint="eastAsia"/>
          <w:b w:val="0"/>
          <w:bCs/>
          <w:color w:val="000000"/>
          <w:sz w:val="32"/>
          <w:szCs w:val="32"/>
        </w:rPr>
        <w:t>。其中：</w:t>
      </w:r>
      <w:bookmarkEnd w:id="39"/>
      <w:bookmarkEnd w:id="40"/>
      <w:bookmarkEnd w:id="41"/>
    </w:p>
    <w:p>
      <w:pPr>
        <w:numPr>
          <w:ilvl w:val="0"/>
          <w:numId w:val="3"/>
        </w:numPr>
        <w:spacing w:line="600" w:lineRule="exact"/>
        <w:ind w:left="0" w:firstLineChars="200" w:firstLine="640"/>
        <w:rPr>
          <w:rFonts w:hint="eastAsia"/>
        </w:rPr>
      </w:pPr>
      <w:r>
        <w:rPr>
          <w:rStyle w:val="25"/>
          <w:rFonts w:ascii="仿宋" w:eastAsia="仿宋" w:hint="eastAsia"/>
          <w:bCs/>
          <w:color w:val="000000"/>
          <w:sz w:val="32"/>
          <w:szCs w:val="32"/>
        </w:rPr>
        <w:t>一般公共服务（类）</w:t>
      </w:r>
      <w:r>
        <w:rPr>
          <w:rStyle w:val="25"/>
          <w:rFonts w:ascii="仿宋" w:eastAsia="仿宋" w:hint="eastAsia"/>
          <w:bCs/>
          <w:color w:val="000000"/>
          <w:sz w:val="32"/>
          <w:szCs w:val="32"/>
          <w:lang w:val="en-US" w:eastAsia="zh-CN"/>
        </w:rPr>
        <w:t>政府办公厅（室）及相关机构事务</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行政运行</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446.23</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205.09</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大于</w:t>
      </w:r>
      <w:r>
        <w:rPr>
          <w:rStyle w:val="25"/>
          <w:rFonts w:ascii="仿宋" w:eastAsia="仿宋" w:hint="eastAsia"/>
          <w:b w:val="0"/>
          <w:bCs/>
          <w:color w:val="000000"/>
          <w:sz w:val="32"/>
          <w:szCs w:val="32"/>
        </w:rPr>
        <w:t>预算数</w:t>
      </w:r>
      <w:r>
        <w:rPr>
          <w:rStyle w:val="25"/>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2</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Cs/>
          <w:color w:val="000000"/>
          <w:sz w:val="32"/>
          <w:szCs w:val="32"/>
        </w:rPr>
        <w:t>社会保障和就业（类）</w:t>
      </w:r>
      <w:r>
        <w:rPr>
          <w:rStyle w:val="25"/>
          <w:rFonts w:ascii="仿宋" w:eastAsia="仿宋" w:hint="eastAsia"/>
          <w:bCs/>
          <w:color w:val="000000"/>
          <w:sz w:val="32"/>
          <w:szCs w:val="32"/>
          <w:lang w:val="en-US" w:eastAsia="zh-CN"/>
        </w:rPr>
        <w:t>行政事业单位离退休</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机关事业单位基本养老保险缴费支出</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37.46</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120.26</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大于</w:t>
      </w:r>
      <w:r>
        <w:rPr>
          <w:rStyle w:val="25"/>
          <w:rFonts w:ascii="仿宋" w:eastAsia="仿宋" w:hint="eastAsia"/>
          <w:b w:val="0"/>
          <w:bCs/>
          <w:color w:val="000000"/>
          <w:sz w:val="32"/>
          <w:szCs w:val="32"/>
        </w:rPr>
        <w:t>预算数。</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3</w:t>
      </w:r>
      <w:r>
        <w:rPr>
          <w:rStyle w:val="25"/>
          <w:rFonts w:ascii="仿宋" w:eastAsia="仿宋"/>
          <w:bCs/>
          <w:color w:val="000000"/>
          <w:sz w:val="32"/>
          <w:szCs w:val="32"/>
        </w:rPr>
        <w:t>.</w:t>
      </w:r>
      <w:r>
        <w:rPr>
          <w:rStyle w:val="25"/>
          <w:rFonts w:ascii="仿宋" w:eastAsia="仿宋" w:hint="eastAsia"/>
          <w:bCs/>
          <w:color w:val="000000"/>
          <w:sz w:val="32"/>
          <w:szCs w:val="32"/>
        </w:rPr>
        <w:t>社会保障和就业（类）</w:t>
      </w:r>
      <w:r>
        <w:rPr>
          <w:rStyle w:val="25"/>
          <w:rFonts w:ascii="仿宋" w:eastAsia="仿宋" w:hint="eastAsia"/>
          <w:bCs/>
          <w:color w:val="000000"/>
          <w:sz w:val="32"/>
          <w:szCs w:val="32"/>
          <w:lang w:val="en-US" w:eastAsia="zh-CN"/>
        </w:rPr>
        <w:t>行政事业单位离退休</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机关事业单位基本职业年金缴费支出</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18.73</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120.30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大于</w:t>
      </w:r>
      <w:r>
        <w:rPr>
          <w:rStyle w:val="25"/>
          <w:rFonts w:ascii="仿宋" w:eastAsia="仿宋" w:hint="eastAsia"/>
          <w:b w:val="0"/>
          <w:bCs/>
          <w:color w:val="000000"/>
          <w:sz w:val="32"/>
          <w:szCs w:val="32"/>
        </w:rPr>
        <w:t>预算数。</w:t>
      </w:r>
    </w:p>
    <w:p>
      <w:pPr>
        <w:spacing w:line="600" w:lineRule="exact"/>
        <w:ind w:firstLineChars="200" w:firstLine="640"/>
        <w:rPr>
          <w:rStyle w:val="25"/>
          <w:rFonts w:ascii="仿宋" w:eastAsia="仿宋" w:hint="eastAsia"/>
          <w:bCs/>
          <w:color w:val="000000"/>
          <w:sz w:val="32"/>
          <w:szCs w:val="32"/>
          <w:lang w:val="en-US" w:eastAsia="zh-CN"/>
        </w:rPr>
      </w:pPr>
      <w:r>
        <w:rPr>
          <w:rStyle w:val="25"/>
          <w:rFonts w:ascii="仿宋" w:eastAsia="仿宋" w:hint="eastAsia"/>
          <w:bCs/>
          <w:color w:val="000000"/>
          <w:sz w:val="32"/>
          <w:szCs w:val="32"/>
          <w:lang w:val="en-US" w:eastAsia="zh-CN"/>
        </w:rPr>
        <w:t>4.</w:t>
      </w:r>
      <w:r>
        <w:rPr>
          <w:rStyle w:val="25"/>
          <w:rFonts w:ascii="仿宋" w:eastAsia="仿宋" w:hint="eastAsia"/>
          <w:bCs/>
          <w:color w:val="000000"/>
          <w:sz w:val="32"/>
          <w:szCs w:val="32"/>
          <w:lang w:eastAsia="zh-CN"/>
        </w:rPr>
        <w:t>卫生健康支出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行政事业单位医疗</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行政单位医疗</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8.52</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213</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大于</w:t>
      </w:r>
      <w:r>
        <w:rPr>
          <w:rStyle w:val="25"/>
          <w:rFonts w:ascii="仿宋" w:eastAsia="仿宋" w:hint="eastAsia"/>
          <w:b w:val="0"/>
          <w:bCs/>
          <w:color w:val="000000"/>
          <w:sz w:val="32"/>
          <w:szCs w:val="32"/>
        </w:rPr>
        <w:t>预算数。</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5.</w:t>
      </w:r>
      <w:r>
        <w:rPr>
          <w:rStyle w:val="25"/>
          <w:rFonts w:ascii="仿宋" w:eastAsia="仿宋" w:hint="eastAsia"/>
          <w:bCs/>
          <w:color w:val="000000"/>
          <w:sz w:val="32"/>
          <w:szCs w:val="32"/>
          <w:lang w:eastAsia="zh-CN"/>
        </w:rPr>
        <w:t>卫生健康支出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行政事业单位医疗</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事业单位医疗</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8.58</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122.92</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大于</w:t>
      </w:r>
      <w:r>
        <w:rPr>
          <w:rStyle w:val="25"/>
          <w:rFonts w:ascii="仿宋" w:eastAsia="仿宋" w:hint="eastAsia"/>
          <w:b w:val="0"/>
          <w:bCs/>
          <w:color w:val="000000"/>
          <w:sz w:val="32"/>
          <w:szCs w:val="32"/>
        </w:rPr>
        <w:t>预算数。</w:t>
      </w:r>
    </w:p>
    <w:p>
      <w:pPr>
        <w:spacing w:line="600" w:lineRule="exact"/>
        <w:ind w:firstLineChars="200" w:firstLine="640"/>
        <w:rPr>
          <w:rStyle w:val="25"/>
          <w:rFonts w:ascii="仿宋" w:eastAsia="仿宋" w:hint="eastAsia"/>
          <w:bCs/>
          <w:color w:val="000000"/>
          <w:sz w:val="32"/>
          <w:szCs w:val="32"/>
          <w:lang w:val="en-US" w:eastAsia="zh-CN"/>
        </w:rPr>
      </w:pPr>
      <w:r>
        <w:rPr>
          <w:rStyle w:val="25"/>
          <w:rFonts w:ascii="仿宋" w:eastAsia="仿宋" w:hint="eastAsia"/>
          <w:bCs/>
          <w:color w:val="000000"/>
          <w:sz w:val="32"/>
          <w:szCs w:val="32"/>
          <w:lang w:val="en-US" w:eastAsia="zh-CN"/>
        </w:rPr>
        <w:t>6.</w:t>
      </w:r>
      <w:r>
        <w:rPr>
          <w:rStyle w:val="25"/>
          <w:rFonts w:ascii="仿宋" w:eastAsia="仿宋" w:hint="eastAsia"/>
          <w:bCs/>
          <w:color w:val="000000"/>
          <w:sz w:val="32"/>
          <w:szCs w:val="32"/>
          <w:lang w:eastAsia="zh-CN"/>
        </w:rPr>
        <w:t>卫生健康支出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行政事业单位医疗</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其他行政事业单位医疗支出</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2.43</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101.67</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大于</w:t>
      </w:r>
      <w:r>
        <w:rPr>
          <w:rStyle w:val="25"/>
          <w:rFonts w:ascii="仿宋" w:eastAsia="仿宋" w:hint="eastAsia"/>
          <w:b w:val="0"/>
          <w:bCs/>
          <w:color w:val="000000"/>
          <w:sz w:val="32"/>
          <w:szCs w:val="32"/>
        </w:rPr>
        <w:t>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lang w:val="en-US" w:eastAsia="zh-CN"/>
        </w:rPr>
        <w:t>7.</w:t>
      </w:r>
      <w:r>
        <w:rPr>
          <w:rStyle w:val="25"/>
          <w:rFonts w:ascii="仿宋" w:eastAsia="仿宋" w:hint="eastAsia"/>
          <w:bCs/>
          <w:color w:val="000000"/>
          <w:sz w:val="32"/>
          <w:szCs w:val="32"/>
          <w:lang w:eastAsia="zh-CN"/>
        </w:rPr>
        <w:t>卫生健康支出</w:t>
      </w:r>
      <w:r>
        <w:rPr>
          <w:rStyle w:val="25"/>
          <w:rFonts w:ascii="仿宋" w:eastAsia="仿宋" w:hint="eastAsia"/>
          <w:bCs/>
          <w:color w:val="000000"/>
          <w:sz w:val="32"/>
          <w:szCs w:val="32"/>
        </w:rPr>
        <w:t>（类）</w:t>
      </w:r>
      <w:r>
        <w:rPr>
          <w:rStyle w:val="25"/>
          <w:rFonts w:ascii="仿宋" w:eastAsia="仿宋" w:hint="eastAsia"/>
          <w:bCs/>
          <w:color w:val="000000"/>
          <w:sz w:val="32"/>
          <w:szCs w:val="32"/>
          <w:lang w:val="en-US" w:eastAsia="zh-CN"/>
        </w:rPr>
        <w:t>行政事业单位医疗</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公务员医疗补助</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2.08</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47.17</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小于</w:t>
      </w:r>
      <w:r>
        <w:rPr>
          <w:rStyle w:val="25"/>
          <w:rFonts w:ascii="仿宋" w:eastAsia="仿宋" w:hint="eastAsia"/>
          <w:b w:val="0"/>
          <w:bCs/>
          <w:color w:val="000000"/>
          <w:sz w:val="32"/>
          <w:szCs w:val="32"/>
        </w:rPr>
        <w:t>预算数。</w:t>
      </w:r>
    </w:p>
    <w:p>
      <w:pPr>
        <w:spacing w:line="600" w:lineRule="exact"/>
        <w:ind w:firstLineChars="200" w:firstLine="640"/>
        <w:rPr>
          <w:rStyle w:val="25"/>
          <w:rFonts w:ascii="仿宋" w:eastAsia="仿宋"/>
          <w:bCs/>
          <w:color w:val="000000"/>
          <w:sz w:val="32"/>
          <w:szCs w:val="32"/>
          <w:lang w:val="en-US" w:eastAsia="zh-CN"/>
        </w:rPr>
      </w:pPr>
      <w:bookmarkStart w:id="42" w:name="_Toc15396608"/>
      <w:bookmarkStart w:id="43" w:name="_Toc15377214"/>
      <w:r>
        <w:rPr>
          <w:rStyle w:val="25"/>
          <w:rFonts w:ascii="仿宋" w:eastAsia="仿宋" w:hint="eastAsia"/>
          <w:bCs/>
          <w:color w:val="000000"/>
          <w:sz w:val="32"/>
          <w:szCs w:val="32"/>
          <w:lang w:val="en-US" w:eastAsia="zh-CN"/>
        </w:rPr>
        <w:t>8.住房保障（类）住房改革支出（款）住房公积金（项）：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33.52</w:t>
      </w:r>
      <w:r>
        <w:rPr>
          <w:rStyle w:val="25"/>
          <w:rFonts w:ascii="仿宋" w:eastAsia="仿宋" w:hint="eastAsia"/>
          <w:b w:val="0"/>
          <w:bCs/>
          <w:color w:val="000000"/>
          <w:sz w:val="32"/>
          <w:szCs w:val="32"/>
        </w:rPr>
        <w:t>万元，完成预算</w:t>
      </w:r>
      <w:r>
        <w:rPr>
          <w:rStyle w:val="25"/>
          <w:rFonts w:ascii="仿宋" w:eastAsia="仿宋" w:hint="eastAsia"/>
          <w:b w:val="0"/>
          <w:bCs/>
          <w:color w:val="000000"/>
          <w:sz w:val="32"/>
          <w:szCs w:val="32"/>
          <w:lang w:val="en-US" w:eastAsia="zh-CN"/>
        </w:rPr>
        <w:t>143.49</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w:t>
      </w:r>
      <w:r>
        <w:rPr>
          <w:rStyle w:val="25"/>
          <w:rFonts w:ascii="仿宋" w:eastAsia="仿宋" w:hint="eastAsia"/>
          <w:b w:val="0"/>
          <w:bCs/>
          <w:color w:val="000000"/>
          <w:sz w:val="32"/>
          <w:szCs w:val="32"/>
          <w:lang w:val="en-US" w:eastAsia="zh-CN"/>
        </w:rPr>
        <w:t>大于</w:t>
      </w:r>
      <w:r>
        <w:rPr>
          <w:rStyle w:val="25"/>
          <w:rFonts w:ascii="仿宋" w:eastAsia="仿宋" w:hint="eastAsia"/>
          <w:b w:val="0"/>
          <w:bCs/>
          <w:color w:val="000000"/>
          <w:sz w:val="32"/>
          <w:szCs w:val="32"/>
        </w:rPr>
        <w:t>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2"/>
      <w:bookmarkEnd w:id="43"/>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557.57</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lang w:val="en-US" w:eastAsia="zh-CN"/>
        </w:rPr>
      </w:pPr>
      <w:r>
        <w:rPr>
          <w:rFonts w:ascii="仿宋" w:eastAsia="仿宋" w:hint="eastAsia"/>
          <w:color w:val="000000"/>
          <w:sz w:val="32"/>
          <w:szCs w:val="32"/>
          <w:lang w:eastAsia="zh-CN"/>
        </w:rPr>
        <w:t>基本支出：</w:t>
      </w:r>
      <w:r>
        <w:rPr>
          <w:rFonts w:ascii="仿宋" w:eastAsia="仿宋" w:hint="eastAsia"/>
          <w:color w:val="000000"/>
          <w:sz w:val="32"/>
          <w:szCs w:val="32"/>
          <w:lang w:val="en-US" w:eastAsia="zh-CN"/>
        </w:rPr>
        <w:t>486.25万元</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461.38</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92.39万元</w:t>
      </w:r>
      <w:r>
        <w:rPr>
          <w:rFonts w:ascii="仿宋" w:eastAsia="仿宋" w:hint="eastAsia"/>
          <w:color w:val="000000"/>
          <w:sz w:val="32"/>
          <w:szCs w:val="32"/>
        </w:rPr>
        <w:t>、津贴补贴</w:t>
      </w:r>
      <w:r>
        <w:rPr>
          <w:rFonts w:ascii="仿宋" w:eastAsia="仿宋" w:hint="eastAsia"/>
          <w:color w:val="000000"/>
          <w:sz w:val="32"/>
          <w:szCs w:val="32"/>
          <w:lang w:val="en-US" w:eastAsia="zh-CN"/>
        </w:rPr>
        <w:t>76.09万元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38.97万元、</w:t>
      </w:r>
      <w:r>
        <w:rPr>
          <w:rFonts w:ascii="仿宋" w:eastAsia="仿宋" w:hint="eastAsia"/>
          <w:color w:val="000000"/>
          <w:sz w:val="32"/>
          <w:szCs w:val="32"/>
        </w:rPr>
        <w:t>奖金</w:t>
      </w:r>
      <w:r>
        <w:rPr>
          <w:rFonts w:ascii="仿宋" w:eastAsia="仿宋" w:hint="eastAsia"/>
          <w:color w:val="000000"/>
          <w:sz w:val="32"/>
          <w:szCs w:val="32"/>
          <w:lang w:val="en-US" w:eastAsia="zh-CN"/>
        </w:rPr>
        <w:t>85.88万元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52.56万元、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37.46万元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18.73万元</w:t>
      </w:r>
      <w:r>
        <w:rPr>
          <w:rFonts w:ascii="仿宋" w:eastAsia="仿宋" w:hint="eastAsia"/>
          <w:color w:val="000000"/>
          <w:sz w:val="32"/>
          <w:szCs w:val="32"/>
        </w:rPr>
        <w:t>、</w:t>
      </w:r>
      <w:r>
        <w:rPr>
          <w:rFonts w:ascii="仿宋" w:eastAsia="仿宋" w:hint="eastAsia"/>
          <w:color w:val="000000"/>
          <w:sz w:val="32"/>
          <w:szCs w:val="32"/>
          <w:lang w:val="en-US" w:eastAsia="zh-CN"/>
        </w:rPr>
        <w:t>行政单位医疗8.52万元、事业单位医疗8.58万元、公务员医疗补助缴费2.08万元、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6.59万元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、生活补助</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0万元、</w:t>
      </w:r>
      <w:r>
        <w:rPr>
          <w:rFonts w:ascii="仿宋" w:eastAsia="仿宋" w:hint="eastAsia"/>
          <w:color w:val="000000"/>
          <w:sz w:val="32"/>
          <w:szCs w:val="32"/>
        </w:rPr>
        <w:t>住房公积金</w:t>
      </w:r>
      <w:r>
        <w:rPr>
          <w:rFonts w:ascii="仿宋" w:eastAsia="仿宋" w:hint="eastAsia"/>
          <w:color w:val="000000"/>
          <w:sz w:val="32"/>
          <w:szCs w:val="32"/>
          <w:lang w:val="en-US" w:eastAsia="zh-CN"/>
        </w:rPr>
        <w:t>33.52万元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0万元</w:t>
      </w:r>
      <w:r>
        <w:rPr>
          <w:rFonts w:ascii="仿宋" w:eastAsia="仿宋" w:hint="eastAsia"/>
          <w:color w:val="000000"/>
          <w:sz w:val="32"/>
          <w:szCs w:val="32"/>
        </w:rPr>
        <w:t>等。</w:t>
      </w:r>
      <w:r>
        <w:rPr>
          <w:rFonts w:ascii="仿宋" w:eastAsia="仿宋" w:hint="eastAsia"/>
          <w:color w:val="000000"/>
          <w:sz w:val="32"/>
          <w:szCs w:val="32"/>
          <w:lang w:val="en-US" w:eastAsia="zh-CN"/>
        </w:rPr>
        <w:t xml:space="preserve"> </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公用经费</w:t>
      </w:r>
      <w:r>
        <w:rPr>
          <w:rFonts w:ascii="仿宋" w:eastAsia="仿宋" w:hint="eastAsia"/>
          <w:color w:val="000000"/>
          <w:sz w:val="32"/>
          <w:szCs w:val="32"/>
          <w:lang w:val="en-US" w:eastAsia="zh-CN"/>
        </w:rPr>
        <w:t>24.87</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7.38万元</w:t>
      </w:r>
      <w:r>
        <w:rPr>
          <w:rFonts w:ascii="仿宋" w:eastAsia="仿宋" w:hint="eastAsia"/>
          <w:color w:val="000000"/>
          <w:sz w:val="32"/>
          <w:szCs w:val="32"/>
        </w:rPr>
        <w:t>、</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0万元、</w:t>
      </w:r>
      <w:r>
        <w:rPr>
          <w:rFonts w:ascii="仿宋" w:eastAsia="仿宋" w:hint="eastAsia"/>
          <w:color w:val="000000"/>
          <w:sz w:val="32"/>
          <w:szCs w:val="32"/>
        </w:rPr>
        <w:t>水费</w:t>
      </w:r>
      <w:r>
        <w:rPr>
          <w:rFonts w:ascii="仿宋" w:eastAsia="仿宋" w:hint="eastAsia"/>
          <w:color w:val="000000"/>
          <w:sz w:val="32"/>
          <w:szCs w:val="32"/>
          <w:lang w:val="en-US" w:eastAsia="zh-CN"/>
        </w:rPr>
        <w:t>1.50万元</w:t>
      </w:r>
      <w:r>
        <w:rPr>
          <w:rFonts w:ascii="仿宋" w:eastAsia="仿宋" w:hint="eastAsia"/>
          <w:color w:val="000000"/>
          <w:sz w:val="32"/>
          <w:szCs w:val="32"/>
        </w:rPr>
        <w:t>、电费</w:t>
      </w:r>
      <w:r>
        <w:rPr>
          <w:rFonts w:ascii="仿宋" w:eastAsia="仿宋" w:hint="eastAsia"/>
          <w:color w:val="000000"/>
          <w:sz w:val="32"/>
          <w:szCs w:val="32"/>
          <w:lang w:val="en-US" w:eastAsia="zh-CN"/>
        </w:rPr>
        <w:t>1.59万元</w:t>
      </w:r>
      <w:r>
        <w:rPr>
          <w:rFonts w:ascii="仿宋" w:eastAsia="仿宋" w:hint="eastAsia"/>
          <w:color w:val="000000"/>
          <w:sz w:val="32"/>
          <w:szCs w:val="32"/>
        </w:rPr>
        <w:t>、</w:t>
      </w:r>
      <w:r>
        <w:rPr>
          <w:rFonts w:ascii="仿宋" w:eastAsia="仿宋" w:hint="eastAsia"/>
          <w:color w:val="000000"/>
          <w:sz w:val="32"/>
          <w:szCs w:val="32"/>
          <w:lang w:eastAsia="zh-CN"/>
        </w:rPr>
        <w:t>取暖费</w:t>
      </w:r>
      <w:r>
        <w:rPr>
          <w:rFonts w:ascii="仿宋" w:eastAsia="仿宋" w:hint="eastAsia"/>
          <w:color w:val="000000"/>
          <w:sz w:val="32"/>
          <w:szCs w:val="32"/>
          <w:lang w:val="en-US" w:eastAsia="zh-CN"/>
        </w:rPr>
        <w:t>0.00万元、</w:t>
      </w:r>
      <w:r>
        <w:rPr>
          <w:rFonts w:ascii="仿宋" w:eastAsia="仿宋" w:hint="eastAsia"/>
          <w:color w:val="000000"/>
          <w:sz w:val="32"/>
          <w:szCs w:val="32"/>
        </w:rPr>
        <w:t>邮电费</w:t>
      </w:r>
      <w:r>
        <w:rPr>
          <w:rFonts w:ascii="仿宋" w:eastAsia="仿宋" w:hint="eastAsia"/>
          <w:color w:val="000000"/>
          <w:sz w:val="32"/>
          <w:szCs w:val="32"/>
          <w:lang w:val="en-US" w:eastAsia="zh-CN"/>
        </w:rPr>
        <w:t>3.30万元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5.70万元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3.00万元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0.33万元</w:t>
      </w:r>
      <w:r>
        <w:rPr>
          <w:rFonts w:ascii="仿宋" w:eastAsia="仿宋" w:hint="eastAsia"/>
          <w:color w:val="000000"/>
          <w:sz w:val="32"/>
          <w:szCs w:val="32"/>
        </w:rPr>
        <w:t>、福利费</w:t>
      </w:r>
      <w:r>
        <w:rPr>
          <w:rFonts w:ascii="仿宋" w:eastAsia="仿宋" w:hint="eastAsia"/>
          <w:color w:val="000000"/>
          <w:sz w:val="32"/>
          <w:szCs w:val="32"/>
          <w:lang w:val="en-US" w:eastAsia="zh-CN"/>
        </w:rPr>
        <w:t>0万元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0万元、其他交通费用1.00万元、劳务费1.07万元、其他商品和服务支出0万元、办公设备购置0万元、无形资产购置0万元</w:t>
      </w:r>
      <w:r>
        <w:rPr>
          <w:rFonts w:ascii="仿宋" w:eastAsia="仿宋" w:hint="eastAsia"/>
          <w:color w:val="000000"/>
          <w:sz w:val="32"/>
          <w:szCs w:val="32"/>
        </w:rPr>
        <w:t>等。</w:t>
      </w:r>
    </w:p>
    <w:p>
      <w:pPr>
        <w:pStyle w:val="19"/>
        <w:keepNext w:val="0"/>
        <w:keepLines w:val="0"/>
        <w:pageBreakBefore w:val="0"/>
        <w:widowControl w:val="0"/>
        <w:tabs>
          <w:tab w:val="center" w:pos="4153"/>
          <w:tab w:val="right" w:pos="8306"/>
        </w:tabs>
        <w:kinsoku/>
        <w:wordWrap/>
        <w:overflowPunct/>
        <w:topLinePunct w:val="0"/>
        <w:autoSpaceDE/>
        <w:autoSpaceDN/>
        <w:bidi w:val="0"/>
        <w:adjustRightInd/>
        <w:snapToGrid w:val="0"/>
        <w:spacing w:line="440" w:lineRule="exact"/>
        <w:ind w:firstLineChars="200" w:firstLine="640"/>
        <w:textAlignment w:val="auto"/>
        <w:rPr>
          <w:rFonts w:ascii="仿宋" w:eastAsia="仿宋"/>
          <w:color w:val="000000"/>
          <w:sz w:val="32"/>
          <w:szCs w:val="32"/>
          <w:lang w:val="en-US" w:eastAsia="zh-CN"/>
        </w:rPr>
      </w:pPr>
      <w:r>
        <w:rPr>
          <w:rFonts w:ascii="仿宋" w:eastAsia="仿宋" w:hint="eastAsia"/>
          <w:color w:val="000000"/>
          <w:sz w:val="32"/>
          <w:szCs w:val="32"/>
          <w:lang w:eastAsia="zh-CN"/>
        </w:rPr>
        <w:t>项目支出：</w:t>
      </w:r>
      <w:r>
        <w:rPr>
          <w:rFonts w:ascii="仿宋" w:eastAsia="仿宋" w:hint="eastAsia"/>
          <w:color w:val="000000"/>
          <w:sz w:val="32"/>
          <w:szCs w:val="32"/>
          <w:lang w:val="en-US" w:eastAsia="zh-CN"/>
        </w:rPr>
        <w:t>71.32万元</w:t>
      </w:r>
    </w:p>
    <w:p>
      <w:pPr>
        <w:pStyle w:val="19"/>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hint="eastAsia"/>
          <w:color w:val="000000"/>
          <w:sz w:val="32"/>
          <w:szCs w:val="32"/>
          <w:lang w:val="en-US"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val="en-US" w:eastAsia="zh-CN"/>
        </w:rPr>
        <w:t>。</w:t>
      </w:r>
    </w:p>
    <w:p>
      <w:pPr>
        <w:pStyle w:val="19"/>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71.32</w:t>
      </w:r>
      <w:r>
        <w:rPr>
          <w:rFonts w:ascii="仿宋" w:eastAsia="仿宋" w:hint="eastAsia"/>
          <w:color w:val="000000"/>
          <w:sz w:val="32"/>
          <w:szCs w:val="32"/>
        </w:rPr>
        <w:t>万元，主要包括</w:t>
      </w:r>
      <w:r>
        <w:rPr>
          <w:rFonts w:ascii="仿宋" w:eastAsia="仿宋" w:hint="eastAsia"/>
          <w:color w:val="000000"/>
          <w:sz w:val="32"/>
          <w:szCs w:val="32"/>
          <w:lang w:eastAsia="zh-CN"/>
        </w:rPr>
        <w:t>：</w:t>
      </w:r>
      <w:r>
        <w:rPr>
          <w:rFonts w:ascii="仿宋" w:eastAsia="仿宋" w:hint="eastAsia"/>
          <w:color w:val="000000"/>
          <w:sz w:val="32"/>
          <w:szCs w:val="32"/>
        </w:rPr>
        <w:t>办公费</w:t>
      </w:r>
      <w:r>
        <w:rPr>
          <w:rFonts w:ascii="仿宋" w:eastAsia="仿宋" w:hint="eastAsia"/>
          <w:color w:val="000000"/>
          <w:sz w:val="32"/>
          <w:szCs w:val="32"/>
          <w:lang w:val="en-US" w:eastAsia="zh-CN"/>
        </w:rPr>
        <w:t>:23.89万元</w:t>
      </w:r>
      <w:r>
        <w:rPr>
          <w:rFonts w:ascii="仿宋" w:eastAsia="仿宋" w:hint="eastAsia"/>
          <w:color w:val="000000"/>
          <w:sz w:val="32"/>
          <w:szCs w:val="32"/>
        </w:rPr>
        <w:t>、</w:t>
      </w:r>
      <w:r>
        <w:rPr>
          <w:rFonts w:ascii="仿宋" w:eastAsia="仿宋" w:hint="eastAsia"/>
          <w:color w:val="000000"/>
          <w:sz w:val="32"/>
          <w:szCs w:val="32"/>
          <w:lang w:val="en-US" w:eastAsia="zh-CN"/>
        </w:rPr>
        <w:t>电</w:t>
      </w:r>
      <w:r>
        <w:rPr>
          <w:rFonts w:ascii="仿宋" w:eastAsia="仿宋" w:hint="eastAsia"/>
          <w:color w:val="000000"/>
          <w:sz w:val="32"/>
          <w:szCs w:val="32"/>
        </w:rPr>
        <w:t>费</w:t>
      </w:r>
      <w:r>
        <w:rPr>
          <w:rFonts w:ascii="仿宋" w:eastAsia="仿宋" w:hint="eastAsia"/>
          <w:color w:val="000000"/>
          <w:sz w:val="32"/>
          <w:szCs w:val="32"/>
          <w:lang w:val="en-US" w:eastAsia="zh-CN"/>
        </w:rPr>
        <w:t>3.00万元</w:t>
      </w:r>
      <w:r>
        <w:rPr>
          <w:rFonts w:ascii="仿宋" w:eastAsia="仿宋" w:hint="eastAsia"/>
          <w:color w:val="000000"/>
          <w:sz w:val="32"/>
          <w:szCs w:val="32"/>
        </w:rPr>
        <w:t>、</w:t>
      </w:r>
      <w:r>
        <w:rPr>
          <w:rFonts w:ascii="仿宋" w:eastAsia="仿宋" w:hint="eastAsia"/>
          <w:color w:val="000000"/>
          <w:sz w:val="32"/>
          <w:szCs w:val="32"/>
          <w:lang w:val="en-US" w:eastAsia="zh-CN"/>
        </w:rPr>
        <w:t>邮电费6.60万元、</w:t>
      </w:r>
      <w:r>
        <w:rPr>
          <w:rFonts w:ascii="仿宋" w:eastAsia="仿宋" w:hint="eastAsia"/>
          <w:color w:val="000000"/>
          <w:sz w:val="32"/>
          <w:szCs w:val="32"/>
        </w:rPr>
        <w:t>差旅费</w:t>
      </w:r>
      <w:r>
        <w:rPr>
          <w:rFonts w:ascii="仿宋" w:eastAsia="仿宋" w:hint="eastAsia"/>
          <w:color w:val="000000"/>
          <w:sz w:val="32"/>
          <w:szCs w:val="32"/>
          <w:lang w:val="en-US" w:eastAsia="zh-CN"/>
        </w:rPr>
        <w:t>8.50万元</w:t>
      </w:r>
      <w:r>
        <w:rPr>
          <w:rFonts w:ascii="仿宋" w:eastAsia="仿宋" w:hint="eastAsia"/>
          <w:color w:val="000000"/>
          <w:sz w:val="32"/>
          <w:szCs w:val="32"/>
        </w:rPr>
        <w:t>、维修（护）费</w:t>
      </w:r>
      <w:r>
        <w:rPr>
          <w:rFonts w:ascii="仿宋" w:eastAsia="仿宋" w:hint="eastAsia"/>
          <w:color w:val="000000"/>
          <w:sz w:val="32"/>
          <w:szCs w:val="32"/>
          <w:lang w:val="en-US" w:eastAsia="zh-CN"/>
        </w:rPr>
        <w:t>13.37万元、其他交通费用2.00万元、劳务费13.96万元。</w:t>
      </w:r>
    </w:p>
    <w:p>
      <w:pPr>
        <w:spacing w:line="600" w:lineRule="exact"/>
        <w:outlineLvl w:val="1"/>
        <w:rPr>
          <w:rFonts w:ascii="黑体" w:eastAsia="黑体" w:hint="eastAsia"/>
          <w:color w:val="000000"/>
          <w:sz w:val="32"/>
          <w:szCs w:val="32"/>
        </w:rPr>
      </w:pPr>
      <w:bookmarkStart w:id="44" w:name="_Toc15377215"/>
      <w:bookmarkStart w:id="45" w:name="_Toc15396609"/>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4"/>
      <w:bookmarkEnd w:id="45"/>
    </w:p>
    <w:p>
      <w:pPr>
        <w:spacing w:line="600" w:lineRule="exact"/>
        <w:ind w:firstLine="640"/>
        <w:outlineLvl w:val="2"/>
        <w:rPr>
          <w:rFonts w:ascii="仿宋" w:eastAsia="仿宋"/>
          <w:b/>
          <w:color w:val="000000"/>
          <w:sz w:val="32"/>
          <w:szCs w:val="32"/>
        </w:rPr>
      </w:pPr>
      <w:bookmarkStart w:id="46" w:name="_Toc15377216"/>
      <w:r>
        <w:rPr>
          <w:rFonts w:ascii="仿宋" w:eastAsia="仿宋" w:hint="eastAsia"/>
          <w:b/>
          <w:color w:val="000000"/>
          <w:sz w:val="32"/>
          <w:szCs w:val="32"/>
        </w:rPr>
        <w:t>（一）“三公”经费财政拨款支出决算总体情况说明</w:t>
      </w:r>
      <w:bookmarkEnd w:id="46"/>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0.33</w:t>
      </w:r>
      <w:r>
        <w:rPr>
          <w:rFonts w:ascii="仿宋" w:eastAsia="仿宋" w:hint="eastAsia"/>
          <w:color w:val="000000"/>
          <w:sz w:val="32"/>
          <w:szCs w:val="32"/>
        </w:rPr>
        <w:t>万元，完成预算</w:t>
      </w:r>
      <w:r>
        <w:rPr>
          <w:rFonts w:ascii="仿宋" w:eastAsia="仿宋" w:hint="eastAsia"/>
          <w:color w:val="000000"/>
          <w:sz w:val="32"/>
          <w:szCs w:val="32"/>
          <w:lang w:val="en-US" w:eastAsia="zh-CN"/>
        </w:rPr>
        <w:t>71.74</w:t>
      </w:r>
      <w:r>
        <w:rPr>
          <w:rFonts w:ascii="仿宋" w:eastAsia="仿宋"/>
          <w:color w:val="000000"/>
          <w:sz w:val="32"/>
          <w:szCs w:val="32"/>
        </w:rPr>
        <w:t>%</w:t>
      </w:r>
      <w:r>
        <w:rPr>
          <w:rFonts w:ascii="仿宋" w:eastAsia="仿宋" w:hint="eastAsia"/>
          <w:color w:val="000000"/>
          <w:sz w:val="32"/>
          <w:szCs w:val="32"/>
        </w:rPr>
        <w:t>，决算数</w:t>
      </w:r>
      <w:r>
        <w:rPr>
          <w:rFonts w:ascii="仿宋" w:eastAsia="仿宋" w:hint="eastAsia"/>
          <w:color w:val="000000"/>
          <w:sz w:val="32"/>
          <w:szCs w:val="32"/>
          <w:lang w:val="en-US" w:eastAsia="zh-CN"/>
        </w:rPr>
        <w:t>小于</w:t>
      </w:r>
      <w:r>
        <w:rPr>
          <w:rFonts w:ascii="仿宋" w:eastAsia="仿宋" w:hint="eastAsia"/>
          <w:color w:val="000000"/>
          <w:sz w:val="32"/>
          <w:szCs w:val="32"/>
        </w:rPr>
        <w:t>预算数。</w:t>
      </w:r>
    </w:p>
    <w:p>
      <w:pPr>
        <w:spacing w:line="600" w:lineRule="exact"/>
        <w:ind w:firstLine="640"/>
        <w:outlineLvl w:val="2"/>
        <w:rPr>
          <w:rFonts w:ascii="仿宋" w:eastAsia="仿宋"/>
          <w:b/>
          <w:color w:val="000000"/>
          <w:sz w:val="32"/>
          <w:szCs w:val="32"/>
        </w:rPr>
      </w:pPr>
      <w:bookmarkStart w:id="47" w:name="_Toc15377217"/>
      <w:r>
        <w:rPr>
          <w:rFonts w:ascii="仿宋" w:eastAsia="仿宋" w:hint="eastAsia"/>
          <w:b/>
          <w:color w:val="000000"/>
          <w:sz w:val="32"/>
          <w:szCs w:val="32"/>
        </w:rPr>
        <w:t>（二）“三公”经费财政拨款支出决算具体情况说明</w:t>
      </w:r>
      <w:bookmarkEnd w:id="47"/>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0.33万元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0.33</w:t>
      </w:r>
      <w:r>
        <w:rPr>
          <w:rFonts w:ascii="仿宋" w:eastAsia="仿宋" w:hint="eastAsia"/>
          <w:color w:val="000000"/>
          <w:sz w:val="32"/>
          <w:szCs w:val="32"/>
        </w:rPr>
        <w:t>万元，占</w:t>
      </w:r>
      <w:r>
        <w:rPr>
          <w:rFonts w:ascii="仿宋" w:eastAsia="仿宋" w:hint="eastAsia"/>
          <w:color w:val="000000"/>
          <w:sz w:val="32"/>
          <w:szCs w:val="32"/>
          <w:lang w:val="en-US" w:eastAsia="zh-CN"/>
        </w:rPr>
        <w:t>71.74</w:t>
      </w:r>
      <w:r>
        <w:rPr>
          <w:rFonts w:ascii="仿宋" w:eastAsia="仿宋"/>
          <w:color w:val="000000"/>
          <w:sz w:val="32"/>
          <w:szCs w:val="32"/>
        </w:rPr>
        <w:t>%</w:t>
      </w:r>
      <w:r>
        <w:rPr>
          <w:rFonts w:ascii="仿宋" w:eastAsia="仿宋" w:hint="eastAsia"/>
          <w:color w:val="000000"/>
          <w:sz w:val="32"/>
          <w:szCs w:val="32"/>
        </w:rPr>
        <w:t>。具体情况如下：</w:t>
      </w:r>
    </w:p>
    <w:p>
      <w:pPr>
        <w:pStyle w:val="19"/>
        <w:tabs>
          <w:tab w:val="center" w:pos="4153"/>
          <w:tab w:val="right" w:pos="8306"/>
        </w:tabs>
        <w:jc w:val="center"/>
        <w:rPr>
          <w:rFonts w:ascii="仿宋" w:eastAsia="仿宋" w:hint="eastAsia"/>
          <w:color w:val="000000"/>
          <w:sz w:val="32"/>
          <w:szCs w:val="32"/>
          <w:lang w:eastAsia="zh-CN"/>
        </w:rPr>
      </w:pPr>
      <w:r>
        <w:drawing>
          <wp:inline distT="0" distB="0" distL="114300" distR="114300">
            <wp:extent cx="3048000" cy="1495425"/>
            <wp:effectExtent l="0" t="0" r="0" b="0"/>
            <wp:docPr id="14" name="图表 7"/>
            <wp:cNvGraphicFramePr>
              <a:graphicFrameLocks noChangeAspect="0"/>
            </wp:cNvGraphicFramePr>
            <a:graphic>
              <a:graphicData uri="http://schemas.openxmlformats.org/drawingml/2006/chart">
                <c:chart xmlns:c="http://schemas.openxmlformats.org/drawingml/2006/chart" r:id="rId12"/>
              </a:graphicData>
            </a:graphic>
          </wp:inline>
        </w:drawing>
      </w:r>
    </w:p>
    <w:p>
      <w:pPr>
        <w:numPr>
          <w:ilvl w:val="0"/>
          <w:numId w:val="4"/>
        </w:numPr>
        <w:spacing w:line="600" w:lineRule="exact"/>
        <w:ind w:left="0" w:firstLine="640"/>
        <w:rPr>
          <w:rStyle w:val="25"/>
          <w:rFonts w:ascii="仿宋" w:eastAsia="仿宋" w:hint="eastAsia"/>
          <w:b w:val="0"/>
          <w:bCs/>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5"/>
          <w:rFonts w:ascii="仿宋" w:eastAsia="仿宋" w:hint="eastAsia"/>
          <w:b w:val="0"/>
          <w:bCs/>
          <w:color w:val="000000"/>
          <w:sz w:val="32"/>
          <w:szCs w:val="32"/>
        </w:rPr>
        <w:t>。</w:t>
      </w:r>
    </w:p>
    <w:p>
      <w:pPr>
        <w:spacing w:line="600" w:lineRule="exact"/>
        <w:ind w:left="0" w:firstLineChars="200" w:firstLine="640"/>
        <w:rPr>
          <w:rFonts w:ascii="仿宋_GB2312" w:eastAsia="仿宋_GB2312"/>
          <w:b/>
          <w:color w:val="auto"/>
          <w:sz w:val="32"/>
          <w:szCs w:val="32"/>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5"/>
          <w:rFonts w:ascii="仿宋" w:eastAsia="仿宋" w:hint="eastAsia"/>
          <w:b w:val="0"/>
          <w:bCs/>
          <w:color w:val="000000"/>
          <w:sz w:val="32"/>
          <w:szCs w:val="32"/>
        </w:rPr>
        <w:t>。</w:t>
      </w:r>
    </w:p>
    <w:p>
      <w:pPr>
        <w:spacing w:line="600" w:lineRule="exact"/>
        <w:ind w:left="0" w:firstLineChars="20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0.33</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w:t>
      </w:r>
      <w:r>
        <w:rPr>
          <w:rStyle w:val="25"/>
          <w:rFonts w:ascii="仿宋" w:eastAsia="仿宋" w:hint="eastAsia"/>
          <w:b w:val="0"/>
          <w:bCs/>
          <w:color w:val="000000"/>
          <w:sz w:val="32"/>
          <w:szCs w:val="32"/>
          <w:lang w:val="en-US" w:eastAsia="zh-CN"/>
        </w:rPr>
        <w:t>71.74</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公务接待费0.33万元，较上年减少0.19万元，下降36.54%。</w:t>
      </w:r>
      <w:r>
        <w:rPr>
          <w:rFonts w:ascii="仿宋_GB2312" w:eastAsia="仿宋_GB2312" w:hint="eastAsia"/>
          <w:color w:val="auto"/>
          <w:spacing w:val="-2"/>
          <w:kern w:val="2"/>
          <w:sz w:val="32"/>
          <w:szCs w:val="32"/>
          <w:lang w:val="en-US" w:eastAsia="zh-CN" w:bidi="ar-SA"/>
        </w:rPr>
        <w:t>主要原因</w:t>
      </w:r>
      <w:r>
        <w:rPr>
          <w:rStyle w:val="41"/>
          <w:rFonts w:ascii="仿宋_GB2312" w:eastAsia="仿宋_GB2312" w:cs="仿宋_GB2312" w:hint="eastAsia"/>
          <w:b w:val="0"/>
          <w:bCs/>
          <w:sz w:val="32"/>
          <w:szCs w:val="32"/>
          <w:shd w:val="clear" w:color="auto" w:fill="FFFFFF"/>
        </w:rPr>
        <w:t>为</w:t>
      </w:r>
      <w:r>
        <w:rPr>
          <w:rStyle w:val="41"/>
          <w:rFonts w:ascii="仿宋_GB2312" w:eastAsia="仿宋_GB2312" w:cs="仿宋_GB2312" w:hint="eastAsia"/>
          <w:b w:val="0"/>
          <w:bCs/>
          <w:sz w:val="32"/>
          <w:szCs w:val="32"/>
          <w:shd w:val="clear" w:color="auto" w:fill="FFFFFF"/>
          <w:lang w:val="en-US" w:eastAsia="zh-CN"/>
        </w:rPr>
        <w:t>公务接待减少</w:t>
      </w:r>
      <w:r>
        <w:rPr>
          <w:rStyle w:val="41"/>
          <w:rFonts w:ascii="仿宋_GB2312" w:eastAsia="仿宋_GB2312" w:cs="仿宋_GB2312" w:hint="eastAsia"/>
          <w:b w:val="0"/>
          <w:bCs/>
          <w:sz w:val="32"/>
          <w:szCs w:val="32"/>
          <w:shd w:val="clear" w:color="auto" w:fill="FFFFFF"/>
          <w:lang w:eastAsia="zh-CN"/>
        </w:rPr>
        <w:t>。</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24</w:t>
      </w:r>
      <w:r>
        <w:rPr>
          <w:rFonts w:ascii="仿宋_GB2312" w:eastAsia="仿宋_GB2312" w:hint="eastAsia"/>
          <w:color w:val="000000"/>
          <w:sz w:val="32"/>
          <w:szCs w:val="32"/>
        </w:rPr>
        <w:t>人次，共计支出</w:t>
      </w:r>
      <w:r>
        <w:rPr>
          <w:rFonts w:ascii="仿宋_GB2312" w:eastAsia="仿宋_GB2312" w:hint="eastAsia"/>
          <w:color w:val="000000"/>
          <w:sz w:val="32"/>
          <w:szCs w:val="32"/>
          <w:lang w:val="en-US" w:eastAsia="zh-CN"/>
        </w:rPr>
        <w:t>0.33</w:t>
      </w:r>
      <w:r>
        <w:rPr>
          <w:rFonts w:ascii="仿宋_GB2312" w:eastAsia="仿宋_GB2312" w:hint="eastAsia"/>
          <w:color w:val="000000"/>
          <w:sz w:val="32"/>
          <w:szCs w:val="32"/>
        </w:rPr>
        <w:t>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8" w:name="_Toc15377218"/>
      <w:bookmarkStart w:id="49" w:name="_Toc15396610"/>
    </w:p>
    <w:p>
      <w:pPr>
        <w:spacing w:line="600" w:lineRule="exact"/>
        <w:ind w:firstLine="640"/>
        <w:outlineLvl w:val="1"/>
        <w:rPr>
          <w:rFonts w:ascii="仿宋_GB2312" w:eastAsia="仿宋_GB2312" w:cs="仿宋_GB2312" w:hint="eastAsia"/>
          <w:b/>
          <w:bCs/>
          <w:color w:val="000000"/>
          <w:sz w:val="32"/>
          <w:szCs w:val="32"/>
          <w:lang w:eastAsia="zh-CN"/>
        </w:rPr>
      </w:pPr>
      <w:r>
        <w:rPr>
          <w:rFonts w:ascii="黑体" w:eastAsia="黑体" w:hint="eastAsia"/>
          <w:b/>
          <w:bCs/>
          <w:color w:val="000000"/>
          <w:sz w:val="32"/>
          <w:szCs w:val="32"/>
          <w:lang w:eastAsia="zh-CN"/>
        </w:rPr>
        <w:t>（</w:t>
      </w:r>
      <w:r>
        <w:rPr>
          <w:rFonts w:ascii="仿宋_GB2312" w:eastAsia="仿宋_GB2312" w:cs="仿宋_GB2312" w:hint="eastAsia"/>
          <w:b/>
          <w:bCs/>
          <w:color w:val="000000"/>
          <w:sz w:val="32"/>
          <w:szCs w:val="32"/>
          <w:lang w:eastAsia="zh-CN"/>
        </w:rPr>
        <w:t>三</w:t>
      </w:r>
      <w:r>
        <w:rPr>
          <w:rFonts w:ascii="黑体" w:eastAsia="黑体" w:hint="eastAsia"/>
          <w:b/>
          <w:bCs/>
          <w:color w:val="000000"/>
          <w:sz w:val="32"/>
          <w:szCs w:val="32"/>
          <w:lang w:eastAsia="zh-CN"/>
        </w:rPr>
        <w:t>）</w:t>
      </w:r>
      <w:r>
        <w:rPr>
          <w:rFonts w:ascii="仿宋_GB2312" w:eastAsia="仿宋_GB2312" w:cs="仿宋_GB2312" w:hint="eastAsia"/>
          <w:b/>
          <w:bCs/>
          <w:color w:val="000000"/>
          <w:sz w:val="32"/>
          <w:szCs w:val="32"/>
          <w:lang w:eastAsia="zh-CN"/>
        </w:rPr>
        <w:t>“三公”经费增减变化情况</w:t>
      </w:r>
    </w:p>
    <w:p>
      <w:pPr>
        <w:spacing w:line="600" w:lineRule="exact"/>
        <w:ind w:firstLine="640"/>
        <w:rPr>
          <w:rFonts w:ascii="仿宋" w:eastAsia="仿宋" w:hint="eastAsia"/>
          <w:color w:val="000000"/>
          <w:sz w:val="32"/>
          <w:szCs w:val="32"/>
        </w:rPr>
      </w:pPr>
      <w:r>
        <w:rPr>
          <w:rFonts w:ascii="仿宋_GB2312" w:eastAsia="仿宋_GB2312" w:cs="仿宋_GB2312" w:hint="eastAsia"/>
          <w:sz w:val="32"/>
          <w:szCs w:val="32"/>
          <w:lang w:val="en-US" w:eastAsia="zh-CN"/>
        </w:rPr>
        <w:t xml:space="preserve"> </w:t>
      </w: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lang w:eastAsia="zh-CN"/>
        </w:rPr>
        <w:t>预</w:t>
      </w:r>
      <w:r>
        <w:rPr>
          <w:rFonts w:ascii="仿宋" w:eastAsia="仿宋" w:hint="eastAsia"/>
          <w:color w:val="auto"/>
          <w:sz w:val="32"/>
          <w:szCs w:val="32"/>
        </w:rPr>
        <w:t>算</w:t>
      </w:r>
      <w:r>
        <w:rPr>
          <w:rFonts w:ascii="仿宋" w:eastAsia="仿宋" w:hint="eastAsia"/>
          <w:color w:val="auto"/>
          <w:sz w:val="32"/>
          <w:szCs w:val="32"/>
          <w:lang w:val="en-US" w:eastAsia="zh-CN"/>
        </w:rPr>
        <w:t>0.33万元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w:t>
      </w:r>
      <w:r>
        <w:rPr>
          <w:rFonts w:ascii="仿宋" w:eastAsia="仿宋" w:hint="eastAsia"/>
          <w:color w:val="000000"/>
          <w:sz w:val="32"/>
          <w:szCs w:val="32"/>
          <w:lang w:eastAsia="zh-CN"/>
        </w:rPr>
        <w:t>预</w:t>
      </w:r>
      <w:r>
        <w:rPr>
          <w:rFonts w:ascii="仿宋" w:eastAsia="仿宋" w:hint="eastAsia"/>
          <w:color w:val="000000"/>
          <w:sz w:val="32"/>
          <w:szCs w:val="32"/>
        </w:rPr>
        <w:t>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w:t>
      </w:r>
      <w:r>
        <w:rPr>
          <w:rFonts w:ascii="仿宋" w:eastAsia="仿宋" w:hint="eastAsia"/>
          <w:color w:val="000000"/>
          <w:sz w:val="32"/>
          <w:szCs w:val="32"/>
          <w:lang w:eastAsia="zh-CN"/>
        </w:rPr>
        <w:t>预</w:t>
      </w:r>
      <w:r>
        <w:rPr>
          <w:rFonts w:ascii="仿宋" w:eastAsia="仿宋" w:hint="eastAsia"/>
          <w:color w:val="000000"/>
          <w:sz w:val="32"/>
          <w:szCs w:val="32"/>
        </w:rPr>
        <w:t>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w:t>
      </w:r>
      <w:r>
        <w:rPr>
          <w:rFonts w:ascii="仿宋" w:eastAsia="仿宋" w:hint="eastAsia"/>
          <w:color w:val="000000"/>
          <w:sz w:val="32"/>
          <w:szCs w:val="32"/>
          <w:lang w:eastAsia="zh-CN"/>
        </w:rPr>
        <w:t>预</w:t>
      </w:r>
      <w:r>
        <w:rPr>
          <w:rFonts w:ascii="仿宋" w:eastAsia="仿宋" w:hint="eastAsia"/>
          <w:color w:val="000000"/>
          <w:sz w:val="32"/>
          <w:szCs w:val="32"/>
        </w:rPr>
        <w:t>算</w:t>
      </w:r>
      <w:r>
        <w:rPr>
          <w:rFonts w:ascii="仿宋" w:eastAsia="仿宋" w:hint="eastAsia"/>
          <w:color w:val="000000"/>
          <w:sz w:val="32"/>
          <w:szCs w:val="32"/>
          <w:lang w:val="en-US" w:eastAsia="zh-CN"/>
        </w:rPr>
        <w:t>0.33</w:t>
      </w:r>
      <w:r>
        <w:rPr>
          <w:rFonts w:ascii="仿宋" w:eastAsia="仿宋" w:hint="eastAsia"/>
          <w:color w:val="000000"/>
          <w:sz w:val="32"/>
          <w:szCs w:val="32"/>
        </w:rPr>
        <w:t>万元，占</w:t>
      </w:r>
      <w:r>
        <w:rPr>
          <w:rFonts w:ascii="仿宋" w:eastAsia="仿宋" w:hint="eastAsia"/>
          <w:color w:val="000000"/>
          <w:sz w:val="32"/>
          <w:szCs w:val="32"/>
          <w:lang w:val="en-US" w:eastAsia="zh-CN"/>
        </w:rPr>
        <w:t>71.74</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w:t>
      </w: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0.33万元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0.33</w:t>
      </w:r>
      <w:r>
        <w:rPr>
          <w:rFonts w:ascii="仿宋" w:eastAsia="仿宋" w:hint="eastAsia"/>
          <w:color w:val="000000"/>
          <w:sz w:val="32"/>
          <w:szCs w:val="32"/>
        </w:rPr>
        <w:t>万元，占</w:t>
      </w:r>
      <w:r>
        <w:rPr>
          <w:rFonts w:ascii="仿宋" w:eastAsia="仿宋" w:hint="eastAsia"/>
          <w:color w:val="000000"/>
          <w:sz w:val="32"/>
          <w:szCs w:val="32"/>
          <w:lang w:val="en-US" w:eastAsia="zh-CN"/>
        </w:rPr>
        <w:t>71.74</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政府性基金预算收入、支出决算情况说明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年政府性基金预算</w:t>
      </w:r>
      <w:r>
        <w:rPr>
          <w:rFonts w:ascii="仿宋_GB2312" w:eastAsia="仿宋_GB2312" w:hint="eastAsia"/>
          <w:color w:val="000000"/>
          <w:sz w:val="32"/>
          <w:szCs w:val="32"/>
          <w:lang w:eastAsia="zh-CN"/>
        </w:rPr>
        <w:t>收入</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年政府性基金</w:t>
      </w:r>
      <w:r>
        <w:rPr>
          <w:rFonts w:ascii="仿宋_GB2312" w:eastAsia="仿宋_GB2312" w:hint="eastAsia"/>
          <w:color w:val="000000"/>
          <w:sz w:val="32"/>
          <w:szCs w:val="32"/>
          <w:lang w:eastAsia="zh-CN"/>
        </w:rPr>
        <w:t>决</w:t>
      </w:r>
      <w:r>
        <w:rPr>
          <w:rFonts w:ascii="仿宋_GB2312" w:eastAsia="仿宋_GB2312" w:hint="eastAsia"/>
          <w:color w:val="000000"/>
          <w:sz w:val="32"/>
          <w:szCs w:val="32"/>
        </w:rPr>
        <w:t>算支出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5"/>
        </w:numPr>
        <w:spacing w:line="600" w:lineRule="exact"/>
        <w:ind w:left="0" w:firstLine="640"/>
        <w:outlineLvl w:val="1"/>
        <w:rPr>
          <w:rStyle w:val="2Char"/>
          <w:rFonts w:ascii="黑体" w:eastAsia="黑体"/>
          <w:b w:val="0"/>
        </w:rPr>
      </w:pPr>
      <w:bookmarkStart w:id="50" w:name="_Toc15396611"/>
      <w:bookmarkStart w:id="51" w:name="_Toc15377219"/>
      <w:r>
        <w:rPr>
          <w:rStyle w:val="2Char"/>
          <w:rFonts w:ascii="黑体" w:eastAsia="黑体" w:hint="eastAsia"/>
          <w:b w:val="0"/>
        </w:rPr>
        <w:t>国有资本经营预算支出决算情况说明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31"/>
        <w:numPr>
          <w:ilvl w:val="0"/>
          <w:numId w:val="6"/>
        </w:numPr>
        <w:spacing w:line="580" w:lineRule="exact"/>
        <w:ind w:firstLineChars="0"/>
        <w:rPr>
          <w:rStyle w:val="2Char"/>
          <w:rFonts w:ascii="黑体" w:eastAsia="黑体"/>
          <w:b w:val="0"/>
        </w:rPr>
      </w:pPr>
      <w:r>
        <w:rPr>
          <w:rStyle w:val="2Char"/>
          <w:rFonts w:ascii="黑体" w:eastAsia="黑体" w:hint="eastAsia"/>
          <w:b w:val="0"/>
        </w:rPr>
        <w:t>预算绩效情况说明</w:t>
      </w:r>
    </w:p>
    <w:p>
      <w:pPr>
        <w:numPr>
          <w:ilvl w:val="0"/>
          <w:numId w:val="7"/>
        </w:numPr>
        <w:spacing w:line="580" w:lineRule="exact"/>
        <w:ind w:left="0" w:firstLineChars="200" w:firstLine="640"/>
        <w:rPr>
          <w:rFonts w:ascii="仿宋" w:eastAsia="仿宋" w:cs="楷体_GB2312"/>
          <w:b/>
          <w:bCs/>
          <w:sz w:val="32"/>
          <w:szCs w:val="32"/>
        </w:rPr>
      </w:pPr>
      <w:r>
        <w:rPr>
          <w:rFonts w:ascii="仿宋" w:eastAsia="仿宋" w:cs="楷体_GB2312" w:hint="eastAsia"/>
          <w:b/>
          <w:bCs/>
          <w:sz w:val="32"/>
          <w:szCs w:val="32"/>
        </w:rPr>
        <w:t>预算绩效管理工作开展情况。</w:t>
      </w:r>
    </w:p>
    <w:p>
      <w:pPr>
        <w:pStyle w:val="33"/>
        <w:keepNext w:val="0"/>
        <w:keepLines w:val="0"/>
        <w:widowControl/>
        <w:suppressLineNumbers w:val="0"/>
        <w:spacing w:before="0" w:beforeAutospacing="0"/>
        <w:ind w:left="0" w:firstLineChars="200" w:firstLine="640"/>
        <w:jc w:val="left"/>
        <w:rPr>
          <w:rFonts w:ascii="仿宋_GB2312" w:eastAsia="仿宋_GB2312" w:cs="仿宋_GB2312" w:hint="eastAsia"/>
          <w:color w:val="333333"/>
          <w:kern w:val="0"/>
          <w:sz w:val="32"/>
          <w:szCs w:val="32"/>
          <w:lang w:eastAsia="zh-CN"/>
        </w:rPr>
      </w:pPr>
      <w:r>
        <w:rPr>
          <w:rFonts w:ascii="仿宋_GB2312" w:eastAsia="仿宋_GB2312" w:cs="仿宋_GB2312" w:hint="eastAsia"/>
          <w:sz w:val="32"/>
          <w:szCs w:val="32"/>
        </w:rPr>
        <w:t>根据预算绩效管理要求，</w:t>
      </w:r>
      <w:r>
        <w:rPr>
          <w:rFonts w:ascii="仿宋_GB2312" w:eastAsia="仿宋_GB2312" w:cs="仿宋_GB2312" w:hint="eastAsia"/>
          <w:sz w:val="32"/>
          <w:szCs w:val="32"/>
          <w:lang w:eastAsia="zh-CN"/>
        </w:rPr>
        <w:t>我局</w:t>
      </w:r>
      <w:r>
        <w:rPr>
          <w:rFonts w:ascii="仿宋_GB2312" w:eastAsia="仿宋_GB2312" w:cs="仿宋_GB2312" w:hint="eastAsia"/>
          <w:color w:val="333333"/>
          <w:kern w:val="0"/>
          <w:sz w:val="32"/>
          <w:szCs w:val="32"/>
        </w:rPr>
        <w:t xml:space="preserve">对本部门实施了整体支出绩效评价 </w:t>
      </w:r>
      <w:r>
        <w:rPr>
          <w:rFonts w:ascii="仿宋_GB2312" w:eastAsia="仿宋_GB2312" w:cs="仿宋_GB2312" w:hint="eastAsia"/>
          <w:color w:val="333333"/>
          <w:kern w:val="0"/>
          <w:sz w:val="32"/>
          <w:szCs w:val="32"/>
          <w:lang w:eastAsia="zh-CN"/>
        </w:rPr>
        <w:t>：</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县本级行政审批工作、承办县直部门划入的行政审批事项；</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负责协调、指导入驻县行政审批局的政务服务平台的相关部门的行政审批工作；</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指导乡（镇）行政审批工作；</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全县公共资源交易管理工作、指导全县公共资源交易服务体系建设。</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Fonts w:ascii="仿宋_GB2312" w:eastAsia="仿宋_GB2312" w:cs="仿宋_GB2312" w:hint="eastAsia"/>
          <w:b w:val="0"/>
          <w:bCs/>
          <w:kern w:val="0"/>
          <w:sz w:val="32"/>
          <w:szCs w:val="32"/>
          <w:shd w:val="clear" w:color="auto" w:fill="FFFFFF"/>
        </w:rPr>
      </w:pPr>
      <w:r>
        <w:rPr>
          <w:rStyle w:val="34"/>
          <w:rFonts w:ascii="仿宋_GB2312" w:eastAsia="仿宋_GB2312" w:cs="仿宋_GB2312" w:hint="eastAsia"/>
          <w:b w:val="0"/>
          <w:bCs/>
          <w:sz w:val="32"/>
          <w:szCs w:val="32"/>
          <w:shd w:val="clear" w:color="auto" w:fill="FFFFFF"/>
        </w:rPr>
        <w:t>（1）、科目调整次数</w:t>
      </w:r>
      <w:r>
        <w:rPr>
          <w:rStyle w:val="34"/>
          <w:rFonts w:ascii="仿宋_GB2312" w:eastAsia="仿宋_GB2312" w:cs="仿宋_GB2312" w:hint="eastAsia"/>
          <w:b w:val="0"/>
          <w:bCs/>
          <w:sz w:val="32"/>
          <w:szCs w:val="32"/>
          <w:shd w:val="clear" w:color="auto" w:fill="FFFFFF"/>
          <w:lang w:val="en-US" w:eastAsia="zh-CN"/>
        </w:rPr>
        <w:t>≤5次</w:t>
      </w:r>
      <w:r>
        <w:rPr>
          <w:rStyle w:val="34"/>
          <w:rFonts w:ascii="仿宋_GB2312" w:eastAsia="仿宋_GB2312" w:cs="仿宋_GB2312" w:hint="eastAsia"/>
          <w:b w:val="0"/>
          <w:bCs/>
          <w:sz w:val="32"/>
          <w:szCs w:val="32"/>
          <w:shd w:val="clear" w:color="auto" w:fill="FFFFFF"/>
        </w:rPr>
        <w:t>。</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Fonts w:ascii="仿宋_GB2312" w:eastAsia="仿宋_GB2312" w:cs="仿宋_GB2312" w:hint="eastAsia"/>
          <w:b w:val="0"/>
          <w:bCs/>
          <w:kern w:val="0"/>
          <w:sz w:val="32"/>
          <w:szCs w:val="32"/>
          <w:shd w:val="clear" w:color="auto" w:fill="FFFFFF"/>
        </w:rPr>
      </w:pPr>
      <w:r>
        <w:rPr>
          <w:rStyle w:val="34"/>
          <w:rFonts w:ascii="仿宋_GB2312" w:eastAsia="仿宋_GB2312" w:cs="仿宋_GB2312" w:hint="eastAsia"/>
          <w:b w:val="0"/>
          <w:bCs/>
          <w:sz w:val="32"/>
          <w:szCs w:val="32"/>
          <w:shd w:val="clear" w:color="auto" w:fill="FFFFFF"/>
        </w:rPr>
        <w:t>（2）、人员经费足额保障率</w:t>
      </w:r>
      <w:r>
        <w:rPr>
          <w:rStyle w:val="34"/>
          <w:rFonts w:ascii="仿宋_GB2312" w:eastAsia="仿宋_GB2312" w:cs="仿宋_GB2312" w:hint="eastAsia"/>
          <w:b w:val="0"/>
          <w:bCs/>
          <w:sz w:val="32"/>
          <w:szCs w:val="32"/>
          <w:shd w:val="clear" w:color="auto" w:fill="FFFFFF"/>
          <w:lang w:val="en-US" w:eastAsia="zh-CN"/>
        </w:rPr>
        <w:t>=100%</w:t>
      </w:r>
      <w:r>
        <w:rPr>
          <w:rStyle w:val="34"/>
          <w:rFonts w:ascii="仿宋_GB2312" w:eastAsia="仿宋_GB2312" w:cs="仿宋_GB2312" w:hint="eastAsia"/>
          <w:b w:val="0"/>
          <w:bCs/>
          <w:sz w:val="32"/>
          <w:szCs w:val="32"/>
          <w:shd w:val="clear" w:color="auto" w:fill="FFFFFF"/>
        </w:rPr>
        <w:t>。</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rPr>
      </w:pPr>
      <w:r>
        <w:rPr>
          <w:rStyle w:val="34"/>
          <w:rFonts w:ascii="仿宋_GB2312" w:eastAsia="仿宋_GB2312" w:cs="仿宋_GB2312" w:hint="eastAsia"/>
          <w:b w:val="0"/>
          <w:bCs/>
          <w:sz w:val="32"/>
          <w:szCs w:val="32"/>
          <w:shd w:val="clear" w:color="auto" w:fill="FFFFFF"/>
        </w:rPr>
        <w:t>（3）、预算编制准确率</w:t>
      </w:r>
      <w:r>
        <w:rPr>
          <w:rStyle w:val="34"/>
          <w:rFonts w:ascii="仿宋_GB2312" w:eastAsia="仿宋_GB2312" w:cs="仿宋_GB2312" w:hint="eastAsia"/>
          <w:b w:val="0"/>
          <w:bCs/>
          <w:sz w:val="32"/>
          <w:szCs w:val="32"/>
          <w:shd w:val="clear" w:color="auto" w:fill="FFFFFF"/>
          <w:lang w:val="en-US" w:eastAsia="zh-CN"/>
        </w:rPr>
        <w:t>≤5%</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34"/>
          <w:rFonts w:ascii="仿宋_GB2312" w:eastAsia="仿宋_GB2312" w:cs="仿宋_GB2312" w:hint="eastAsia"/>
          <w:b w:val="0"/>
          <w:bCs/>
          <w:sz w:val="32"/>
          <w:szCs w:val="32"/>
          <w:shd w:val="clear" w:color="auto" w:fill="FFFFFF"/>
        </w:rPr>
        <w:t>（4）、按时发放率</w:t>
      </w:r>
      <w:r>
        <w:rPr>
          <w:rStyle w:val="34"/>
          <w:rFonts w:ascii="仿宋_GB2312" w:eastAsia="仿宋_GB2312" w:cs="仿宋_GB2312" w:hint="eastAsia"/>
          <w:b w:val="0"/>
          <w:bCs/>
          <w:sz w:val="32"/>
          <w:szCs w:val="32"/>
          <w:shd w:val="clear" w:color="auto" w:fill="FFFFFF"/>
          <w:lang w:val="en-US" w:eastAsia="zh-CN"/>
        </w:rPr>
        <w:t>=100%</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42"/>
          <w:rFonts w:ascii="仿宋_GB2312" w:eastAsia="仿宋_GB2312" w:cs="仿宋_GB2312" w:hint="eastAsia"/>
          <w:b w:val="0"/>
          <w:bCs/>
          <w:kern w:val="2"/>
          <w:sz w:val="32"/>
          <w:szCs w:val="32"/>
          <w:shd w:val="clear" w:color="auto" w:fill="FFFFFF"/>
        </w:rPr>
        <w:t>（5）、三公经费控制率</w:t>
      </w:r>
      <w:r>
        <w:rPr>
          <w:rStyle w:val="34"/>
          <w:rFonts w:ascii="仿宋_GB2312" w:eastAsia="仿宋_GB2312" w:cs="仿宋_GB2312" w:hint="eastAsia"/>
          <w:b w:val="0"/>
          <w:bCs/>
          <w:sz w:val="32"/>
          <w:szCs w:val="32"/>
          <w:shd w:val="clear" w:color="auto" w:fill="FFFFFF"/>
          <w:lang w:val="en-US" w:eastAsia="zh-CN"/>
        </w:rPr>
        <w:t>=100%</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42"/>
          <w:rFonts w:ascii="仿宋_GB2312" w:eastAsia="仿宋_GB2312" w:cs="仿宋_GB2312" w:hint="eastAsia"/>
          <w:b w:val="0"/>
          <w:bCs/>
          <w:kern w:val="2"/>
          <w:sz w:val="32"/>
          <w:szCs w:val="32"/>
          <w:shd w:val="clear" w:color="auto" w:fill="FFFFFF"/>
        </w:rPr>
        <w:t>（6）、预算结余率</w:t>
      </w:r>
      <w:r>
        <w:rPr>
          <w:rStyle w:val="34"/>
          <w:rFonts w:ascii="仿宋_GB2312" w:eastAsia="仿宋_GB2312" w:cs="仿宋_GB2312" w:hint="eastAsia"/>
          <w:b w:val="0"/>
          <w:bCs/>
          <w:sz w:val="32"/>
          <w:szCs w:val="32"/>
          <w:shd w:val="clear" w:color="auto" w:fill="FFFFFF"/>
          <w:lang w:val="en-US" w:eastAsia="zh-CN"/>
        </w:rPr>
        <w:t>≤5%</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34"/>
          <w:rFonts w:ascii="仿宋_GB2312" w:eastAsia="仿宋_GB2312" w:cs="仿宋_GB2312" w:hint="eastAsia"/>
          <w:b w:val="0"/>
          <w:bCs/>
          <w:sz w:val="32"/>
          <w:szCs w:val="32"/>
          <w:shd w:val="clear" w:color="auto" w:fill="FFFFFF"/>
          <w:lang w:val="en-US" w:eastAsia="zh-CN"/>
        </w:rPr>
        <w:t>（7）、运转保障率=100%</w:t>
      </w:r>
    </w:p>
    <w:p>
      <w:pPr>
        <w:spacing w:line="580" w:lineRule="exact"/>
        <w:ind w:left="0" w:firstLineChars="200" w:firstLine="640"/>
        <w:rPr>
          <w:rFonts w:ascii="仿宋" w:eastAsia="仿宋" w:cs="楷体_GB2312" w:hint="eastAsia"/>
          <w:b/>
          <w:bCs/>
          <w:sz w:val="32"/>
          <w:szCs w:val="32"/>
          <w:lang w:eastAsia="zh-CN"/>
        </w:rPr>
      </w:pPr>
      <w:r>
        <w:rPr>
          <w:rFonts w:ascii="仿宋" w:eastAsia="仿宋" w:cs="楷体_GB2312" w:hint="eastAsia"/>
          <w:b/>
          <w:bCs/>
          <w:sz w:val="32"/>
          <w:szCs w:val="32"/>
        </w:rPr>
        <w:t>项目绩效目标完成情况。</w:t>
      </w:r>
    </w:p>
    <w:p>
      <w:pPr>
        <w:spacing w:line="580" w:lineRule="exact"/>
        <w:ind w:left="0"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rPr>
        <w:t xml:space="preserve">    </w:t>
      </w:r>
      <w:r>
        <w:rPr>
          <w:rFonts w:ascii="仿宋_GB2312" w:eastAsia="仿宋_GB2312" w:cs="仿宋_GB2312" w:hint="eastAsia"/>
          <w:sz w:val="32"/>
          <w:szCs w:val="32"/>
          <w:lang w:eastAsia="zh-CN"/>
        </w:rPr>
        <w:t>无</w:t>
      </w:r>
    </w:p>
    <w:p>
      <w:pPr>
        <w:spacing w:line="600" w:lineRule="exact"/>
        <w:ind w:firstLineChars="200" w:firstLine="640"/>
        <w:outlineLvl w:val="1"/>
        <w:rPr>
          <w:rStyle w:val="2Char"/>
          <w:rFonts w:ascii="黑体" w:eastAsia="黑体"/>
        </w:rPr>
      </w:pPr>
      <w:bookmarkStart w:id="52" w:name="_Toc15396612"/>
      <w:bookmarkStart w:id="53"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2"/>
      <w:bookmarkEnd w:id="53"/>
    </w:p>
    <w:p>
      <w:pPr>
        <w:spacing w:line="600" w:lineRule="exact"/>
        <w:ind w:firstLineChars="200" w:firstLine="640"/>
        <w:outlineLvl w:val="2"/>
        <w:rPr>
          <w:rFonts w:ascii="仿宋" w:eastAsia="仿宋"/>
          <w:color w:val="000000"/>
          <w:sz w:val="32"/>
          <w:szCs w:val="32"/>
        </w:rPr>
      </w:pPr>
      <w:bookmarkStart w:id="54" w:name="_Toc15377222"/>
      <w:r>
        <w:rPr>
          <w:rFonts w:ascii="仿宋" w:eastAsia="仿宋" w:hint="eastAsia"/>
          <w:b/>
          <w:color w:val="000000"/>
          <w:sz w:val="32"/>
          <w:szCs w:val="32"/>
        </w:rPr>
        <w:t>（一）机关运行经费支出情况</w:t>
      </w:r>
      <w:bookmarkEnd w:id="54"/>
    </w:p>
    <w:p>
      <w:pPr>
        <w:spacing w:line="600" w:lineRule="exact"/>
        <w:ind w:firstLineChars="200" w:firstLine="640"/>
        <w:rPr>
          <w:rFonts w:ascii="仿宋_GB2312" w:eastAsia="仿宋_GB2312" w:hint="eastAsia"/>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hint="eastAsia"/>
          <w:color w:val="000000"/>
          <w:sz w:val="32"/>
          <w:szCs w:val="32"/>
          <w:lang w:eastAsia="zh-CN"/>
        </w:rPr>
        <w:t>金川县行政审批局机关</w:t>
      </w:r>
      <w:r>
        <w:rPr>
          <w:rFonts w:ascii="仿宋_GB2312" w:eastAsia="仿宋_GB2312" w:hint="eastAsia"/>
          <w:color w:val="000000"/>
          <w:sz w:val="32"/>
          <w:szCs w:val="32"/>
        </w:rPr>
        <w:t>运行经费支出</w:t>
      </w:r>
      <w:r>
        <w:rPr>
          <w:rFonts w:ascii="仿宋_GB2312" w:eastAsia="仿宋_GB2312" w:hint="eastAsia"/>
          <w:color w:val="000000"/>
          <w:sz w:val="32"/>
          <w:szCs w:val="32"/>
          <w:lang w:val="en-US" w:eastAsia="zh-CN"/>
        </w:rPr>
        <w:t>11.32</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s="仿宋_GB2312" w:hint="eastAsia"/>
          <w:sz w:val="32"/>
          <w:lang w:val="en-US" w:eastAsia="zh-CN"/>
        </w:rPr>
        <w:t>减少1.19</w:t>
      </w:r>
      <w:r>
        <w:rPr>
          <w:rFonts w:ascii="仿宋_GB2312" w:eastAsia="仿宋_GB2312" w:hint="eastAsia"/>
          <w:color w:val="000000"/>
          <w:sz w:val="32"/>
          <w:szCs w:val="32"/>
        </w:rPr>
        <w:t>万元，</w:t>
      </w:r>
      <w:r>
        <w:rPr>
          <w:rFonts w:ascii="仿宋_GB2312" w:eastAsia="仿宋_GB2312" w:cs="仿宋_GB2312" w:hint="eastAsia"/>
          <w:sz w:val="32"/>
          <w:lang w:val="en-US" w:eastAsia="zh-CN"/>
        </w:rPr>
        <w:t>下降9.51</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cs="仿宋_GB2312" w:hint="eastAsia"/>
          <w:sz w:val="32"/>
        </w:rPr>
        <w:t>主要用于办公</w:t>
      </w:r>
      <w:r>
        <w:rPr>
          <w:rFonts w:ascii="仿宋_GB2312" w:eastAsia="仿宋_GB2312" w:cs="仿宋_GB2312" w:hint="eastAsia"/>
          <w:sz w:val="32"/>
          <w:lang w:eastAsia="zh-CN"/>
        </w:rPr>
        <w:t>耗材、用品、</w:t>
      </w:r>
      <w:r>
        <w:rPr>
          <w:rFonts w:ascii="仿宋_GB2312" w:eastAsia="仿宋_GB2312" w:cs="仿宋_GB2312" w:hint="eastAsia"/>
          <w:sz w:val="32"/>
          <w:vertAlign w:val="baseline"/>
          <w:lang w:val="en-US" w:eastAsia="zh-CN"/>
        </w:rPr>
        <w:t>工作人员下乡补助费用、局机关维修改造费用、工作人员下乡产生的租车费用及公务接待费。</w:t>
      </w:r>
      <w:r>
        <w:rPr>
          <w:rFonts w:ascii="仿宋_GB2312" w:eastAsia="仿宋_GB2312" w:cs="仿宋_GB2312" w:hint="eastAsia"/>
          <w:sz w:val="32"/>
        </w:rPr>
        <w:t>该</w:t>
      </w:r>
      <w:r>
        <w:rPr>
          <w:rFonts w:ascii="仿宋_GB2312" w:eastAsia="仿宋_GB2312" w:cs="仿宋_GB2312" w:hint="eastAsia"/>
          <w:sz w:val="32"/>
          <w:lang w:eastAsia="zh-CN"/>
        </w:rPr>
        <w:t>支出</w:t>
      </w:r>
      <w:r>
        <w:rPr>
          <w:rFonts w:ascii="仿宋_GB2312" w:eastAsia="仿宋_GB2312" w:cs="仿宋_GB2312" w:hint="eastAsia"/>
          <w:sz w:val="32"/>
        </w:rPr>
        <w:t>与之前年度</w:t>
      </w:r>
      <w:r>
        <w:rPr>
          <w:rFonts w:ascii="仿宋_GB2312" w:eastAsia="仿宋_GB2312" w:cs="仿宋_GB2312" w:hint="eastAsia"/>
          <w:sz w:val="32"/>
          <w:lang w:val="en-US" w:eastAsia="zh-CN"/>
        </w:rPr>
        <w:t>减少</w:t>
      </w:r>
      <w:r>
        <w:rPr>
          <w:rFonts w:ascii="仿宋_GB2312" w:eastAsia="仿宋_GB2312" w:cs="仿宋_GB2312" w:hint="eastAsia"/>
          <w:sz w:val="32"/>
        </w:rPr>
        <w:t>幅度</w:t>
      </w:r>
      <w:r>
        <w:rPr>
          <w:rFonts w:ascii="仿宋_GB2312" w:eastAsia="仿宋_GB2312" w:cs="仿宋_GB2312" w:hint="eastAsia"/>
          <w:sz w:val="32"/>
          <w:lang w:val="en-US" w:eastAsia="zh-CN"/>
        </w:rPr>
        <w:t>不</w:t>
      </w:r>
      <w:r>
        <w:rPr>
          <w:rFonts w:ascii="仿宋_GB2312" w:eastAsia="仿宋_GB2312" w:cs="仿宋_GB2312" w:hint="eastAsia"/>
          <w:sz w:val="32"/>
        </w:rPr>
        <w:t>大的主要原因是</w:t>
      </w:r>
      <w:r>
        <w:rPr>
          <w:rFonts w:ascii="仿宋_GB2312" w:eastAsia="仿宋_GB2312" w:cs="仿宋_GB2312" w:hint="eastAsia"/>
          <w:sz w:val="32"/>
          <w:lang w:val="en-US" w:eastAsia="zh-CN"/>
        </w:rPr>
        <w:t>公务接待减少</w:t>
      </w:r>
      <w:r>
        <w:rPr>
          <w:rFonts w:ascii="仿宋_GB2312" w:eastAsia="仿宋_GB2312" w:hint="eastAsia"/>
          <w:color w:val="000000"/>
          <w:sz w:val="32"/>
          <w:szCs w:val="32"/>
          <w:lang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5" w:name="_Toc15377223"/>
      <w:r>
        <w:rPr>
          <w:rFonts w:ascii="仿宋" w:eastAsia="仿宋" w:hint="eastAsia"/>
          <w:b/>
          <w:color w:val="000000"/>
          <w:sz w:val="32"/>
          <w:szCs w:val="32"/>
        </w:rPr>
        <w:t>（二）政府采购支出情况</w:t>
      </w:r>
      <w:bookmarkEnd w:id="55"/>
    </w:p>
    <w:p>
      <w:pPr>
        <w:spacing w:line="600" w:lineRule="exact"/>
        <w:ind w:firstLineChars="200" w:firstLine="640"/>
        <w:rPr>
          <w:rFonts w:ascii="仿宋" w:eastAsia="仿宋"/>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auto"/>
          <w:sz w:val="32"/>
          <w:szCs w:val="32"/>
          <w:lang w:val="en-US"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6" w:name="_Toc15377224"/>
      <w:r>
        <w:rPr>
          <w:rFonts w:ascii="仿宋" w:eastAsia="仿宋" w:hint="eastAsia"/>
          <w:b/>
          <w:color w:val="000000"/>
          <w:sz w:val="32"/>
          <w:szCs w:val="32"/>
        </w:rPr>
        <w:t>（三）国有资产占有使用情况</w:t>
      </w:r>
      <w:bookmarkEnd w:id="56"/>
    </w:p>
    <w:p>
      <w:pPr>
        <w:widowControl/>
        <w:ind w:firstLineChars="200" w:firstLine="640"/>
        <w:jc w:val="left"/>
        <w:rPr>
          <w:rFonts w:ascii="仿宋_GB2312" w:eastAsia="仿宋_GB2312" w:hint="eastAsia"/>
          <w:color w:val="000000"/>
          <w:sz w:val="32"/>
          <w:szCs w:val="32"/>
          <w:lang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widowControl w:val="0"/>
        <w:tabs>
          <w:tab w:val="left" w:pos="0"/>
        </w:tabs>
        <w:spacing w:line="600" w:lineRule="exact"/>
        <w:jc w:val="center"/>
        <w:outlineLvl w:val="0"/>
        <w:rPr>
          <w:rStyle w:val="1Char"/>
          <w:rFonts w:ascii="黑体" w:eastAsia="黑体"/>
          <w:b w:val="0"/>
        </w:rPr>
      </w:pPr>
    </w:p>
    <w:p>
      <w:pPr>
        <w:tabs>
          <w:tab w:val="left" w:pos="0"/>
        </w:tabs>
        <w:spacing w:line="600" w:lineRule="exact"/>
        <w:ind w:left="0" w:firstLineChars="800" w:firstLine="3520"/>
        <w:jc w:val="both"/>
        <w:outlineLvl w:val="0"/>
        <w:rPr>
          <w:rStyle w:val="1Char"/>
          <w:rFonts w:ascii="黑体" w:eastAsia="黑体"/>
          <w:b w:val="0"/>
        </w:rPr>
      </w:pPr>
      <w:r>
        <w:rPr>
          <w:rFonts w:ascii="黑体" w:eastAsia="黑体" w:hint="eastAsia"/>
          <w:b/>
          <w:color w:val="000000"/>
          <w:sz w:val="44"/>
          <w:szCs w:val="44"/>
        </w:rPr>
        <w:t>名</w:t>
      </w:r>
      <w:r>
        <w:rPr>
          <w:rStyle w:val="1Char"/>
          <w:rFonts w:ascii="黑体" w:eastAsia="黑体" w:hint="eastAsia"/>
          <w:b w:val="0"/>
        </w:rPr>
        <w:t>词解释</w:t>
      </w:r>
      <w:bookmarkEnd w:id="24"/>
      <w:bookmarkEnd w:id="25"/>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一般公共服务（类）政府办公厅（室）及相关机构事务（款）其他政府办公厅（室）及相关机构事务（项）：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反映除上述项目以外</w:t>
      </w:r>
      <w:r>
        <w:rPr>
          <w:rFonts w:ascii="仿宋_GB2312" w:eastAsia="仿宋_GB2312" w:cs="仿宋" w:hint="eastAsia"/>
          <w:color w:val="000000"/>
          <w:kern w:val="0"/>
          <w:sz w:val="32"/>
          <w:szCs w:val="32"/>
          <w:lang w:val="en-US" w:eastAsia="zh-CN" w:bidi="ar-SA"/>
        </w:rPr>
        <w:t>其他政府办公厅（室）及相关机构事务</w:t>
      </w:r>
      <w:r>
        <w:rPr>
          <w:rFonts w:ascii="仿宋_GB2312" w:eastAsia="仿宋_GB2312" w:hint="eastAsia"/>
          <w:color w:val="000000"/>
          <w:sz w:val="32"/>
          <w:szCs w:val="32"/>
          <w:lang w:val="en-US" w:eastAsia="zh-CN"/>
        </w:rPr>
        <w:t>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w:t>
      </w:r>
      <w:r>
        <w:rPr>
          <w:rFonts w:ascii="仿宋_GB2312" w:eastAsia="仿宋_GB2312" w:hint="eastAsia"/>
          <w:sz w:val="32"/>
          <w:szCs w:val="32"/>
          <w:lang w:eastAsia="zh-CN"/>
        </w:rPr>
        <w:t>费</w:t>
      </w:r>
      <w:r>
        <w:rPr>
          <w:rFonts w:ascii="仿宋_GB2312" w:eastAsia="仿宋_GB2312" w:hint="eastAsia"/>
          <w:sz w:val="32"/>
          <w:szCs w:val="32"/>
        </w:rPr>
        <w:t>、邮电费、差旅费、维修</w:t>
      </w:r>
      <w:r>
        <w:rPr>
          <w:rFonts w:ascii="仿宋_GB2312" w:eastAsia="仿宋_GB2312" w:hint="eastAsia"/>
          <w:sz w:val="32"/>
          <w:szCs w:val="32"/>
          <w:lang w:eastAsia="zh-CN"/>
        </w:rPr>
        <w:t>（护）</w:t>
      </w:r>
      <w:r>
        <w:rPr>
          <w:rFonts w:ascii="仿宋_GB2312" w:eastAsia="仿宋_GB2312" w:hint="eastAsia"/>
          <w:sz w:val="32"/>
          <w:szCs w:val="32"/>
        </w:rPr>
        <w:t>费、</w:t>
      </w:r>
      <w:r>
        <w:rPr>
          <w:rFonts w:ascii="仿宋_GB2312" w:eastAsia="仿宋_GB2312" w:hint="eastAsia"/>
          <w:sz w:val="32"/>
          <w:szCs w:val="32"/>
          <w:lang w:eastAsia="zh-CN"/>
        </w:rPr>
        <w:t>劳务费、</w:t>
      </w:r>
      <w:r>
        <w:rPr>
          <w:rFonts w:ascii="仿宋_GB2312" w:eastAsia="仿宋_GB2312" w:hint="eastAsia"/>
          <w:sz w:val="32"/>
          <w:szCs w:val="32"/>
        </w:rPr>
        <w:t>水</w:t>
      </w:r>
      <w:r>
        <w:rPr>
          <w:rFonts w:ascii="仿宋_GB2312" w:eastAsia="仿宋_GB2312" w:hint="eastAsia"/>
          <w:sz w:val="32"/>
          <w:szCs w:val="32"/>
          <w:lang w:eastAsia="zh-CN"/>
        </w:rPr>
        <w:t>费、</w:t>
      </w:r>
      <w:r>
        <w:rPr>
          <w:rFonts w:ascii="仿宋_GB2312" w:eastAsia="仿宋_GB2312" w:hint="eastAsia"/>
          <w:sz w:val="32"/>
          <w:szCs w:val="32"/>
        </w:rPr>
        <w:t>电费、取暖费、</w:t>
      </w:r>
      <w:r>
        <w:rPr>
          <w:rFonts w:ascii="仿宋_GB2312" w:eastAsia="仿宋_GB2312" w:hint="eastAsia"/>
          <w:sz w:val="32"/>
          <w:szCs w:val="32"/>
          <w:lang w:eastAsia="zh-CN"/>
        </w:rPr>
        <w:t>公务接待费</w:t>
      </w:r>
      <w:r>
        <w:rPr>
          <w:rFonts w:ascii="仿宋_GB2312" w:eastAsia="仿宋_GB2312" w:hint="eastAsia"/>
          <w:sz w:val="32"/>
          <w:szCs w:val="32"/>
        </w:rPr>
        <w:t>及其他</w:t>
      </w:r>
      <w:r>
        <w:rPr>
          <w:rFonts w:ascii="仿宋_GB2312" w:eastAsia="仿宋_GB2312" w:hint="eastAsia"/>
          <w:sz w:val="32"/>
          <w:szCs w:val="32"/>
          <w:lang w:eastAsia="zh-CN"/>
        </w:rPr>
        <w:t>交通</w:t>
      </w:r>
      <w:r>
        <w:rPr>
          <w:rFonts w:ascii="仿宋_GB2312" w:eastAsia="仿宋_GB2312" w:hint="eastAsia"/>
          <w:sz w:val="32"/>
          <w:szCs w:val="32"/>
        </w:rPr>
        <w:t>费用</w:t>
      </w:r>
      <w:r>
        <w:rPr>
          <w:rFonts w:ascii="仿宋_GB2312" w:eastAsia="仿宋_GB2312" w:hint="eastAsia"/>
          <w:sz w:val="32"/>
          <w:szCs w:val="32"/>
          <w:lang w:eastAsia="zh-CN"/>
        </w:rPr>
        <w:t>等</w:t>
      </w:r>
      <w:r>
        <w:rPr>
          <w:rFonts w:ascii="仿宋_GB2312" w:eastAsia="仿宋_GB2312" w:hint="eastAsia"/>
          <w:sz w:val="32"/>
          <w:szCs w:val="32"/>
        </w:rPr>
        <w:t>。</w:t>
      </w:r>
    </w:p>
    <w:p>
      <w:pPr>
        <w:spacing w:line="600" w:lineRule="exact"/>
        <w:jc w:val="center"/>
        <w:outlineLvl w:val="0"/>
        <w:rPr>
          <w:rFonts w:ascii="黑体" w:eastAsia="黑体" w:hint="eastAsia"/>
          <w:color w:val="000000"/>
          <w:sz w:val="44"/>
          <w:szCs w:val="44"/>
        </w:rPr>
      </w:pPr>
      <w:bookmarkStart w:id="57" w:name="_Toc15396614"/>
      <w:bookmarkStart w:id="58" w:name="_Toc15377226"/>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pStyle w:val="19"/>
        <w:tabs>
          <w:tab w:val="center" w:pos="4153"/>
          <w:tab w:val="right" w:pos="8306"/>
        </w:tabs>
        <w:rPr>
          <w:rFonts w:ascii="黑体" w:eastAsia="黑体" w:hint="eastAsia"/>
          <w:color w:val="000000"/>
          <w:sz w:val="44"/>
          <w:szCs w:val="44"/>
        </w:rPr>
      </w:pPr>
    </w:p>
    <w:p>
      <w:pPr>
        <w:pStyle w:val="19"/>
        <w:tabs>
          <w:tab w:val="center" w:pos="4153"/>
          <w:tab w:val="right" w:pos="8306"/>
        </w:tabs>
        <w:rPr>
          <w:rFonts w:ascii="黑体" w:eastAsia="黑体" w:hint="eastAsia"/>
          <w:color w:val="000000"/>
          <w:sz w:val="44"/>
          <w:szCs w:val="44"/>
        </w:rPr>
      </w:pPr>
    </w:p>
    <w:p>
      <w:pPr>
        <w:spacing w:line="600" w:lineRule="exact"/>
        <w:jc w:val="center"/>
        <w:outlineLvl w:val="0"/>
        <w:rPr>
          <w:rFonts w:ascii="黑体" w:eastAsia="黑体" w:hint="eastAsia"/>
          <w:color w:val="000000"/>
          <w:sz w:val="44"/>
          <w:szCs w:val="44"/>
        </w:rPr>
      </w:pPr>
    </w:p>
    <w:p>
      <w:pPr>
        <w:pStyle w:val="2"/>
        <w:rPr>
          <w:rStyle w:val="1Char"/>
          <w:rFonts w:ascii="仿宋" w:eastAsia="仿宋" w:hint="eastAsia"/>
          <w:b w:val="0"/>
          <w:bCs w:val="0"/>
          <w:sz w:val="32"/>
          <w:szCs w:val="32"/>
        </w:rPr>
      </w:pPr>
      <w:bookmarkStart w:id="59" w:name="_Toc15396615"/>
    </w:p>
    <w:p>
      <w:pPr>
        <w:rPr>
          <w:rFonts w:hint="eastAsia"/>
        </w:rPr>
      </w:pPr>
    </w:p>
    <w:p>
      <w:pPr>
        <w:pStyle w:val="2"/>
        <w:rPr>
          <w:rStyle w:val="1Char"/>
          <w:rFonts w:ascii="仿宋" w:eastAsia="仿宋"/>
          <w:b w:val="0"/>
          <w:bCs w:val="0"/>
          <w:sz w:val="32"/>
          <w:szCs w:val="32"/>
        </w:rPr>
      </w:pPr>
      <w:r>
        <w:rPr>
          <w:rStyle w:val="1Char"/>
          <w:rFonts w:ascii="仿宋" w:eastAsia="仿宋" w:hint="eastAsia"/>
          <w:b w:val="0"/>
          <w:bCs w:val="0"/>
          <w:sz w:val="32"/>
          <w:szCs w:val="32"/>
        </w:rPr>
        <w:t>附件1</w:t>
      </w:r>
      <w:bookmarkEnd w:id="59"/>
    </w:p>
    <w:p>
      <w:pPr>
        <w:numPr>
          <w:ilvl w:val="0"/>
          <w:numId w:val="8"/>
        </w:numPr>
        <w:spacing w:line="600" w:lineRule="exact"/>
        <w:ind w:left="0" w:firstLineChars="150" w:firstLine="600"/>
        <w:jc w:val="center"/>
        <w:outlineLvl w:val="0"/>
        <w:rPr>
          <w:rStyle w:val="1Char"/>
          <w:rFonts w:ascii="黑体" w:eastAsia="黑体" w:hint="eastAsia"/>
          <w:b w:val="0"/>
          <w:sz w:val="40"/>
          <w:szCs w:val="40"/>
        </w:rPr>
      </w:pPr>
      <w:r>
        <w:rPr>
          <w:rStyle w:val="1Char"/>
          <w:rFonts w:ascii="黑体" w:eastAsia="黑体" w:hint="eastAsia"/>
          <w:b w:val="0"/>
          <w:sz w:val="40"/>
          <w:szCs w:val="40"/>
        </w:rPr>
        <w:t>附件</w:t>
      </w:r>
      <w:bookmarkEnd w:id="57"/>
    </w:p>
    <w:p>
      <w:pPr>
        <w:widowControl/>
        <w:shd w:val="clear" w:color="auto" w:fill="FFFFFF"/>
        <w:spacing w:after="450" w:line="440" w:lineRule="exact"/>
        <w:ind w:firstLineChars="600" w:firstLine="2400"/>
        <w:jc w:val="both"/>
        <w:outlineLvl w:val="0"/>
        <w:rPr>
          <w:rFonts w:ascii="微软雅黑" w:eastAsia="微软雅黑" w:cs="宋体"/>
          <w:b/>
          <w:bCs/>
          <w:color w:val="333333"/>
          <w:kern w:val="36"/>
          <w:sz w:val="40"/>
          <w:szCs w:val="40"/>
        </w:rPr>
      </w:pPr>
      <w:bookmarkStart w:id="60" w:name="_Toc15396618"/>
      <w:bookmarkStart w:id="61" w:name="_Toc15396619"/>
      <w:bookmarkEnd w:id="58"/>
      <w:r>
        <w:rPr>
          <w:rFonts w:ascii="微软雅黑" w:eastAsia="微软雅黑" w:cs="宋体" w:hint="eastAsia"/>
          <w:b/>
          <w:bCs/>
          <w:color w:val="333333"/>
          <w:kern w:val="36"/>
          <w:sz w:val="40"/>
          <w:szCs w:val="40"/>
        </w:rPr>
        <w:t>金川县行政审批局</w:t>
      </w:r>
    </w:p>
    <w:p>
      <w:pPr>
        <w:widowControl/>
        <w:shd w:val="clear" w:color="auto" w:fill="FFFFFF"/>
        <w:spacing w:after="450" w:line="440" w:lineRule="exact"/>
        <w:jc w:val="center"/>
        <w:outlineLvl w:val="0"/>
        <w:rPr>
          <w:rFonts w:ascii="微软雅黑" w:eastAsia="微软雅黑" w:cs="宋体" w:hint="eastAsia"/>
          <w:b/>
          <w:bCs/>
          <w:color w:val="333333"/>
          <w:kern w:val="36"/>
          <w:sz w:val="40"/>
          <w:szCs w:val="40"/>
        </w:rPr>
      </w:pPr>
      <w:r>
        <w:rPr>
          <w:rFonts w:ascii="微软雅黑" w:eastAsia="微软雅黑" w:cs="宋体" w:hint="eastAsia"/>
          <w:b/>
          <w:bCs/>
          <w:color w:val="333333"/>
          <w:kern w:val="36"/>
          <w:sz w:val="40"/>
          <w:szCs w:val="40"/>
        </w:rPr>
        <w:t>202</w:t>
      </w:r>
      <w:r>
        <w:rPr>
          <w:rFonts w:ascii="微软雅黑" w:eastAsia="微软雅黑" w:cs="宋体" w:hint="eastAsia"/>
          <w:b/>
          <w:bCs/>
          <w:color w:val="333333"/>
          <w:kern w:val="36"/>
          <w:sz w:val="40"/>
          <w:szCs w:val="40"/>
          <w:lang w:val="en-US" w:eastAsia="zh-CN"/>
        </w:rPr>
        <w:t>2</w:t>
      </w:r>
      <w:r>
        <w:rPr>
          <w:rFonts w:ascii="微软雅黑" w:eastAsia="微软雅黑" w:cs="宋体" w:hint="eastAsia"/>
          <w:b/>
          <w:bCs/>
          <w:color w:val="333333"/>
          <w:kern w:val="36"/>
          <w:sz w:val="40"/>
          <w:szCs w:val="40"/>
        </w:rPr>
        <w:t>年度部门整体支出绩效评价报告</w:t>
      </w:r>
    </w:p>
    <w:p>
      <w:pPr>
        <w:widowControl/>
        <w:shd w:val="clear" w:color="auto" w:fill="FFFFFF"/>
        <w:spacing w:after="450" w:line="440" w:lineRule="exact"/>
        <w:jc w:val="center"/>
        <w:outlineLvl w:val="0"/>
        <w:rPr>
          <w:rFonts w:ascii="仿宋_GB2312" w:eastAsia="仿宋_GB2312" w:cs="仿宋_GB2312" w:hint="eastAsia"/>
          <w:sz w:val="32"/>
          <w:szCs w:val="32"/>
        </w:rPr>
      </w:pPr>
      <w:r>
        <w:rPr>
          <w:rFonts w:ascii="仿宋_GB2312" w:eastAsia="仿宋_GB2312" w:cs="仿宋_GB2312" w:hint="eastAsia"/>
          <w:sz w:val="32"/>
          <w:szCs w:val="32"/>
        </w:rPr>
        <w:t>（报告范围包括机关和下属单位）</w:t>
      </w:r>
    </w:p>
    <w:p>
      <w:pPr>
        <w:widowControl/>
        <w:spacing w:before="150" w:after="120" w:line="520" w:lineRule="exact"/>
        <w:jc w:val="left"/>
        <w:rPr>
          <w:rFonts w:ascii="仿宋_GB2312" w:eastAsia="仿宋_GB2312" w:cs="仿宋_GB2312" w:hint="eastAsia"/>
          <w:color w:val="333333"/>
          <w:kern w:val="0"/>
          <w:sz w:val="32"/>
          <w:szCs w:val="32"/>
        </w:rPr>
      </w:pPr>
      <w:r>
        <w:rPr>
          <w:rFonts w:ascii="仿宋_GB2312" w:eastAsia="仿宋_GB2312" w:cs="仿宋_GB2312" w:hint="eastAsia"/>
          <w:color w:val="333333"/>
          <w:kern w:val="0"/>
          <w:sz w:val="32"/>
          <w:szCs w:val="32"/>
        </w:rPr>
        <w:t>金川县财政局：</w:t>
      </w:r>
    </w:p>
    <w:p>
      <w:pPr>
        <w:widowControl/>
        <w:spacing w:before="150" w:after="120" w:line="520" w:lineRule="exact"/>
        <w:ind w:firstLineChars="200" w:firstLine="640"/>
        <w:jc w:val="left"/>
        <w:rPr>
          <w:rFonts w:ascii="黑体" w:eastAsia="黑体" w:cs="黑体" w:hint="eastAsia"/>
          <w:color w:val="000000"/>
          <w:sz w:val="31"/>
          <w:szCs w:val="31"/>
        </w:rPr>
      </w:pPr>
      <w:r>
        <w:rPr>
          <w:rFonts w:ascii="仿宋_GB2312" w:eastAsia="仿宋_GB2312" w:cs="仿宋_GB2312" w:hint="eastAsia"/>
          <w:color w:val="333333"/>
          <w:kern w:val="0"/>
          <w:sz w:val="32"/>
          <w:szCs w:val="32"/>
        </w:rPr>
        <w:t>按照《金川县财政局</w:t>
      </w:r>
      <w:r>
        <w:rPr>
          <w:rFonts w:ascii="仿宋_GB2312" w:eastAsia="仿宋_GB2312" w:cs="仿宋_GB2312" w:hint="eastAsia"/>
          <w:color w:val="333333"/>
          <w:kern w:val="0"/>
          <w:sz w:val="32"/>
          <w:szCs w:val="32"/>
          <w:lang w:eastAsia="zh-CN"/>
        </w:rPr>
        <w:t>关于转发</w:t>
      </w:r>
      <w:r>
        <w:rPr>
          <w:rFonts w:ascii="仿宋_GB2312" w:eastAsia="仿宋_GB2312" w:cs="仿宋_GB2312" w:hint="eastAsia"/>
          <w:color w:val="333333"/>
          <w:kern w:val="0"/>
          <w:sz w:val="32"/>
          <w:szCs w:val="32"/>
        </w:rPr>
        <w:t>开展202</w:t>
      </w:r>
      <w:r>
        <w:rPr>
          <w:rFonts w:ascii="仿宋_GB2312" w:eastAsia="仿宋_GB2312" w:cs="仿宋_GB2312" w:hint="eastAsia"/>
          <w:color w:val="333333"/>
          <w:kern w:val="0"/>
          <w:sz w:val="32"/>
          <w:szCs w:val="32"/>
          <w:lang w:val="en-US" w:eastAsia="zh-CN"/>
        </w:rPr>
        <w:t>3</w:t>
      </w:r>
      <w:r>
        <w:rPr>
          <w:rFonts w:ascii="仿宋_GB2312" w:eastAsia="仿宋_GB2312" w:cs="仿宋_GB2312" w:hint="eastAsia"/>
          <w:color w:val="333333"/>
          <w:kern w:val="0"/>
          <w:sz w:val="32"/>
          <w:szCs w:val="32"/>
        </w:rPr>
        <w:t>年</w:t>
      </w:r>
      <w:r>
        <w:rPr>
          <w:rFonts w:ascii="仿宋_GB2312" w:eastAsia="仿宋_GB2312" w:cs="仿宋_GB2312" w:hint="eastAsia"/>
          <w:color w:val="333333"/>
          <w:kern w:val="0"/>
          <w:sz w:val="32"/>
          <w:szCs w:val="32"/>
          <w:lang w:eastAsia="zh-CN"/>
        </w:rPr>
        <w:t>部门、政策和项目</w:t>
      </w:r>
      <w:r>
        <w:rPr>
          <w:rFonts w:ascii="仿宋_GB2312" w:eastAsia="仿宋_GB2312" w:cs="仿宋_GB2312" w:hint="eastAsia"/>
          <w:color w:val="333333"/>
          <w:kern w:val="0"/>
          <w:sz w:val="32"/>
          <w:szCs w:val="32"/>
        </w:rPr>
        <w:t>支出绩效评价工作的通知》(金财</w:t>
      </w:r>
      <w:r>
        <w:rPr>
          <w:rFonts w:ascii="仿宋_GB2312" w:eastAsia="仿宋_GB2312" w:cs="仿宋_GB2312" w:hint="eastAsia"/>
          <w:color w:val="333333"/>
          <w:kern w:val="0"/>
          <w:sz w:val="32"/>
          <w:szCs w:val="32"/>
          <w:lang w:eastAsia="zh-CN"/>
        </w:rPr>
        <w:t>监绩</w:t>
      </w:r>
      <w:r>
        <w:rPr>
          <w:rFonts w:ascii="仿宋_GB2312" w:eastAsia="仿宋_GB2312" w:cs="仿宋_GB2312" w:hint="eastAsia"/>
          <w:color w:val="333333"/>
          <w:kern w:val="0"/>
          <w:sz w:val="32"/>
          <w:szCs w:val="32"/>
        </w:rPr>
        <w:t>〔202</w:t>
      </w:r>
      <w:r>
        <w:rPr>
          <w:rFonts w:ascii="仿宋_GB2312" w:eastAsia="仿宋_GB2312" w:cs="仿宋_GB2312" w:hint="eastAsia"/>
          <w:color w:val="333333"/>
          <w:kern w:val="0"/>
          <w:sz w:val="32"/>
          <w:szCs w:val="32"/>
          <w:lang w:val="en-US" w:eastAsia="zh-CN"/>
        </w:rPr>
        <w:t>3</w:t>
      </w:r>
      <w:r>
        <w:rPr>
          <w:rFonts w:ascii="仿宋_GB2312" w:eastAsia="仿宋_GB2312" w:cs="仿宋_GB2312" w:hint="eastAsia"/>
          <w:color w:val="333333"/>
          <w:kern w:val="0"/>
          <w:sz w:val="32"/>
          <w:szCs w:val="32"/>
        </w:rPr>
        <w:t>〕</w:t>
      </w:r>
      <w:r>
        <w:rPr>
          <w:rFonts w:ascii="仿宋_GB2312" w:eastAsia="仿宋_GB2312" w:cs="仿宋_GB2312" w:hint="eastAsia"/>
          <w:color w:val="333333"/>
          <w:kern w:val="0"/>
          <w:sz w:val="32"/>
          <w:szCs w:val="32"/>
          <w:lang w:val="en-US" w:eastAsia="zh-CN"/>
        </w:rPr>
        <w:t>32</w:t>
      </w:r>
      <w:r>
        <w:rPr>
          <w:rFonts w:ascii="仿宋_GB2312" w:eastAsia="仿宋_GB2312" w:cs="仿宋_GB2312" w:hint="eastAsia"/>
          <w:color w:val="333333"/>
          <w:kern w:val="0"/>
          <w:sz w:val="32"/>
          <w:szCs w:val="32"/>
        </w:rPr>
        <w:t>号)文件精神，现对我单位20</w:t>
      </w:r>
      <w:r>
        <w:rPr>
          <w:rFonts w:ascii="仿宋_GB2312" w:eastAsia="仿宋_GB2312" w:cs="仿宋_GB2312" w:hint="eastAsia"/>
          <w:color w:val="333333"/>
          <w:kern w:val="0"/>
          <w:sz w:val="32"/>
          <w:szCs w:val="32"/>
          <w:lang w:val="en-US" w:eastAsia="zh-CN"/>
        </w:rPr>
        <w:t>22</w:t>
      </w:r>
      <w:r>
        <w:rPr>
          <w:rFonts w:ascii="仿宋_GB2312" w:eastAsia="仿宋_GB2312" w:cs="仿宋_GB2312" w:hint="eastAsia"/>
          <w:color w:val="333333"/>
          <w:kern w:val="0"/>
          <w:sz w:val="32"/>
          <w:szCs w:val="32"/>
        </w:rPr>
        <w:t>年全年的财政支出实施的整体绩效进行自评，评价情况报告如下。</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一、部门（单位）概况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（一）机构组成。</w:t>
      </w:r>
    </w:p>
    <w:p>
      <w:pPr>
        <w:widowControl/>
        <w:shd w:val="clear" w:color="auto" w:fill="FFFFFF"/>
        <w:spacing w:after="150" w:line="520" w:lineRule="exact"/>
        <w:ind w:firstLine="300"/>
        <w:rPr>
          <w:rFonts w:ascii="仿宋_GB2312" w:eastAsia="仿宋_GB2312" w:cs="仿宋_GB2312" w:hint="eastAsia"/>
          <w:color w:val="000000"/>
          <w:sz w:val="31"/>
          <w:szCs w:val="31"/>
        </w:rPr>
      </w:pPr>
      <w:r>
        <w:rPr>
          <w:rFonts w:ascii="仿宋_GB2312" w:eastAsia="仿宋_GB2312" w:cs="仿宋_GB2312" w:hint="eastAsia"/>
          <w:color w:val="333333"/>
          <w:kern w:val="0"/>
          <w:sz w:val="32"/>
          <w:szCs w:val="32"/>
        </w:rPr>
        <w:t>根据《中共金川县委 金川县人民政府关于印发金川县机构改革方案》（金委发〔2019〕4号）文件精神，成立了金川县行政审批局。</w:t>
      </w:r>
    </w:p>
    <w:p>
      <w:pPr>
        <w:pStyle w:val="23"/>
        <w:keepNext w:val="0"/>
        <w:keepLines w:val="0"/>
        <w:widowControl/>
        <w:numPr>
          <w:ilvl w:val="0"/>
          <w:numId w:val="9"/>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机构职能。</w:t>
      </w:r>
    </w:p>
    <w:p>
      <w:pPr>
        <w:widowControl/>
        <w:spacing w:line="520" w:lineRule="exact"/>
        <w:ind w:firstLineChars="150" w:firstLine="48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本部门属一级预算，其中内设机构</w:t>
      </w:r>
      <w:r>
        <w:rPr>
          <w:rFonts w:ascii="仿宋_GB2312" w:eastAsia="仿宋_GB2312" w:cs="仿宋_GB2312" w:hint="eastAsia"/>
          <w:kern w:val="0"/>
          <w:sz w:val="32"/>
          <w:szCs w:val="32"/>
          <w:u w:val="single"/>
        </w:rPr>
        <w:t xml:space="preserve"> 1</w:t>
      </w:r>
      <w:r>
        <w:rPr>
          <w:rFonts w:ascii="仿宋_GB2312" w:eastAsia="仿宋_GB2312" w:cs="仿宋_GB2312" w:hint="eastAsia"/>
          <w:kern w:val="0"/>
          <w:sz w:val="32"/>
          <w:szCs w:val="32"/>
        </w:rPr>
        <w:t>个，下属事业单位</w:t>
      </w:r>
      <w:r>
        <w:rPr>
          <w:rFonts w:ascii="仿宋_GB2312" w:eastAsia="仿宋_GB2312" w:cs="仿宋_GB2312" w:hint="eastAsia"/>
          <w:kern w:val="0"/>
          <w:sz w:val="32"/>
          <w:szCs w:val="32"/>
          <w:u w:val="single"/>
        </w:rPr>
        <w:t xml:space="preserve">1 </w:t>
      </w:r>
      <w:r>
        <w:rPr>
          <w:rFonts w:ascii="仿宋_GB2312" w:eastAsia="仿宋_GB2312" w:cs="仿宋_GB2312" w:hint="eastAsia"/>
          <w:kern w:val="0"/>
          <w:sz w:val="32"/>
          <w:szCs w:val="32"/>
        </w:rPr>
        <w:t>个。</w:t>
      </w:r>
    </w:p>
    <w:p>
      <w:pPr>
        <w:widowControl/>
        <w:spacing w:line="520" w:lineRule="exact"/>
        <w:ind w:firstLineChars="150" w:firstLine="480"/>
        <w:jc w:val="left"/>
        <w:rPr>
          <w:rFonts w:ascii="仿宋_GB2312" w:eastAsia="仿宋_GB2312" w:cs="仿宋_GB2312" w:hint="eastAsia"/>
          <w:color w:val="333333"/>
          <w:kern w:val="0"/>
          <w:sz w:val="32"/>
          <w:szCs w:val="32"/>
        </w:rPr>
      </w:pPr>
      <w:r>
        <w:rPr>
          <w:rFonts w:ascii="仿宋_GB2312" w:eastAsia="仿宋_GB2312" w:cs="仿宋_GB2312" w:hint="eastAsia"/>
          <w:color w:val="333333"/>
          <w:kern w:val="0"/>
          <w:sz w:val="32"/>
          <w:szCs w:val="32"/>
        </w:rPr>
        <w:t>  1.综合股</w:t>
      </w:r>
    </w:p>
    <w:p>
      <w:pPr>
        <w:widowControl/>
        <w:shd w:val="clear" w:color="auto" w:fill="FFFFFF"/>
        <w:spacing w:after="150" w:line="520" w:lineRule="exact"/>
        <w:ind w:firstLine="300"/>
        <w:rPr>
          <w:rFonts w:ascii="仿宋_GB2312" w:eastAsia="仿宋_GB2312" w:cs="仿宋_GB2312" w:hint="eastAsia"/>
          <w:color w:val="333333"/>
          <w:kern w:val="0"/>
          <w:sz w:val="32"/>
          <w:szCs w:val="32"/>
        </w:rPr>
      </w:pPr>
      <w:r>
        <w:rPr>
          <w:rFonts w:ascii="仿宋_GB2312" w:eastAsia="仿宋_GB2312" w:cs="仿宋_GB2312" w:hint="eastAsia"/>
          <w:color w:val="333333"/>
          <w:kern w:val="0"/>
          <w:sz w:val="32"/>
          <w:szCs w:val="32"/>
        </w:rPr>
        <w:t>  主要职责：</w:t>
      </w:r>
      <w:r>
        <w:rPr>
          <w:rFonts w:ascii="仿宋_GB2312" w:eastAsia="仿宋_GB2312" w:cs="仿宋_GB2312" w:hint="eastAsia"/>
          <w:kern w:val="0"/>
          <w:sz w:val="32"/>
          <w:szCs w:val="32"/>
        </w:rPr>
        <w:t>负责文电、会务、档案管理、财务管理、资产管理、后勤服务等机关日常工作。承担本单位保密、安全、信访、绩效管理、内部规章制度建设等工作。负责综合性材料和重要文稿的起草工作。承担机关党建和党风廉政建设等方面工作。负责本单位重大突发事件应急综合管理和维稳等工作。负责本单位人事及机构编制管理工作。负责本单位的干部培训教育、群团和离退休人员工作。组织办理人大代表建议、政协委员提案工作。负责深化行政审批制度改革、“放管服”改革等方面政策法规的宣传、推动和实施工作。负责本单位依法行政工作的监督检查。负责处理本单位涉及行政审批方面的法律事务等工作。</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负责规范全县行政审批行为，建立和完善相应工作机制。负责指导乡（镇）行政审批服务机构的工作，指导投资项目、市场准入、建设工程、交通水利、文教卫生、社会事务、涉农事务等方面的行政审批事项，及时通报行政审批等事项的实施情况。承担协调、指导公安、民族宗教、生态环境、应急管理和驻县中直、省直部门的行政审批工作，指导各乡（镇）的行政审批工作。负责县本级行政权力清单和责任清单的动态调整工作。负责拟定全县政务服务制度、办法和标准并组织实施，指导全县政务服务工作，推进政务服务体系建设，监督进驻和退出县政务服务工作平台的政务服务事项。牵头编制政务服务效能工作通报，组织开展政务服务工作的调查研究、评估分析。负责受理全县政务服务行为投诉，会同、协调相关部门按规定处理。负责全县政务服务绩效考评工作。</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负责拟定全县公共资源交易的制度、办法和标准并组织实施，推进公共资源交易体系建设。负责公共资源交易主体信用体系建设，编制公共资源交易目录，组织开展公共资源交易管理服务的调查研究、评估分析。负责受理违反公共资源交易规定的行为投诉，并会同、协调相关部门按规定进行处理。负责全县公共资源交易绩效考评工作。完成局领导交办的其他工作。</w:t>
      </w:r>
    </w:p>
    <w:p>
      <w:pPr>
        <w:widowControl/>
        <w:adjustRightInd w:val="0"/>
        <w:snapToGrid w:val="0"/>
        <w:spacing w:line="560" w:lineRule="exact"/>
        <w:ind w:firstLine="720"/>
        <w:jc w:val="left"/>
        <w:rPr>
          <w:rFonts w:ascii="仿宋_GB2312" w:eastAsia="仿宋_GB2312" w:cs="仿宋_GB2312" w:hint="eastAsia"/>
          <w:kern w:val="0"/>
          <w:sz w:val="32"/>
          <w:szCs w:val="32"/>
        </w:rPr>
      </w:pPr>
      <w:r>
        <w:rPr>
          <w:rFonts w:ascii="仿宋_GB2312" w:eastAsia="仿宋_GB2312" w:cs="仿宋_GB2312" w:hint="eastAsia"/>
          <w:color w:val="000000"/>
          <w:kern w:val="0"/>
          <w:sz w:val="32"/>
          <w:szCs w:val="32"/>
          <w:lang w:val="zh-CN"/>
        </w:rPr>
        <w:t>2．</w:t>
      </w:r>
      <w:r>
        <w:rPr>
          <w:rFonts w:ascii="仿宋_GB2312" w:eastAsia="仿宋_GB2312" w:cs="仿宋_GB2312" w:hint="eastAsia"/>
          <w:kern w:val="0"/>
          <w:sz w:val="32"/>
          <w:szCs w:val="32"/>
        </w:rPr>
        <w:t>下属事业单位（金川县政务服务和</w:t>
      </w:r>
      <w:r>
        <w:rPr>
          <w:rFonts w:ascii="仿宋_GB2312" w:eastAsia="仿宋_GB2312" w:cs="仿宋_GB2312" w:hint="eastAsia"/>
          <w:bCs/>
          <w:color w:val="000000"/>
          <w:sz w:val="32"/>
          <w:szCs w:val="32"/>
        </w:rPr>
        <w:t>公共资源交易中心</w:t>
      </w:r>
      <w:r>
        <w:rPr>
          <w:rFonts w:ascii="仿宋_GB2312" w:eastAsia="仿宋_GB2312" w:cs="仿宋_GB2312" w:hint="eastAsia"/>
          <w:kern w:val="0"/>
          <w:sz w:val="32"/>
          <w:szCs w:val="32"/>
        </w:rPr>
        <w:t>）</w:t>
      </w:r>
    </w:p>
    <w:p>
      <w:pPr>
        <w:pStyle w:val="16"/>
        <w:adjustRightInd w:val="0"/>
        <w:snapToGrid w:val="0"/>
        <w:spacing w:line="600" w:lineRule="exact"/>
        <w:ind w:firstLineChars="200" w:firstLine="640"/>
        <w:rPr>
          <w:rFonts w:ascii="仿宋_GB2312" w:eastAsia="仿宋_GB2312" w:cs="仿宋_GB2312" w:hint="eastAsia"/>
          <w:bCs/>
          <w:color w:val="000000"/>
          <w:sz w:val="32"/>
          <w:szCs w:val="32"/>
        </w:rPr>
      </w:pPr>
      <w:r>
        <w:rPr>
          <w:rFonts w:ascii="仿宋_GB2312" w:eastAsia="仿宋_GB2312" w:cs="仿宋_GB2312" w:hint="eastAsia"/>
          <w:color w:val="333333"/>
          <w:sz w:val="32"/>
          <w:szCs w:val="32"/>
        </w:rPr>
        <w:t>主要职责：</w:t>
      </w:r>
      <w:r>
        <w:rPr>
          <w:rFonts w:ascii="仿宋_GB2312" w:eastAsia="仿宋_GB2312" w:cs="仿宋_GB2312" w:hint="eastAsia"/>
          <w:bCs/>
          <w:color w:val="000000"/>
          <w:sz w:val="32"/>
          <w:szCs w:val="32"/>
        </w:rPr>
        <w:t>提高政府采购资金使用效率，规范政府投资工程建设项目比选活动和国有产权交易、维护国家利益和当事人的合法利益，促进廉政建设。</w:t>
      </w:r>
    </w:p>
    <w:p>
      <w:pPr>
        <w:pStyle w:val="16"/>
        <w:adjustRightInd w:val="0"/>
        <w:snapToGrid w:val="0"/>
        <w:spacing w:line="60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sz w:val="32"/>
          <w:szCs w:val="32"/>
        </w:rPr>
        <w:t>依法接受政府采购业务代理范围的政府采购项目；在政府投资工程建设项目招标阶段，行使招标职责；接受委托国有产权交易，负责组织开展土地使用产权和矿业权招拍挂交易活动。</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（三）人员概况。</w:t>
      </w:r>
    </w:p>
    <w:p>
      <w:pPr>
        <w:widowControl/>
        <w:shd w:val="clear" w:color="auto" w:fill="FFFFFF"/>
        <w:spacing w:after="150" w:line="520" w:lineRule="exact"/>
        <w:ind w:firstLineChars="243" w:firstLine="778"/>
        <w:rPr>
          <w:rFonts w:ascii="仿宋_GB2312" w:eastAsia="仿宋_GB2312" w:cs="仿宋_GB2312" w:hint="eastAsia"/>
          <w:kern w:val="0"/>
          <w:sz w:val="32"/>
          <w:szCs w:val="32"/>
          <w:lang w:eastAsia="zh-CN"/>
        </w:rPr>
      </w:pPr>
      <w:r>
        <w:rPr>
          <w:rFonts w:ascii="仿宋_GB2312" w:eastAsia="仿宋_GB2312" w:cs="仿宋_GB2312" w:hint="eastAsia"/>
          <w:kern w:val="0"/>
          <w:sz w:val="32"/>
          <w:szCs w:val="32"/>
        </w:rPr>
        <w:t>行政审批局</w:t>
      </w:r>
      <w:r>
        <w:rPr>
          <w:rFonts w:ascii="仿宋_GB2312" w:eastAsia="仿宋_GB2312" w:cs="仿宋_GB2312" w:hint="eastAsia"/>
          <w:kern w:val="0"/>
          <w:sz w:val="32"/>
          <w:szCs w:val="32"/>
          <w:lang w:eastAsia="zh-CN"/>
        </w:rPr>
        <w:t>（包含行政审批服务中心）</w:t>
      </w:r>
      <w:r>
        <w:rPr>
          <w:rFonts w:ascii="仿宋_GB2312" w:eastAsia="仿宋_GB2312" w:cs="仿宋_GB2312" w:hint="eastAsia"/>
          <w:kern w:val="0"/>
          <w:sz w:val="32"/>
          <w:szCs w:val="32"/>
        </w:rPr>
        <w:t>：总编制</w:t>
      </w:r>
      <w:r>
        <w:rPr>
          <w:rFonts w:ascii="仿宋_GB2312" w:eastAsia="仿宋_GB2312" w:cs="仿宋_GB2312" w:hint="eastAsia"/>
          <w:kern w:val="0"/>
          <w:sz w:val="32"/>
          <w:szCs w:val="32"/>
          <w:u w:val="single"/>
          <w:lang w:val="en-US" w:eastAsia="zh-CN"/>
        </w:rPr>
        <w:t>15</w:t>
      </w:r>
      <w:r>
        <w:rPr>
          <w:rFonts w:ascii="仿宋_GB2312" w:eastAsia="仿宋_GB2312" w:cs="仿宋_GB2312" w:hint="eastAsia"/>
          <w:kern w:val="0"/>
          <w:sz w:val="32"/>
          <w:szCs w:val="32"/>
        </w:rPr>
        <w:t>名,其中:行政编制</w:t>
      </w:r>
      <w:r>
        <w:rPr>
          <w:rFonts w:ascii="仿宋_GB2312" w:eastAsia="仿宋_GB2312" w:cs="仿宋_GB2312" w:hint="eastAsia"/>
          <w:kern w:val="0"/>
          <w:sz w:val="32"/>
          <w:szCs w:val="32"/>
          <w:u w:val="single"/>
          <w:lang w:val="en-US" w:eastAsia="zh-CN"/>
        </w:rPr>
        <w:t>5</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rPr>
        <w:t>名,参照公务员法管理的事业编制</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u w:val="single"/>
          <w:lang w:val="en-US" w:eastAsia="zh-CN"/>
        </w:rPr>
        <w:t>6</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rPr>
        <w:t>名，其他事业编制</w:t>
      </w:r>
      <w:r>
        <w:rPr>
          <w:rFonts w:ascii="仿宋_GB2312" w:eastAsia="仿宋_GB2312" w:cs="仿宋_GB2312" w:hint="eastAsia"/>
          <w:kern w:val="0"/>
          <w:sz w:val="32"/>
          <w:szCs w:val="32"/>
          <w:u w:val="single"/>
        </w:rPr>
        <w:t>4</w:t>
      </w:r>
      <w:r>
        <w:rPr>
          <w:rFonts w:ascii="仿宋_GB2312" w:eastAsia="仿宋_GB2312" w:cs="仿宋_GB2312" w:hint="eastAsia"/>
          <w:kern w:val="0"/>
          <w:sz w:val="32"/>
          <w:szCs w:val="32"/>
        </w:rPr>
        <w:t>名。在职人员总数</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u w:val="single"/>
          <w:lang w:val="en-US" w:eastAsia="zh-CN"/>
        </w:rPr>
        <w:t>16</w:t>
      </w:r>
      <w:r>
        <w:rPr>
          <w:rFonts w:ascii="仿宋_GB2312" w:eastAsia="仿宋_GB2312" w:cs="仿宋_GB2312" w:hint="eastAsia"/>
          <w:kern w:val="0"/>
          <w:sz w:val="32"/>
          <w:szCs w:val="32"/>
        </w:rPr>
        <w:t>名，其中：行政人员</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u w:val="single"/>
          <w:lang w:val="en-US" w:eastAsia="zh-CN"/>
        </w:rPr>
        <w:t>6</w:t>
      </w:r>
      <w:r>
        <w:rPr>
          <w:rFonts w:ascii="仿宋_GB2312" w:eastAsia="仿宋_GB2312" w:cs="仿宋_GB2312" w:hint="eastAsia"/>
          <w:kern w:val="0"/>
          <w:sz w:val="32"/>
          <w:szCs w:val="32"/>
        </w:rPr>
        <w:t>名</w:t>
      </w:r>
      <w:r>
        <w:rPr>
          <w:rFonts w:ascii="仿宋_GB2312" w:eastAsia="仿宋_GB2312" w:cs="仿宋_GB2312" w:hint="eastAsia"/>
          <w:kern w:val="0"/>
          <w:sz w:val="32"/>
          <w:szCs w:val="32"/>
          <w:lang w:eastAsia="zh-CN"/>
        </w:rPr>
        <w:t>（超编人员</w:t>
      </w:r>
      <w:r>
        <w:rPr>
          <w:rFonts w:ascii="仿宋_GB2312" w:eastAsia="仿宋_GB2312" w:cs="仿宋_GB2312" w:hint="eastAsia"/>
          <w:kern w:val="0"/>
          <w:sz w:val="32"/>
          <w:szCs w:val="32"/>
          <w:lang w:val="en-US" w:eastAsia="zh-CN"/>
        </w:rPr>
        <w:t>1名</w:t>
      </w:r>
      <w:r>
        <w:rPr>
          <w:rFonts w:ascii="仿宋_GB2312" w:eastAsia="仿宋_GB2312" w:cs="仿宋_GB2312" w:hint="eastAsia"/>
          <w:kern w:val="0"/>
          <w:sz w:val="32"/>
          <w:szCs w:val="32"/>
          <w:lang w:eastAsia="zh-CN"/>
        </w:rPr>
        <w:t>），</w:t>
      </w:r>
      <w:r>
        <w:rPr>
          <w:rFonts w:ascii="仿宋_GB2312" w:eastAsia="仿宋_GB2312" w:cs="仿宋_GB2312" w:hint="eastAsia"/>
          <w:kern w:val="0"/>
          <w:sz w:val="32"/>
          <w:szCs w:val="32"/>
        </w:rPr>
        <w:t>参照公务员法管理的事业人员</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u w:val="single"/>
          <w:lang w:val="en-US" w:eastAsia="zh-CN"/>
        </w:rPr>
        <w:t>6</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rPr>
        <w:t>名，其他事业人员</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u w:val="single"/>
          <w:lang w:val="en-US" w:eastAsia="zh-CN"/>
        </w:rPr>
        <w:t>4</w:t>
      </w:r>
      <w:r>
        <w:rPr>
          <w:rFonts w:ascii="仿宋_GB2312" w:eastAsia="仿宋_GB2312" w:cs="仿宋_GB2312" w:hint="eastAsia"/>
          <w:kern w:val="0"/>
          <w:sz w:val="32"/>
          <w:szCs w:val="32"/>
        </w:rPr>
        <w:t>名；</w:t>
      </w:r>
    </w:p>
    <w:p>
      <w:pPr>
        <w:widowControl/>
        <w:shd w:val="clear" w:color="auto" w:fill="FFFFFF"/>
        <w:spacing w:after="150" w:line="520" w:lineRule="exact"/>
        <w:ind w:firstLineChars="243" w:firstLine="778"/>
        <w:rPr>
          <w:rFonts w:ascii="黑体" w:eastAsia="黑体" w:cs="黑体" w:hint="eastAsia"/>
          <w:color w:val="000000"/>
          <w:sz w:val="31"/>
          <w:szCs w:val="31"/>
        </w:rPr>
      </w:pPr>
      <w:r>
        <w:rPr>
          <w:rFonts w:ascii="仿宋_GB2312" w:eastAsia="仿宋_GB2312" w:cs="仿宋_GB2312" w:hint="eastAsia"/>
          <w:kern w:val="0"/>
          <w:sz w:val="32"/>
          <w:szCs w:val="32"/>
        </w:rPr>
        <w:t>金川县政务服务和</w:t>
      </w:r>
      <w:r>
        <w:rPr>
          <w:rFonts w:ascii="仿宋_GB2312" w:eastAsia="仿宋_GB2312" w:cs="仿宋_GB2312" w:hint="eastAsia"/>
          <w:bCs/>
          <w:color w:val="000000"/>
          <w:sz w:val="32"/>
          <w:szCs w:val="32"/>
        </w:rPr>
        <w:t>公共资源交易中心：</w:t>
      </w:r>
      <w:r>
        <w:rPr>
          <w:rFonts w:ascii="仿宋_GB2312" w:eastAsia="仿宋_GB2312" w:cs="仿宋_GB2312" w:hint="eastAsia"/>
          <w:kern w:val="0"/>
          <w:sz w:val="32"/>
          <w:szCs w:val="32"/>
        </w:rPr>
        <w:t>总编制</w:t>
      </w:r>
      <w:r>
        <w:rPr>
          <w:rFonts w:ascii="仿宋_GB2312" w:eastAsia="仿宋_GB2312" w:cs="仿宋_GB2312" w:hint="eastAsia"/>
          <w:kern w:val="0"/>
          <w:sz w:val="32"/>
          <w:szCs w:val="32"/>
          <w:u w:val="single"/>
          <w:lang w:val="en-US" w:eastAsia="zh-CN"/>
        </w:rPr>
        <w:t>12</w:t>
      </w:r>
      <w:r>
        <w:rPr>
          <w:rFonts w:ascii="仿宋_GB2312" w:eastAsia="仿宋_GB2312" w:cs="仿宋_GB2312" w:hint="eastAsia"/>
          <w:kern w:val="0"/>
          <w:sz w:val="32"/>
          <w:szCs w:val="32"/>
        </w:rPr>
        <w:t>名,其中:行政编制</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rPr>
        <w:t>名,参照公务员法管理的事业编制</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rPr>
        <w:t>名，其他事业编制</w:t>
      </w:r>
      <w:r>
        <w:rPr>
          <w:rFonts w:ascii="仿宋_GB2312" w:eastAsia="仿宋_GB2312" w:cs="仿宋_GB2312" w:hint="eastAsia"/>
          <w:kern w:val="0"/>
          <w:sz w:val="32"/>
          <w:szCs w:val="32"/>
          <w:u w:val="single"/>
          <w:lang w:val="en-US" w:eastAsia="zh-CN"/>
        </w:rPr>
        <w:t>12</w:t>
      </w:r>
      <w:r>
        <w:rPr>
          <w:rFonts w:ascii="仿宋_GB2312" w:eastAsia="仿宋_GB2312" w:cs="仿宋_GB2312" w:hint="eastAsia"/>
          <w:kern w:val="0"/>
          <w:sz w:val="32"/>
          <w:szCs w:val="32"/>
        </w:rPr>
        <w:t>名。在职人员总数</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u w:val="single"/>
          <w:lang w:val="en-US" w:eastAsia="zh-CN"/>
        </w:rPr>
        <w:t>12</w:t>
      </w:r>
      <w:r>
        <w:rPr>
          <w:rFonts w:ascii="仿宋_GB2312" w:eastAsia="仿宋_GB2312" w:cs="仿宋_GB2312" w:hint="eastAsia"/>
          <w:kern w:val="0"/>
          <w:sz w:val="32"/>
          <w:szCs w:val="32"/>
        </w:rPr>
        <w:t>名，其中：行政人员</w:t>
      </w:r>
      <w:r>
        <w:rPr>
          <w:rFonts w:ascii="仿宋_GB2312" w:eastAsia="仿宋_GB2312" w:cs="仿宋_GB2312" w:hint="eastAsia"/>
          <w:kern w:val="0"/>
          <w:sz w:val="32"/>
          <w:szCs w:val="32"/>
          <w:u w:val="single"/>
        </w:rPr>
        <w:t xml:space="preserve"> 0</w:t>
      </w:r>
      <w:r>
        <w:rPr>
          <w:rFonts w:ascii="仿宋_GB2312" w:eastAsia="仿宋_GB2312" w:cs="仿宋_GB2312" w:hint="eastAsia"/>
          <w:kern w:val="0"/>
          <w:sz w:val="32"/>
          <w:szCs w:val="32"/>
        </w:rPr>
        <w:t>名，参照公务员法管理的事业人员</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rPr>
        <w:t>名，其他事业人员</w:t>
      </w:r>
      <w:r>
        <w:rPr>
          <w:rFonts w:ascii="仿宋_GB2312" w:eastAsia="仿宋_GB2312" w:cs="仿宋_GB2312" w:hint="eastAsia"/>
          <w:kern w:val="0"/>
          <w:sz w:val="32"/>
          <w:szCs w:val="32"/>
          <w:u w:val="single"/>
        </w:rPr>
        <w:t xml:space="preserve"> </w:t>
      </w:r>
      <w:r>
        <w:rPr>
          <w:rFonts w:ascii="仿宋_GB2312" w:eastAsia="仿宋_GB2312" w:cs="仿宋_GB2312" w:hint="eastAsia"/>
          <w:kern w:val="0"/>
          <w:sz w:val="32"/>
          <w:szCs w:val="32"/>
          <w:u w:val="single"/>
          <w:lang w:val="en-US" w:eastAsia="zh-CN"/>
        </w:rPr>
        <w:t>12</w:t>
      </w:r>
      <w:r>
        <w:rPr>
          <w:rFonts w:ascii="仿宋_GB2312" w:eastAsia="仿宋_GB2312" w:cs="仿宋_GB2312" w:hint="eastAsia"/>
          <w:kern w:val="0"/>
          <w:sz w:val="32"/>
          <w:szCs w:val="32"/>
        </w:rPr>
        <w:t>名；</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二、部门财政资金收支情况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（一）部门财政资金收入情况。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2"/>
          <w:szCs w:val="32"/>
        </w:rPr>
      </w:pPr>
      <w:r>
        <w:rPr>
          <w:rFonts w:ascii="仿宋_GB2312" w:eastAsia="仿宋_GB2312" w:cs="仿宋_GB2312" w:hint="eastAsia"/>
          <w:b w:val="0"/>
          <w:bCs w:val="0"/>
          <w:color w:val="000000"/>
          <w:kern w:val="0"/>
          <w:sz w:val="32"/>
          <w:szCs w:val="32"/>
        </w:rPr>
        <w:t>1、</w:t>
      </w:r>
      <w:r>
        <w:rPr>
          <w:rFonts w:ascii="仿宋_GB2312" w:eastAsia="仿宋_GB2312" w:cs="仿宋_GB2312" w:hint="eastAsia"/>
          <w:b w:val="0"/>
          <w:bCs w:val="0"/>
          <w:color w:val="333333"/>
          <w:kern w:val="0"/>
          <w:sz w:val="32"/>
          <w:szCs w:val="32"/>
          <w:lang w:eastAsia="zh-CN"/>
        </w:rPr>
        <w:t>202</w:t>
      </w:r>
      <w:r>
        <w:rPr>
          <w:rFonts w:ascii="仿宋_GB2312" w:eastAsia="仿宋_GB2312" w:cs="仿宋_GB2312" w:hint="eastAsia"/>
          <w:b w:val="0"/>
          <w:bCs w:val="0"/>
          <w:color w:val="333333"/>
          <w:kern w:val="0"/>
          <w:sz w:val="32"/>
          <w:szCs w:val="32"/>
          <w:lang w:val="en-US" w:eastAsia="zh-CN"/>
        </w:rPr>
        <w:t>2</w:t>
      </w:r>
      <w:r>
        <w:rPr>
          <w:rFonts w:ascii="仿宋_GB2312" w:eastAsia="仿宋_GB2312" w:cs="仿宋_GB2312" w:hint="eastAsia"/>
          <w:b w:val="0"/>
          <w:bCs w:val="0"/>
          <w:color w:val="333333"/>
          <w:kern w:val="0"/>
          <w:sz w:val="32"/>
          <w:szCs w:val="32"/>
          <w:lang w:eastAsia="zh-CN"/>
        </w:rPr>
        <w:t>年</w:t>
      </w:r>
      <w:r>
        <w:rPr>
          <w:rFonts w:ascii="仿宋_GB2312" w:eastAsia="仿宋_GB2312" w:cs="仿宋_GB2312" w:hint="eastAsia"/>
          <w:b w:val="0"/>
          <w:bCs w:val="0"/>
          <w:color w:val="333333"/>
          <w:kern w:val="0"/>
          <w:sz w:val="32"/>
          <w:szCs w:val="32"/>
        </w:rPr>
        <w:t>金川县行政审批局收入</w:t>
      </w:r>
      <w:r>
        <w:rPr>
          <w:rFonts w:ascii="仿宋_GB2312" w:eastAsia="仿宋_GB2312" w:cs="仿宋_GB2312" w:hint="eastAsia"/>
          <w:b w:val="0"/>
          <w:bCs w:val="0"/>
          <w:color w:val="000000"/>
          <w:kern w:val="0"/>
          <w:sz w:val="32"/>
          <w:szCs w:val="32"/>
          <w:lang w:val="zh-CN"/>
        </w:rPr>
        <w:t>合计</w:t>
      </w:r>
      <w:r>
        <w:rPr>
          <w:rFonts w:ascii="仿宋_GB2312" w:eastAsia="仿宋_GB2312" w:hint="eastAsia"/>
          <w:color w:val="000000"/>
          <w:spacing w:val="-2"/>
          <w:kern w:val="2"/>
          <w:sz w:val="32"/>
          <w:szCs w:val="32"/>
          <w:lang w:val="en-US" w:eastAsia="zh-CN" w:bidi="ar-SA"/>
        </w:rPr>
        <w:t>557.57</w:t>
      </w:r>
      <w:r>
        <w:rPr>
          <w:rFonts w:ascii="仿宋_GB2312" w:eastAsia="仿宋_GB2312" w:cs="仿宋_GB2312" w:hint="eastAsia"/>
          <w:b w:val="0"/>
          <w:bCs w:val="0"/>
          <w:color w:val="000000"/>
          <w:kern w:val="0"/>
          <w:sz w:val="32"/>
          <w:szCs w:val="32"/>
          <w:lang w:val="zh-CN"/>
        </w:rPr>
        <w:t>万元，</w:t>
      </w:r>
      <w:r>
        <w:rPr>
          <w:rFonts w:ascii="仿宋_GB2312" w:eastAsia="仿宋_GB2312" w:cs="仿宋_GB2312" w:hint="eastAsia"/>
          <w:b w:val="0"/>
          <w:bCs w:val="0"/>
          <w:color w:val="000000"/>
          <w:kern w:val="0"/>
          <w:sz w:val="32"/>
          <w:szCs w:val="32"/>
        </w:rPr>
        <w:t>上年结转0万元，</w:t>
      </w:r>
      <w:r>
        <w:rPr>
          <w:rFonts w:ascii="仿宋_GB2312" w:eastAsia="仿宋_GB2312" w:cs="仿宋_GB2312" w:hint="eastAsia"/>
          <w:b w:val="0"/>
          <w:bCs w:val="0"/>
          <w:color w:val="000000"/>
          <w:kern w:val="0"/>
          <w:sz w:val="32"/>
          <w:szCs w:val="32"/>
          <w:lang w:val="zh-CN"/>
        </w:rPr>
        <w:t>其中：财政拨款收入</w:t>
      </w:r>
      <w:r>
        <w:rPr>
          <w:rFonts w:ascii="仿宋_GB2312" w:eastAsia="仿宋_GB2312" w:hint="eastAsia"/>
          <w:color w:val="000000"/>
          <w:spacing w:val="-2"/>
          <w:kern w:val="2"/>
          <w:sz w:val="32"/>
          <w:szCs w:val="32"/>
          <w:lang w:val="en-US" w:eastAsia="zh-CN" w:bidi="ar-SA"/>
        </w:rPr>
        <w:t>557.57</w:t>
      </w:r>
      <w:r>
        <w:rPr>
          <w:rFonts w:ascii="仿宋_GB2312" w:eastAsia="仿宋_GB2312" w:cs="仿宋_GB2312" w:hint="eastAsia"/>
          <w:b w:val="0"/>
          <w:bCs w:val="0"/>
          <w:color w:val="000000"/>
          <w:kern w:val="0"/>
          <w:sz w:val="32"/>
          <w:szCs w:val="32"/>
          <w:lang w:val="zh-CN"/>
        </w:rPr>
        <w:t xml:space="preserve">万元。  </w:t>
      </w:r>
    </w:p>
    <w:p>
      <w:pPr>
        <w:pStyle w:val="23"/>
        <w:keepNext w:val="0"/>
        <w:keepLines w:val="0"/>
        <w:widowControl/>
        <w:numPr>
          <w:ilvl w:val="0"/>
          <w:numId w:val="9"/>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widowControl/>
        <w:adjustRightInd w:val="0"/>
        <w:snapToGrid w:val="0"/>
        <w:spacing w:line="520" w:lineRule="exact"/>
        <w:ind w:firstLineChars="200" w:firstLine="640"/>
        <w:jc w:val="left"/>
        <w:rPr>
          <w:rFonts w:ascii="仿宋_GB2312" w:eastAsia="仿宋_GB2312" w:cs="仿宋_GB2312" w:hint="eastAsia"/>
          <w:b w:val="0"/>
          <w:bCs w:val="0"/>
          <w:color w:val="000000"/>
          <w:kern w:val="0"/>
          <w:sz w:val="32"/>
          <w:szCs w:val="32"/>
        </w:rPr>
      </w:pPr>
      <w:r>
        <w:rPr>
          <w:rFonts w:ascii="仿宋_GB2312" w:eastAsia="仿宋_GB2312" w:cs="仿宋_GB2312" w:hint="eastAsia"/>
          <w:b w:val="0"/>
          <w:bCs w:val="0"/>
          <w:color w:val="000000"/>
          <w:kern w:val="0"/>
          <w:sz w:val="32"/>
          <w:szCs w:val="32"/>
        </w:rPr>
        <w:t>1、金川县行政审批局</w:t>
      </w:r>
      <w:r>
        <w:rPr>
          <w:rFonts w:ascii="仿宋_GB2312" w:eastAsia="仿宋_GB2312" w:cs="仿宋_GB2312" w:hint="eastAsia"/>
          <w:b w:val="0"/>
          <w:bCs w:val="0"/>
          <w:color w:val="000000"/>
          <w:kern w:val="0"/>
          <w:sz w:val="32"/>
          <w:szCs w:val="32"/>
          <w:lang w:eastAsia="zh-CN"/>
        </w:rPr>
        <w:t>202</w:t>
      </w:r>
      <w:r>
        <w:rPr>
          <w:rFonts w:ascii="仿宋_GB2312" w:eastAsia="仿宋_GB2312" w:cs="仿宋_GB2312" w:hint="eastAsia"/>
          <w:b w:val="0"/>
          <w:bCs w:val="0"/>
          <w:color w:val="000000"/>
          <w:kern w:val="0"/>
          <w:sz w:val="32"/>
          <w:szCs w:val="32"/>
          <w:lang w:val="en-US" w:eastAsia="zh-CN"/>
        </w:rPr>
        <w:t>2</w:t>
      </w:r>
      <w:r>
        <w:rPr>
          <w:rFonts w:ascii="仿宋_GB2312" w:eastAsia="仿宋_GB2312" w:cs="仿宋_GB2312" w:hint="eastAsia"/>
          <w:b w:val="0"/>
          <w:bCs w:val="0"/>
          <w:color w:val="000000"/>
          <w:kern w:val="0"/>
          <w:sz w:val="32"/>
          <w:szCs w:val="32"/>
          <w:lang w:eastAsia="zh-CN"/>
        </w:rPr>
        <w:t>年</w:t>
      </w:r>
      <w:r>
        <w:rPr>
          <w:rFonts w:ascii="仿宋_GB2312" w:eastAsia="仿宋_GB2312" w:cs="仿宋_GB2312" w:hint="eastAsia"/>
          <w:b w:val="0"/>
          <w:bCs w:val="0"/>
          <w:color w:val="000000"/>
          <w:kern w:val="0"/>
          <w:sz w:val="32"/>
          <w:szCs w:val="32"/>
        </w:rPr>
        <w:t>一般公共预算财政拨款支出</w:t>
      </w:r>
      <w:r>
        <w:rPr>
          <w:rFonts w:ascii="仿宋_GB2312" w:eastAsia="仿宋_GB2312" w:hint="eastAsia"/>
          <w:color w:val="000000"/>
          <w:spacing w:val="-2"/>
          <w:kern w:val="2"/>
          <w:sz w:val="32"/>
          <w:szCs w:val="32"/>
          <w:lang w:val="en-US" w:eastAsia="zh-CN" w:bidi="ar-SA"/>
        </w:rPr>
        <w:t>557.57</w:t>
      </w:r>
      <w:r>
        <w:rPr>
          <w:rFonts w:ascii="仿宋_GB2312" w:eastAsia="仿宋_GB2312" w:cs="仿宋_GB2312" w:hint="eastAsia"/>
          <w:b w:val="0"/>
          <w:bCs w:val="0"/>
          <w:color w:val="000000"/>
          <w:kern w:val="0"/>
          <w:sz w:val="32"/>
          <w:szCs w:val="32"/>
        </w:rPr>
        <w:t>万元，其中：</w:t>
      </w:r>
    </w:p>
    <w:p>
      <w:pPr>
        <w:spacing w:line="600" w:lineRule="exact"/>
        <w:ind w:firstLine="645"/>
        <w:rPr>
          <w:rFonts w:ascii="仿宋" w:eastAsia="仿宋" w:hint="eastAsia"/>
          <w:color w:val="000000"/>
          <w:sz w:val="32"/>
          <w:szCs w:val="32"/>
          <w:lang w:val="en-US"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461.38</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92.39万元</w:t>
      </w:r>
      <w:r>
        <w:rPr>
          <w:rFonts w:ascii="仿宋" w:eastAsia="仿宋" w:hint="eastAsia"/>
          <w:color w:val="000000"/>
          <w:sz w:val="32"/>
          <w:szCs w:val="32"/>
        </w:rPr>
        <w:t>、津贴补贴</w:t>
      </w:r>
      <w:r>
        <w:rPr>
          <w:rFonts w:ascii="仿宋" w:eastAsia="仿宋" w:hint="eastAsia"/>
          <w:color w:val="000000"/>
          <w:sz w:val="32"/>
          <w:szCs w:val="32"/>
          <w:lang w:val="en-US" w:eastAsia="zh-CN"/>
        </w:rPr>
        <w:t>76.09万元</w:t>
      </w:r>
      <w:r>
        <w:rPr>
          <w:rFonts w:ascii="仿宋" w:eastAsia="仿宋" w:hint="eastAsia"/>
          <w:color w:val="000000"/>
          <w:sz w:val="32"/>
          <w:szCs w:val="32"/>
        </w:rPr>
        <w:t>、</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38.97万元、</w:t>
      </w:r>
      <w:r>
        <w:rPr>
          <w:rFonts w:ascii="仿宋" w:eastAsia="仿宋" w:hint="eastAsia"/>
          <w:color w:val="000000"/>
          <w:sz w:val="32"/>
          <w:szCs w:val="32"/>
        </w:rPr>
        <w:t>奖金</w:t>
      </w:r>
      <w:r>
        <w:rPr>
          <w:rFonts w:ascii="仿宋" w:eastAsia="仿宋" w:hint="eastAsia"/>
          <w:color w:val="000000"/>
          <w:sz w:val="32"/>
          <w:szCs w:val="32"/>
          <w:lang w:val="en-US" w:eastAsia="zh-CN"/>
        </w:rPr>
        <w:t>85.88万元</w:t>
      </w:r>
      <w:r>
        <w:rPr>
          <w:rFonts w:ascii="仿宋" w:eastAsia="仿宋" w:hint="eastAsia"/>
          <w:color w:val="000000"/>
          <w:sz w:val="32"/>
          <w:szCs w:val="32"/>
        </w:rPr>
        <w:t>、</w:t>
      </w:r>
      <w:r>
        <w:rPr>
          <w:rFonts w:ascii="仿宋" w:eastAsia="仿宋" w:hint="eastAsia"/>
          <w:color w:val="000000"/>
          <w:sz w:val="32"/>
          <w:szCs w:val="32"/>
          <w:lang w:eastAsia="zh-CN"/>
        </w:rPr>
        <w:t>奖励金</w:t>
      </w:r>
      <w:r>
        <w:rPr>
          <w:rFonts w:ascii="仿宋" w:eastAsia="仿宋" w:hint="eastAsia"/>
          <w:color w:val="000000"/>
          <w:sz w:val="32"/>
          <w:szCs w:val="32"/>
          <w:lang w:val="en-US" w:eastAsia="zh-CN"/>
        </w:rPr>
        <w:t>52.56万元、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37.46万元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18.73万元</w:t>
      </w:r>
      <w:r>
        <w:rPr>
          <w:rFonts w:ascii="仿宋" w:eastAsia="仿宋" w:hint="eastAsia"/>
          <w:color w:val="000000"/>
          <w:sz w:val="32"/>
          <w:szCs w:val="32"/>
        </w:rPr>
        <w:t>、</w:t>
      </w:r>
      <w:r>
        <w:rPr>
          <w:rFonts w:ascii="仿宋" w:eastAsia="仿宋" w:hint="eastAsia"/>
          <w:color w:val="000000"/>
          <w:sz w:val="32"/>
          <w:szCs w:val="32"/>
          <w:lang w:val="en-US" w:eastAsia="zh-CN"/>
        </w:rPr>
        <w:t>行政单位医疗8.52万元、事业单位医疗8.58万元、公务员医疗补助缴费2.08万元、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6.59万元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、生活补助</w:t>
      </w:r>
      <w:r>
        <w:rPr>
          <w:rFonts w:ascii="仿宋" w:eastAsia="仿宋" w:hint="eastAsia"/>
          <w:color w:val="000000"/>
          <w:sz w:val="32"/>
          <w:szCs w:val="32"/>
          <w:lang w:val="en-US" w:eastAsia="zh-CN"/>
        </w:rPr>
        <w:t>0万元</w:t>
      </w:r>
      <w:r>
        <w:rPr>
          <w:rFonts w:ascii="仿宋" w:eastAsia="仿宋" w:hint="eastAsia"/>
          <w:color w:val="000000"/>
          <w:sz w:val="32"/>
          <w:szCs w:val="32"/>
        </w:rPr>
        <w:t>、</w:t>
      </w:r>
      <w:r>
        <w:rPr>
          <w:rFonts w:ascii="仿宋" w:eastAsia="仿宋" w:hint="eastAsia"/>
          <w:color w:val="000000"/>
          <w:sz w:val="32"/>
          <w:szCs w:val="32"/>
          <w:lang w:eastAsia="zh-CN"/>
        </w:rPr>
        <w:t>抚恤金</w:t>
      </w:r>
      <w:r>
        <w:rPr>
          <w:rFonts w:ascii="仿宋" w:eastAsia="仿宋" w:hint="eastAsia"/>
          <w:color w:val="000000"/>
          <w:sz w:val="32"/>
          <w:szCs w:val="32"/>
          <w:lang w:val="en-US" w:eastAsia="zh-CN"/>
        </w:rPr>
        <w:t>0万元、</w:t>
      </w:r>
      <w:r>
        <w:rPr>
          <w:rFonts w:ascii="仿宋" w:eastAsia="仿宋" w:hint="eastAsia"/>
          <w:color w:val="000000"/>
          <w:sz w:val="32"/>
          <w:szCs w:val="32"/>
        </w:rPr>
        <w:t>住房公积金</w:t>
      </w:r>
      <w:r>
        <w:rPr>
          <w:rFonts w:ascii="仿宋" w:eastAsia="仿宋" w:hint="eastAsia"/>
          <w:color w:val="000000"/>
          <w:sz w:val="32"/>
          <w:szCs w:val="32"/>
          <w:lang w:val="en-US" w:eastAsia="zh-CN"/>
        </w:rPr>
        <w:t>33.52万元</w:t>
      </w:r>
      <w:r>
        <w:rPr>
          <w:rFonts w:ascii="仿宋" w:eastAsia="仿宋" w:hint="eastAsia"/>
          <w:color w:val="000000"/>
          <w:sz w:val="32"/>
          <w:szCs w:val="32"/>
        </w:rPr>
        <w:t>、其他对个人和家庭的补助支出</w:t>
      </w:r>
      <w:r>
        <w:rPr>
          <w:rFonts w:ascii="仿宋" w:eastAsia="仿宋" w:hint="eastAsia"/>
          <w:color w:val="000000"/>
          <w:sz w:val="32"/>
          <w:szCs w:val="32"/>
          <w:lang w:val="en-US" w:eastAsia="zh-CN"/>
        </w:rPr>
        <w:t>0万元</w:t>
      </w:r>
      <w:r>
        <w:rPr>
          <w:rFonts w:ascii="仿宋" w:eastAsia="仿宋" w:hint="eastAsia"/>
          <w:color w:val="000000"/>
          <w:sz w:val="32"/>
          <w:szCs w:val="32"/>
        </w:rPr>
        <w:t>等。</w:t>
      </w:r>
      <w:r>
        <w:rPr>
          <w:rFonts w:ascii="仿宋" w:eastAsia="仿宋" w:hint="eastAsia"/>
          <w:color w:val="000000"/>
          <w:sz w:val="32"/>
          <w:szCs w:val="32"/>
          <w:lang w:val="en-US" w:eastAsia="zh-CN"/>
        </w:rPr>
        <w:t xml:space="preserve"> </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公用经费</w:t>
      </w:r>
      <w:r>
        <w:rPr>
          <w:rFonts w:ascii="仿宋" w:eastAsia="仿宋" w:hint="eastAsia"/>
          <w:color w:val="000000"/>
          <w:sz w:val="32"/>
          <w:szCs w:val="32"/>
          <w:lang w:val="en-US" w:eastAsia="zh-CN"/>
        </w:rPr>
        <w:t>24.87</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7.38万元</w:t>
      </w:r>
      <w:r>
        <w:rPr>
          <w:rFonts w:ascii="仿宋" w:eastAsia="仿宋" w:hint="eastAsia"/>
          <w:color w:val="000000"/>
          <w:sz w:val="32"/>
          <w:szCs w:val="32"/>
        </w:rPr>
        <w:t>、</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0万元、</w:t>
      </w:r>
      <w:r>
        <w:rPr>
          <w:rFonts w:ascii="仿宋" w:eastAsia="仿宋" w:hint="eastAsia"/>
          <w:color w:val="000000"/>
          <w:sz w:val="32"/>
          <w:szCs w:val="32"/>
        </w:rPr>
        <w:t>水费</w:t>
      </w:r>
      <w:r>
        <w:rPr>
          <w:rFonts w:ascii="仿宋" w:eastAsia="仿宋" w:hint="eastAsia"/>
          <w:color w:val="000000"/>
          <w:sz w:val="32"/>
          <w:szCs w:val="32"/>
          <w:lang w:val="en-US" w:eastAsia="zh-CN"/>
        </w:rPr>
        <w:t>1.50万元</w:t>
      </w:r>
      <w:r>
        <w:rPr>
          <w:rFonts w:ascii="仿宋" w:eastAsia="仿宋" w:hint="eastAsia"/>
          <w:color w:val="000000"/>
          <w:sz w:val="32"/>
          <w:szCs w:val="32"/>
        </w:rPr>
        <w:t>、电费</w:t>
      </w:r>
      <w:r>
        <w:rPr>
          <w:rFonts w:ascii="仿宋" w:eastAsia="仿宋" w:hint="eastAsia"/>
          <w:color w:val="000000"/>
          <w:sz w:val="32"/>
          <w:szCs w:val="32"/>
          <w:lang w:val="en-US" w:eastAsia="zh-CN"/>
        </w:rPr>
        <w:t>1.59万元</w:t>
      </w:r>
      <w:r>
        <w:rPr>
          <w:rFonts w:ascii="仿宋" w:eastAsia="仿宋" w:hint="eastAsia"/>
          <w:color w:val="000000"/>
          <w:sz w:val="32"/>
          <w:szCs w:val="32"/>
        </w:rPr>
        <w:t>、</w:t>
      </w:r>
      <w:r>
        <w:rPr>
          <w:rFonts w:ascii="仿宋" w:eastAsia="仿宋" w:hint="eastAsia"/>
          <w:color w:val="000000"/>
          <w:sz w:val="32"/>
          <w:szCs w:val="32"/>
          <w:lang w:eastAsia="zh-CN"/>
        </w:rPr>
        <w:t>取暖费</w:t>
      </w:r>
      <w:r>
        <w:rPr>
          <w:rFonts w:ascii="仿宋" w:eastAsia="仿宋" w:hint="eastAsia"/>
          <w:color w:val="000000"/>
          <w:sz w:val="32"/>
          <w:szCs w:val="32"/>
          <w:lang w:val="en-US" w:eastAsia="zh-CN"/>
        </w:rPr>
        <w:t>0.00万元、</w:t>
      </w:r>
      <w:r>
        <w:rPr>
          <w:rFonts w:ascii="仿宋" w:eastAsia="仿宋" w:hint="eastAsia"/>
          <w:color w:val="000000"/>
          <w:sz w:val="32"/>
          <w:szCs w:val="32"/>
        </w:rPr>
        <w:t>邮电费</w:t>
      </w:r>
      <w:r>
        <w:rPr>
          <w:rFonts w:ascii="仿宋" w:eastAsia="仿宋" w:hint="eastAsia"/>
          <w:color w:val="000000"/>
          <w:sz w:val="32"/>
          <w:szCs w:val="32"/>
          <w:lang w:val="en-US" w:eastAsia="zh-CN"/>
        </w:rPr>
        <w:t>3.30万元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5.70万元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3.00万元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0.33万元</w:t>
      </w:r>
      <w:r>
        <w:rPr>
          <w:rFonts w:ascii="仿宋" w:eastAsia="仿宋" w:hint="eastAsia"/>
          <w:color w:val="000000"/>
          <w:sz w:val="32"/>
          <w:szCs w:val="32"/>
        </w:rPr>
        <w:t>、福利费</w:t>
      </w:r>
      <w:r>
        <w:rPr>
          <w:rFonts w:ascii="仿宋" w:eastAsia="仿宋" w:hint="eastAsia"/>
          <w:color w:val="000000"/>
          <w:sz w:val="32"/>
          <w:szCs w:val="32"/>
          <w:lang w:val="en-US" w:eastAsia="zh-CN"/>
        </w:rPr>
        <w:t>0万元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0万元、其他交通费用1.00万元、劳务费1.07万元、其他商品和服务支出0万元、办公设备购置0万元、无形资产购置0万元</w:t>
      </w:r>
      <w:r>
        <w:rPr>
          <w:rFonts w:ascii="仿宋" w:eastAsia="仿宋" w:hint="eastAsia"/>
          <w:color w:val="000000"/>
          <w:sz w:val="32"/>
          <w:szCs w:val="32"/>
        </w:rPr>
        <w:t>等。</w:t>
      </w:r>
    </w:p>
    <w:p>
      <w:pPr>
        <w:pStyle w:val="19"/>
        <w:keepNext w:val="0"/>
        <w:keepLines w:val="0"/>
        <w:pageBreakBefore w:val="0"/>
        <w:widowControl w:val="0"/>
        <w:tabs>
          <w:tab w:val="center" w:pos="4153"/>
          <w:tab w:val="right" w:pos="8306"/>
        </w:tabs>
        <w:kinsoku/>
        <w:wordWrap/>
        <w:overflowPunct/>
        <w:topLinePunct w:val="0"/>
        <w:autoSpaceDE/>
        <w:autoSpaceDN/>
        <w:bidi w:val="0"/>
        <w:adjustRightInd/>
        <w:snapToGrid w:val="0"/>
        <w:spacing w:line="440" w:lineRule="exact"/>
        <w:ind w:firstLineChars="200" w:firstLine="640"/>
        <w:textAlignment w:val="auto"/>
        <w:rPr>
          <w:rFonts w:ascii="仿宋" w:eastAsia="仿宋"/>
          <w:color w:val="000000"/>
          <w:sz w:val="32"/>
          <w:szCs w:val="32"/>
          <w:lang w:val="en-US" w:eastAsia="zh-CN"/>
        </w:rPr>
      </w:pPr>
      <w:r>
        <w:rPr>
          <w:rFonts w:ascii="仿宋" w:eastAsia="仿宋" w:hint="eastAsia"/>
          <w:color w:val="000000"/>
          <w:sz w:val="32"/>
          <w:szCs w:val="32"/>
          <w:lang w:eastAsia="zh-CN"/>
        </w:rPr>
        <w:t>项目支出：</w:t>
      </w:r>
      <w:r>
        <w:rPr>
          <w:rFonts w:ascii="仿宋" w:eastAsia="仿宋" w:hint="eastAsia"/>
          <w:color w:val="000000"/>
          <w:sz w:val="32"/>
          <w:szCs w:val="32"/>
          <w:lang w:val="en-US" w:eastAsia="zh-CN"/>
        </w:rPr>
        <w:t>71.32万元</w:t>
      </w:r>
    </w:p>
    <w:p>
      <w:pPr>
        <w:pStyle w:val="19"/>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 w:eastAsia="仿宋" w:hint="eastAsia"/>
          <w:color w:val="000000"/>
          <w:sz w:val="32"/>
          <w:szCs w:val="32"/>
          <w:lang w:val="en-US"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val="en-US" w:eastAsia="zh-CN"/>
        </w:rPr>
        <w:t>。</w:t>
      </w:r>
    </w:p>
    <w:p>
      <w:pPr>
        <w:pStyle w:val="19"/>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_GB2312" w:eastAsia="仿宋_GB2312" w:cs="仿宋_GB2312"/>
          <w:color w:val="000000"/>
          <w:sz w:val="31"/>
          <w:szCs w:val="31"/>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71.32</w:t>
      </w:r>
      <w:r>
        <w:rPr>
          <w:rFonts w:ascii="仿宋" w:eastAsia="仿宋" w:hint="eastAsia"/>
          <w:color w:val="000000"/>
          <w:sz w:val="32"/>
          <w:szCs w:val="32"/>
        </w:rPr>
        <w:t>万元，主要包括</w:t>
      </w:r>
      <w:r>
        <w:rPr>
          <w:rFonts w:ascii="仿宋" w:eastAsia="仿宋" w:hint="eastAsia"/>
          <w:color w:val="000000"/>
          <w:sz w:val="32"/>
          <w:szCs w:val="32"/>
          <w:lang w:eastAsia="zh-CN"/>
        </w:rPr>
        <w:t>：</w:t>
      </w:r>
      <w:r>
        <w:rPr>
          <w:rFonts w:ascii="仿宋" w:eastAsia="仿宋" w:hint="eastAsia"/>
          <w:color w:val="000000"/>
          <w:sz w:val="32"/>
          <w:szCs w:val="32"/>
        </w:rPr>
        <w:t>办公费</w:t>
      </w:r>
      <w:r>
        <w:rPr>
          <w:rFonts w:ascii="仿宋" w:eastAsia="仿宋" w:hint="eastAsia"/>
          <w:color w:val="000000"/>
          <w:sz w:val="32"/>
          <w:szCs w:val="32"/>
          <w:lang w:val="en-US" w:eastAsia="zh-CN"/>
        </w:rPr>
        <w:t>:23.89万元</w:t>
      </w:r>
      <w:r>
        <w:rPr>
          <w:rFonts w:ascii="仿宋" w:eastAsia="仿宋" w:hint="eastAsia"/>
          <w:color w:val="000000"/>
          <w:sz w:val="32"/>
          <w:szCs w:val="32"/>
        </w:rPr>
        <w:t>、</w:t>
      </w:r>
      <w:r>
        <w:rPr>
          <w:rFonts w:ascii="仿宋" w:eastAsia="仿宋" w:hint="eastAsia"/>
          <w:color w:val="000000"/>
          <w:sz w:val="32"/>
          <w:szCs w:val="32"/>
          <w:lang w:val="en-US" w:eastAsia="zh-CN"/>
        </w:rPr>
        <w:t>电</w:t>
      </w:r>
      <w:r>
        <w:rPr>
          <w:rFonts w:ascii="仿宋" w:eastAsia="仿宋" w:hint="eastAsia"/>
          <w:color w:val="000000"/>
          <w:sz w:val="32"/>
          <w:szCs w:val="32"/>
        </w:rPr>
        <w:t>费</w:t>
      </w:r>
      <w:r>
        <w:rPr>
          <w:rFonts w:ascii="仿宋" w:eastAsia="仿宋" w:hint="eastAsia"/>
          <w:color w:val="000000"/>
          <w:sz w:val="32"/>
          <w:szCs w:val="32"/>
          <w:lang w:val="en-US" w:eastAsia="zh-CN"/>
        </w:rPr>
        <w:t>3.00万元</w:t>
      </w:r>
      <w:r>
        <w:rPr>
          <w:rFonts w:ascii="仿宋" w:eastAsia="仿宋" w:hint="eastAsia"/>
          <w:color w:val="000000"/>
          <w:sz w:val="32"/>
          <w:szCs w:val="32"/>
        </w:rPr>
        <w:t>、</w:t>
      </w:r>
      <w:r>
        <w:rPr>
          <w:rFonts w:ascii="仿宋" w:eastAsia="仿宋" w:hint="eastAsia"/>
          <w:color w:val="000000"/>
          <w:sz w:val="32"/>
          <w:szCs w:val="32"/>
          <w:lang w:val="en-US" w:eastAsia="zh-CN"/>
        </w:rPr>
        <w:t>邮电费6.60万元、</w:t>
      </w:r>
      <w:r>
        <w:rPr>
          <w:rFonts w:ascii="仿宋" w:eastAsia="仿宋" w:hint="eastAsia"/>
          <w:color w:val="000000"/>
          <w:sz w:val="32"/>
          <w:szCs w:val="32"/>
        </w:rPr>
        <w:t>差旅费</w:t>
      </w:r>
      <w:r>
        <w:rPr>
          <w:rFonts w:ascii="仿宋" w:eastAsia="仿宋" w:hint="eastAsia"/>
          <w:color w:val="000000"/>
          <w:sz w:val="32"/>
          <w:szCs w:val="32"/>
          <w:lang w:val="en-US" w:eastAsia="zh-CN"/>
        </w:rPr>
        <w:t>8.50万元</w:t>
      </w:r>
      <w:r>
        <w:rPr>
          <w:rFonts w:ascii="仿宋" w:eastAsia="仿宋" w:hint="eastAsia"/>
          <w:color w:val="000000"/>
          <w:sz w:val="32"/>
          <w:szCs w:val="32"/>
        </w:rPr>
        <w:t>、维修（护）费</w:t>
      </w:r>
      <w:r>
        <w:rPr>
          <w:rFonts w:ascii="仿宋" w:eastAsia="仿宋" w:hint="eastAsia"/>
          <w:color w:val="000000"/>
          <w:sz w:val="32"/>
          <w:szCs w:val="32"/>
          <w:lang w:val="en-US" w:eastAsia="zh-CN"/>
        </w:rPr>
        <w:t>13.37万元、其他交通费用2.00万元、劳务费13.96万元。</w:t>
      </w:r>
    </w:p>
    <w:p>
      <w:pPr>
        <w:pStyle w:val="23"/>
        <w:keepNext w:val="0"/>
        <w:keepLines w:val="0"/>
        <w:widowControl/>
        <w:numPr>
          <w:ilvl w:val="0"/>
          <w:numId w:val="1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rPr>
      </w:pPr>
      <w:r>
        <w:rPr>
          <w:rFonts w:ascii="黑体" w:eastAsia="黑体" w:cs="黑体" w:hint="eastAsia"/>
          <w:color w:val="000000"/>
          <w:sz w:val="31"/>
          <w:szCs w:val="31"/>
        </w:rPr>
        <w:t>部门整体预算绩效管理情况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（一）部门预算管理。</w:t>
      </w:r>
    </w:p>
    <w:p>
      <w:pPr>
        <w:pStyle w:val="33"/>
        <w:keepNext w:val="0"/>
        <w:keepLines w:val="0"/>
        <w:widowControl/>
        <w:suppressLineNumbers w:val="0"/>
        <w:spacing w:before="0" w:beforeAutospacing="0"/>
        <w:ind w:left="0" w:firstLineChars="200" w:firstLine="640"/>
        <w:jc w:val="left"/>
        <w:rPr>
          <w:rFonts w:ascii="仿宋_GB2312" w:eastAsia="仿宋_GB2312" w:cs="仿宋_GB2312" w:hint="eastAsia"/>
          <w:color w:val="333333"/>
          <w:kern w:val="0"/>
          <w:sz w:val="32"/>
          <w:szCs w:val="32"/>
          <w:lang w:eastAsia="zh-CN"/>
        </w:rPr>
      </w:pPr>
      <w:r>
        <w:rPr>
          <w:rFonts w:ascii="仿宋_GB2312" w:eastAsia="仿宋_GB2312" w:cs="仿宋_GB2312" w:hint="eastAsia"/>
          <w:sz w:val="32"/>
          <w:szCs w:val="32"/>
        </w:rPr>
        <w:t>根据预算绩效管理要求，</w:t>
      </w:r>
      <w:r>
        <w:rPr>
          <w:rFonts w:ascii="仿宋_GB2312" w:eastAsia="仿宋_GB2312" w:cs="仿宋_GB2312" w:hint="eastAsia"/>
          <w:sz w:val="32"/>
          <w:szCs w:val="32"/>
          <w:lang w:eastAsia="zh-CN"/>
        </w:rPr>
        <w:t>我局</w:t>
      </w:r>
      <w:r>
        <w:rPr>
          <w:rFonts w:ascii="仿宋_GB2312" w:eastAsia="仿宋_GB2312" w:cs="仿宋_GB2312" w:hint="eastAsia"/>
          <w:color w:val="000000"/>
          <w:kern w:val="0"/>
          <w:sz w:val="31"/>
          <w:szCs w:val="31"/>
          <w:lang w:val="en-US" w:eastAsia="zh-CN"/>
        </w:rPr>
        <w:t>制定了部门绩效目标并对</w:t>
      </w:r>
      <w:r>
        <w:rPr>
          <w:rFonts w:ascii="仿宋_GB2312" w:eastAsia="仿宋_GB2312" w:cs="仿宋_GB2312" w:hint="eastAsia"/>
          <w:color w:val="333333"/>
          <w:kern w:val="0"/>
          <w:sz w:val="32"/>
          <w:szCs w:val="32"/>
        </w:rPr>
        <w:t xml:space="preserve">本部门实施了整体支出绩效评价 </w:t>
      </w:r>
      <w:r>
        <w:rPr>
          <w:rFonts w:ascii="仿宋_GB2312" w:eastAsia="仿宋_GB2312" w:cs="仿宋_GB2312" w:hint="eastAsia"/>
          <w:color w:val="333333"/>
          <w:kern w:val="0"/>
          <w:sz w:val="32"/>
          <w:szCs w:val="32"/>
          <w:lang w:eastAsia="zh-CN"/>
        </w:rPr>
        <w:t>：</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县本级行政审批工作、承办县直部门划入的行政审批事项；</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负责协调、指导入驻县行政审批局的政务服务平台的相关部门的行政审批工作；</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指导乡（镇）行政审批工作；</w:t>
      </w:r>
      <w:r>
        <w:rPr>
          <w:rFonts w:ascii="仿宋_GB2312" w:eastAsia="仿宋_GB2312" w:cs="仿宋_GB2312" w:hint="eastAsia"/>
          <w:color w:val="333333"/>
          <w:kern w:val="0"/>
          <w:sz w:val="32"/>
          <w:szCs w:val="32"/>
          <w:lang w:val="en-US" w:eastAsia="zh-CN"/>
        </w:rPr>
        <w:t>完成了</w:t>
      </w:r>
      <w:r>
        <w:rPr>
          <w:rFonts w:ascii="仿宋_GB2312" w:eastAsia="仿宋_GB2312" w:cs="仿宋_GB2312" w:hint="eastAsia"/>
          <w:color w:val="333333"/>
          <w:kern w:val="0"/>
          <w:sz w:val="32"/>
          <w:szCs w:val="32"/>
          <w:lang w:eastAsia="zh-CN"/>
        </w:rPr>
        <w:t>全县公共资源交易管理工作、指导全县公共资源交易服务体系建设。</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Fonts w:ascii="仿宋_GB2312" w:eastAsia="仿宋_GB2312" w:cs="仿宋_GB2312" w:hint="eastAsia"/>
          <w:b w:val="0"/>
          <w:bCs/>
          <w:kern w:val="0"/>
          <w:sz w:val="32"/>
          <w:szCs w:val="32"/>
          <w:shd w:val="clear" w:color="auto" w:fill="FFFFFF"/>
        </w:rPr>
      </w:pPr>
      <w:r>
        <w:rPr>
          <w:rStyle w:val="34"/>
          <w:rFonts w:ascii="仿宋_GB2312" w:eastAsia="仿宋_GB2312" w:cs="仿宋_GB2312" w:hint="eastAsia"/>
          <w:b w:val="0"/>
          <w:bCs/>
          <w:sz w:val="32"/>
          <w:szCs w:val="32"/>
          <w:shd w:val="clear" w:color="auto" w:fill="FFFFFF"/>
        </w:rPr>
        <w:t>（1）、科目调整次数</w:t>
      </w:r>
      <w:r>
        <w:rPr>
          <w:rStyle w:val="34"/>
          <w:rFonts w:ascii="仿宋_GB2312" w:eastAsia="仿宋_GB2312" w:cs="仿宋_GB2312" w:hint="eastAsia"/>
          <w:b w:val="0"/>
          <w:bCs/>
          <w:sz w:val="32"/>
          <w:szCs w:val="32"/>
          <w:shd w:val="clear" w:color="auto" w:fill="FFFFFF"/>
          <w:lang w:val="en-US" w:eastAsia="zh-CN"/>
        </w:rPr>
        <w:t>≤5次</w:t>
      </w:r>
      <w:r>
        <w:rPr>
          <w:rStyle w:val="34"/>
          <w:rFonts w:ascii="仿宋_GB2312" w:eastAsia="仿宋_GB2312" w:cs="仿宋_GB2312" w:hint="eastAsia"/>
          <w:b w:val="0"/>
          <w:bCs/>
          <w:sz w:val="32"/>
          <w:szCs w:val="32"/>
          <w:shd w:val="clear" w:color="auto" w:fill="FFFFFF"/>
        </w:rPr>
        <w:t>。</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Fonts w:ascii="仿宋_GB2312" w:eastAsia="仿宋_GB2312" w:cs="仿宋_GB2312" w:hint="eastAsia"/>
          <w:b w:val="0"/>
          <w:bCs/>
          <w:kern w:val="0"/>
          <w:sz w:val="32"/>
          <w:szCs w:val="32"/>
          <w:shd w:val="clear" w:color="auto" w:fill="FFFFFF"/>
        </w:rPr>
      </w:pPr>
      <w:r>
        <w:rPr>
          <w:rStyle w:val="34"/>
          <w:rFonts w:ascii="仿宋_GB2312" w:eastAsia="仿宋_GB2312" w:cs="仿宋_GB2312" w:hint="eastAsia"/>
          <w:b w:val="0"/>
          <w:bCs/>
          <w:sz w:val="32"/>
          <w:szCs w:val="32"/>
          <w:shd w:val="clear" w:color="auto" w:fill="FFFFFF"/>
        </w:rPr>
        <w:t>（2）、人员经费足额保障率</w:t>
      </w:r>
      <w:r>
        <w:rPr>
          <w:rStyle w:val="34"/>
          <w:rFonts w:ascii="仿宋_GB2312" w:eastAsia="仿宋_GB2312" w:cs="仿宋_GB2312" w:hint="eastAsia"/>
          <w:b w:val="0"/>
          <w:bCs/>
          <w:sz w:val="32"/>
          <w:szCs w:val="32"/>
          <w:shd w:val="clear" w:color="auto" w:fill="FFFFFF"/>
          <w:lang w:val="en-US" w:eastAsia="zh-CN"/>
        </w:rPr>
        <w:t>=100%</w:t>
      </w:r>
      <w:r>
        <w:rPr>
          <w:rStyle w:val="34"/>
          <w:rFonts w:ascii="仿宋_GB2312" w:eastAsia="仿宋_GB2312" w:cs="仿宋_GB2312" w:hint="eastAsia"/>
          <w:b w:val="0"/>
          <w:bCs/>
          <w:sz w:val="32"/>
          <w:szCs w:val="32"/>
          <w:shd w:val="clear" w:color="auto" w:fill="FFFFFF"/>
        </w:rPr>
        <w:t>。</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rPr>
      </w:pPr>
      <w:r>
        <w:rPr>
          <w:rStyle w:val="34"/>
          <w:rFonts w:ascii="仿宋_GB2312" w:eastAsia="仿宋_GB2312" w:cs="仿宋_GB2312" w:hint="eastAsia"/>
          <w:b w:val="0"/>
          <w:bCs/>
          <w:sz w:val="32"/>
          <w:szCs w:val="32"/>
          <w:shd w:val="clear" w:color="auto" w:fill="FFFFFF"/>
        </w:rPr>
        <w:t>（3）、预算编制准确率</w:t>
      </w:r>
      <w:r>
        <w:rPr>
          <w:rStyle w:val="34"/>
          <w:rFonts w:ascii="仿宋_GB2312" w:eastAsia="仿宋_GB2312" w:cs="仿宋_GB2312" w:hint="eastAsia"/>
          <w:b w:val="0"/>
          <w:bCs/>
          <w:sz w:val="32"/>
          <w:szCs w:val="32"/>
          <w:shd w:val="clear" w:color="auto" w:fill="FFFFFF"/>
          <w:lang w:val="en-US" w:eastAsia="zh-CN"/>
        </w:rPr>
        <w:t>≤5%</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34"/>
          <w:rFonts w:ascii="仿宋_GB2312" w:eastAsia="仿宋_GB2312" w:cs="仿宋_GB2312" w:hint="eastAsia"/>
          <w:b w:val="0"/>
          <w:bCs/>
          <w:sz w:val="32"/>
          <w:szCs w:val="32"/>
          <w:shd w:val="clear" w:color="auto" w:fill="FFFFFF"/>
        </w:rPr>
        <w:t>（4）、按时发放率</w:t>
      </w:r>
      <w:r>
        <w:rPr>
          <w:rStyle w:val="34"/>
          <w:rFonts w:ascii="仿宋_GB2312" w:eastAsia="仿宋_GB2312" w:cs="仿宋_GB2312" w:hint="eastAsia"/>
          <w:b w:val="0"/>
          <w:bCs/>
          <w:sz w:val="32"/>
          <w:szCs w:val="32"/>
          <w:shd w:val="clear" w:color="auto" w:fill="FFFFFF"/>
          <w:lang w:val="en-US" w:eastAsia="zh-CN"/>
        </w:rPr>
        <w:t>=100%</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42"/>
          <w:rFonts w:ascii="仿宋_GB2312" w:eastAsia="仿宋_GB2312" w:cs="仿宋_GB2312" w:hint="eastAsia"/>
          <w:b w:val="0"/>
          <w:bCs/>
          <w:kern w:val="2"/>
          <w:sz w:val="32"/>
          <w:szCs w:val="32"/>
          <w:shd w:val="clear" w:color="auto" w:fill="FFFFFF"/>
        </w:rPr>
        <w:t>（5）、三公经费控制率</w:t>
      </w:r>
      <w:r>
        <w:rPr>
          <w:rStyle w:val="34"/>
          <w:rFonts w:ascii="仿宋_GB2312" w:eastAsia="仿宋_GB2312" w:cs="仿宋_GB2312" w:hint="eastAsia"/>
          <w:b w:val="0"/>
          <w:bCs/>
          <w:sz w:val="32"/>
          <w:szCs w:val="32"/>
          <w:shd w:val="clear" w:color="auto" w:fill="FFFFFF"/>
          <w:lang w:val="en-US" w:eastAsia="zh-CN"/>
        </w:rPr>
        <w:t>=100%</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42"/>
          <w:rFonts w:ascii="仿宋_GB2312" w:eastAsia="仿宋_GB2312" w:cs="仿宋_GB2312" w:hint="eastAsia"/>
          <w:b w:val="0"/>
          <w:bCs/>
          <w:kern w:val="2"/>
          <w:sz w:val="32"/>
          <w:szCs w:val="32"/>
          <w:shd w:val="clear" w:color="auto" w:fill="FFFFFF"/>
        </w:rPr>
        <w:t>（6）、预算结余率</w:t>
      </w:r>
      <w:r>
        <w:rPr>
          <w:rStyle w:val="34"/>
          <w:rFonts w:ascii="仿宋_GB2312" w:eastAsia="仿宋_GB2312" w:cs="仿宋_GB2312" w:hint="eastAsia"/>
          <w:b w:val="0"/>
          <w:bCs/>
          <w:sz w:val="32"/>
          <w:szCs w:val="32"/>
          <w:shd w:val="clear" w:color="auto" w:fill="FFFFFF"/>
          <w:lang w:val="en-US" w:eastAsia="zh-CN"/>
        </w:rPr>
        <w:t>≤5%</w:t>
      </w:r>
    </w:p>
    <w:p>
      <w:pPr>
        <w:pStyle w:val="33"/>
        <w:keepNext w:val="0"/>
        <w:keepLines w:val="0"/>
        <w:pageBreakBefore w:val="0"/>
        <w:widowControl/>
        <w:suppressLineNumbers w:val="0"/>
        <w:kinsoku/>
        <w:wordWrap/>
        <w:overflowPunct/>
        <w:topLinePunct w:val="0"/>
        <w:autoSpaceDE/>
        <w:autoSpaceDN/>
        <w:bidi w:val="0"/>
        <w:adjustRightInd/>
        <w:snapToGrid/>
        <w:spacing w:before="0" w:beforeAutospacing="0" w:after="100" w:afterAutospacing="1" w:line="440" w:lineRule="exact"/>
        <w:ind w:left="0" w:right="0" w:firstLineChars="200" w:firstLine="640"/>
        <w:jc w:val="left"/>
        <w:textAlignment w:val="auto"/>
        <w:outlineLvl w:val="9"/>
        <w:rPr>
          <w:rStyle w:val="34"/>
          <w:rFonts w:ascii="仿宋_GB2312" w:eastAsia="仿宋_GB2312" w:cs="仿宋_GB2312" w:hint="eastAsia"/>
          <w:b w:val="0"/>
          <w:bCs/>
          <w:sz w:val="32"/>
          <w:szCs w:val="32"/>
          <w:shd w:val="clear" w:color="auto" w:fill="FFFFFF"/>
          <w:lang w:val="en-US" w:eastAsia="zh-CN"/>
        </w:rPr>
      </w:pPr>
      <w:r>
        <w:rPr>
          <w:rStyle w:val="34"/>
          <w:rFonts w:ascii="仿宋_GB2312" w:eastAsia="仿宋_GB2312" w:cs="仿宋_GB2312" w:hint="eastAsia"/>
          <w:b w:val="0"/>
          <w:bCs/>
          <w:sz w:val="32"/>
          <w:szCs w:val="32"/>
          <w:shd w:val="clear" w:color="auto" w:fill="FFFFFF"/>
          <w:lang w:val="en-US" w:eastAsia="zh-CN"/>
        </w:rPr>
        <w:t>（7）、运转保障率=100%</w:t>
      </w:r>
    </w:p>
    <w:p>
      <w:pPr>
        <w:widowControl/>
        <w:shd w:val="clear" w:color="auto" w:fill="FFFFFF"/>
        <w:spacing w:after="150" w:line="520" w:lineRule="exact"/>
        <w:ind w:firstLineChars="193" w:firstLine="618"/>
        <w:rPr>
          <w:rFonts w:ascii="仿宋_GB2312" w:eastAsia="仿宋_GB2312" w:cs="仿宋_GB2312" w:hint="eastAsia"/>
          <w:color w:val="333333"/>
          <w:kern w:val="0"/>
          <w:sz w:val="32"/>
          <w:szCs w:val="32"/>
        </w:rPr>
      </w:pPr>
      <w:r>
        <w:rPr>
          <w:rFonts w:ascii="仿宋_GB2312" w:eastAsia="仿宋_GB2312" w:cs="仿宋_GB2312" w:hint="eastAsia"/>
          <w:color w:val="333333"/>
          <w:kern w:val="0"/>
          <w:sz w:val="32"/>
          <w:szCs w:val="32"/>
        </w:rPr>
        <w:t>按时编制、提交并上报了202</w:t>
      </w:r>
      <w:r>
        <w:rPr>
          <w:rFonts w:ascii="仿宋_GB2312" w:eastAsia="仿宋_GB2312" w:cs="仿宋_GB2312" w:hint="eastAsia"/>
          <w:color w:val="333333"/>
          <w:kern w:val="0"/>
          <w:sz w:val="32"/>
          <w:szCs w:val="32"/>
          <w:lang w:val="en-US" w:eastAsia="zh-CN"/>
        </w:rPr>
        <w:t>2</w:t>
      </w:r>
      <w:r>
        <w:rPr>
          <w:rFonts w:ascii="仿宋_GB2312" w:eastAsia="仿宋_GB2312" w:cs="仿宋_GB2312" w:hint="eastAsia"/>
          <w:color w:val="333333"/>
          <w:kern w:val="0"/>
          <w:sz w:val="32"/>
          <w:szCs w:val="32"/>
        </w:rPr>
        <w:t>年</w:t>
      </w:r>
      <w:r>
        <w:rPr>
          <w:rFonts w:ascii="仿宋_GB2312" w:eastAsia="仿宋_GB2312" w:cs="仿宋_GB2312" w:hint="eastAsia"/>
          <w:color w:val="000000"/>
          <w:kern w:val="0"/>
          <w:sz w:val="32"/>
          <w:szCs w:val="32"/>
        </w:rPr>
        <w:t>金川县行政审批局</w:t>
      </w:r>
      <w:r>
        <w:rPr>
          <w:rFonts w:ascii="仿宋_GB2312" w:eastAsia="仿宋_GB2312" w:cs="仿宋_GB2312" w:hint="eastAsia"/>
          <w:color w:val="333333"/>
          <w:kern w:val="0"/>
          <w:sz w:val="32"/>
          <w:szCs w:val="32"/>
        </w:rPr>
        <w:t>部门预算 “二上二下”预算支出明细表。</w:t>
      </w:r>
    </w:p>
    <w:p>
      <w:pPr>
        <w:widowControl/>
        <w:shd w:val="clear" w:color="auto" w:fill="FFFFFF"/>
        <w:spacing w:after="150" w:line="520" w:lineRule="exact"/>
        <w:ind w:firstLineChars="193" w:firstLine="618"/>
        <w:rPr>
          <w:rFonts w:ascii="仿宋_GB2312" w:eastAsia="仿宋_GB2312" w:cs="仿宋_GB2312" w:hint="eastAsia"/>
          <w:color w:val="333333"/>
          <w:kern w:val="0"/>
          <w:sz w:val="32"/>
          <w:szCs w:val="32"/>
        </w:rPr>
      </w:pPr>
      <w:r>
        <w:rPr>
          <w:rFonts w:ascii="仿宋_GB2312" w:eastAsia="仿宋_GB2312" w:cs="仿宋_GB2312" w:hint="eastAsia"/>
          <w:color w:val="333333"/>
          <w:kern w:val="0"/>
          <w:sz w:val="32"/>
          <w:szCs w:val="32"/>
        </w:rPr>
        <w:t xml:space="preserve"> 202</w:t>
      </w:r>
      <w:r>
        <w:rPr>
          <w:rFonts w:ascii="仿宋_GB2312" w:eastAsia="仿宋_GB2312" w:cs="仿宋_GB2312" w:hint="eastAsia"/>
          <w:color w:val="333333"/>
          <w:kern w:val="0"/>
          <w:sz w:val="32"/>
          <w:szCs w:val="32"/>
          <w:lang w:val="en-US" w:eastAsia="zh-CN"/>
        </w:rPr>
        <w:t>2</w:t>
      </w:r>
      <w:r>
        <w:rPr>
          <w:rFonts w:ascii="仿宋_GB2312" w:eastAsia="仿宋_GB2312" w:cs="仿宋_GB2312" w:hint="eastAsia"/>
          <w:color w:val="333333"/>
          <w:kern w:val="0"/>
          <w:sz w:val="32"/>
          <w:szCs w:val="32"/>
        </w:rPr>
        <w:t>年我单位</w:t>
      </w:r>
      <w:r>
        <w:rPr>
          <w:rFonts w:ascii="仿宋_GB2312" w:eastAsia="仿宋_GB2312" w:cs="仿宋_GB2312" w:hint="eastAsia"/>
          <w:color w:val="333333"/>
          <w:kern w:val="0"/>
          <w:sz w:val="32"/>
          <w:szCs w:val="32"/>
          <w:lang w:eastAsia="zh-CN"/>
        </w:rPr>
        <w:t>年初</w:t>
      </w:r>
      <w:r>
        <w:rPr>
          <w:rFonts w:ascii="仿宋_GB2312" w:eastAsia="仿宋_GB2312" w:cs="仿宋_GB2312" w:hint="eastAsia"/>
          <w:color w:val="333333"/>
          <w:kern w:val="0"/>
          <w:sz w:val="32"/>
          <w:szCs w:val="32"/>
        </w:rPr>
        <w:t>在职人员为</w:t>
      </w:r>
      <w:r>
        <w:rPr>
          <w:rFonts w:ascii="仿宋_GB2312" w:eastAsia="仿宋_GB2312" w:cs="仿宋_GB2312" w:hint="eastAsia"/>
          <w:color w:val="333333"/>
          <w:kern w:val="0"/>
          <w:sz w:val="32"/>
          <w:szCs w:val="32"/>
          <w:lang w:val="en-US" w:eastAsia="zh-CN"/>
        </w:rPr>
        <w:t>24</w:t>
      </w:r>
      <w:r>
        <w:rPr>
          <w:rFonts w:ascii="仿宋_GB2312" w:eastAsia="仿宋_GB2312" w:cs="仿宋_GB2312" w:hint="eastAsia"/>
          <w:color w:val="333333"/>
          <w:kern w:val="0"/>
          <w:sz w:val="32"/>
          <w:szCs w:val="32"/>
        </w:rPr>
        <w:t xml:space="preserve">人，公用经费标准为行政人员每人12000元／年、事业人员每人9600元／年， </w:t>
      </w:r>
      <w:r>
        <w:rPr>
          <w:rFonts w:ascii="仿宋_GB2312" w:eastAsia="仿宋_GB2312" w:cs="仿宋_GB2312" w:hint="eastAsia"/>
          <w:color w:val="333333"/>
          <w:kern w:val="0"/>
          <w:sz w:val="32"/>
          <w:szCs w:val="32"/>
          <w:lang w:eastAsia="zh-CN"/>
        </w:rPr>
        <w:t>202</w:t>
      </w:r>
      <w:r>
        <w:rPr>
          <w:rFonts w:ascii="仿宋_GB2312" w:eastAsia="仿宋_GB2312" w:cs="仿宋_GB2312" w:hint="eastAsia"/>
          <w:color w:val="333333"/>
          <w:kern w:val="0"/>
          <w:sz w:val="32"/>
          <w:szCs w:val="32"/>
          <w:lang w:val="en-US" w:eastAsia="zh-CN"/>
        </w:rPr>
        <w:t>2</w:t>
      </w:r>
      <w:r>
        <w:rPr>
          <w:rFonts w:ascii="仿宋_GB2312" w:eastAsia="仿宋_GB2312" w:cs="仿宋_GB2312" w:hint="eastAsia"/>
          <w:color w:val="333333"/>
          <w:kern w:val="0"/>
          <w:sz w:val="32"/>
          <w:szCs w:val="32"/>
          <w:lang w:eastAsia="zh-CN"/>
        </w:rPr>
        <w:t>年</w:t>
      </w:r>
      <w:r>
        <w:rPr>
          <w:rFonts w:ascii="仿宋_GB2312" w:eastAsia="仿宋_GB2312" w:cs="仿宋_GB2312" w:hint="eastAsia"/>
          <w:color w:val="333333"/>
          <w:kern w:val="0"/>
          <w:sz w:val="32"/>
          <w:szCs w:val="32"/>
        </w:rPr>
        <w:t>度预算数为</w:t>
      </w:r>
      <w:r>
        <w:rPr>
          <w:rFonts w:ascii="仿宋_GB2312" w:eastAsia="仿宋_GB2312" w:cs="仿宋_GB2312" w:hint="eastAsia"/>
          <w:sz w:val="32"/>
          <w:szCs w:val="32"/>
          <w:lang w:val="en-US" w:eastAsia="zh-CN"/>
        </w:rPr>
        <w:t>313.26</w:t>
      </w:r>
      <w:r>
        <w:rPr>
          <w:rFonts w:ascii="仿宋_GB2312" w:eastAsia="仿宋_GB2312" w:cs="仿宋_GB2312" w:hint="eastAsia"/>
          <w:color w:val="333333"/>
          <w:kern w:val="0"/>
          <w:sz w:val="32"/>
          <w:szCs w:val="32"/>
        </w:rPr>
        <w:t>万元，年度预算编制项目分类准确，各项支出资金具体到明细科目。</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lang w:val="en-US"/>
        </w:rPr>
      </w:pPr>
      <w:r>
        <w:rPr>
          <w:rFonts w:ascii="仿宋_GB2312" w:eastAsia="仿宋_GB2312" w:cs="仿宋_GB2312" w:hint="eastAsia"/>
          <w:color w:val="333333"/>
          <w:kern w:val="0"/>
          <w:sz w:val="32"/>
          <w:szCs w:val="32"/>
          <w:lang w:val="en-US" w:eastAsia="zh-CN"/>
        </w:rPr>
        <w:t>2022年</w:t>
      </w:r>
      <w:r>
        <w:rPr>
          <w:rFonts w:ascii="仿宋_GB2312" w:eastAsia="仿宋_GB2312" w:cs="仿宋_GB2312" w:hint="eastAsia"/>
          <w:color w:val="333333"/>
          <w:kern w:val="0"/>
          <w:sz w:val="32"/>
          <w:szCs w:val="32"/>
        </w:rPr>
        <w:t>预算</w:t>
      </w:r>
      <w:r>
        <w:rPr>
          <w:rFonts w:ascii="仿宋_GB2312" w:eastAsia="仿宋_GB2312" w:cs="仿宋_GB2312" w:hint="eastAsia"/>
          <w:color w:val="333333"/>
          <w:kern w:val="0"/>
          <w:sz w:val="32"/>
          <w:szCs w:val="32"/>
          <w:lang w:eastAsia="zh-CN"/>
        </w:rPr>
        <w:t>支出按照节约的原则进行支出的控制、预算追加资金严格按照流程进行，并且精准编制追加预算目标绩效，</w:t>
      </w:r>
      <w:r>
        <w:rPr>
          <w:rFonts w:ascii="仿宋_GB2312" w:eastAsia="仿宋_GB2312" w:cs="仿宋_GB2312" w:hint="eastAsia"/>
          <w:color w:val="333333"/>
          <w:kern w:val="0"/>
          <w:sz w:val="32"/>
          <w:szCs w:val="32"/>
        </w:rPr>
        <w:t>执行</w:t>
      </w:r>
      <w:r>
        <w:rPr>
          <w:rFonts w:ascii="仿宋_GB2312" w:eastAsia="仿宋_GB2312" w:cs="仿宋_GB2312" w:hint="eastAsia"/>
          <w:color w:val="333333"/>
          <w:kern w:val="0"/>
          <w:sz w:val="32"/>
          <w:szCs w:val="32"/>
          <w:lang w:eastAsia="zh-CN"/>
        </w:rPr>
        <w:t>进度基本按照财政要求进行资金的拨付。</w:t>
      </w:r>
    </w:p>
    <w:p>
      <w:pPr>
        <w:widowControl/>
        <w:shd w:val="clear" w:color="auto" w:fill="FFFFFF"/>
        <w:spacing w:after="150" w:line="520" w:lineRule="exact"/>
        <w:ind w:firstLineChars="193" w:firstLine="618"/>
        <w:rPr>
          <w:rFonts w:ascii="仿宋_GB2312" w:eastAsia="仿宋_GB2312" w:cs="仿宋_GB2312" w:hint="eastAsia"/>
          <w:color w:val="333333"/>
          <w:kern w:val="0"/>
          <w:sz w:val="32"/>
          <w:szCs w:val="32"/>
        </w:rPr>
      </w:pPr>
      <w:r>
        <w:rPr>
          <w:rFonts w:ascii="仿宋_GB2312" w:eastAsia="仿宋_GB2312" w:cs="仿宋_GB2312" w:hint="eastAsia"/>
          <w:color w:val="333333"/>
          <w:kern w:val="0"/>
          <w:sz w:val="32"/>
          <w:szCs w:val="32"/>
        </w:rPr>
        <w:t>202</w:t>
      </w:r>
      <w:r>
        <w:rPr>
          <w:rFonts w:ascii="仿宋_GB2312" w:eastAsia="仿宋_GB2312" w:cs="仿宋_GB2312" w:hint="eastAsia"/>
          <w:color w:val="333333"/>
          <w:kern w:val="0"/>
          <w:sz w:val="32"/>
          <w:szCs w:val="32"/>
          <w:lang w:val="en-US" w:eastAsia="zh-CN"/>
        </w:rPr>
        <w:t>2</w:t>
      </w:r>
      <w:r>
        <w:rPr>
          <w:rFonts w:ascii="仿宋_GB2312" w:eastAsia="仿宋_GB2312" w:cs="仿宋_GB2312" w:hint="eastAsia"/>
          <w:color w:val="333333"/>
          <w:kern w:val="0"/>
          <w:sz w:val="32"/>
          <w:szCs w:val="32"/>
        </w:rPr>
        <w:t>年度预算数为</w:t>
      </w:r>
      <w:r>
        <w:rPr>
          <w:rFonts w:ascii="仿宋_GB2312" w:eastAsia="仿宋_GB2312" w:cs="仿宋_GB2312" w:hint="eastAsia"/>
          <w:sz w:val="32"/>
          <w:szCs w:val="32"/>
          <w:lang w:val="en-US" w:eastAsia="zh-CN"/>
        </w:rPr>
        <w:t>313.26</w:t>
      </w:r>
      <w:r>
        <w:rPr>
          <w:rFonts w:ascii="仿宋_GB2312" w:eastAsia="仿宋_GB2312" w:cs="仿宋_GB2312" w:hint="eastAsia"/>
          <w:color w:val="333333"/>
          <w:kern w:val="0"/>
          <w:sz w:val="32"/>
          <w:szCs w:val="32"/>
        </w:rPr>
        <w:t>万元，预算执行数</w:t>
      </w:r>
      <w:r>
        <w:rPr>
          <w:rFonts w:ascii="仿宋_GB2312" w:eastAsia="仿宋_GB2312" w:hint="eastAsia"/>
          <w:color w:val="000000"/>
          <w:spacing w:val="-2"/>
          <w:kern w:val="2"/>
          <w:sz w:val="32"/>
          <w:szCs w:val="32"/>
          <w:lang w:val="en-US" w:eastAsia="zh-CN" w:bidi="ar-SA"/>
        </w:rPr>
        <w:t>557.57</w:t>
      </w:r>
      <w:r>
        <w:rPr>
          <w:rFonts w:ascii="仿宋_GB2312" w:eastAsia="仿宋_GB2312" w:cs="仿宋_GB2312" w:hint="eastAsia"/>
          <w:color w:val="000000"/>
          <w:kern w:val="0"/>
          <w:sz w:val="32"/>
          <w:szCs w:val="32"/>
        </w:rPr>
        <w:t>万元</w:t>
      </w:r>
      <w:r>
        <w:rPr>
          <w:rFonts w:ascii="仿宋_GB2312" w:eastAsia="仿宋_GB2312" w:cs="仿宋_GB2312" w:hint="eastAsia"/>
          <w:color w:val="333333"/>
          <w:kern w:val="0"/>
          <w:sz w:val="32"/>
          <w:szCs w:val="32"/>
        </w:rPr>
        <w:t>，超预算</w:t>
      </w:r>
      <w:r>
        <w:rPr>
          <w:rFonts w:ascii="仿宋_GB2312" w:eastAsia="仿宋_GB2312" w:cs="仿宋_GB2312" w:hint="eastAsia"/>
          <w:color w:val="333333"/>
          <w:kern w:val="0"/>
          <w:sz w:val="32"/>
          <w:szCs w:val="32"/>
          <w:lang w:val="en-US" w:eastAsia="zh-CN"/>
        </w:rPr>
        <w:t>244.31</w:t>
      </w:r>
      <w:r>
        <w:rPr>
          <w:rFonts w:ascii="仿宋_GB2312" w:eastAsia="仿宋_GB2312" w:cs="仿宋_GB2312" w:hint="eastAsia"/>
          <w:color w:val="333333"/>
          <w:kern w:val="0"/>
          <w:sz w:val="32"/>
          <w:szCs w:val="32"/>
        </w:rPr>
        <w:t>万元，预算执行率</w:t>
      </w:r>
      <w:r>
        <w:rPr>
          <w:rFonts w:ascii="仿宋_GB2312" w:eastAsia="仿宋_GB2312" w:cs="仿宋_GB2312" w:hint="eastAsia"/>
          <w:color w:val="333333"/>
          <w:kern w:val="0"/>
          <w:sz w:val="32"/>
          <w:szCs w:val="32"/>
          <w:lang w:val="en-US" w:eastAsia="zh-CN"/>
        </w:rPr>
        <w:t>177.98</w:t>
      </w:r>
      <w:r>
        <w:rPr>
          <w:rFonts w:ascii="仿宋_GB2312" w:eastAsia="仿宋_GB2312" w:cs="仿宋_GB2312" w:hint="eastAsia"/>
          <w:color w:val="333333"/>
          <w:kern w:val="0"/>
          <w:sz w:val="32"/>
          <w:szCs w:val="32"/>
        </w:rPr>
        <w:t>%。预算总体执行情况为超预算执行，原因是以前年度的年初待安排资金未纳入202</w:t>
      </w:r>
      <w:r>
        <w:rPr>
          <w:rFonts w:ascii="仿宋_GB2312" w:eastAsia="仿宋_GB2312" w:cs="仿宋_GB2312" w:hint="eastAsia"/>
          <w:color w:val="333333"/>
          <w:kern w:val="0"/>
          <w:sz w:val="32"/>
          <w:szCs w:val="32"/>
          <w:lang w:val="en-US" w:eastAsia="zh-CN"/>
        </w:rPr>
        <w:t>2</w:t>
      </w:r>
      <w:r>
        <w:rPr>
          <w:rFonts w:ascii="仿宋_GB2312" w:eastAsia="仿宋_GB2312" w:cs="仿宋_GB2312" w:hint="eastAsia"/>
          <w:color w:val="333333"/>
          <w:kern w:val="0"/>
          <w:sz w:val="32"/>
          <w:szCs w:val="32"/>
        </w:rPr>
        <w:t>年预算，从而出现202</w:t>
      </w:r>
      <w:r>
        <w:rPr>
          <w:rFonts w:ascii="仿宋_GB2312" w:eastAsia="仿宋_GB2312" w:cs="仿宋_GB2312" w:hint="eastAsia"/>
          <w:color w:val="333333"/>
          <w:kern w:val="0"/>
          <w:sz w:val="32"/>
          <w:szCs w:val="32"/>
          <w:lang w:val="en-US" w:eastAsia="zh-CN"/>
        </w:rPr>
        <w:t>2</w:t>
      </w:r>
      <w:r>
        <w:rPr>
          <w:rFonts w:ascii="仿宋_GB2312" w:eastAsia="仿宋_GB2312" w:cs="仿宋_GB2312" w:hint="eastAsia"/>
          <w:color w:val="333333"/>
          <w:kern w:val="0"/>
          <w:sz w:val="32"/>
          <w:szCs w:val="32"/>
        </w:rPr>
        <w:t>年预算数较</w:t>
      </w:r>
      <w:r>
        <w:rPr>
          <w:rFonts w:ascii="仿宋_GB2312" w:eastAsia="仿宋_GB2312" w:cs="仿宋_GB2312" w:hint="eastAsia"/>
          <w:color w:val="333333"/>
          <w:kern w:val="0"/>
          <w:sz w:val="32"/>
          <w:szCs w:val="32"/>
          <w:lang w:eastAsia="zh-CN"/>
        </w:rPr>
        <w:t>202</w:t>
      </w:r>
      <w:r>
        <w:rPr>
          <w:rFonts w:ascii="仿宋_GB2312" w:eastAsia="仿宋_GB2312" w:cs="仿宋_GB2312" w:hint="eastAsia"/>
          <w:color w:val="333333"/>
          <w:kern w:val="0"/>
          <w:sz w:val="32"/>
          <w:szCs w:val="32"/>
          <w:lang w:val="en-US" w:eastAsia="zh-CN"/>
        </w:rPr>
        <w:t>2</w:t>
      </w:r>
      <w:r>
        <w:rPr>
          <w:rFonts w:ascii="仿宋_GB2312" w:eastAsia="仿宋_GB2312" w:cs="仿宋_GB2312" w:hint="eastAsia"/>
          <w:color w:val="333333"/>
          <w:kern w:val="0"/>
          <w:sz w:val="32"/>
          <w:szCs w:val="32"/>
          <w:lang w:eastAsia="zh-CN"/>
        </w:rPr>
        <w:t>年</w:t>
      </w:r>
      <w:r>
        <w:rPr>
          <w:rFonts w:ascii="仿宋_GB2312" w:eastAsia="仿宋_GB2312" w:cs="仿宋_GB2312" w:hint="eastAsia"/>
          <w:color w:val="333333"/>
          <w:kern w:val="0"/>
          <w:sz w:val="32"/>
          <w:szCs w:val="32"/>
        </w:rPr>
        <w:t>执行数还少，我局今年又向县人民政府打报告拨付</w:t>
      </w:r>
      <w:r>
        <w:rPr>
          <w:rFonts w:ascii="仿宋_GB2312" w:eastAsia="仿宋_GB2312" w:cs="仿宋_GB2312" w:hint="eastAsia"/>
          <w:color w:val="333333"/>
          <w:kern w:val="0"/>
          <w:sz w:val="32"/>
          <w:szCs w:val="32"/>
          <w:lang w:eastAsia="zh-CN"/>
        </w:rPr>
        <w:t>多</w:t>
      </w:r>
      <w:r>
        <w:rPr>
          <w:rFonts w:ascii="仿宋_GB2312" w:eastAsia="仿宋_GB2312" w:cs="仿宋_GB2312" w:hint="eastAsia"/>
          <w:color w:val="333333"/>
          <w:kern w:val="0"/>
          <w:sz w:val="32"/>
          <w:szCs w:val="32"/>
        </w:rPr>
        <w:t>次运转</w:t>
      </w:r>
      <w:r>
        <w:rPr>
          <w:rFonts w:ascii="仿宋_GB2312" w:eastAsia="仿宋_GB2312" w:cs="仿宋_GB2312" w:hint="eastAsia"/>
          <w:color w:val="333333"/>
          <w:kern w:val="0"/>
          <w:sz w:val="32"/>
          <w:szCs w:val="32"/>
          <w:lang w:eastAsia="zh-CN"/>
        </w:rPr>
        <w:t>经费</w:t>
      </w:r>
      <w:r>
        <w:rPr>
          <w:rFonts w:ascii="仿宋" w:eastAsia="仿宋" w:hint="eastAsia"/>
          <w:color w:val="000000"/>
          <w:sz w:val="32"/>
          <w:szCs w:val="32"/>
          <w:lang w:val="en-US" w:eastAsia="zh-CN"/>
        </w:rPr>
        <w:t>71.32</w:t>
      </w:r>
      <w:r>
        <w:rPr>
          <w:rFonts w:ascii="仿宋_GB2312" w:eastAsia="仿宋_GB2312" w:cs="仿宋_GB2312" w:hint="eastAsia"/>
          <w:color w:val="000000"/>
          <w:kern w:val="0"/>
          <w:sz w:val="32"/>
          <w:szCs w:val="32"/>
        </w:rPr>
        <w:t>万元</w:t>
      </w:r>
      <w:r>
        <w:rPr>
          <w:rFonts w:ascii="仿宋_GB2312" w:eastAsia="仿宋_GB2312" w:cs="仿宋_GB2312" w:hint="eastAsia"/>
          <w:color w:val="333333"/>
          <w:kern w:val="0"/>
          <w:sz w:val="32"/>
          <w:szCs w:val="32"/>
        </w:rPr>
        <w:t>，从而造成超预算。</w:t>
      </w:r>
    </w:p>
    <w:p>
      <w:pPr>
        <w:spacing w:line="52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无不良记录及违规违纪行为。</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仿宋_GB2312" w:eastAsia="仿宋_GB2312" w:cs="仿宋_GB2312" w:hint="eastAsia"/>
          <w:color w:val="000000"/>
          <w:sz w:val="31"/>
          <w:szCs w:val="31"/>
        </w:rPr>
        <w:t>（二）结果应用情况。</w:t>
      </w:r>
    </w:p>
    <w:p>
      <w:pPr>
        <w:widowControl/>
        <w:adjustRightInd w:val="0"/>
        <w:snapToGrid w:val="0"/>
        <w:spacing w:line="520" w:lineRule="exact"/>
        <w:ind w:firstLineChars="200" w:firstLine="640"/>
        <w:rPr>
          <w:rFonts w:ascii="仿宋_GB2312" w:eastAsia="仿宋_GB2312" w:cs="仿宋_GB2312" w:hint="eastAsia"/>
          <w:color w:val="000000"/>
          <w:sz w:val="32"/>
          <w:szCs w:val="32"/>
        </w:rPr>
      </w:pPr>
      <w:r>
        <w:rPr>
          <w:rFonts w:ascii="仿宋_GB2312" w:eastAsia="仿宋_GB2312" w:cs="仿宋_GB2312" w:hint="eastAsia"/>
          <w:color w:val="333333"/>
          <w:kern w:val="0"/>
          <w:sz w:val="32"/>
          <w:szCs w:val="32"/>
        </w:rPr>
        <w:t>行政审批局对本部门实施了整体支出绩效评价 ，按照要求向金川县财政局按时报送自评报告，</w:t>
      </w:r>
      <w:r>
        <w:rPr>
          <w:rFonts w:ascii="仿宋_GB2312" w:eastAsia="仿宋_GB2312" w:cs="仿宋_GB2312" w:hint="eastAsia"/>
          <w:color w:val="000000"/>
          <w:sz w:val="32"/>
          <w:szCs w:val="32"/>
        </w:rPr>
        <w:t>财政资金支出主要用于保障本部门机构正常运转、更好完成各项日常工作，</w:t>
      </w:r>
      <w:r>
        <w:rPr>
          <w:rFonts w:ascii="仿宋_GB2312" w:eastAsia="仿宋_GB2312" w:cs="仿宋_GB2312" w:hint="eastAsia"/>
          <w:color w:val="333333"/>
          <w:kern w:val="0"/>
          <w:sz w:val="32"/>
          <w:szCs w:val="32"/>
        </w:rPr>
        <w:t>社会群众对行政审批局的工作总体较满意。</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pPr>
      <w:r>
        <w:rPr>
          <w:rFonts w:ascii="黑体" w:eastAsia="黑体" w:cs="黑体" w:hint="eastAsia"/>
          <w:color w:val="000000"/>
          <w:sz w:val="31"/>
          <w:szCs w:val="31"/>
        </w:rPr>
        <w:t>四、评价结论及建议</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（一）评价结论。</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333333"/>
          <w:kern w:val="0"/>
          <w:sz w:val="32"/>
          <w:szCs w:val="32"/>
        </w:rPr>
        <w:t> 编制了绩效评价及接受了财政监督，</w:t>
      </w:r>
      <w:r>
        <w:rPr>
          <w:rFonts w:ascii="仿宋_GB2312" w:eastAsia="仿宋_GB2312" w:cs="仿宋_GB2312" w:hint="eastAsia"/>
          <w:sz w:val="32"/>
          <w:szCs w:val="32"/>
        </w:rPr>
        <w:t>部门预算执行情况良好，</w:t>
      </w:r>
      <w:r>
        <w:rPr>
          <w:rFonts w:ascii="仿宋_GB2312" w:eastAsia="仿宋_GB2312" w:cs="仿宋_GB2312" w:hint="eastAsia"/>
          <w:sz w:val="32"/>
          <w:szCs w:val="32"/>
          <w:lang w:eastAsia="zh-CN"/>
        </w:rPr>
        <w:t>自评得分</w:t>
      </w:r>
      <w:r>
        <w:rPr>
          <w:rFonts w:ascii="仿宋_GB2312" w:eastAsia="仿宋_GB2312" w:cs="仿宋_GB2312" w:hint="eastAsia"/>
          <w:sz w:val="32"/>
          <w:szCs w:val="32"/>
          <w:lang w:val="en-US" w:eastAsia="zh-CN"/>
        </w:rPr>
        <w:t>91分（</w:t>
      </w:r>
      <w:r>
        <w:rPr>
          <w:rFonts w:ascii="仿宋_GB2312" w:eastAsia="仿宋_GB2312" w:cs="仿宋_GB2312" w:hint="eastAsia"/>
          <w:sz w:val="32"/>
          <w:szCs w:val="32"/>
          <w:lang w:eastAsia="zh-CN"/>
        </w:rPr>
        <w:t>自评得分满分为</w:t>
      </w:r>
      <w:r>
        <w:rPr>
          <w:rFonts w:ascii="仿宋_GB2312" w:eastAsia="仿宋_GB2312" w:cs="仿宋_GB2312" w:hint="eastAsia"/>
          <w:sz w:val="32"/>
          <w:szCs w:val="32"/>
          <w:lang w:val="en-US" w:eastAsia="zh-CN"/>
        </w:rPr>
        <w:t>100分），</w:t>
      </w:r>
      <w:r>
        <w:rPr>
          <w:rFonts w:ascii="仿宋_GB2312" w:eastAsia="仿宋_GB2312" w:cs="仿宋_GB2312" w:hint="eastAsia"/>
          <w:sz w:val="32"/>
          <w:szCs w:val="32"/>
        </w:rPr>
        <w:t>无不良记录及违规违纪行为，预算收、支和决算收、支情况相符。</w:t>
      </w:r>
    </w:p>
    <w:p>
      <w:pPr>
        <w:pStyle w:val="23"/>
        <w:keepNext w:val="0"/>
        <w:keepLines w:val="0"/>
        <w:widowControl/>
        <w:numPr>
          <w:ilvl w:val="0"/>
          <w:numId w:val="11"/>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存在问题。</w:t>
      </w:r>
    </w:p>
    <w:p>
      <w:pPr>
        <w:spacing w:line="576" w:lineRule="exact"/>
        <w:ind w:firstLineChars="200" w:firstLine="64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b/>
          <w:bCs/>
          <w:color w:val="000000"/>
          <w:sz w:val="32"/>
          <w:szCs w:val="32"/>
          <w14:textFill>
            <w14:solidFill>
              <w14:srgbClr w14:val="000000"/>
            </w14:solidFill>
          </w14:textFill>
        </w:rPr>
        <w:t>一是政务服务体系“三化”建设相对滞后。</w:t>
      </w:r>
      <w:r>
        <w:rPr>
          <w:rFonts w:ascii="仿宋_GB2312" w:eastAsia="仿宋_GB2312" w:cs="仿宋_GB2312" w:hint="eastAsia"/>
          <w:color w:val="000000"/>
          <w:sz w:val="32"/>
          <w:szCs w:val="32"/>
          <w14:textFill>
            <w14:solidFill>
              <w14:srgbClr w14:val="000000"/>
            </w14:solidFill>
          </w14:textFill>
        </w:rPr>
        <w:t>随着“放管服”改革向基层纵深推进，全县政务体系“三化”建设还存在薄弱环节，软硬件设施相对滞后。</w:t>
      </w:r>
      <w:r>
        <w:rPr>
          <w:rFonts w:ascii="仿宋_GB2312" w:eastAsia="仿宋_GB2312" w:cs="仿宋_GB2312" w:hint="eastAsia"/>
          <w:b/>
          <w:bCs/>
          <w:color w:val="000000"/>
          <w:sz w:val="32"/>
          <w:szCs w:val="32"/>
          <w14:textFill>
            <w14:solidFill>
              <w14:srgbClr w14:val="000000"/>
            </w14:solidFill>
          </w14:textFill>
        </w:rPr>
        <w:t>二是权力事项下放承接不到位</w:t>
      </w:r>
      <w:r>
        <w:rPr>
          <w:rFonts w:ascii="仿宋_GB2312" w:eastAsia="仿宋_GB2312" w:cs="仿宋_GB2312" w:hint="eastAsia"/>
          <w:color w:val="000000"/>
          <w:sz w:val="32"/>
          <w:szCs w:val="32"/>
          <w14:textFill>
            <w14:solidFill>
              <w14:srgbClr w14:val="000000"/>
            </w14:solidFill>
          </w14:textFill>
        </w:rPr>
        <w:t>。部分乡镇工作人员对新下放的权力事项政策掌握不透彻、办理流程不了解，无法正常履职办事，存在放下去、接不住的现象。</w:t>
      </w:r>
    </w:p>
    <w:p>
      <w:pPr>
        <w:ind w:firstLineChars="100" w:firstLine="31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（三）改进建议</w:t>
      </w:r>
    </w:p>
    <w:p>
      <w:pPr>
        <w:spacing w:line="576" w:lineRule="exact"/>
        <w:ind w:firstLineChars="200" w:firstLine="64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b/>
          <w:bCs/>
          <w:color w:val="000000"/>
          <w:sz w:val="32"/>
          <w:szCs w:val="32"/>
          <w14:textFill>
            <w14:solidFill>
              <w14:srgbClr w14:val="000000"/>
            </w14:solidFill>
          </w14:textFill>
        </w:rPr>
        <w:t>一是巩固提升“县乡村”三级政务服务体系建设</w:t>
      </w:r>
      <w:r>
        <w:rPr>
          <w:rFonts w:ascii="仿宋_GB2312" w:eastAsia="仿宋_GB2312" w:cs="仿宋_GB2312" w:hint="eastAsia"/>
          <w:color w:val="000000"/>
          <w:sz w:val="32"/>
          <w:szCs w:val="32"/>
          <w14:textFill>
            <w14:solidFill>
              <w14:srgbClr w14:val="000000"/>
            </w14:solidFill>
          </w14:textFill>
        </w:rPr>
        <w:t>。继续按照镇村便民服务中心“三化”建设要求，进一步完善县乡村三级政务实体大厅“三化”建设，建成平台规范、布局科学、网络通达的三级政务体系。</w:t>
      </w:r>
      <w:r>
        <w:rPr>
          <w:rFonts w:ascii="仿宋_GB2312" w:eastAsia="仿宋_GB2312" w:cs="仿宋_GB2312" w:hint="eastAsia"/>
          <w:b/>
          <w:bCs/>
          <w:color w:val="000000"/>
          <w:sz w:val="32"/>
          <w:szCs w:val="32"/>
          <w14:textFill>
            <w14:solidFill>
              <w14:srgbClr w14:val="000000"/>
            </w14:solidFill>
          </w14:textFill>
        </w:rPr>
        <w:t>二是</w:t>
      </w:r>
      <w:r>
        <w:rPr>
          <w:rStyle w:val="45"/>
          <w:rFonts w:ascii="仿宋_GB2312" w:eastAsia="仿宋_GB2312" w:cs="仿宋_GB2312" w:hint="eastAsia"/>
          <w:b/>
          <w:color w:val="000000"/>
          <w:sz w:val="32"/>
          <w:szCs w:val="32"/>
          <w14:textFill>
            <w14:solidFill>
              <w14:srgbClr w14:val="000000"/>
            </w14:solidFill>
          </w14:textFill>
        </w:rPr>
        <w:t>加强业务培训。</w:t>
      </w:r>
      <w:r>
        <w:rPr>
          <w:rFonts w:ascii="仿宋_GB2312" w:eastAsia="仿宋_GB2312" w:cs="仿宋_GB2312" w:hint="eastAsia"/>
          <w:color w:val="000000"/>
          <w:sz w:val="32"/>
          <w:szCs w:val="32"/>
          <w14:textFill>
            <w14:solidFill>
              <w14:srgbClr w14:val="000000"/>
            </w14:solidFill>
          </w14:textFill>
        </w:rPr>
        <w:t>采取部门联动、集中培训等方式，对乡镇便民大厅工作人员开展好下放权利事项的业务培训，不断提升工作人员业务水平，确保赋予乡镇权力事项“放得下、接得住、办得好、有效能”。</w:t>
      </w:r>
    </w:p>
    <w:p>
      <w:pPr>
        <w:spacing w:line="600" w:lineRule="exact"/>
        <w:jc w:val="both"/>
        <w:outlineLvl w:val="0"/>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60"/>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r>
        <w:rPr>
          <w:rFonts w:ascii="仿宋" w:eastAsia="仿宋" w:hint="eastAsia"/>
          <w:b w:val="0"/>
          <w:color w:val="000000"/>
        </w:rPr>
        <w:t>一、收</w:t>
      </w:r>
      <w:r>
        <w:rPr>
          <w:rStyle w:val="2Char"/>
          <w:rFonts w:ascii="仿宋" w:eastAsia="仿宋" w:hint="eastAsia"/>
          <w:b w:val="0"/>
          <w:bCs w:val="0"/>
        </w:rPr>
        <w:t>入支出决算总表</w:t>
      </w:r>
      <w:bookmarkEnd w:id="61"/>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bookmarkStart w:id="62" w:name="_Toc15396620"/>
      <w:r>
        <w:rPr>
          <w:rFonts w:ascii="仿宋" w:eastAsia="仿宋" w:hint="eastAsia"/>
          <w:b w:val="0"/>
          <w:color w:val="000000"/>
        </w:rPr>
        <w:t>二、收</w:t>
      </w:r>
      <w:r>
        <w:rPr>
          <w:rStyle w:val="2Char"/>
          <w:rFonts w:ascii="仿宋" w:eastAsia="仿宋" w:hint="eastAsia"/>
          <w:b w:val="0"/>
          <w:bCs w:val="0"/>
        </w:rPr>
        <w:t>入决算表</w:t>
      </w:r>
      <w:bookmarkEnd w:id="62"/>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bookmarkStart w:id="63"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出决算表</w:t>
      </w:r>
      <w:bookmarkEnd w:id="63"/>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b w:val="0"/>
          <w:color w:val="000000"/>
        </w:rPr>
      </w:pPr>
      <w:bookmarkStart w:id="64"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4"/>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color w:val="000000"/>
        </w:rPr>
      </w:pPr>
      <w:bookmarkStart w:id="65" w:name="_Toc15396624"/>
      <w:r>
        <w:rPr>
          <w:rStyle w:val="2Char"/>
          <w:rFonts w:ascii="仿宋" w:eastAsia="仿宋" w:hint="eastAsia"/>
          <w:b w:val="0"/>
          <w:bCs w:val="0"/>
        </w:rPr>
        <w:t>五、财政拨款支出决算明细表</w:t>
      </w:r>
      <w:bookmarkEnd w:id="65"/>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hint="eastAsia"/>
          <w:b w:val="0"/>
          <w:color w:val="000000"/>
        </w:rPr>
      </w:pPr>
      <w:bookmarkStart w:id="66" w:name="_Toc15396625"/>
      <w:r>
        <w:rPr>
          <w:rStyle w:val="2Char"/>
          <w:rFonts w:ascii="仿宋" w:eastAsia="仿宋" w:hint="eastAsia"/>
          <w:b w:val="0"/>
          <w:bCs w:val="0"/>
        </w:rPr>
        <w:t>六、</w:t>
      </w:r>
      <w:bookmarkStart w:id="67" w:name="_Toc15396626"/>
      <w:bookmarkEnd w:id="66"/>
      <w:r>
        <w:rPr>
          <w:rFonts w:ascii="仿宋" w:eastAsia="仿宋" w:hint="eastAsia"/>
          <w:b w:val="0"/>
          <w:color w:val="000000"/>
        </w:rPr>
        <w:t>一般公共预算财政拨款支出决算表</w:t>
      </w:r>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hint="eastAsia"/>
          <w:b w:val="0"/>
          <w:color w:val="000000"/>
        </w:rPr>
      </w:pPr>
      <w:r>
        <w:rPr>
          <w:rStyle w:val="2Char"/>
          <w:rFonts w:ascii="仿宋" w:eastAsia="仿宋" w:hint="eastAsia"/>
          <w:b w:val="0"/>
          <w:bCs w:val="0"/>
        </w:rPr>
        <w:t>七、</w:t>
      </w:r>
      <w:bookmarkStart w:id="68" w:name="_Toc15396627"/>
      <w:bookmarkEnd w:id="67"/>
      <w:r>
        <w:rPr>
          <w:rFonts w:ascii="仿宋" w:eastAsia="仿宋" w:hint="eastAsia"/>
          <w:b w:val="0"/>
          <w:color w:val="000000"/>
        </w:rPr>
        <w:t>一般公共预算财政拨款支出决算明细表</w:t>
      </w:r>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hint="eastAsia"/>
          <w:b w:val="0"/>
          <w:color w:val="000000"/>
        </w:rPr>
      </w:pPr>
      <w:r>
        <w:rPr>
          <w:rStyle w:val="2Char"/>
          <w:rFonts w:ascii="仿宋" w:eastAsia="仿宋" w:hint="eastAsia"/>
          <w:b w:val="0"/>
          <w:bCs w:val="0"/>
        </w:rPr>
        <w:t>八、</w:t>
      </w:r>
      <w:bookmarkStart w:id="69" w:name="_Toc15396628"/>
      <w:bookmarkEnd w:id="68"/>
      <w:r>
        <w:rPr>
          <w:rFonts w:ascii="仿宋" w:eastAsia="仿宋" w:hint="eastAsia"/>
          <w:b w:val="0"/>
          <w:color w:val="000000"/>
        </w:rPr>
        <w:t>一般公共预算财政拨款基本支出决算表</w:t>
      </w:r>
    </w:p>
    <w:p>
      <w:pPr>
        <w:pageBreakBefore w:val="0"/>
        <w:widowControl w:val="0"/>
        <w:kinsoku/>
        <w:wordWrap/>
        <w:overflowPunct/>
        <w:topLinePunct w:val="0"/>
        <w:autoSpaceDE/>
        <w:autoSpaceDN/>
        <w:bidi w:val="0"/>
        <w:adjustRightInd/>
        <w:snapToGrid/>
        <w:spacing w:line="440" w:lineRule="exact"/>
        <w:textAlignment w:val="auto"/>
        <w:rPr>
          <w:rFonts w:ascii="仿宋_GB2312" w:eastAsia="仿宋_GB2312" w:cs="仿宋_GB2312" w:hint="eastAsia"/>
          <w:sz w:val="32"/>
          <w:szCs w:val="32"/>
        </w:rPr>
      </w:pPr>
      <w:r>
        <w:rPr>
          <w:rFonts w:ascii="仿宋_GB2312" w:eastAsia="仿宋_GB2312" w:cs="仿宋_GB2312" w:hint="eastAsia"/>
          <w:sz w:val="32"/>
          <w:szCs w:val="32"/>
          <w:lang w:eastAsia="zh-CN"/>
        </w:rPr>
        <w:t>九、</w:t>
      </w:r>
      <w:r>
        <w:rPr>
          <w:rFonts w:ascii="仿宋_GB2312" w:eastAsia="仿宋_GB2312" w:cs="仿宋_GB2312" w:hint="eastAsia"/>
          <w:sz w:val="32"/>
          <w:szCs w:val="32"/>
        </w:rPr>
        <w:t>一般公共预算财政拨款项目支出决算表</w:t>
      </w:r>
    </w:p>
    <w:p>
      <w:pPr>
        <w:pStyle w:val="2"/>
        <w:keepNext/>
        <w:keepLines/>
        <w:pageBreakBefore w:val="0"/>
        <w:widowControl w:val="0"/>
        <w:kinsoku/>
        <w:wordWrap/>
        <w:overflowPunct/>
        <w:topLinePunct w:val="0"/>
        <w:autoSpaceDE/>
        <w:autoSpaceDN/>
        <w:bidi w:val="0"/>
        <w:adjustRightInd/>
        <w:snapToGrid/>
        <w:spacing w:line="440" w:lineRule="exact"/>
        <w:textAlignment w:val="auto"/>
        <w:rPr>
          <w:rStyle w:val="2Char"/>
          <w:rFonts w:ascii="仿宋" w:eastAsia="仿宋" w:hint="eastAsia"/>
          <w:b w:val="0"/>
          <w:bCs w:val="0"/>
        </w:rPr>
      </w:pPr>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Start w:id="70" w:name="_Toc15396629"/>
      <w:bookmarkEnd w:id="69"/>
    </w:p>
    <w:p>
      <w:pPr>
        <w:pStyle w:val="2"/>
        <w:keepNext/>
        <w:keepLines/>
        <w:pageBreakBefore w:val="0"/>
        <w:widowControl w:val="0"/>
        <w:kinsoku/>
        <w:wordWrap/>
        <w:overflowPunct/>
        <w:topLinePunct w:val="0"/>
        <w:autoSpaceDE/>
        <w:autoSpaceDN/>
        <w:bidi w:val="0"/>
        <w:adjustRightInd/>
        <w:snapToGrid/>
        <w:spacing w:line="440" w:lineRule="exact"/>
        <w:textAlignment w:val="auto"/>
        <w:rPr>
          <w:rFonts w:ascii="仿宋" w:eastAsia="仿宋" w:hint="eastAsia"/>
          <w:b w:val="0"/>
          <w:color w:val="000000"/>
          <w:lang w:eastAsia="zh-CN"/>
        </w:rPr>
      </w:pPr>
      <w:r>
        <w:rPr>
          <w:rStyle w:val="2Char"/>
          <w:rFonts w:ascii="仿宋" w:eastAsia="仿宋" w:hint="eastAsia"/>
          <w:b w:val="0"/>
          <w:bCs w:val="0"/>
        </w:rPr>
        <w:t>十、</w:t>
      </w:r>
      <w:bookmarkStart w:id="71" w:name="_Toc15396630"/>
      <w:bookmarkEnd w:id="70"/>
      <w:r>
        <w:rPr>
          <w:rFonts w:ascii="仿宋_GB2312" w:eastAsia="仿宋_GB2312" w:cs="仿宋_GB2312" w:hint="eastAsia"/>
          <w:b w:val="0"/>
          <w:color w:val="000000"/>
          <w:sz w:val="32"/>
          <w:szCs w:val="32"/>
          <w:lang w:eastAsia="zh-CN"/>
        </w:rPr>
        <w:t>一般公共预算财政拨款“三公”经费支出决算表</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lang w:eastAsia="zh-CN"/>
        </w:rPr>
      </w:pPr>
      <w:r>
        <w:rPr>
          <w:rFonts w:ascii="仿宋_GB2312" w:eastAsia="仿宋_GB2312" w:cs="仿宋_GB2312" w:hint="eastAsia"/>
          <w:b w:val="0"/>
          <w:color w:val="000000"/>
          <w:sz w:val="32"/>
          <w:szCs w:val="32"/>
          <w:lang w:eastAsia="zh-CN"/>
        </w:rPr>
        <w:t>十一、政府性基金预算财政拨款收入支出决算表</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ascii="仿宋_GB2312" w:eastAsia="仿宋_GB2312" w:cs="仿宋_GB2312"/>
          <w:b w:val="0"/>
          <w:color w:val="000000"/>
          <w:sz w:val="32"/>
          <w:szCs w:val="32"/>
          <w:lang w:eastAsia="zh-CN"/>
        </w:rPr>
      </w:pPr>
      <w:bookmarkEnd w:id="71"/>
      <w:r>
        <w:rPr>
          <w:rFonts w:ascii="仿宋_GB2312" w:eastAsia="仿宋_GB2312" w:cs="仿宋_GB2312" w:hint="eastAsia"/>
          <w:b w:val="0"/>
          <w:color w:val="000000"/>
          <w:sz w:val="32"/>
          <w:szCs w:val="32"/>
          <w:lang w:eastAsia="zh-CN"/>
        </w:rPr>
        <w:t>十二、国有资本经营预算财政拨款收入支出决算表</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ascii="仿宋_GB2312" w:eastAsia="仿宋_GB2312" w:cs="仿宋_GB2312" w:hint="eastAsia"/>
          <w:b w:val="0"/>
          <w:color w:val="000000"/>
          <w:sz w:val="32"/>
          <w:szCs w:val="32"/>
          <w:lang w:eastAsia="zh-CN"/>
        </w:rPr>
      </w:pPr>
      <w:r>
        <w:rPr>
          <w:rFonts w:ascii="仿宋_GB2312" w:eastAsia="仿宋_GB2312" w:cs="仿宋_GB2312" w:hint="eastAsia"/>
          <w:b w:val="0"/>
          <w:color w:val="000000"/>
          <w:sz w:val="32"/>
          <w:szCs w:val="32"/>
          <w:lang w:eastAsia="zh-CN"/>
        </w:rPr>
        <w:t>十三、国有资本经营预算财政拨款支出决算表</w:t>
      </w:r>
    </w:p>
    <w:p>
      <w:pPr>
        <w:pStyle w:val="2"/>
        <w:rPr>
          <w:rFonts w:ascii="仿宋" w:eastAsia="仿宋"/>
          <w:color w:val="000000"/>
        </w:rPr>
      </w:pPr>
    </w:p>
    <w:sectPr>
      <w:headerReference w:type="default" r:id="rId2"/>
      <w:footerReference w:type="default" r:id="rId3"/>
      <w:footerReference w:type="first" r:id="rId4"/>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288F0000" w:usb2="00000006" w:usb3="00000000" w:csb0="00040001" w:csb1="00000000"/>
  </w:font>
  <w:font w:name="方正小标宋简体">
    <w:altName w:val="AR PL UKai CN"/>
    <w:panose1 w:val="02010601030101010101"/>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楷体">
    <w:altName w:val="楷体_GB2312"/>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微软雅黑">
    <w:altName w:val="AR PL UKai CN"/>
    <w:panose1 w:val="020B0503020204020204"/>
    <w:charset w:val="86"/>
    <w:family w:val="swiss"/>
    <w:pitch w:val="variable"/>
    <w:sig w:usb0="80000287" w:usb1="280F3C52" w:usb2="00000016" w:usb3="00000000" w:csb0="0004001F"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27"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1" name="文本框 8"/>
              <wp:cNvGraphicFramePr>
                <a:graphicFrameLocks noChangeAspect="0"/>
              </wp:cNvGraphicFramePr>
              <a:graphic>
                <a:graphicData uri="http://schemas.microsoft.com/office/word/2010/wordprocessingShape">
                  <wps:wsp>
                    <wps:cNvSpPr/>
                    <wps:spPr>
                      <a:xfrm rot="0">
                        <a:off x="0" y="0"/>
                        <a:ext cx="145389" cy="133159"/>
                      </a:xfrm>
                      <a:prstGeom prst="rect"/>
                      <a:noFill/>
                      <a:ln w="6350" cmpd="sng" cap="flat">
                        <a:noFill/>
                        <a:prstDash val="solid"/>
                        <a:round/>
                      </a:ln>
                    </wps:spPr>
                    <wps:txbx id="2">
                      <w:txbxContent>
                        <w:p>
                          <w:pPr>
                            <w:pStyle w:val="19"/>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8 3" o:spid="_x0000_s3" filled="f" stroked="f" strokeweight="0.5pt" style="position:absolute;margin-left:0.0pt;margin-top:0.0pt;width:11.447991pt;height:10.485009pt;z-index:27;mso-position-horizontal:center;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19"/>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29" behindDoc="0" locked="0" layoutInCell="1" hidden="0" allowOverlap="1">
              <wp:simplePos x="0" y="0"/>
              <wp:positionH relativeFrom="margin">
                <wp:align>center</wp:align>
              </wp:positionH>
              <wp:positionV relativeFrom="paragraph">
                <wp:posOffset>0</wp:posOffset>
              </wp:positionV>
              <wp:extent cx="72694" cy="133159"/>
              <wp:effectExtent l="0" t="0" r="0" b="0"/>
              <wp:wrapNone/>
              <wp:docPr id="4" name="文本框 9"/>
              <wp:cNvGraphicFramePr>
                <a:graphicFrameLocks noChangeAspect="0"/>
              </wp:cNvGraphicFramePr>
              <a:graphic>
                <a:graphicData uri="http://schemas.microsoft.com/office/word/2010/wordprocessingShape">
                  <wps:wsp>
                    <wps:cNvSpPr/>
                    <wps:spPr>
                      <a:xfrm rot="0">
                        <a:off x="0" y="0"/>
                        <a:ext cx="72694" cy="133159"/>
                      </a:xfrm>
                      <a:prstGeom prst="rect"/>
                      <a:noFill/>
                      <a:ln w="6350" cmpd="sng" cap="flat">
                        <a:noFill/>
                        <a:prstDash val="solid"/>
                        <a:round/>
                      </a:ln>
                    </wps:spPr>
                    <wps:txbx id="5">
                      <w:txbxContent>
                        <w:p>
                          <w:pPr>
                            <w:pStyle w:val="19"/>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9 6" o:spid="_x0000_s6" filled="f" stroked="f" strokeweight="0.5pt" style="position:absolute;margin-left:0.0pt;margin-top:0.0pt;width:5.724pt;height:10.485001pt;z-index:29;mso-position-horizontal:center;mso-position-horizontal-relative:margin;mso-position-vertical:absolute;mso-wrap-distance-left:8.999863pt;mso-wrap-distance-right:8.999863pt;mso-wrap-style:none;">
              <v:stroke color="#000000"/>
              <v:textbox id="857" inset="0mm,0mm,0mm,0mm" o:insetmode="custom" style="layout-flow:horizontal;v-text-anchor:top;mso-fit-shape-to-text:t;">
                <w:txbxContent>
                  <w:p>
                    <w:pPr>
                      <w:pStyle w:val="19"/>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E97DB12"/>
    <w:multiLevelType w:val="singleLevel"/>
    <w:tmpl w:val="FE97DB12"/>
    <w:lvl w:ilvl="0">
      <w:start w:val="1"/>
      <w:numFmt w:val="chineseCounting"/>
      <w:lvlRestart w:val="0"/>
      <w:suff w:val="nothing"/>
      <w:lvlText w:val="%1、"/>
      <w:lvlJc w:val="left"/>
      <w:pPr>
        <w:tabs>
          <w:tab w:val="num" w:pos="0"/>
        </w:tabs>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A84D62A9"/>
    <w:multiLevelType w:val="singleLevel"/>
    <w:tmpl w:val="A84D62A9"/>
    <w:lvl w:ilvl="0">
      <w:start w:val="1"/>
      <w:numFmt w:val="decimal"/>
      <w:lvlRestart w:val="0"/>
      <w:lvlText w:val="%1."/>
      <w:lvlJc w:val="left"/>
      <w:pPr>
        <w:tabs>
          <w:tab w:val="num" w:pos="0"/>
        </w:tabs>
        <w:ind w:left="0" w:hanging="0"/>
      </w:pPr>
    </w:lvl>
  </w:abstractNum>
  <w:abstractNum w:abstractNumId="3">
    <w:nsid w:val="5362767B"/>
    <w:multiLevelType w:val="singleLevel"/>
    <w:tmpl w:val="5362767B"/>
    <w:lvl w:ilvl="0">
      <w:start w:val="1"/>
      <w:numFmt w:val="decimal"/>
      <w:lvlRestart w:val="0"/>
      <w:lvlText w:val="%1."/>
      <w:lvlJc w:val="left"/>
      <w:pPr>
        <w:tabs>
          <w:tab w:val="num" w:pos="0"/>
        </w:tabs>
        <w:ind w:left="0" w:hanging="0"/>
      </w:pPr>
    </w:lvl>
  </w:abstractNum>
  <w:abstractNum w:abstractNumId="4">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5">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6">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7">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8">
    <w:nsid w:val="8F0001F1"/>
    <w:multiLevelType w:val="singleLevel"/>
    <w:tmpl w:val="8F0001F1"/>
    <w:lvl w:ilvl="0">
      <w:start w:val="2"/>
      <w:numFmt w:val="chineseCounting"/>
      <w:lvlRestart w:val="0"/>
      <w:suff w:val="nothing"/>
      <w:lvlText w:val="（%1）"/>
      <w:lvlJc w:val="left"/>
      <w:pPr>
        <w:tabs>
          <w:tab w:val="num" w:pos="0"/>
        </w:tabs>
        <w:ind w:left="0" w:hanging="0"/>
      </w:pPr>
      <w:rPr>
        <w:rFonts w:hint="eastAsia"/>
      </w:rPr>
    </w:lvl>
  </w:abstractNum>
  <w:abstractNum w:abstractNumId="9">
    <w:nsid w:val="870D52B7"/>
    <w:multiLevelType w:val="singleLevel"/>
    <w:tmpl w:val="870D52B7"/>
    <w:lvl w:ilvl="0">
      <w:start w:val="3"/>
      <w:numFmt w:val="chineseCounting"/>
      <w:lvlRestart w:val="0"/>
      <w:suff w:val="nothing"/>
      <w:lvlText w:val="%1、"/>
      <w:lvlJc w:val="left"/>
      <w:pPr>
        <w:tabs>
          <w:tab w:val="num" w:pos="0"/>
        </w:tabs>
        <w:ind w:left="0" w:hanging="0"/>
      </w:pPr>
      <w:rPr>
        <w:rFonts w:hint="eastAsia"/>
      </w:rPr>
    </w:lvl>
  </w:abstractNum>
  <w:abstractNum w:abstractNumId="10">
    <w:nsid w:val="9647B418"/>
    <w:multiLevelType w:val="singleLevel"/>
    <w:tmpl w:val="9647B418"/>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zY0ZjUzZmU4OTU2MDMzZmJkZjc3NDA0YTY1OWMwMD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称呼1"/>
    <w:basedOn w:val="0"/>
    <w:next w:val="0"/>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4">
    <w:name w:val="Normal (Web)"/>
    <w:basedOn w:val="0"/>
    <w:pPr>
      <w:spacing w:before="0" w:beforeAutospacing="1" w:after="0" w:afterAutospacing="1"/>
      <w:ind w:left="0" w:right="0"/>
      <w:jc w:val="left"/>
    </w:pPr>
    <w:rPr>
      <w:kern w:val="0"/>
      <w:sz w:val="24"/>
      <w:lang w:val="en-US" w:eastAsia="zh-CN"/>
    </w:rPr>
  </w:style>
  <w:style w:type="character" w:styleId="25">
    <w:name w:val="Strong"/>
    <w:basedOn w:val="10"/>
    <w:rPr>
      <w:b/>
    </w:rPr>
  </w:style>
  <w:style w:type="character" w:styleId="26">
    <w:name w:val="Hyperlink"/>
    <w:basedOn w:val="10"/>
    <w:rPr>
      <w:color w:val="0000FF"/>
      <w:u w:val="single"/>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3">
    <w:name w:val="普通(网站) Char"/>
    <w:basedOn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34">
    <w:name w:val="15"/>
    <w:basedOn w:val="10"/>
    <w:rPr>
      <w:rFonts w:ascii="Times New Roman" w:cs="Times New Roman" w:hAnsi="Times New Roman"/>
      <w:b/>
    </w:rPr>
  </w:style>
  <w:style w:type="paragraph" w:customStyle="1" w:styleId="35">
    <w:name w:val="UserStyle_16"/>
    <w:basedOn w:val="0"/>
    <w:pPr>
      <w:keepNext w:val="0"/>
      <w:keepLines w:val="0"/>
      <w:widowControl/>
      <w:suppressLineNumbers w:val="0"/>
      <w:spacing w:before="0" w:beforeAutospacing="0" w:after="0" w:afterAutospacing="0" w:line="480" w:lineRule="atLeast"/>
      <w:ind w:left="0" w:right="0"/>
      <w:jc w:val="both"/>
      <w:textAlignment w:val="baseline"/>
    </w:pPr>
    <w:rPr>
      <w:rFonts w:ascii="Arial" w:eastAsia="宋体" w:cs="宋体" w:hAnsi="Arial"/>
      <w:kern w:val="0"/>
      <w:sz w:val="21"/>
      <w:szCs w:val="21"/>
      <w:lang w:val="en-US" w:eastAsia="zh-CN"/>
    </w:rPr>
  </w:style>
  <w:style w:type="character" w:customStyle="1" w:styleId="36">
    <w:name w:val="19"/>
    <w:basedOn w:val="10"/>
    <w:rPr>
      <w:rFonts w:ascii="Calibri" w:eastAsia="宋体" w:cs="Times New Roman" w:hAnsi="Calibri"/>
      <w:kern w:val="2"/>
      <w:sz w:val="21"/>
      <w:szCs w:val="21"/>
    </w:rPr>
  </w:style>
  <w:style w:type="character" w:customStyle="1" w:styleId="37">
    <w:name w:val="18"/>
    <w:basedOn w:val="10"/>
    <w:rPr>
      <w:rFonts w:ascii="Times New Roman" w:cs="Times New Roman" w:hAnsi="Times New Roman"/>
      <w:kern w:val="2"/>
      <w:sz w:val="21"/>
      <w:szCs w:val="21"/>
    </w:rPr>
  </w:style>
  <w:style w:type="character" w:customStyle="1" w:styleId="38">
    <w:name w:val="20"/>
    <w:basedOn w:val="10"/>
    <w:rPr>
      <w:rFonts w:ascii="Times New Roman" w:cs="Times New Roman" w:hAnsi="Times New Roman"/>
    </w:rPr>
  </w:style>
  <w:style w:type="paragraph" w:customStyle="1" w:styleId="39">
    <w:name w:val="UserStyle_15"/>
    <w:basedOn w:val="0"/>
    <w:pPr>
      <w:keepNext w:val="0"/>
      <w:keepLines w:val="0"/>
      <w:widowControl/>
      <w:suppressLineNumbers w:val="0"/>
      <w:spacing w:before="0" w:beforeAutospacing="0" w:after="0" w:afterAutospacing="0" w:line="480" w:lineRule="atLeast"/>
      <w:ind w:left="0" w:right="0"/>
      <w:jc w:val="both"/>
      <w:textAlignment w:val="baseline"/>
    </w:pPr>
    <w:rPr>
      <w:rFonts w:ascii="Arial" w:eastAsia="宋体" w:cs="宋体" w:hAnsi="Arial"/>
      <w:kern w:val="0"/>
      <w:sz w:val="21"/>
      <w:szCs w:val="21"/>
      <w:lang w:val="en-US" w:eastAsia="zh-CN"/>
    </w:rPr>
  </w:style>
  <w:style w:type="paragraph" w:customStyle="1" w:styleId="40">
    <w:name w:val="文档正文"/>
    <w:basedOn w:val="0"/>
    <w:pPr>
      <w:adjustRightInd w:val="0"/>
      <w:spacing w:before="0" w:beforeAutospacing="0" w:after="0" w:afterAutospacing="0" w:line="480" w:lineRule="atLeast"/>
      <w:ind w:left="0" w:right="0"/>
      <w:jc w:val="left"/>
      <w:textAlignment w:val="baseline"/>
    </w:pPr>
    <w:rPr>
      <w:rFonts w:ascii="Arial" w:eastAsia="宋体" w:cs="宋体" w:hAnsi="Arial"/>
      <w:kern w:val="0"/>
      <w:sz w:val="24"/>
      <w:szCs w:val="24"/>
      <w:lang w:val="en-US" w:eastAsia="zh-CN"/>
    </w:rPr>
  </w:style>
  <w:style w:type="character" w:customStyle="1" w:styleId="41">
    <w:name w:val="16"/>
    <w:basedOn w:val="10"/>
    <w:rPr>
      <w:rFonts w:ascii="Times New Roman" w:cs="Times New Roman" w:hAnsi="Times New Roman"/>
      <w:b/>
    </w:rPr>
  </w:style>
  <w:style w:type="character" w:customStyle="1" w:styleId="42">
    <w:name w:val="17"/>
    <w:basedOn w:val="10"/>
    <w:rPr>
      <w:rFonts w:ascii="Times New Roman" w:cs="Times New Roman" w:hAnsi="Times New Roman"/>
      <w:kern w:val="2"/>
      <w:sz w:val="21"/>
      <w:szCs w:val="21"/>
    </w:rPr>
  </w:style>
  <w:style w:type="character" w:customStyle="1" w:styleId="43">
    <w:name w:val="UserStyle_2"/>
    <w:rPr>
      <w:rFonts w:ascii="Calibri" w:eastAsia="宋体" w:hAnsi="Calibri"/>
      <w:kern w:val="2"/>
      <w:sz w:val="21"/>
      <w:szCs w:val="24"/>
      <w:lang w:val="en-US" w:eastAsia="zh-CN" w:bidi="ar-SA"/>
    </w:rPr>
  </w:style>
  <w:style w:type="character" w:customStyle="1" w:styleId="44">
    <w:name w:val="UserStyle_0"/>
  </w:style>
  <w:style w:type="character" w:customStyle="1" w:styleId="45">
    <w:name w:val="NormalCharacter"/>
  </w:style>
  <w:style w:type="character" w:customStyle="1" w:styleId="46">
    <w:name w:val="UserStyle_5"/>
    <w:rPr>
      <w:rFonts w:ascii="Calibri" w:eastAsia="宋体" w:hAnsi="Calibri"/>
      <w:kern w:val="2"/>
      <w:sz w:val="21"/>
      <w:szCs w:val="24"/>
      <w:lang w:val="en-US" w:eastAsia="zh-CN" w:bidi="ar-SA"/>
    </w:rPr>
  </w:style>
  <w:style w:type="character" w:customStyle="1" w:styleId="47">
    <w:name w:val="UserStyle_4"/>
    <w:rPr>
      <w:rFonts w:ascii="Times New Roman" w:eastAsia="宋体" w:hAnsi="Times New Roman"/>
    </w:rPr>
  </w:style>
  <w:style w:type="paragraph" w:customStyle="1" w:styleId="48">
    <w:name w:val="BodyTextIndent"/>
    <w:basedOn w:val="0"/>
    <w:pPr>
      <w:widowControl/>
      <w:ind w:firstLineChars="200" w:firstLine="200"/>
      <w:jc w:val="both"/>
      <w:textAlignment w:val="baseline"/>
    </w:pPr>
    <w:rPr>
      <w:rFonts w:ascii="Calibri" w:eastAsia="仿宋_GB2312" w:hAnsi="Calibri"/>
      <w:kern w:val="2"/>
      <w:sz w:val="32"/>
      <w:szCs w:val="24"/>
      <w:lang w:val="en-US" w:eastAsia="zh-CN" w:bidi="ar-SA"/>
    </w:rPr>
  </w:style>
  <w:style w:type="paragraph" w:customStyle="1" w:styleId="49">
    <w:name w:val="BodyText1I2"/>
    <w:basedOn w:val="48"/>
    <w:next w:val="0"/>
    <w:pPr>
      <w:widowControl/>
      <w:spacing w:after="0" w:line="540" w:lineRule="exact"/>
      <w:ind w:left="0" w:firstLineChars="200" w:firstLine="200"/>
      <w:jc w:val="both"/>
      <w:textAlignment w:val="baseline"/>
    </w:pPr>
    <w:rPr>
      <w:rFonts w:ascii="Calibri" w:eastAsia="仿宋_GB2312" w:hAnsi="Calibri"/>
      <w:color w:val="000000"/>
      <w:kern w:val="2"/>
      <w:sz w:val="32"/>
      <w:szCs w:val="20"/>
      <w:lang w:val="en-US" w:eastAsia="zh-CN" w:bidi="ar-SA"/>
    </w:rPr>
  </w:style>
  <w:style w:type="paragraph" w:customStyle="1" w:styleId="50">
    <w:name w:val="UserStyle_18"/>
    <w:basedOn w:val="0"/>
    <w:pPr>
      <w:widowControl/>
      <w:jc w:val="both"/>
      <w:textAlignment w:val="baseline"/>
    </w:pPr>
    <w:rPr>
      <w:rFonts w:ascii="Calibri" w:eastAsia="宋体" w:hAnsi="Calibri"/>
      <w:kern w:val="2"/>
      <w:sz w:val="24"/>
      <w:szCs w:val="24"/>
      <w:lang w:val="en-US" w:eastAsia="zh-CN" w:bidi="ar-SA"/>
    </w:rPr>
  </w:style>
  <w:style w:type="paragraph" w:customStyle="1" w:styleId="51">
    <w:name w:val="UserStyle_6"/>
    <w:basedOn w:val="0"/>
    <w:pPr>
      <w:widowControl/>
      <w:spacing w:line="480" w:lineRule="atLeast"/>
      <w:jc w:val="both"/>
      <w:textAlignment w:val="baseline"/>
    </w:pPr>
    <w:rPr>
      <w:rFonts w:ascii="Arial" w:eastAsia="宋体" w:hAnsi="Arial"/>
      <w:kern w:val="0"/>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chart" Target="charts/chart6.xml"/><Relationship Id="rId11" Type="http://schemas.openxmlformats.org/officeDocument/2006/relationships/chart" Target="charts/chart7.xml"/><Relationship Id="rId12" Type="http://schemas.openxmlformats.org/officeDocument/2006/relationships/chart" Target="charts/chart8.xml"/><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收、支决算结构图     单位：万元</a:t>
            </a:r>
          </a:p>
        </c:rich>
      </c:tx>
      <c:layout/>
      <c:overlay val="0"/>
      <c:spPr>
        <a:noFill/>
        <a:ln>
          <a:noFill/>
        </a:ln>
      </c:spPr>
    </c:title>
    <c:autoTitleDeleted val="1"/>
    <c:plotArea>
      <c:layout>
        <c:manualLayout>
          <c:layoutTarget val="inner"/>
          <c:xMode val="edge"/>
          <c:yMode val="edge"/>
          <c:x val="0.07480556"/>
          <c:y val="0.17638889"/>
          <c:w val="0.84325"/>
          <c:h val="0.71166664"/>
        </c:manualLayout>
      </c:layout>
      <c:barChart>
        <c:barDir val="col"/>
        <c:grouping val="clustered"/>
        <c:varyColors val="0"/>
        <c:ser>
          <c:idx val="0"/>
          <c:order val="0"/>
          <c:tx>
            <c:v>收、支决算结构图     单位：万元</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2021年总收入</c:v>
              </c:pt>
              <c:pt idx="1">
                <c:v>2021年总支出</c:v>
              </c:pt>
              <c:pt idx="2">
                <c:v>2022年总收入</c:v>
              </c:pt>
              <c:pt idx="3">
                <c:v>2022年总支出</c:v>
              </c:pt>
            </c:strLit>
          </c:cat>
          <c:val>
            <c:numRef>
              <c:f/>
              <c:numCache>
                <c:formatCode>General</c:formatCode>
                <c:ptCount val="4"/>
                <c:pt idx="0">
                  <c:v>412.5</c:v>
                </c:pt>
                <c:pt idx="1">
                  <c:v>412.5</c:v>
                </c:pt>
                <c:pt idx="2">
                  <c:v>557.57</c:v>
                </c:pt>
                <c:pt idx="3">
                  <c:v>557.57</c:v>
                </c:pt>
              </c:numCache>
            </c:numRef>
          </c:val>
        </c:ser>
        <c:overlap val="-27"/>
        <c:gapWidth val="219"/>
        <c:axId val="0"/>
        <c:axId val="1"/>
      </c:barChart>
      <c:cat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2022年总收入    单位：万元</a:t>
            </a:r>
          </a:p>
        </c:rich>
      </c:tx>
      <c:layout/>
      <c:overlay val="0"/>
      <c:spPr>
        <a:noFill/>
        <a:ln>
          <a:noFill/>
        </a:ln>
      </c:spPr>
    </c:title>
    <c:autoTitleDeleted val="1"/>
    <c:plotArea>
      <c:layout/>
      <c:pieChart>
        <c:varyColors val="1"/>
        <c:ser>
          <c:idx val="0"/>
          <c:order val="0"/>
          <c:tx>
            <c:v>2022年总收入    单位：万元</c:v>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Pt>
            <c:idx val="5"/>
            <c:bubble3D val="0"/>
            <c:spPr>
              <a:solidFill>
                <a:srgbClr val="F7964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inEnd"/>
            <c:showLegendKey val="0"/>
            <c:showVal val="1"/>
            <c:showCatName val="1"/>
            <c:showSerName val="1"/>
            <c:showPercent val="1"/>
            <c:showBubbleSize val="0"/>
            <c:showLeaderLines val="1"/>
          </c:dLbls>
          <c:cat>
            <c:strLit>
              <c:ptCount val="6"/>
              <c:pt idx="0">
                <c:v>一般公共预算财政拨款收入</c:v>
              </c:pt>
              <c:pt idx="1">
                <c:v>政府性基金预算财政拨款收入</c:v>
              </c:pt>
              <c:pt idx="2">
                <c:v>国有资本经营预算财政拨款收入</c:v>
              </c:pt>
              <c:pt idx="3">
                <c:v>经营收入</c:v>
              </c:pt>
              <c:pt idx="4">
                <c:v>附属单位上缴收入</c:v>
              </c:pt>
              <c:pt idx="5">
                <c:v>其他收入</c:v>
              </c:pt>
            </c:strLit>
          </c:cat>
          <c:val>
            <c:numRef>
              <c:f/>
              <c:numCache>
                <c:formatCode>General</c:formatCode>
                <c:ptCount val="6"/>
                <c:pt idx="0">
                  <c:v>557.57</c:v>
                </c:pt>
                <c:pt idx="1">
                  <c:v>0.0</c:v>
                </c:pt>
                <c:pt idx="2">
                  <c:v>0.0</c:v>
                </c:pt>
                <c:pt idx="3">
                  <c:v>0.0</c:v>
                </c:pt>
                <c:pt idx="4">
                  <c:v>0.0</c:v>
                </c:pt>
                <c:pt idx="5">
                  <c:v>0.0</c:v>
                </c:pt>
              </c:numCache>
            </c:numRef>
          </c:val>
        </c:ser>
        <c:ser>
          <c:idx val="1"/>
          <c:order val="1"/>
          <c:tx>
            <c:v>2022年总收入    占比：%</c:v>
          </c:tx>
          <c:spPr>
            <a:solidFill>
              <a:srgbClr val="C0504D"/>
            </a:solidFill>
            <a:ln>
              <a:noFill/>
            </a:ln>
          </c:spPr>
          <c:dPt>
            <c:idx val="0"/>
            <c:invertIfNegative val="0"/>
            <c:bubble3D val="0"/>
            <c:spPr>
              <a:ln w="19050">
                <a:solidFill>
                  <a:srgbClr val="FFFFFF"/>
                </a:solidFill>
                <a:prstDash val="solid"/>
              </a:ln>
            </c:spPr>
          </c:dPt>
          <c:dPt>
            <c:idx val="1"/>
            <c:invertIfNegative val="0"/>
            <c:bubble3D val="0"/>
            <c:spPr>
              <a:ln w="19050">
                <a:solidFill>
                  <a:srgbClr val="FFFFFF"/>
                </a:solidFill>
                <a:prstDash val="solid"/>
              </a:ln>
            </c:spPr>
          </c:dPt>
          <c:dPt>
            <c:idx val="2"/>
            <c:invertIfNegative val="0"/>
            <c:bubble3D val="0"/>
            <c:spPr>
              <a:ln w="19050">
                <a:solidFill>
                  <a:srgbClr val="FFFFFF"/>
                </a:solidFill>
                <a:prstDash val="solid"/>
              </a:ln>
            </c:spPr>
          </c:dPt>
          <c:dPt>
            <c:idx val="3"/>
            <c:invertIfNegative val="0"/>
            <c:bubble3D val="0"/>
            <c:spPr>
              <a:ln w="19050">
                <a:solidFill>
                  <a:srgbClr val="FFFFFF"/>
                </a:solidFill>
                <a:prstDash val="solid"/>
              </a:ln>
            </c:spPr>
          </c:dPt>
          <c:dPt>
            <c:idx val="4"/>
            <c:invertIfNegative val="0"/>
            <c:bubble3D val="0"/>
            <c:spPr>
              <a:ln w="19050">
                <a:solidFill>
                  <a:srgbClr val="FFFFFF"/>
                </a:solidFill>
                <a:prstDash val="solid"/>
              </a:ln>
            </c:spPr>
          </c:dPt>
          <c:dPt>
            <c:idx val="5"/>
            <c:invertIfNegative val="0"/>
            <c:bubble3D val="0"/>
            <c:spPr>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inEnd"/>
            <c:showLegendKey val="0"/>
            <c:showVal val="1"/>
            <c:showCatName val="0"/>
            <c:showSerName val="0"/>
            <c:showPercent val="0"/>
            <c:showBubbleSize val="0"/>
            <c:showLeaderLines val="1"/>
          </c:dLbls>
          <c:cat>
            <c:strLit>
              <c:ptCount val="6"/>
              <c:pt idx="0">
                <c:v>一般公共预算财政拨款收入</c:v>
              </c:pt>
              <c:pt idx="1">
                <c:v>政府性基金预算财政拨款收入</c:v>
              </c:pt>
              <c:pt idx="2">
                <c:v>国有资本经营预算财政拨款收入</c:v>
              </c:pt>
              <c:pt idx="3">
                <c:v>经营收入</c:v>
              </c:pt>
              <c:pt idx="4">
                <c:v>附属单位上缴收入</c:v>
              </c:pt>
              <c:pt idx="5">
                <c:v>其他收入</c:v>
              </c:pt>
            </c:strLit>
          </c:cat>
          <c:val>
            <c:numRef>
              <c:f/>
              <c:numCache>
                <c:formatCode>General</c:formatCode>
                <c:ptCount val="6"/>
                <c:pt idx="0">
                  <c:v>100.0</c:v>
                </c:pt>
                <c:pt idx="1">
                  <c:v>0.0</c:v>
                </c:pt>
                <c:pt idx="2">
                  <c:v>0.0</c:v>
                </c:pt>
                <c:pt idx="3">
                  <c:v>0.0</c:v>
                </c:pt>
                <c:pt idx="4">
                  <c:v>0.0</c:v>
                </c:pt>
                <c:pt idx="5">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    单位：万元</a:t>
            </a:r>
          </a:p>
        </c:rich>
      </c:tx>
      <c:layout/>
      <c:overlay val="0"/>
      <c:spPr>
        <a:noFill/>
        <a:ln>
          <a:noFill/>
        </a:ln>
      </c:spPr>
    </c:title>
    <c:autoTitleDeleted val="1"/>
    <c:plotArea>
      <c:layout/>
      <c:pieChart>
        <c:varyColors val="1"/>
        <c:ser>
          <c:idx val="0"/>
          <c:order val="0"/>
          <c:tx>
            <c:v>支出决算结构图    单位：万元</c:v>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showLegendKey val="0"/>
            <c:showVal val="1"/>
            <c:showCatName val="1"/>
            <c:showSerName val="1"/>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486.25</c:v>
                </c:pt>
                <c:pt idx="1">
                  <c:v>71.32</c:v>
                </c:pt>
                <c:pt idx="2">
                  <c:v>0.0</c:v>
                </c:pt>
                <c:pt idx="3">
                  <c:v>0.0</c:v>
                </c:pt>
                <c:pt idx="4">
                  <c:v>0.0</c:v>
                </c:pt>
              </c:numCache>
            </c:numRef>
          </c:val>
        </c:ser>
        <c:ser>
          <c:idx val="1"/>
          <c:order val="1"/>
          <c:tx>
            <c:v>支出决算结构图    占比：%</c:v>
          </c:tx>
          <c:spPr>
            <a:solidFill>
              <a:srgbClr val="C0504D"/>
            </a:solidFill>
            <a:ln>
              <a:noFill/>
            </a:ln>
          </c:spPr>
          <c:dPt>
            <c:idx val="0"/>
            <c:invertIfNegative val="0"/>
            <c:bubble3D val="0"/>
            <c:spPr>
              <a:ln w="19050">
                <a:solidFill>
                  <a:srgbClr val="FFFFFF"/>
                </a:solidFill>
                <a:prstDash val="solid"/>
              </a:ln>
            </c:spPr>
          </c:dPt>
          <c:dPt>
            <c:idx val="1"/>
            <c:invertIfNegative val="0"/>
            <c:bubble3D val="0"/>
            <c:spPr>
              <a:ln w="19050">
                <a:solidFill>
                  <a:srgbClr val="FFFFFF"/>
                </a:solidFill>
                <a:prstDash val="solid"/>
              </a:ln>
            </c:spPr>
          </c:dPt>
          <c:dPt>
            <c:idx val="2"/>
            <c:invertIfNegative val="0"/>
            <c:bubble3D val="0"/>
            <c:spPr>
              <a:ln w="19050">
                <a:solidFill>
                  <a:srgbClr val="FFFFFF"/>
                </a:solidFill>
                <a:prstDash val="solid"/>
              </a:ln>
            </c:spPr>
          </c:dPt>
          <c:dPt>
            <c:idx val="3"/>
            <c:invertIfNegative val="0"/>
            <c:bubble3D val="0"/>
            <c:spPr>
              <a:ln w="19050">
                <a:solidFill>
                  <a:srgbClr val="FFFFFF"/>
                </a:solidFill>
                <a:prstDash val="solid"/>
              </a:ln>
            </c:spPr>
          </c:dPt>
          <c:dPt>
            <c:idx val="4"/>
            <c:invertIfNegative val="0"/>
            <c:bubble3D val="0"/>
            <c:spPr>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87.21</c:v>
                </c:pt>
                <c:pt idx="1">
                  <c:v>12.79</c:v>
                </c:pt>
                <c:pt idx="2">
                  <c:v>0.0</c:v>
                </c:pt>
                <c:pt idx="3">
                  <c:v>0.0</c:v>
                </c:pt>
                <c:pt idx="4">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一般公共预算财政拨款支出决算变动情况 单位：万元</a:t>
            </a:r>
          </a:p>
        </c:rich>
      </c:tx>
      <c:layout/>
      <c:overlay val="0"/>
      <c:spPr>
        <a:noFill/>
        <a:ln>
          <a:noFill/>
        </a:ln>
      </c:spPr>
    </c:title>
    <c:autoTitleDeleted val="1"/>
    <c:plotArea>
      <c:layout/>
      <c:barChart>
        <c:barDir val="col"/>
        <c:grouping val="clustered"/>
        <c:varyColors val="0"/>
        <c:ser>
          <c:idx val="0"/>
          <c:order val="0"/>
          <c:tx>
            <c:v>一般公共预算财政拨款支出决算变动情况 单位：万元</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2021年一般公共预算财政拨款支出决算</c:v>
              </c:pt>
              <c:pt idx="1">
                <c:v>2022年一般公共预算财政拨款支出决算</c:v>
              </c:pt>
            </c:strLit>
          </c:cat>
          <c:val>
            <c:numRef>
              <c:f/>
              <c:numCache>
                <c:formatCode>General</c:formatCode>
                <c:ptCount val="2"/>
                <c:pt idx="0">
                  <c:v>412.5</c:v>
                </c:pt>
                <c:pt idx="1">
                  <c:v>557.57</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dTable>
        <c:showHorzBorder val="1"/>
        <c:showVertBorder val="1"/>
        <c:showOutline val="1"/>
        <c:showKeys val="1"/>
        <c:spPr>
          <a:ln w="6350">
            <a:solidFill>
              <a:srgbClr val="D9D9D9"/>
            </a:solidFill>
            <a:prstDash val="solid"/>
          </a:ln>
        </c:spPr>
        <c:txPr>
          <a:bodyPr/>
          <a:lstStyle/>
          <a:p>
            <a:pPr rtl="0">
              <a:defRPr sz="900" b="0" i="0" u="none" strike="noStrike" baseline="0">
                <a:solidFill>
                  <a:srgbClr val="595959"/>
                </a:solidFill>
                <a:latin typeface="Times New Roman"/>
                <a:ea typeface="宋体"/>
                <a:cs typeface="Lucida Sans"/>
              </a:defRPr>
            </a:pPr>
            <a:endParaRPr lang="zh-CN"/>
          </a:p>
        </c:txPr>
      </c:dTable>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财政拨款收、支决算总体变动情况 单位：万元</a:t>
            </a:r>
          </a:p>
        </c:rich>
      </c:tx>
      <c:layout/>
      <c:overlay val="0"/>
      <c:spPr>
        <a:noFill/>
        <a:ln>
          <a:noFill/>
        </a:ln>
      </c:spPr>
    </c:title>
    <c:autoTitleDeleted val="1"/>
    <c:plotArea>
      <c:layout/>
      <c:barChart>
        <c:barDir val="col"/>
        <c:grouping val="clustered"/>
        <c:varyColors val="0"/>
        <c:ser>
          <c:idx val="0"/>
          <c:order val="0"/>
          <c:tx>
            <c:v>财政拨款收、支决算总体变动情况 单位：万元</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2021年总收入</c:v>
              </c:pt>
              <c:pt idx="1">
                <c:v>2021年总支出</c:v>
              </c:pt>
              <c:pt idx="2">
                <c:v>2022年总收入</c:v>
              </c:pt>
              <c:pt idx="3">
                <c:v>2022年总支出</c:v>
              </c:pt>
            </c:strLit>
          </c:cat>
          <c:val>
            <c:numRef>
              <c:f/>
              <c:numCache>
                <c:formatCode>General</c:formatCode>
                <c:ptCount val="4"/>
                <c:pt idx="0">
                  <c:v>412.5</c:v>
                </c:pt>
                <c:pt idx="1">
                  <c:v>412.5</c:v>
                </c:pt>
                <c:pt idx="2">
                  <c:v>557.57</c:v>
                </c:pt>
                <c:pt idx="3">
                  <c:v>557.57</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dTable>
        <c:showHorzBorder val="1"/>
        <c:showVertBorder val="1"/>
        <c:showOutline val="1"/>
        <c:showKeys val="1"/>
        <c:spPr>
          <a:ln w="6350">
            <a:solidFill>
              <a:srgbClr val="D9D9D9"/>
            </a:solidFill>
            <a:prstDash val="solid"/>
          </a:ln>
        </c:spPr>
        <c:txPr>
          <a:bodyPr/>
          <a:lstStyle/>
          <a:p>
            <a:pPr rtl="0">
              <a:defRPr sz="900" b="0" i="0" u="none" strike="noStrike" baseline="0">
                <a:solidFill>
                  <a:srgbClr val="595959"/>
                </a:solidFill>
                <a:latin typeface="Times New Roman"/>
                <a:ea typeface="宋体"/>
                <a:cs typeface="Lucida Sans"/>
              </a:defRPr>
            </a:pPr>
            <a:endParaRPr lang="zh-CN"/>
          </a:p>
        </c:txPr>
      </c:dTable>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一般公共预算财政拨款支出决算变动情况 单位：万元</a:t>
            </a:r>
          </a:p>
        </c:rich>
      </c:tx>
      <c:layout>
        <c:manualLayout>
          <c:xMode val="edge"/>
          <c:yMode val="edge"/>
          <c:x val="0.17004466"/>
          <c:y val="0.7595178"/>
        </c:manualLayout>
      </c:layout>
      <c:overlay val="0"/>
      <c:spPr>
        <a:noFill/>
        <a:ln>
          <a:noFill/>
        </a:ln>
      </c:spPr>
    </c:title>
    <c:autoTitleDeleted val="1"/>
    <c:plotArea>
      <c:layout/>
      <c:barChart>
        <c:barDir val="col"/>
        <c:grouping val="clustered"/>
        <c:varyColors val="0"/>
        <c:ser>
          <c:idx val="0"/>
          <c:order val="0"/>
          <c:tx>
            <c:v>一般公共预算财政拨款支出决算变动情况 单位：万元</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2021年一般公共预算财政拨款支出决算</c:v>
              </c:pt>
              <c:pt idx="1">
                <c:v>2022年一般公共预算财政拨款支出决算</c:v>
              </c:pt>
            </c:strLit>
          </c:cat>
          <c:val>
            <c:numRef>
              <c:f/>
              <c:numCache>
                <c:formatCode>General</c:formatCode>
                <c:ptCount val="2"/>
                <c:pt idx="0">
                  <c:v>412.5</c:v>
                </c:pt>
                <c:pt idx="1">
                  <c:v>557.57</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dTable>
        <c:showHorzBorder val="1"/>
        <c:showVertBorder val="1"/>
        <c:showOutline val="1"/>
        <c:showKeys val="1"/>
        <c:spPr>
          <a:ln w="6350">
            <a:solidFill>
              <a:srgbClr val="D9D9D9"/>
            </a:solidFill>
            <a:prstDash val="solid"/>
          </a:ln>
        </c:spPr>
        <c:txPr>
          <a:bodyPr/>
          <a:lstStyle/>
          <a:p>
            <a:pPr rtl="0">
              <a:defRPr sz="900" b="0" i="0" u="none" strike="noStrike" baseline="0">
                <a:solidFill>
                  <a:srgbClr val="595959"/>
                </a:solidFill>
                <a:latin typeface="Times New Roman"/>
                <a:ea typeface="宋体"/>
                <a:cs typeface="Lucida Sans"/>
              </a:defRPr>
            </a:pPr>
            <a:endParaRPr lang="zh-CN"/>
          </a:p>
        </c:txPr>
      </c:dTable>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一般公共预算财政拨款支出决算结构图 单位：万元</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一般公共服务（类）支出</c:v>
              </c:pt>
              <c:pt idx="1">
                <c:v>社会保障和就业（类）支出</c:v>
              </c:pt>
              <c:pt idx="2">
                <c:v>卫生健康支出</c:v>
              </c:pt>
              <c:pt idx="3">
                <c:v>住房保障支出</c:v>
              </c:pt>
            </c:strLit>
          </c:cat>
          <c:val>
            <c:numRef>
              <c:f/>
              <c:numCache>
                <c:formatCode>General</c:formatCode>
                <c:ptCount val="4"/>
                <c:pt idx="0">
                  <c:v>446.24</c:v>
                </c:pt>
                <c:pt idx="1">
                  <c:v>56.2</c:v>
                </c:pt>
                <c:pt idx="2">
                  <c:v>21.61</c:v>
                </c:pt>
                <c:pt idx="3">
                  <c:v>33.52</c:v>
                </c:pt>
              </c:numCache>
            </c:numRef>
          </c:val>
        </c:ser>
        <c:ser>
          <c:idx val="1"/>
          <c:order val="1"/>
          <c:tx>
            <c:v>一般公共预算财政拨款支出决算结构图 占比：%</c:v>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一般公共服务（类）支出</c:v>
              </c:pt>
              <c:pt idx="1">
                <c:v>社会保障和就业（类）支出</c:v>
              </c:pt>
              <c:pt idx="2">
                <c:v>卫生健康支出</c:v>
              </c:pt>
              <c:pt idx="3">
                <c:v>住房保障支出</c:v>
              </c:pt>
            </c:strLit>
          </c:cat>
          <c:val>
            <c:numRef>
              <c:f/>
              <c:numCache>
                <c:formatCode>General</c:formatCode>
                <c:ptCount val="4"/>
                <c:pt idx="0">
                  <c:v>80.03</c:v>
                </c:pt>
                <c:pt idx="1">
                  <c:v>10.08</c:v>
                </c:pt>
                <c:pt idx="2">
                  <c:v>3.88</c:v>
                </c:pt>
                <c:pt idx="3">
                  <c:v>6.01</c:v>
                </c:pt>
              </c:numCache>
            </c:numRef>
          </c:val>
        </c:ser>
        <c:overlap val="-27"/>
        <c:gapWidth val="219"/>
        <c:axId val="0"/>
        <c:axId val="1"/>
      </c:barChart>
      <c:catAx>
        <c:axId val="0"/>
        <c:scaling>
          <c:orientation val="minMax"/>
        </c:scaling>
        <c:delete val="1"/>
        <c:axPos val="b"/>
        <c:numFmt formatCode="General" sourceLinked="0"/>
        <c:majorTickMark val="out"/>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D9D9D9"/>
              </a:solidFill>
              <a:prstDash val="solid"/>
            </a:ln>
          </c:spPr>
        </c:majorGridlines>
        <c:numFmt formatCode="General" sourceLinked="1"/>
        <c:majorTickMark val="out"/>
        <c:minorTickMark val="none"/>
        <c:tickLblPos val="nextTo"/>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“三公”经费财政拨款支出 单位：万元</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因公出国（境）费支出</c:v>
              </c:pt>
              <c:pt idx="1">
                <c:v>公务用车购置及运行维护费支出</c:v>
              </c:pt>
              <c:pt idx="2">
                <c:v>公务接待费支出</c:v>
              </c:pt>
            </c:strLit>
          </c:cat>
          <c:val>
            <c:numRef>
              <c:f/>
              <c:numCache>
                <c:formatCode>General</c:formatCode>
                <c:ptCount val="3"/>
                <c:pt idx="0">
                  <c:v>0.0</c:v>
                </c:pt>
                <c:pt idx="1">
                  <c:v>0.0</c:v>
                </c:pt>
                <c:pt idx="2">
                  <c:v>0.33</c:v>
                </c:pt>
              </c:numCache>
            </c:numRef>
          </c:val>
        </c:ser>
        <c:ser>
          <c:idx val="1"/>
          <c:order val="1"/>
          <c:tx>
            <c:v>“三公”经费财政拨款支出 占比：%</c:v>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3"/>
              <c:pt idx="0">
                <c:v>因公出国（境）费支出</c:v>
              </c:pt>
              <c:pt idx="1">
                <c:v>公务用车购置及运行维护费支出</c:v>
              </c:pt>
              <c:pt idx="2">
                <c:v>公务接待费支出</c:v>
              </c:pt>
            </c:strLit>
          </c:cat>
          <c:val>
            <c:numRef>
              <c:f/>
              <c:numCache>
                <c:formatCode>General</c:formatCode>
                <c:ptCount val="3"/>
                <c:pt idx="0">
                  <c:v>0.0</c:v>
                </c:pt>
                <c:pt idx="1">
                  <c:v>0.0</c:v>
                </c:pt>
                <c:pt idx="2">
                  <c:v>71.74</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1</Pages>
  <Words>0</Words>
  <Characters>0</Characters>
  <Lines>2</Lines>
  <Paragraphs>0</Paragraphs>
  <CharactersWithSpaces>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24</cp:revision>
  <cp:lastPrinted>2023-08-22T07:25:00Z</cp:lastPrinted>
  <dcterms:created xsi:type="dcterms:W3CDTF">2019-08-01T01:14:00Z</dcterms:created>
  <dcterms:modified xsi:type="dcterms:W3CDTF">2023-09-21T01:37:18Z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2052-12.1.0.15120</vt:lpwstr>
  </property>
  <property fmtid="{D5CDD505-2E9C-101B-9397-08002B2CF9AE}" pid="3" name="ICV">
    <vt:lpwstr>D4C0E47C212841CAB1209B49E3ED85D6_13</vt:lpwstr>
  </property>
</Properties>
</file>