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193"/>
      <w:bookmarkStart w:id="3" w:name="_Toc15396475"/>
      <w:bookmarkStart w:id="4" w:name="_Toc15378441"/>
      <w:bookmarkStart w:id="5" w:name="_Toc15377425"/>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6" w:name="_Toc15396476"/>
      <w:bookmarkStart w:id="7" w:name="_Toc15378442"/>
      <w:bookmarkStart w:id="8" w:name="_Toc15377194"/>
      <w:bookmarkStart w:id="9" w:name="_Toc15377426"/>
      <w:bookmarkStart w:id="10" w:name="_Toc15396598"/>
      <w:bookmarkStart w:id="11" w:name="_Toc15306268"/>
      <w:r>
        <w:rPr>
          <w:rFonts w:hint="eastAsia" w:ascii="方正小标宋简体" w:eastAsia="方正小标宋简体"/>
          <w:color w:val="000000"/>
          <w:sz w:val="72"/>
          <w:szCs w:val="72"/>
          <w:lang w:val="en-US" w:eastAsia="zh-CN"/>
        </w:rPr>
        <w:t>金川县行政审批局</w:t>
      </w:r>
    </w:p>
    <w:p>
      <w:pPr>
        <w:adjustRightInd w:val="0"/>
        <w:snapToGrid w:val="0"/>
        <w:spacing w:line="360" w:lineRule="auto"/>
        <w:jc w:val="center"/>
        <w:outlineLvl w:val="0"/>
        <w:rPr>
          <w:rFonts w:hint="eastAsia" w:ascii="方正小标宋简体" w:eastAsia="方正小标宋简体"/>
          <w:color w:val="000000"/>
          <w:sz w:val="72"/>
          <w:szCs w:val="72"/>
          <w:lang w:eastAsia="zh-CN"/>
        </w:rPr>
      </w:pPr>
      <w:r>
        <w:rPr>
          <w:rFonts w:hint="eastAsia" w:ascii="方正小标宋简体" w:eastAsia="方正小标宋简体"/>
          <w:color w:val="000000"/>
          <w:sz w:val="72"/>
          <w:szCs w:val="72"/>
        </w:rPr>
        <w:t>部门决算</w:t>
      </w:r>
      <w:bookmarkEnd w:id="6"/>
      <w:bookmarkEnd w:id="7"/>
      <w:bookmarkEnd w:id="8"/>
      <w:bookmarkEnd w:id="9"/>
      <w:bookmarkEnd w:id="10"/>
      <w:bookmarkEnd w:id="11"/>
      <w:r>
        <w:rPr>
          <w:rFonts w:hint="eastAsia" w:ascii="方正小标宋简体" w:eastAsia="方正小标宋简体"/>
          <w:color w:val="000000"/>
          <w:sz w:val="72"/>
          <w:szCs w:val="72"/>
          <w:lang w:eastAsia="zh-CN"/>
        </w:rPr>
        <w:t>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rPr>
          <w:rFonts w:hint="eastAsia"/>
        </w:rPr>
      </w:pPr>
      <w:r>
        <w:rPr>
          <w:rFonts w:hint="eastAsia"/>
        </w:rPr>
        <w:t>公开时间：20</w:t>
      </w:r>
      <w:r>
        <w:rPr>
          <w:rFonts w:hint="eastAsia"/>
          <w:lang w:val="en-US" w:eastAsia="zh-CN"/>
        </w:rPr>
        <w:t>22</w:t>
      </w:r>
      <w:r>
        <w:rPr>
          <w:rFonts w:hint="eastAsia"/>
        </w:rPr>
        <w:t>年</w:t>
      </w:r>
      <w:r>
        <w:rPr>
          <w:rFonts w:hint="eastAsia"/>
          <w:lang w:val="en-US" w:eastAsia="zh-CN"/>
        </w:rPr>
        <w:t>8</w:t>
      </w:r>
      <w:r>
        <w:rPr>
          <w:rFonts w:hint="eastAsia"/>
        </w:rPr>
        <w:t>月</w:t>
      </w:r>
      <w:r>
        <w:rPr>
          <w:rFonts w:hint="eastAsia"/>
          <w:lang w:val="en-US" w:eastAsia="zh-CN"/>
        </w:rPr>
        <w:t>18</w:t>
      </w:r>
      <w:r>
        <w:rPr>
          <w:rFonts w:hint="eastAsia"/>
        </w:rPr>
        <w:t>日</w:t>
      </w:r>
    </w:p>
    <w:p>
      <w:pPr>
        <w:rPr>
          <w:rFonts w:hint="eastAsia"/>
        </w:rPr>
      </w:pPr>
    </w:p>
    <w:p>
      <w:pPr>
        <w:rPr>
          <w:rFonts w:hint="eastAsia"/>
        </w:rPr>
      </w:pPr>
    </w:p>
    <w:p>
      <w:pPr>
        <w:rPr>
          <w:rFonts w:hint="eastAsia"/>
        </w:rPr>
      </w:pPr>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1"/>
        <w:rPr>
          <w:rFonts w:hint="default" w:ascii="仿宋" w:eastAsia="仿宋" w:cs="Arial"/>
          <w:sz w:val="28"/>
          <w:szCs w:val="28"/>
          <w:lang w:val="en-US" w:eastAsia="zh-CN"/>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r>
        <w:rPr>
          <w:rFonts w:hint="eastAsia" w:ascii="仿宋" w:eastAsia="仿宋"/>
          <w:sz w:val="28"/>
          <w:szCs w:val="28"/>
          <w:lang w:val="en-US" w:eastAsia="zh-CN"/>
        </w:rPr>
        <w:t>-8</w:t>
      </w:r>
    </w:p>
    <w:p>
      <w:pPr>
        <w:pStyle w:val="11"/>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0"/>
        <w:rPr>
          <w:rFonts w:hint="eastAsia" w:eastAsia="仿宋"/>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w:t>
      </w:r>
      <w:r>
        <w:rPr>
          <w:rFonts w:hint="eastAsia"/>
          <w:lang w:eastAsia="zh-CN"/>
        </w:rPr>
        <w:t>分析报告</w:t>
      </w:r>
      <w:r>
        <w:tab/>
      </w:r>
      <w:r>
        <w:rPr>
          <w:rFonts w:hint="eastAsia"/>
          <w:lang w:val="en-US" w:eastAsia="zh-CN"/>
        </w:rPr>
        <w:t>9</w:t>
      </w:r>
      <w:r>
        <w:fldChar w:fldCharType="end"/>
      </w:r>
    </w:p>
    <w:p>
      <w:pPr>
        <w:pStyle w:val="11"/>
        <w:rPr>
          <w:rFonts w:hint="default" w:ascii="仿宋" w:eastAsia="仿宋" w:cs="Arial"/>
          <w:sz w:val="28"/>
          <w:szCs w:val="28"/>
          <w:lang w:val="en-US" w:eastAsia="zh-CN"/>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 xml:space="preserve"> 9</w:t>
      </w:r>
      <w:r>
        <w:rPr>
          <w:rFonts w:ascii="仿宋" w:eastAsia="仿宋"/>
          <w:sz w:val="28"/>
          <w:szCs w:val="28"/>
        </w:rPr>
        <w:fldChar w:fldCharType="end"/>
      </w:r>
    </w:p>
    <w:p>
      <w:pPr>
        <w:pStyle w:val="11"/>
        <w:rPr>
          <w:rFonts w:hint="eastAsia" w:ascii="仿宋" w:eastAsia="仿宋" w:cs="Arial"/>
          <w:sz w:val="28"/>
          <w:szCs w:val="28"/>
          <w:lang w:val="en-US" w:eastAsia="zh-CN"/>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9-1</w:t>
      </w:r>
      <w:r>
        <w:rPr>
          <w:rFonts w:ascii="仿宋" w:eastAsia="仿宋"/>
          <w:sz w:val="28"/>
          <w:szCs w:val="28"/>
        </w:rPr>
        <w:fldChar w:fldCharType="end"/>
      </w:r>
      <w:r>
        <w:rPr>
          <w:rFonts w:hint="eastAsia" w:ascii="仿宋" w:eastAsia="仿宋"/>
          <w:sz w:val="28"/>
          <w:szCs w:val="28"/>
          <w:lang w:val="en-US" w:eastAsia="zh-CN"/>
        </w:rPr>
        <w:t>0</w:t>
      </w:r>
    </w:p>
    <w:p>
      <w:pPr>
        <w:pStyle w:val="11"/>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pPr>
        <w:pStyle w:val="11"/>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1"/>
        <w:rPr>
          <w:rFonts w:hint="default"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11-1</w:t>
      </w:r>
      <w:r>
        <w:rPr>
          <w:rFonts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13-1</w:t>
      </w:r>
      <w:r>
        <w:rPr>
          <w:rFonts w:ascii="仿宋" w:eastAsia="仿宋"/>
          <w:sz w:val="28"/>
          <w:szCs w:val="28"/>
        </w:rPr>
        <w:fldChar w:fldCharType="end"/>
      </w:r>
      <w:r>
        <w:rPr>
          <w:rFonts w:hint="eastAsia" w:ascii="仿宋" w:eastAsia="仿宋"/>
          <w:sz w:val="28"/>
          <w:szCs w:val="28"/>
          <w:lang w:val="en-US" w:eastAsia="zh-CN"/>
        </w:rPr>
        <w:t>4</w:t>
      </w:r>
    </w:p>
    <w:p>
      <w:pPr>
        <w:pStyle w:val="11"/>
        <w:rPr>
          <w:rFonts w:hint="default"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4-15</w:t>
      </w:r>
    </w:p>
    <w:p>
      <w:pPr>
        <w:pStyle w:val="11"/>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w:t>
      </w:r>
      <w:r>
        <w:rPr>
          <w:rFonts w:hint="eastAsia" w:ascii="仿宋" w:eastAsia="仿宋" w:cs="Times New Roman"/>
          <w:bCs/>
          <w:sz w:val="28"/>
          <w:szCs w:val="28"/>
          <w:lang w:eastAsia="zh-CN"/>
        </w:rPr>
        <w:t>收入、</w:t>
      </w:r>
      <w:r>
        <w:rPr>
          <w:rFonts w:hint="eastAsia" w:ascii="仿宋" w:eastAsia="仿宋" w:cs="Times New Roman"/>
          <w:bCs/>
          <w:sz w:val="28"/>
          <w:szCs w:val="28"/>
        </w:rPr>
        <w:t>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6</w:t>
      </w:r>
      <w:bookmarkStart w:id="72" w:name="_GoBack"/>
      <w:bookmarkEnd w:id="72"/>
    </w:p>
    <w:p>
      <w:pPr>
        <w:pStyle w:val="11"/>
        <w:rPr>
          <w:rFonts w:hint="default"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 xml:space="preserve"> 1</w:t>
      </w:r>
      <w:r>
        <w:rPr>
          <w:rFonts w:ascii="仿宋" w:eastAsia="仿宋"/>
          <w:sz w:val="28"/>
          <w:szCs w:val="28"/>
        </w:rPr>
        <w:fldChar w:fldCharType="end"/>
      </w:r>
      <w:r>
        <w:rPr>
          <w:rFonts w:hint="eastAsia" w:ascii="仿宋" w:eastAsia="仿宋"/>
          <w:sz w:val="28"/>
          <w:szCs w:val="28"/>
          <w:lang w:val="en-US" w:eastAsia="zh-CN"/>
        </w:rPr>
        <w:t>6</w:t>
      </w:r>
    </w:p>
    <w:p>
      <w:pPr>
        <w:pStyle w:val="11"/>
        <w:rPr>
          <w:rFonts w:hint="default" w:ascii="仿宋" w:eastAsia="仿宋"/>
          <w:sz w:val="28"/>
          <w:szCs w:val="28"/>
          <w:lang w:val="en-US"/>
        </w:rPr>
      </w:pPr>
      <w:r>
        <w:rPr>
          <w:rStyle w:val="16"/>
          <w:rFonts w:hint="eastAsia" w:ascii="仿宋" w:eastAsia="仿宋" w:cs="Times New Roman"/>
          <w:bCs/>
          <w:kern w:val="2"/>
          <w:sz w:val="28"/>
          <w:szCs w:val="28"/>
          <w:lang w:val="en-US" w:eastAsia="zh-CN" w:bidi="ar-SA"/>
        </w:rPr>
        <w:t xml:space="preserve"> 十、预算绩效情况说明   ............................16-17</w:t>
      </w:r>
    </w:p>
    <w:p>
      <w:pPr>
        <w:rPr>
          <w:lang w:val="en-US" w:eastAsia="zh-CN"/>
        </w:rPr>
      </w:pPr>
    </w:p>
    <w:p>
      <w:pPr>
        <w:pStyle w:val="11"/>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7</w:t>
      </w:r>
    </w:p>
    <w:p>
      <w:pPr>
        <w:pStyle w:val="10"/>
        <w:rPr>
          <w:rFonts w:hint="default"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8-20</w:t>
      </w:r>
    </w:p>
    <w:p>
      <w:pPr>
        <w:pStyle w:val="10"/>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1</w:t>
      </w:r>
    </w:p>
    <w:p>
      <w:pPr>
        <w:pStyle w:val="11"/>
        <w:rPr>
          <w:rFonts w:hint="default"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1-27</w:t>
      </w:r>
    </w:p>
    <w:p>
      <w:pPr>
        <w:pStyle w:val="10"/>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b w:val="0"/>
          <w:color w:val="000000"/>
          <w:sz w:val="28"/>
          <w:szCs w:val="28"/>
        </w:rPr>
        <w:t>收</w:t>
      </w:r>
      <w:r>
        <w:rPr>
          <w:rStyle w:val="18"/>
          <w:rFonts w:hint="eastAsia" w:ascii="仿宋" w:eastAsia="仿宋"/>
          <w:b w:val="0"/>
          <w:bCs w:val="0"/>
          <w:sz w:val="28"/>
          <w:szCs w:val="28"/>
        </w:rPr>
        <w:t>入决算表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b w:val="0"/>
          <w:color w:val="000000"/>
          <w:sz w:val="28"/>
          <w:szCs w:val="28"/>
        </w:rPr>
        <w:t>支</w:t>
      </w:r>
      <w:r>
        <w:rPr>
          <w:rStyle w:val="18"/>
          <w:rFonts w:hint="eastAsia" w:ascii="仿宋" w:eastAsia="仿宋"/>
          <w:b w:val="0"/>
          <w:bCs w:val="0"/>
          <w:sz w:val="28"/>
          <w:szCs w:val="28"/>
        </w:rPr>
        <w:t>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b w:val="0"/>
          <w:color w:val="000000"/>
          <w:sz w:val="28"/>
          <w:szCs w:val="28"/>
        </w:rPr>
        <w:t>财</w:t>
      </w:r>
      <w:r>
        <w:rPr>
          <w:rStyle w:val="18"/>
          <w:rFonts w:hint="eastAsia" w:ascii="仿宋" w:eastAsia="仿宋"/>
          <w:b w:val="0"/>
          <w:bCs w:val="0"/>
          <w:sz w:val="28"/>
          <w:szCs w:val="28"/>
        </w:rPr>
        <w:t>政拨款收入支出决算总表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sz w:val="28"/>
          <w:szCs w:val="28"/>
          <w:lang w:val="en-US" w:eastAsia="zh-CN"/>
        </w:rPr>
      </w:pPr>
      <w:r>
        <w:rPr>
          <w:rFonts w:hint="eastAsia" w:ascii="仿宋" w:eastAsia="仿宋"/>
          <w:sz w:val="28"/>
          <w:szCs w:val="28"/>
          <w:lang w:eastAsia="zh-CN"/>
        </w:rPr>
        <w:t>五</w:t>
      </w:r>
      <w:r>
        <w:rPr>
          <w:rFonts w:hint="eastAsia" w:ascii="仿宋" w:eastAsia="仿宋"/>
          <w:sz w:val="28"/>
          <w:szCs w:val="28"/>
        </w:rPr>
        <w:t>、</w:t>
      </w:r>
      <w:r>
        <w:fldChar w:fldCharType="begin"/>
      </w:r>
      <w:r>
        <w:instrText xml:space="preserve"> HYPERLINK \l "_Toc15396624" </w:instrText>
      </w:r>
      <w:r>
        <w:fldChar w:fldCharType="separate"/>
      </w:r>
      <w:r>
        <w:rPr>
          <w:rStyle w:val="18"/>
          <w:rFonts w:hint="eastAsia" w:ascii="仿宋" w:eastAsia="仿宋"/>
          <w:b w:val="0"/>
          <w:bCs w:val="0"/>
          <w:sz w:val="28"/>
          <w:szCs w:val="28"/>
        </w:rPr>
        <w:t>财政拨款支出决算明细表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lang w:eastAsia="zh-CN"/>
        </w:rPr>
        <w:t>六</w:t>
      </w:r>
      <w:r>
        <w:rPr>
          <w:rFonts w:hint="eastAsia" w:ascii="仿宋" w:eastAsia="仿宋"/>
          <w:sz w:val="28"/>
          <w:szCs w:val="28"/>
        </w:rPr>
        <w:t>、</w:t>
      </w:r>
      <w:r>
        <w:rPr>
          <w:rFonts w:hint="eastAsia" w:ascii="仿宋" w:eastAsia="仿宋"/>
          <w:sz w:val="28"/>
          <w:szCs w:val="28"/>
          <w:lang w:eastAsia="zh-CN"/>
        </w:rPr>
        <w:t>一般公共预算</w:t>
      </w:r>
      <w:r>
        <w:fldChar w:fldCharType="begin"/>
      </w:r>
      <w:r>
        <w:instrText xml:space="preserve"> HYPERLINK \l "_Toc15396624" </w:instrText>
      </w:r>
      <w:r>
        <w:fldChar w:fldCharType="separate"/>
      </w:r>
      <w:r>
        <w:rPr>
          <w:rStyle w:val="18"/>
          <w:rFonts w:hint="eastAsia" w:ascii="仿宋" w:eastAsia="仿宋"/>
          <w:b w:val="0"/>
          <w:bCs w:val="0"/>
          <w:sz w:val="28"/>
          <w:szCs w:val="28"/>
        </w:rPr>
        <w:t>财政拨款支出决算表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lang w:eastAsia="zh-CN"/>
        </w:rPr>
        <w:t>七</w:t>
      </w:r>
      <w:r>
        <w:rPr>
          <w:rFonts w:hint="eastAsia" w:ascii="仿宋" w:eastAsia="仿宋"/>
          <w:sz w:val="28"/>
          <w:szCs w:val="28"/>
        </w:rPr>
        <w:t>、</w:t>
      </w:r>
      <w:r>
        <w:fldChar w:fldCharType="begin"/>
      </w:r>
      <w:r>
        <w:instrText xml:space="preserve"> HYPERLINK \l "_Toc15396624" </w:instrText>
      </w:r>
      <w:r>
        <w:fldChar w:fldCharType="separate"/>
      </w:r>
      <w:r>
        <w:rPr>
          <w:rFonts w:hint="eastAsia" w:ascii="仿宋" w:eastAsia="仿宋"/>
          <w:sz w:val="28"/>
          <w:szCs w:val="28"/>
          <w:lang w:eastAsia="zh-CN"/>
        </w:rPr>
        <w:t>一般公共预算</w:t>
      </w:r>
      <w:r>
        <w:fldChar w:fldCharType="begin"/>
      </w:r>
      <w:r>
        <w:instrText xml:space="preserve"> HYPERLINK \l "_Toc15396624" </w:instrText>
      </w:r>
      <w:r>
        <w:fldChar w:fldCharType="separate"/>
      </w:r>
      <w:r>
        <w:rPr>
          <w:rStyle w:val="18"/>
          <w:rFonts w:hint="eastAsia" w:ascii="仿宋" w:eastAsia="仿宋"/>
          <w:b w:val="0"/>
          <w:bCs w:val="0"/>
          <w:sz w:val="28"/>
          <w:szCs w:val="28"/>
        </w:rPr>
        <w:t>财政拨款支出决算明细表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lang w:val="en-US" w:eastAsia="zh-CN"/>
        </w:rPr>
      </w:pPr>
      <w:r>
        <w:rPr>
          <w:rFonts w:hint="eastAsia" w:ascii="仿宋" w:eastAsia="仿宋"/>
          <w:sz w:val="28"/>
          <w:szCs w:val="28"/>
          <w:lang w:eastAsia="zh-CN"/>
        </w:rPr>
        <w:t>八</w:t>
      </w:r>
      <w:r>
        <w:rPr>
          <w:rFonts w:hint="eastAsia" w:ascii="仿宋" w:eastAsia="仿宋"/>
          <w:sz w:val="28"/>
          <w:szCs w:val="28"/>
        </w:rPr>
        <w:t>、</w:t>
      </w:r>
      <w:r>
        <w:fldChar w:fldCharType="begin"/>
      </w:r>
      <w:r>
        <w:instrText xml:space="preserve"> HYPERLINK \l "_Toc15396624" </w:instrText>
      </w:r>
      <w:r>
        <w:fldChar w:fldCharType="separate"/>
      </w:r>
      <w:r>
        <w:rPr>
          <w:rFonts w:hint="eastAsia" w:ascii="仿宋" w:eastAsia="仿宋"/>
          <w:sz w:val="28"/>
          <w:szCs w:val="28"/>
          <w:lang w:eastAsia="zh-CN"/>
        </w:rPr>
        <w:t>一般公共预算</w:t>
      </w:r>
      <w:r>
        <w:fldChar w:fldCharType="begin"/>
      </w:r>
      <w:r>
        <w:instrText xml:space="preserve"> HYPERLINK \l "_Toc15396624" </w:instrText>
      </w:r>
      <w:r>
        <w:fldChar w:fldCharType="separate"/>
      </w:r>
      <w:r>
        <w:rPr>
          <w:rStyle w:val="18"/>
          <w:rFonts w:hint="eastAsia" w:ascii="仿宋" w:eastAsia="仿宋"/>
          <w:b w:val="0"/>
          <w:bCs w:val="0"/>
          <w:sz w:val="28"/>
          <w:szCs w:val="28"/>
        </w:rPr>
        <w:t>财政拨款基本支出决算表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sz w:val="28"/>
          <w:szCs w:val="28"/>
          <w:lang w:val="en-US" w:eastAsia="zh-CN"/>
        </w:rPr>
      </w:pPr>
      <w:r>
        <w:rPr>
          <w:rFonts w:hint="eastAsia" w:ascii="仿宋" w:eastAsia="仿宋"/>
          <w:sz w:val="28"/>
          <w:szCs w:val="28"/>
          <w:lang w:eastAsia="zh-CN"/>
        </w:rPr>
        <w:t>九</w:t>
      </w:r>
      <w:r>
        <w:rPr>
          <w:rFonts w:hint="eastAsia" w:ascii="仿宋" w:eastAsia="仿宋"/>
          <w:sz w:val="28"/>
          <w:szCs w:val="28"/>
        </w:rPr>
        <w:t>、</w:t>
      </w:r>
      <w:r>
        <w:fldChar w:fldCharType="begin"/>
      </w:r>
      <w:r>
        <w:instrText xml:space="preserve"> HYPERLINK \l "_Toc15396626" </w:instrText>
      </w:r>
      <w:r>
        <w:fldChar w:fldCharType="separate"/>
      </w:r>
      <w:r>
        <w:rPr>
          <w:rFonts w:hint="eastAsia" w:ascii="仿宋" w:eastAsia="仿宋"/>
          <w:sz w:val="28"/>
          <w:szCs w:val="28"/>
        </w:rPr>
        <w:t>一般公共预算财政拨款</w:t>
      </w:r>
      <w:r>
        <w:rPr>
          <w:rFonts w:hint="eastAsia" w:ascii="仿宋" w:eastAsia="仿宋"/>
          <w:sz w:val="28"/>
          <w:szCs w:val="28"/>
          <w:lang w:eastAsia="zh-CN"/>
        </w:rPr>
        <w:t>项目</w:t>
      </w:r>
      <w:r>
        <w:rPr>
          <w:rFonts w:hint="eastAsia" w:ascii="仿宋" w:eastAsia="仿宋"/>
          <w:sz w:val="28"/>
          <w:szCs w:val="28"/>
        </w:rPr>
        <w:t>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lang w:val="en-US" w:eastAsia="zh-CN"/>
        </w:rPr>
      </w:pPr>
      <w:r>
        <w:rPr>
          <w:rFonts w:hint="eastAsia" w:ascii="仿宋" w:eastAsia="仿宋"/>
          <w:sz w:val="28"/>
          <w:szCs w:val="28"/>
          <w:lang w:eastAsia="zh-CN"/>
        </w:rPr>
        <w:t>十</w:t>
      </w:r>
      <w:r>
        <w:rPr>
          <w:rFonts w:hint="eastAsia" w:ascii="仿宋" w:eastAsia="仿宋"/>
          <w:sz w:val="28"/>
          <w:szCs w:val="28"/>
        </w:rPr>
        <w:t>、</w:t>
      </w:r>
      <w:r>
        <w:fldChar w:fldCharType="begin"/>
      </w:r>
      <w:r>
        <w:instrText xml:space="preserve"> HYPERLINK \l "_Toc15396624" </w:instrText>
      </w:r>
      <w:r>
        <w:fldChar w:fldCharType="separate"/>
      </w:r>
      <w:r>
        <w:rPr>
          <w:rStyle w:val="18"/>
          <w:rFonts w:hint="eastAsia" w:ascii="仿宋" w:eastAsia="仿宋"/>
          <w:b w:val="0"/>
          <w:bCs w:val="0"/>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sz w:val="28"/>
          <w:szCs w:val="28"/>
          <w:lang w:val="en-US" w:eastAsia="zh-CN"/>
        </w:rPr>
      </w:pPr>
      <w:r>
        <w:rPr>
          <w:rFonts w:hint="eastAsia" w:ascii="仿宋" w:eastAsia="仿宋"/>
          <w:sz w:val="28"/>
          <w:szCs w:val="28"/>
          <w:lang w:eastAsia="zh-CN"/>
        </w:rPr>
        <w:t>十一</w:t>
      </w:r>
      <w:r>
        <w:rPr>
          <w:rFonts w:hint="eastAsia" w:ascii="仿宋" w:eastAsia="仿宋"/>
          <w:sz w:val="28"/>
          <w:szCs w:val="28"/>
        </w:rPr>
        <w:t>、</w:t>
      </w:r>
      <w:r>
        <w:fldChar w:fldCharType="begin"/>
      </w:r>
      <w:r>
        <w:instrText xml:space="preserve"> HYPERLINK \l "_Toc15396627" </w:instrText>
      </w:r>
      <w:r>
        <w:fldChar w:fldCharType="separate"/>
      </w:r>
      <w:r>
        <w:rPr>
          <w:rFonts w:hint="eastAsia" w:ascii="仿宋" w:eastAsia="仿宋"/>
          <w:sz w:val="28"/>
          <w:szCs w:val="28"/>
          <w:lang w:eastAsia="zh-CN"/>
        </w:rPr>
        <w:t>政府性基金预算财政拨款收入支出决算表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lang w:eastAsia="zh-CN"/>
        </w:rPr>
        <w:t>十二</w:t>
      </w:r>
      <w:r>
        <w:rPr>
          <w:rFonts w:hint="eastAsia" w:ascii="仿宋" w:eastAsia="仿宋"/>
          <w:sz w:val="28"/>
          <w:szCs w:val="28"/>
        </w:rPr>
        <w:t>、</w:t>
      </w:r>
      <w:r>
        <w:fldChar w:fldCharType="begin"/>
      </w:r>
      <w:r>
        <w:instrText xml:space="preserve"> HYPERLINK \l "_Toc15396624" </w:instrText>
      </w:r>
      <w:r>
        <w:fldChar w:fldCharType="separate"/>
      </w:r>
      <w:r>
        <w:rPr>
          <w:rStyle w:val="18"/>
          <w:rFonts w:hint="eastAsia" w:ascii="仿宋" w:eastAsia="仿宋"/>
          <w:b w:val="0"/>
          <w:bCs w:val="0"/>
          <w:sz w:val="28"/>
          <w:szCs w:val="28"/>
        </w:rPr>
        <w:t>政府性基金预算财政拨款“三公”经费支出决算表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lang w:val="en-US" w:eastAsia="zh-CN"/>
        </w:rPr>
      </w:pPr>
      <w:r>
        <w:rPr>
          <w:rFonts w:hint="eastAsia" w:ascii="仿宋" w:eastAsia="仿宋"/>
          <w:sz w:val="28"/>
          <w:szCs w:val="28"/>
          <w:lang w:eastAsia="zh-CN"/>
        </w:rPr>
        <w:t>十三</w:t>
      </w:r>
      <w:r>
        <w:rPr>
          <w:rFonts w:hint="eastAsia" w:ascii="仿宋" w:eastAsia="仿宋"/>
          <w:sz w:val="28"/>
          <w:szCs w:val="28"/>
        </w:rPr>
        <w:t>、</w:t>
      </w:r>
      <w:r>
        <w:fldChar w:fldCharType="begin"/>
      </w:r>
      <w:r>
        <w:instrText xml:space="preserve"> HYPERLINK \l "_Toc15396624" </w:instrText>
      </w:r>
      <w:r>
        <w:fldChar w:fldCharType="separate"/>
      </w:r>
      <w:r>
        <w:rPr>
          <w:rStyle w:val="18"/>
          <w:rFonts w:hint="eastAsia" w:ascii="仿宋" w:eastAsia="仿宋"/>
          <w:b w:val="0"/>
          <w:bCs w:val="0"/>
          <w:sz w:val="28"/>
          <w:szCs w:val="28"/>
        </w:rPr>
        <w:t>国有资本经营预算财政拨款收入支出决算表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lang w:eastAsia="zh-CN"/>
        </w:rPr>
        <w:t>十四</w:t>
      </w:r>
      <w:r>
        <w:rPr>
          <w:rFonts w:hint="eastAsia" w:ascii="仿宋" w:eastAsia="仿宋"/>
          <w:sz w:val="28"/>
          <w:szCs w:val="28"/>
        </w:rPr>
        <w:t>、</w:t>
      </w:r>
      <w:r>
        <w:fldChar w:fldCharType="begin"/>
      </w:r>
      <w:r>
        <w:instrText xml:space="preserve"> HYPERLINK \l "_Toc15396628" </w:instrText>
      </w:r>
      <w:r>
        <w:fldChar w:fldCharType="separate"/>
      </w:r>
      <w:r>
        <w:rPr>
          <w:rFonts w:hint="eastAsia" w:ascii="仿宋" w:eastAsia="仿宋"/>
          <w:sz w:val="28"/>
          <w:szCs w:val="28"/>
          <w:lang w:eastAsia="zh-CN"/>
        </w:rPr>
        <w:t>国有资本经营预算财政拨款支出决算表</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11"/>
        <w:rPr>
          <w:rFonts w:hint="eastAsia" w:ascii="仿宋" w:eastAsia="仿宋" w:cs="Arial"/>
          <w:sz w:val="28"/>
          <w:szCs w:val="28"/>
          <w:lang w:val="en-US" w:eastAsia="zh-CN"/>
        </w:rPr>
      </w:pPr>
      <w:r>
        <w:rPr>
          <w:rFonts w:hint="eastAsia" w:ascii="仿宋" w:eastAsia="仿宋"/>
          <w:sz w:val="28"/>
          <w:szCs w:val="28"/>
        </w:rPr>
        <w:t>十</w:t>
      </w:r>
      <w:r>
        <w:rPr>
          <w:rFonts w:hint="eastAsia" w:ascii="仿宋" w:eastAsia="仿宋"/>
          <w:sz w:val="28"/>
          <w:szCs w:val="28"/>
          <w:lang w:eastAsia="zh-CN"/>
        </w:rPr>
        <w:t>五</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7199"/>
      <w:bookmarkStart w:id="19" w:name="_Toc15378446"/>
    </w:p>
    <w:p>
      <w:pPr>
        <w:pStyle w:val="25"/>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行政审批局： </w:t>
      </w:r>
      <w:r>
        <w:rPr>
          <w:rFonts w:hint="eastAsia" w:ascii="仿宋_GB2312" w:hAnsi="仿宋_GB2312" w:eastAsia="仿宋_GB2312" w:cs="仿宋_GB2312"/>
          <w:kern w:val="0"/>
          <w:sz w:val="32"/>
          <w:szCs w:val="32"/>
        </w:rPr>
        <w:t>负责深化行政审批制度改革和“放管服”改革工作，承担县本级行政权力清单和责任清单的动态调整，指导全县行政权力权力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pPr>
        <w:pStyle w:val="6"/>
        <w:keepNext w:val="0"/>
        <w:keepLines w:val="0"/>
        <w:widowControl/>
        <w:suppressLineNumbers w:val="0"/>
        <w:autoSpaceDE w:val="0"/>
        <w:autoSpaceDN/>
        <w:adjustRightInd w:val="0"/>
        <w:snapToGrid w:val="0"/>
        <w:spacing w:before="72" w:beforeAutospacing="0" w:after="0" w:afterAutospacing="1" w:line="440" w:lineRule="exact"/>
        <w:ind w:left="0" w:leftChars="0" w:right="0" w:rightChars="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政务服务和公共资源交易服务中心： 提高政府采购资金使用效率，规范政府投资工程建设项目比选活动和国有产权交易、维护国家利益和当事人的合法利益，促进廉政建设。</w:t>
      </w:r>
    </w:p>
    <w:p>
      <w:pPr>
        <w:pStyle w:val="6"/>
        <w:keepNext w:val="0"/>
        <w:keepLines w:val="0"/>
        <w:widowControl/>
        <w:suppressLineNumbers w:val="0"/>
        <w:autoSpaceDE w:val="0"/>
        <w:autoSpaceDN/>
        <w:adjustRightInd w:val="0"/>
        <w:snapToGrid w:val="0"/>
        <w:spacing w:before="72" w:beforeAutospacing="0" w:after="0" w:afterAutospacing="1" w:line="440" w:lineRule="exact"/>
        <w:ind w:left="0" w:leftChars="0" w:right="0" w:rightChars="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依法接受政府采购业务代理范围的政府采购项目；在政府投资工程建设项目招标阶段，行使招标职责；接受委托国有产权交易，负责组织开展土地使用产权和矿业权招拍挂交易活动。</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18"/>
      <w:bookmarkEnd w:id="19"/>
    </w:p>
    <w:p>
      <w:pPr>
        <w:pStyle w:val="25"/>
        <w:keepNext w:val="0"/>
        <w:keepLines w:val="0"/>
        <w:widowControl/>
        <w:numPr>
          <w:ilvl w:val="0"/>
          <w:numId w:val="1"/>
        </w:numPr>
        <w:suppressLineNumbers w:val="0"/>
        <w:spacing w:before="0" w:beforeAutospacing="0"/>
        <w:ind w:left="0"/>
        <w:jc w:val="left"/>
        <w:rPr>
          <w:rFonts w:hint="eastAsia" w:ascii="仿宋_GB2312" w:hAnsi="仿宋_GB2312" w:eastAsia="仿宋_GB2312" w:cs="仿宋_GB2312"/>
          <w:kern w:val="0"/>
          <w:sz w:val="32"/>
          <w:szCs w:val="32"/>
          <w:shd w:val="clear" w:fill="FFFFFF"/>
        </w:rPr>
      </w:pPr>
      <w:bookmarkStart w:id="20" w:name="_Toc15396601"/>
      <w:bookmarkStart w:id="21" w:name="_Toc15377200"/>
      <w:r>
        <w:rPr>
          <w:rFonts w:hint="eastAsia" w:ascii="仿宋_GB2312" w:hAnsi="仿宋_GB2312" w:eastAsia="仿宋_GB2312" w:cs="仿宋_GB2312"/>
          <w:kern w:val="0"/>
          <w:sz w:val="32"/>
          <w:szCs w:val="32"/>
          <w:shd w:val="clear" w:fill="FFFFFF"/>
        </w:rPr>
        <w:t>概述单位工作开展情况及主要事业成效。</w:t>
      </w:r>
    </w:p>
    <w:p>
      <w:pPr>
        <w:pStyle w:val="25"/>
        <w:keepNext w:val="0"/>
        <w:keepLines w:val="0"/>
        <w:widowControl/>
        <w:numPr>
          <w:ilvl w:val="0"/>
          <w:numId w:val="0"/>
        </w:numPr>
        <w:suppressLineNumbers w:val="0"/>
        <w:spacing w:before="0" w:beforeAutospacing="0"/>
        <w:ind w:right="0" w:rightChars="0"/>
        <w:jc w:val="left"/>
        <w:rPr>
          <w:rStyle w:val="35"/>
          <w:rFonts w:hint="eastAsia" w:ascii="仿宋_GB2312" w:hAnsi="仿宋_GB2312" w:eastAsia="仿宋_GB2312" w:cs="仿宋_GB2312"/>
          <w:b/>
          <w:bCs/>
          <w:i w:val="0"/>
          <w:caps w:val="0"/>
          <w:color w:val="auto"/>
          <w:spacing w:val="0"/>
          <w:w w:val="100"/>
          <w:kern w:val="2"/>
          <w:sz w:val="32"/>
          <w:szCs w:val="32"/>
          <w:lang w:val="en-US" w:eastAsia="zh-CN" w:bidi="ar-SA"/>
        </w:rPr>
      </w:pPr>
      <w:r>
        <w:rPr>
          <w:rStyle w:val="35"/>
          <w:rFonts w:hint="eastAsia" w:ascii="仿宋_GB2312" w:hAnsi="仿宋_GB2312" w:eastAsia="仿宋_GB2312" w:cs="仿宋_GB2312"/>
          <w:b/>
          <w:bCs/>
          <w:i w:val="0"/>
          <w:caps w:val="0"/>
          <w:color w:val="auto"/>
          <w:spacing w:val="0"/>
          <w:w w:val="100"/>
          <w:kern w:val="2"/>
          <w:sz w:val="32"/>
          <w:szCs w:val="32"/>
          <w:lang w:val="en-US" w:eastAsia="zh-CN" w:bidi="ar-SA"/>
        </w:rPr>
        <w:t>（一）扎实做好“三化”建设。</w:t>
      </w:r>
      <w:r>
        <w:rPr>
          <w:rStyle w:val="36"/>
          <w:rFonts w:hint="eastAsia" w:ascii="仿宋_GB2312" w:hAnsi="仿宋_GB2312" w:eastAsia="仿宋_GB2312" w:cs="仿宋_GB2312"/>
          <w:b w:val="0"/>
          <w:i w:val="0"/>
          <w:caps w:val="0"/>
          <w:color w:val="auto"/>
          <w:spacing w:val="0"/>
          <w:w w:val="100"/>
          <w:kern w:val="2"/>
          <w:sz w:val="32"/>
          <w:szCs w:val="32"/>
          <w:lang w:val="en-US" w:eastAsia="zh-CN" w:bidi="ar-SA"/>
        </w:rPr>
        <w:t>按照两项改革“后半篇”文章部署要求，为进一步完善乡（镇）便民服务体系，全面打造乡（镇）、村便民服务标准化规范化便利化（以下简称“三化”）建设，我局以点带面，确定在安宁镇、观音桥镇、卡拉脚乡等3个乡镇13村作为试点，带头打造标准化规范化便利化便民服务体系，目前完成了现场踏勘、初设等工作。</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leftChars="0" w:firstLine="643" w:firstLineChars="200"/>
        <w:jc w:val="both"/>
        <w:textAlignment w:val="baseline"/>
        <w:rPr>
          <w:rStyle w:val="35"/>
          <w:rFonts w:hint="eastAsia" w:ascii="仿宋_GB2312" w:hAnsi="仿宋_GB2312" w:eastAsia="仿宋_GB2312" w:cs="仿宋_GB2312"/>
          <w:b/>
          <w:bCs/>
          <w:i w:val="0"/>
          <w:caps w:val="0"/>
          <w:color w:val="auto"/>
          <w:spacing w:val="0"/>
          <w:w w:val="100"/>
          <w:kern w:val="2"/>
          <w:sz w:val="32"/>
          <w:szCs w:val="32"/>
          <w:lang w:val="en-US" w:eastAsia="zh-CN" w:bidi="ar-SA"/>
        </w:rPr>
      </w:pPr>
      <w:r>
        <w:rPr>
          <w:rStyle w:val="35"/>
          <w:rFonts w:hint="eastAsia" w:ascii="仿宋_GB2312" w:hAnsi="仿宋_GB2312" w:eastAsia="仿宋_GB2312" w:cs="仿宋_GB2312"/>
          <w:b/>
          <w:bCs/>
          <w:i w:val="0"/>
          <w:caps w:val="0"/>
          <w:color w:val="auto"/>
          <w:spacing w:val="0"/>
          <w:w w:val="100"/>
          <w:kern w:val="2"/>
          <w:sz w:val="32"/>
          <w:szCs w:val="32"/>
          <w:lang w:val="en-US" w:eastAsia="zh-CN" w:bidi="ar-SA"/>
        </w:rPr>
        <w:t>（二）大力提升网上政务服务能力</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7"/>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7"/>
          <w:rFonts w:hint="eastAsia" w:ascii="仿宋_GB2312" w:hAnsi="仿宋_GB2312" w:eastAsia="仿宋_GB2312" w:cs="仿宋_GB2312"/>
          <w:b/>
          <w:bCs/>
          <w:i w:val="0"/>
          <w:caps w:val="0"/>
          <w:color w:val="auto"/>
          <w:spacing w:val="0"/>
          <w:w w:val="100"/>
          <w:kern w:val="2"/>
          <w:sz w:val="32"/>
          <w:szCs w:val="32"/>
          <w:lang w:val="en-US" w:eastAsia="zh-CN" w:bidi="ar-SA"/>
        </w:rPr>
        <w:t>——规范运行权责清单，有序推进权力事项的认领、下放。</w:t>
      </w:r>
      <w:r>
        <w:rPr>
          <w:rStyle w:val="37"/>
          <w:rFonts w:hint="eastAsia" w:ascii="仿宋_GB2312" w:hAnsi="仿宋_GB2312" w:eastAsia="仿宋_GB2312" w:cs="仿宋_GB2312"/>
          <w:b w:val="0"/>
          <w:i w:val="0"/>
          <w:caps w:val="0"/>
          <w:color w:val="auto"/>
          <w:spacing w:val="0"/>
          <w:w w:val="100"/>
          <w:kern w:val="2"/>
          <w:sz w:val="32"/>
          <w:szCs w:val="32"/>
          <w:lang w:val="en-US" w:eastAsia="zh-CN" w:bidi="ar-SA"/>
        </w:rPr>
        <w:t>按照“职权法定、权责一致”的原则，动态调整、科学编制事项清单，做到“法无授权不可为、法定职责必须为”，依法依规、清晰准确规范部门权力和责任。全面实现权责清单信息公开化、流程标准化、运行数字化、办理网络化，政务服务事项进驻大厅实现“应进必进”，线上运行实行“应上尽上”，做到线上线下同步推进。2021年对全县权力事项再次进行了梳理，厘清权力事项7158项，其中依申请事项2005项、主动行使事项5153项，认领率达100%；细化人员角色权限并谨慎授权，在一体化政务服务平台注册管理员及工作人员277名，实名认证277名，认证率100%。</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baseline"/>
        <w:rPr>
          <w:rStyle w:val="37"/>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7"/>
          <w:rFonts w:hint="eastAsia" w:ascii="仿宋_GB2312" w:hAnsi="仿宋_GB2312" w:eastAsia="仿宋_GB2312" w:cs="仿宋_GB2312"/>
          <w:b w:val="0"/>
          <w:i w:val="0"/>
          <w:caps w:val="0"/>
          <w:color w:val="auto"/>
          <w:spacing w:val="0"/>
          <w:w w:val="100"/>
          <w:kern w:val="2"/>
          <w:sz w:val="32"/>
          <w:szCs w:val="32"/>
          <w:lang w:val="en-US" w:eastAsia="zh-CN" w:bidi="ar-SA"/>
        </w:rPr>
        <w:t>积极推进权力事项下放乡镇，结合我县实际，已下放4项权力事项、42项公共服事项到乡镇；正在梳理编制乡镇行政权责清单，通过征求各乡镇、县级相关部门意见建议，拟下放乡镇法定行政权力事项119项、赋权乡镇县级行政权力事项20项。通过合理有序下放权力事项到基层，切实提升乡镇治理效能。</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7"/>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7"/>
          <w:rFonts w:hint="eastAsia" w:ascii="仿宋_GB2312" w:hAnsi="仿宋_GB2312" w:eastAsia="仿宋_GB2312" w:cs="仿宋_GB2312"/>
          <w:b/>
          <w:bCs/>
          <w:i w:val="0"/>
          <w:caps w:val="0"/>
          <w:color w:val="auto"/>
          <w:spacing w:val="0"/>
          <w:w w:val="100"/>
          <w:kern w:val="2"/>
          <w:sz w:val="32"/>
          <w:szCs w:val="32"/>
          <w:lang w:val="en-US" w:eastAsia="zh-CN" w:bidi="ar-SA"/>
        </w:rPr>
        <w:t>——多措并举大力推行“全程网办”，提高网办率。</w:t>
      </w:r>
      <w:r>
        <w:rPr>
          <w:rStyle w:val="37"/>
          <w:rFonts w:hint="eastAsia" w:ascii="仿宋_GB2312" w:hAnsi="仿宋_GB2312" w:eastAsia="仿宋_GB2312" w:cs="仿宋_GB2312"/>
          <w:b w:val="0"/>
          <w:i w:val="0"/>
          <w:caps w:val="0"/>
          <w:color w:val="auto"/>
          <w:spacing w:val="0"/>
          <w:w w:val="100"/>
          <w:kern w:val="2"/>
          <w:sz w:val="32"/>
          <w:szCs w:val="32"/>
          <w:lang w:val="en-US" w:eastAsia="zh-CN" w:bidi="ar-SA"/>
        </w:rPr>
        <w:t>继续落实县级各部门和各乡（镇）主体责任，组织全县干部职工注册认证“四川政务服务网”或手机端“天府通办APP”账号，并加大宣传力度引导企业和群众注册使用，为全面推动全程网办打下基础。目前，全程网办率达到95%以上，办理政务服务事项“全程网办”件78330件。同时，将全县所有权力事项纳入“四川省政务一体化平台（简称：一体化平台）”进行办理。今年，累计在“一体化政务服务平台”办理行政审批事项1287件、公共服务事项84295件。</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7"/>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7"/>
          <w:rFonts w:hint="eastAsia" w:ascii="仿宋_GB2312" w:hAnsi="仿宋_GB2312" w:eastAsia="仿宋_GB2312" w:cs="仿宋_GB2312"/>
          <w:b/>
          <w:bCs/>
          <w:i w:val="0"/>
          <w:caps w:val="0"/>
          <w:color w:val="auto"/>
          <w:spacing w:val="0"/>
          <w:w w:val="100"/>
          <w:kern w:val="2"/>
          <w:sz w:val="32"/>
          <w:szCs w:val="32"/>
          <w:lang w:val="en-US" w:eastAsia="zh-CN" w:bidi="ar-SA"/>
        </w:rPr>
        <w:t>——精简时限积极推行“限时办”，提升服务效能。</w:t>
      </w:r>
      <w:r>
        <w:rPr>
          <w:rStyle w:val="37"/>
          <w:rFonts w:hint="eastAsia" w:ascii="仿宋_GB2312" w:hAnsi="仿宋_GB2312" w:eastAsia="仿宋_GB2312" w:cs="仿宋_GB2312"/>
          <w:b w:val="0"/>
          <w:i w:val="0"/>
          <w:caps w:val="0"/>
          <w:color w:val="auto"/>
          <w:spacing w:val="0"/>
          <w:w w:val="100"/>
          <w:kern w:val="2"/>
          <w:sz w:val="32"/>
          <w:szCs w:val="32"/>
          <w:lang w:val="en-US" w:eastAsia="zh-CN" w:bidi="ar-SA"/>
        </w:rPr>
        <w:t>为缩短群众和企业办理业务时间，压缩审批时限，通过减环节、减时间、减流程，大力推行“限时办”，行政审批事项基本做到网上承诺时间比法定时间缩短68%以上（需现场勘查、设计等时间除外）。在县政务大厅设立“企业注册登记并联审批窗口”，在前期材料齐全的情况下，将个体工商户设立由原来的5天压缩至0.5个工作日，将企业设立登记办结由原来的7天，压缩至3个工作日，对符合简易注销条件的企业可当天办结；设立“不动产登记受理综合窗口”，对不动产办理实施并联审批，不动产证办理从过去的15至30个工作日缩短至5个工作日，抵押登记由原来5个工作日压缩到3个工作日办结。相比以前一事“跑多次、等多天”的情况，“限时办”大大缩短了办理时限，提高了效率，真正做到了高效便民。</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6"/>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6"/>
          <w:rFonts w:hint="eastAsia" w:ascii="仿宋_GB2312" w:hAnsi="仿宋_GB2312" w:eastAsia="仿宋_GB2312" w:cs="仿宋_GB2312"/>
          <w:b/>
          <w:i w:val="0"/>
          <w:caps w:val="0"/>
          <w:color w:val="auto"/>
          <w:spacing w:val="0"/>
          <w:w w:val="100"/>
          <w:kern w:val="2"/>
          <w:sz w:val="32"/>
          <w:szCs w:val="32"/>
          <w:lang w:val="en-US" w:eastAsia="zh-CN" w:bidi="ar-SA"/>
        </w:rPr>
        <w:t>——积极推进“一事一次办”改革，提升群众获得感。</w:t>
      </w:r>
      <w:r>
        <w:rPr>
          <w:rStyle w:val="36"/>
          <w:rFonts w:hint="eastAsia" w:ascii="仿宋_GB2312" w:hAnsi="仿宋_GB2312" w:eastAsia="仿宋_GB2312" w:cs="仿宋_GB2312"/>
          <w:b w:val="0"/>
          <w:i w:val="0"/>
          <w:caps w:val="0"/>
          <w:color w:val="auto"/>
          <w:spacing w:val="0"/>
          <w:w w:val="100"/>
          <w:kern w:val="2"/>
          <w:sz w:val="32"/>
          <w:szCs w:val="32"/>
          <w:lang w:val="en-US" w:eastAsia="zh-CN" w:bidi="ar-SA"/>
        </w:rPr>
        <w:t>根据省、州“一事一次办”工作安排部署，围绕企业群众视角的“一件事”，通过部门协同联动、线上线下融合，再造办事流程，“一次性”办好企业群众想办事项的要求，结合我县实际，梳理出“一事一次办”事项28件，并在县政务大厅、各乡镇便民服务中心显眼处向群众广泛公示。办事群众只需“递交一次材料”、到“一个窗口”就可以办理好所需事项，逐步实现了一次申报、一套材料、一窗受理、一次联办、一窗出证，从而极大压缩了办理时限，提高了办事效率，让企业和群众办事少跑腿，群众办事获得感得到提高。</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6"/>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6"/>
          <w:rFonts w:hint="eastAsia" w:ascii="仿宋_GB2312" w:hAnsi="仿宋_GB2312" w:eastAsia="仿宋_GB2312" w:cs="仿宋_GB2312"/>
          <w:b/>
          <w:bCs/>
          <w:i w:val="0"/>
          <w:caps w:val="0"/>
          <w:color w:val="auto"/>
          <w:spacing w:val="0"/>
          <w:w w:val="100"/>
          <w:kern w:val="2"/>
          <w:sz w:val="32"/>
          <w:szCs w:val="32"/>
          <w:lang w:val="en-US" w:eastAsia="zh-CN" w:bidi="ar-SA"/>
        </w:rPr>
        <w:t>——部署完善“好差评”评</w:t>
      </w:r>
      <w:r>
        <w:rPr>
          <w:rStyle w:val="36"/>
          <w:rFonts w:hint="eastAsia" w:ascii="仿宋_GB2312" w:hAnsi="仿宋_GB2312" w:eastAsia="仿宋_GB2312" w:cs="仿宋_GB2312"/>
          <w:b/>
          <w:i w:val="0"/>
          <w:caps w:val="0"/>
          <w:color w:val="auto"/>
          <w:spacing w:val="0"/>
          <w:w w:val="100"/>
          <w:kern w:val="2"/>
          <w:sz w:val="32"/>
          <w:szCs w:val="32"/>
          <w:lang w:val="en-US" w:eastAsia="zh-CN" w:bidi="ar-SA"/>
        </w:rPr>
        <w:t>价体系，提升服务质量。</w:t>
      </w:r>
      <w:r>
        <w:rPr>
          <w:rStyle w:val="36"/>
          <w:rFonts w:hint="eastAsia" w:ascii="仿宋_GB2312" w:hAnsi="仿宋_GB2312" w:eastAsia="仿宋_GB2312" w:cs="仿宋_GB2312"/>
          <w:b w:val="0"/>
          <w:i w:val="0"/>
          <w:caps w:val="0"/>
          <w:color w:val="auto"/>
          <w:spacing w:val="0"/>
          <w:w w:val="100"/>
          <w:kern w:val="2"/>
          <w:sz w:val="32"/>
          <w:szCs w:val="32"/>
          <w:lang w:val="en-US" w:eastAsia="zh-CN" w:bidi="ar-SA"/>
        </w:rPr>
        <w:t>目前，已在县政务大厅和各乡镇便民服务中心部署完成“好差评”评价系统，畅通了线上、线下评价渠道，不断提升“好差评”评价率。目前，“一体化政务服务”平台网办件主动评价率已达到90%以上，满意率为100%。</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6"/>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6"/>
          <w:rFonts w:hint="eastAsia" w:ascii="仿宋_GB2312" w:hAnsi="仿宋_GB2312" w:eastAsia="仿宋_GB2312" w:cs="仿宋_GB2312"/>
          <w:b/>
          <w:i w:val="0"/>
          <w:caps w:val="0"/>
          <w:color w:val="auto"/>
          <w:spacing w:val="0"/>
          <w:w w:val="100"/>
          <w:kern w:val="2"/>
          <w:sz w:val="32"/>
          <w:szCs w:val="32"/>
          <w:lang w:val="en-US" w:eastAsia="zh-CN" w:bidi="ar-SA"/>
        </w:rPr>
        <w:t>——受理办好“12345政务服务热线”，畅通民生诉求。</w:t>
      </w:r>
      <w:r>
        <w:rPr>
          <w:rStyle w:val="36"/>
          <w:rFonts w:hint="eastAsia" w:ascii="仿宋_GB2312" w:hAnsi="仿宋_GB2312" w:eastAsia="仿宋_GB2312" w:cs="仿宋_GB2312"/>
          <w:b w:val="0"/>
          <w:i w:val="0"/>
          <w:caps w:val="0"/>
          <w:color w:val="auto"/>
          <w:spacing w:val="0"/>
          <w:w w:val="100"/>
          <w:kern w:val="2"/>
          <w:sz w:val="32"/>
          <w:szCs w:val="32"/>
          <w:lang w:val="en-US" w:eastAsia="zh-CN" w:bidi="ar-SA"/>
        </w:rPr>
        <w:t>根据上级要求，及时对群众来电反映的事件进行转办、处理、答复、反馈，确保群众诉求得到有效快速解决。今年，已完成199件12345政务服务热线的转接、督办、回复，回访满意率达95%。</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Style w:val="37"/>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37"/>
          <w:rFonts w:hint="eastAsia" w:ascii="仿宋_GB2312" w:hAnsi="仿宋_GB2312" w:eastAsia="仿宋_GB2312" w:cs="仿宋_GB2312"/>
          <w:b/>
          <w:bCs/>
          <w:i w:val="0"/>
          <w:caps w:val="0"/>
          <w:color w:val="auto"/>
          <w:spacing w:val="0"/>
          <w:w w:val="100"/>
          <w:kern w:val="2"/>
          <w:sz w:val="32"/>
          <w:szCs w:val="32"/>
          <w:lang w:val="en-US" w:eastAsia="zh-CN" w:bidi="ar-SA"/>
        </w:rPr>
        <w:t>——强化电子证照采集管理，提升使用率。</w:t>
      </w:r>
      <w:r>
        <w:rPr>
          <w:rStyle w:val="37"/>
          <w:rFonts w:hint="eastAsia" w:ascii="仿宋_GB2312" w:hAnsi="仿宋_GB2312" w:eastAsia="仿宋_GB2312" w:cs="仿宋_GB2312"/>
          <w:b w:val="0"/>
          <w:i w:val="0"/>
          <w:caps w:val="0"/>
          <w:color w:val="auto"/>
          <w:spacing w:val="0"/>
          <w:w w:val="100"/>
          <w:kern w:val="2"/>
          <w:sz w:val="32"/>
          <w:szCs w:val="32"/>
          <w:lang w:val="en-US" w:eastAsia="zh-CN" w:bidi="ar-SA"/>
        </w:rPr>
        <w:t>按照省州关于“电子证照共享应用”的工作要求，积极开展了电子证照的采集、使用、监督工作，逐步推广规范电子证照使用。已完成46个部门、19个乡镇的电子证照的采集工作，共计采集电子印章87个，绑定电子证照37个。</w:t>
      </w:r>
    </w:p>
    <w:p>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baseline"/>
        <w:rPr>
          <w:rFonts w:hint="eastAsia" w:ascii="仿宋_GB2312" w:hAnsi="仿宋_GB2312" w:eastAsia="仿宋_GB2312" w:cs="仿宋_GB2312"/>
          <w:sz w:val="32"/>
          <w:szCs w:val="32"/>
        </w:rPr>
      </w:pPr>
      <w:r>
        <w:rPr>
          <w:rStyle w:val="35"/>
          <w:rFonts w:hint="eastAsia" w:ascii="仿宋_GB2312" w:hAnsi="仿宋_GB2312" w:eastAsia="仿宋_GB2312" w:cs="仿宋_GB2312"/>
          <w:b/>
          <w:bCs/>
          <w:i w:val="0"/>
          <w:caps w:val="0"/>
          <w:color w:val="auto"/>
          <w:spacing w:val="0"/>
          <w:w w:val="100"/>
          <w:kern w:val="2"/>
          <w:sz w:val="32"/>
          <w:szCs w:val="32"/>
          <w:lang w:val="en-US" w:eastAsia="zh-CN" w:bidi="ar-SA"/>
        </w:rPr>
        <w:t>依法、依规推进公共资源交易工作。</w:t>
      </w:r>
      <w:r>
        <w:rPr>
          <w:rStyle w:val="35"/>
          <w:rFonts w:hint="eastAsia" w:ascii="仿宋_GB2312" w:hAnsi="仿宋_GB2312" w:eastAsia="仿宋_GB2312" w:cs="仿宋_GB2312"/>
          <w:b w:val="0"/>
          <w:i w:val="0"/>
          <w:caps w:val="0"/>
          <w:color w:val="auto"/>
          <w:spacing w:val="0"/>
          <w:w w:val="100"/>
          <w:kern w:val="2"/>
          <w:sz w:val="32"/>
          <w:szCs w:val="32"/>
          <w:lang w:val="en-US" w:eastAsia="zh-CN" w:bidi="ar-SA"/>
        </w:rPr>
        <w:t>今年根据《四川省政府集中采购目录及标准（2020年版）》（川财规〔2020〕11号）文件要求，单项或批量采购预算在100-400万的工程项目纳入集中采购机构组织实施。金川县政府采购中心严格按照相关规定抓好落实，</w:t>
      </w:r>
      <w:r>
        <w:rPr>
          <w:rStyle w:val="35"/>
          <w:rFonts w:hint="eastAsia" w:ascii="仿宋_GB2312" w:hAnsi="仿宋_GB2312" w:eastAsia="仿宋_GB2312" w:cs="仿宋_GB2312"/>
          <w:b/>
          <w:bCs/>
          <w:i w:val="0"/>
          <w:caps w:val="0"/>
          <w:color w:val="auto"/>
          <w:spacing w:val="0"/>
          <w:w w:val="100"/>
          <w:kern w:val="2"/>
          <w:sz w:val="32"/>
          <w:szCs w:val="32"/>
          <w:lang w:val="en-US" w:eastAsia="zh-CN" w:bidi="ar-SA"/>
        </w:rPr>
        <w:t>一是</w:t>
      </w:r>
      <w:r>
        <w:rPr>
          <w:rStyle w:val="35"/>
          <w:rFonts w:hint="eastAsia" w:ascii="仿宋_GB2312" w:hAnsi="仿宋_GB2312" w:eastAsia="仿宋_GB2312" w:cs="仿宋_GB2312"/>
          <w:b w:val="0"/>
          <w:i w:val="0"/>
          <w:caps w:val="0"/>
          <w:color w:val="auto"/>
          <w:spacing w:val="0"/>
          <w:w w:val="100"/>
          <w:kern w:val="2"/>
          <w:sz w:val="32"/>
          <w:szCs w:val="32"/>
          <w:lang w:val="en-US" w:eastAsia="zh-CN" w:bidi="ar-SA"/>
        </w:rPr>
        <w:t>对资格预审室“两化”（标准化、规范化）建设进行了提升改造，配备了资格预审电脑、监控设备、视频刻录设备、手机存放等设施设备，修改完善了各项规章制度、流程并规范上墙；</w:t>
      </w:r>
      <w:r>
        <w:rPr>
          <w:rStyle w:val="35"/>
          <w:rFonts w:hint="eastAsia" w:ascii="仿宋_GB2312" w:hAnsi="仿宋_GB2312" w:eastAsia="仿宋_GB2312" w:cs="仿宋_GB2312"/>
          <w:b/>
          <w:bCs/>
          <w:i w:val="0"/>
          <w:caps w:val="0"/>
          <w:color w:val="auto"/>
          <w:spacing w:val="0"/>
          <w:w w:val="100"/>
          <w:kern w:val="2"/>
          <w:sz w:val="32"/>
          <w:szCs w:val="32"/>
          <w:lang w:val="en-US" w:eastAsia="zh-CN" w:bidi="ar-SA"/>
        </w:rPr>
        <w:t>二是</w:t>
      </w:r>
      <w:r>
        <w:rPr>
          <w:rStyle w:val="35"/>
          <w:rFonts w:hint="eastAsia" w:ascii="仿宋_GB2312" w:hAnsi="仿宋_GB2312" w:eastAsia="仿宋_GB2312" w:cs="仿宋_GB2312"/>
          <w:b w:val="0"/>
          <w:i w:val="0"/>
          <w:caps w:val="0"/>
          <w:color w:val="auto"/>
          <w:spacing w:val="0"/>
          <w:w w:val="100"/>
          <w:kern w:val="2"/>
          <w:sz w:val="32"/>
          <w:szCs w:val="32"/>
          <w:lang w:val="en-US" w:eastAsia="zh-CN" w:bidi="ar-SA"/>
        </w:rPr>
        <w:t>加大对采购中心工作人员的学习培训力度，从资格预审文件编制、招标文件编制、系统使用、政策法规理解等方面进行了系统的学习和培训，确保工程项目有序推进。目前共完成政府集中采购23件（29场次），预算金额2434.73732万元，实际完成货物、服务、工程类采购额2261.87419万元，节约资金172.863104万元，资金节约率为7.09%；完成工程项目进场登记审核8项。</w:t>
      </w:r>
    </w:p>
    <w:p>
      <w:pPr>
        <w:spacing w:line="578" w:lineRule="exact"/>
        <w:ind w:left="0" w:firstLine="640" w:firstLineChars="200"/>
        <w:rPr>
          <w:rStyle w:val="18"/>
          <w:b w:val="0"/>
          <w:bCs w:val="0"/>
        </w:rPr>
      </w:pPr>
      <w:r>
        <w:rPr>
          <w:rStyle w:val="18"/>
          <w:rFonts w:hint="eastAsia" w:ascii="黑体" w:eastAsia="黑体"/>
          <w:b w:val="0"/>
          <w:bCs w:val="0"/>
        </w:rPr>
        <w:t>二、机构设置</w:t>
      </w:r>
      <w:bookmarkEnd w:id="20"/>
      <w:bookmarkEnd w:id="21"/>
    </w:p>
    <w:p>
      <w:pPr>
        <w:widowControl/>
        <w:ind w:firstLine="640" w:firstLineChars="200"/>
        <w:jc w:val="left"/>
        <w:rPr>
          <w:rFonts w:hint="eastAsia" w:ascii="仿宋" w:hAnsi="仿宋" w:eastAsia="仿宋_GB2312"/>
          <w:color w:val="000000"/>
          <w:kern w:val="0"/>
          <w:sz w:val="32"/>
          <w:szCs w:val="32"/>
          <w:lang w:eastAsia="zh-CN"/>
        </w:rPr>
      </w:pPr>
      <w:r>
        <w:rPr>
          <w:rFonts w:ascii="Times New Roman" w:hAnsi="Times New Roman" w:eastAsia="仿宋_GB2312"/>
          <w:kern w:val="0"/>
          <w:sz w:val="32"/>
          <w:szCs w:val="32"/>
        </w:rPr>
        <w:t>金川县行政审批局（简称县行政审批局）是金川县人民政府工作部门，为正科级。</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个，其中:行政单位1个，参照公务员法管理的事业单位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p>
    <w:p>
      <w:pPr>
        <w:pStyle w:val="3"/>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21</w:t>
      </w:r>
      <w:r>
        <w:rPr>
          <w:rStyle w:val="17"/>
          <w:rFonts w:hint="eastAsia" w:ascii="黑体" w:eastAsia="黑体"/>
          <w:b w:val="0"/>
          <w:bCs w:val="0"/>
        </w:rPr>
        <w:t>年度部门决算</w:t>
      </w:r>
      <w:bookmarkEnd w:id="22"/>
      <w:bookmarkEnd w:id="23"/>
      <w:r>
        <w:rPr>
          <w:rStyle w:val="17"/>
          <w:rFonts w:hint="eastAsia" w:ascii="黑体" w:eastAsia="黑体"/>
          <w:b w:val="0"/>
          <w:bCs w:val="0"/>
        </w:rPr>
        <w:t>分析报告</w:t>
      </w:r>
    </w:p>
    <w:p>
      <w:pPr>
        <w:pStyle w:val="23"/>
        <w:numPr>
          <w:ilvl w:val="0"/>
          <w:numId w:val="3"/>
        </w:numPr>
        <w:spacing w:line="240" w:lineRule="auto"/>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Style w:val="33"/>
          <w:rFonts w:hint="eastAsia" w:ascii="仿宋_GB2312" w:eastAsia="仿宋_GB2312" w:cs="仿宋_GB2312"/>
          <w:b w:val="0"/>
          <w:bCs/>
          <w:sz w:val="32"/>
          <w:szCs w:val="32"/>
          <w:shd w:val="clear" w:fill="FFFFFF"/>
        </w:rPr>
      </w:pPr>
      <w:r>
        <w:rPr>
          <w:rFonts w:hint="eastAsia" w:ascii="仿宋_GB2312" w:eastAsia="仿宋_GB2312"/>
          <w:color w:val="000000"/>
          <w:spacing w:val="-2"/>
          <w:kern w:val="2"/>
          <w:sz w:val="32"/>
          <w:szCs w:val="32"/>
          <w:lang w:val="en-US" w:eastAsia="zh-CN" w:bidi="ar-SA"/>
        </w:rPr>
        <w:t>2021年度总收入412.5万元，较上年收入增加157.98万元，增长62.07%。增加的主要原因</w:t>
      </w:r>
      <w:r>
        <w:rPr>
          <w:rStyle w:val="33"/>
          <w:rFonts w:hint="eastAsia" w:ascii="仿宋_GB2312" w:eastAsia="仿宋_GB2312" w:cs="仿宋_GB2312"/>
          <w:b w:val="0"/>
          <w:bCs/>
          <w:sz w:val="32"/>
          <w:szCs w:val="32"/>
          <w:shd w:val="clear" w:fill="FFFFFF"/>
        </w:rPr>
        <w:t>为人员增加</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2021年总支出</w:t>
      </w:r>
      <w:r>
        <w:rPr>
          <w:rFonts w:hint="eastAsia" w:ascii="仿宋_GB2312" w:eastAsia="仿宋_GB2312"/>
          <w:color w:val="000000"/>
          <w:spacing w:val="-2"/>
          <w:kern w:val="2"/>
          <w:sz w:val="32"/>
          <w:szCs w:val="32"/>
          <w:lang w:val="en-US" w:eastAsia="zh-CN" w:bidi="ar-SA"/>
        </w:rPr>
        <w:t>412.5</w:t>
      </w:r>
      <w:r>
        <w:rPr>
          <w:rFonts w:hint="eastAsia" w:ascii="仿宋_GB2312" w:eastAsia="仿宋_GB2312"/>
          <w:color w:val="auto"/>
          <w:spacing w:val="-2"/>
          <w:kern w:val="2"/>
          <w:sz w:val="32"/>
          <w:szCs w:val="32"/>
          <w:lang w:val="en-US" w:eastAsia="zh-CN" w:bidi="ar-SA"/>
        </w:rPr>
        <w:t>万元，较上年支出增加157.98万元，增长62.07%。主要原因</w:t>
      </w:r>
      <w:r>
        <w:rPr>
          <w:rStyle w:val="33"/>
          <w:rFonts w:hint="eastAsia" w:ascii="仿宋_GB2312" w:eastAsia="仿宋_GB2312" w:cs="仿宋_GB2312"/>
          <w:b w:val="0"/>
          <w:bCs/>
          <w:sz w:val="32"/>
          <w:szCs w:val="32"/>
          <w:shd w:val="clear" w:fill="FFFFFF"/>
        </w:rPr>
        <w:t>为人员增加</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Fonts w:hint="eastAsia" w:ascii="黑体" w:eastAsia="黑体" w:cs="Times New Roman"/>
          <w:color w:val="000000"/>
          <w:kern w:val="2"/>
          <w:sz w:val="32"/>
          <w:szCs w:val="32"/>
          <w:lang w:val="en-US" w:eastAsia="zh-CN" w:bidi="ar-SA"/>
        </w:rPr>
      </w:pPr>
      <w:bookmarkStart w:id="26" w:name="_Toc15377206"/>
      <w:bookmarkStart w:id="27" w:name="_Toc15396604"/>
      <w:r>
        <w:drawing>
          <wp:anchor distT="0" distB="0" distL="114300" distR="114300" simplePos="0" relativeHeight="251659264" behindDoc="1" locked="0" layoutInCell="1" allowOverlap="1">
            <wp:simplePos x="0" y="0"/>
            <wp:positionH relativeFrom="column">
              <wp:posOffset>633095</wp:posOffset>
            </wp:positionH>
            <wp:positionV relativeFrom="paragraph">
              <wp:posOffset>80645</wp:posOffset>
            </wp:positionV>
            <wp:extent cx="3562985" cy="2343785"/>
            <wp:effectExtent l="4445" t="4445" r="13970" b="1397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ind w:firstLine="640" w:firstLineChars="200"/>
        <w:rPr>
          <w:rStyle w:val="18"/>
          <w:rFonts w:ascii="黑体" w:eastAsia="黑体"/>
          <w:b w:val="0"/>
        </w:rPr>
      </w:pPr>
      <w:r>
        <w:rPr>
          <w:rFonts w:hint="eastAsia" w:ascii="黑体" w:eastAsia="黑体" w:cs="Times New Roman"/>
          <w:color w:val="000000"/>
          <w:kern w:val="2"/>
          <w:sz w:val="32"/>
          <w:szCs w:val="32"/>
          <w:lang w:val="en-US" w:eastAsia="zh-CN" w:bidi="ar-SA"/>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412.5</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412.5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bookmarkStart w:id="28" w:name="_Toc15377207"/>
      <w:bookmarkStart w:id="29" w:name="_Toc15396605"/>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420" w:firstLineChars="200"/>
        <w:outlineLvl w:val="1"/>
        <w:rPr>
          <w:rFonts w:hint="eastAsia" w:ascii="黑体" w:eastAsia="黑体" w:cs="Times New Roman"/>
          <w:color w:val="000000"/>
          <w:kern w:val="2"/>
          <w:sz w:val="32"/>
          <w:szCs w:val="32"/>
          <w:lang w:val="en-US" w:eastAsia="zh-CN" w:bidi="ar-SA"/>
        </w:rPr>
      </w:pPr>
      <w:r>
        <w:drawing>
          <wp:anchor distT="0" distB="0" distL="114300" distR="114300" simplePos="0" relativeHeight="251660288" behindDoc="1" locked="0" layoutInCell="1" allowOverlap="1">
            <wp:simplePos x="0" y="0"/>
            <wp:positionH relativeFrom="column">
              <wp:posOffset>280670</wp:posOffset>
            </wp:positionH>
            <wp:positionV relativeFrom="paragraph">
              <wp:posOffset>194945</wp:posOffset>
            </wp:positionV>
            <wp:extent cx="4649470" cy="2743835"/>
            <wp:effectExtent l="4445" t="4445" r="13335" b="1397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pStyle w:val="2"/>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Style w:val="18"/>
          <w:rFonts w:ascii="黑体" w:eastAsia="黑体"/>
          <w:b w:val="0"/>
        </w:rPr>
      </w:pPr>
      <w:r>
        <w:rPr>
          <w:rFonts w:hint="eastAsia" w:ascii="黑体" w:eastAsia="黑体" w:cs="Times New Roman"/>
          <w:color w:val="000000"/>
          <w:kern w:val="2"/>
          <w:sz w:val="32"/>
          <w:szCs w:val="32"/>
          <w:lang w:val="en-US" w:eastAsia="zh-CN" w:bidi="ar-SA"/>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412.5</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376.63</w:t>
      </w:r>
      <w:r>
        <w:rPr>
          <w:rFonts w:hint="eastAsia" w:ascii="仿宋" w:eastAsia="仿宋"/>
          <w:color w:val="000000"/>
          <w:sz w:val="32"/>
          <w:szCs w:val="32"/>
        </w:rPr>
        <w:t>万元，占</w:t>
      </w:r>
      <w:r>
        <w:rPr>
          <w:rFonts w:hint="eastAsia" w:ascii="仿宋" w:eastAsia="仿宋"/>
          <w:color w:val="000000"/>
          <w:sz w:val="32"/>
          <w:szCs w:val="32"/>
          <w:lang w:val="en-US" w:eastAsia="zh-CN"/>
        </w:rPr>
        <w:t>91.30</w:t>
      </w:r>
      <w:r>
        <w:rPr>
          <w:rFonts w:hint="eastAsia" w:ascii="仿宋" w:eastAsia="仿宋"/>
          <w:color w:val="000000"/>
          <w:sz w:val="32"/>
          <w:szCs w:val="32"/>
        </w:rPr>
        <w:t>%；项目支出</w:t>
      </w:r>
      <w:r>
        <w:rPr>
          <w:rFonts w:hint="eastAsia" w:ascii="仿宋" w:eastAsia="仿宋"/>
          <w:color w:val="000000"/>
          <w:sz w:val="32"/>
          <w:szCs w:val="32"/>
          <w:lang w:val="en-US" w:eastAsia="zh-CN"/>
        </w:rPr>
        <w:t>35.86</w:t>
      </w:r>
      <w:r>
        <w:rPr>
          <w:rFonts w:hint="eastAsia" w:ascii="仿宋" w:eastAsia="仿宋"/>
          <w:color w:val="000000"/>
          <w:sz w:val="32"/>
          <w:szCs w:val="32"/>
        </w:rPr>
        <w:t>万元，占</w:t>
      </w:r>
      <w:r>
        <w:rPr>
          <w:rFonts w:hint="eastAsia" w:ascii="仿宋" w:eastAsia="仿宋"/>
          <w:color w:val="000000"/>
          <w:sz w:val="32"/>
          <w:szCs w:val="32"/>
          <w:lang w:val="en-US" w:eastAsia="zh-CN"/>
        </w:rPr>
        <w:t>8.70</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1312" behindDoc="1" locked="0" layoutInCell="1" allowOverlap="1">
            <wp:simplePos x="0" y="0"/>
            <wp:positionH relativeFrom="column">
              <wp:posOffset>233045</wp:posOffset>
            </wp:positionH>
            <wp:positionV relativeFrom="paragraph">
              <wp:posOffset>280670</wp:posOffset>
            </wp:positionV>
            <wp:extent cx="4857115" cy="3048000"/>
            <wp:effectExtent l="4445" t="4445" r="15240"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pStyle w:val="2"/>
        <w:rPr>
          <w:rFonts w:hint="eastAsia" w:ascii="仿宋_GB2312" w:eastAsia="仿宋_GB2312"/>
          <w:color w:val="FF0000"/>
          <w:sz w:val="32"/>
          <w:szCs w:val="32"/>
          <w:lang w:eastAsia="zh-CN"/>
        </w:rPr>
      </w:pPr>
    </w:p>
    <w:p>
      <w:pPr>
        <w:pStyle w:val="2"/>
        <w:rPr>
          <w:rFonts w:hint="eastAsia" w:ascii="仿宋_GB2312" w:eastAsia="仿宋_GB2312"/>
          <w:color w:val="FF0000"/>
          <w:sz w:val="32"/>
          <w:szCs w:val="32"/>
          <w:lang w:eastAsia="zh-CN"/>
        </w:rPr>
      </w:pPr>
    </w:p>
    <w:p>
      <w:pPr>
        <w:pStyle w:val="2"/>
        <w:rPr>
          <w:rFonts w:hint="eastAsia" w:ascii="仿宋_GB2312" w:eastAsia="仿宋_GB2312"/>
          <w:color w:val="FF0000"/>
          <w:sz w:val="32"/>
          <w:szCs w:val="32"/>
          <w:lang w:eastAsia="zh-CN"/>
        </w:rPr>
      </w:pPr>
    </w:p>
    <w:p>
      <w:pPr>
        <w:pStyle w:val="2"/>
        <w:rPr>
          <w:rFonts w:hint="eastAsia" w:ascii="仿宋_GB2312" w:eastAsia="仿宋_GB2312"/>
          <w:color w:val="FF0000"/>
          <w:sz w:val="32"/>
          <w:szCs w:val="32"/>
          <w:lang w:eastAsia="zh-CN"/>
        </w:rPr>
      </w:pPr>
    </w:p>
    <w:p>
      <w:pPr>
        <w:pStyle w:val="2"/>
        <w:rPr>
          <w:rFonts w:hint="eastAsia" w:ascii="仿宋_GB2312" w:eastAsia="仿宋_GB2312"/>
          <w:color w:val="FF0000"/>
          <w:sz w:val="32"/>
          <w:szCs w:val="32"/>
          <w:lang w:eastAsia="zh-CN"/>
        </w:rPr>
      </w:pP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Style w:val="33"/>
          <w:rFonts w:hint="eastAsia" w:ascii="仿宋_GB2312" w:eastAsia="仿宋_GB2312" w:cs="仿宋_GB2312"/>
          <w:b w:val="0"/>
          <w:bCs/>
          <w:sz w:val="32"/>
          <w:szCs w:val="32"/>
          <w:shd w:val="clear" w:fill="FFFFFF"/>
        </w:rPr>
      </w:pPr>
      <w:r>
        <w:rPr>
          <w:rFonts w:hint="eastAsia" w:ascii="仿宋" w:eastAsia="仿宋"/>
          <w:color w:val="000000"/>
          <w:sz w:val="32"/>
          <w:szCs w:val="32"/>
          <w:lang w:val="en-US" w:eastAsia="zh-CN"/>
        </w:rPr>
        <w:t>2021年财政拨款收入412.5万元。与2020年相比，一般公共预算财政拨款收入较上年增加157.98万元，增长62.07%。</w:t>
      </w:r>
      <w:r>
        <w:rPr>
          <w:rFonts w:hint="eastAsia" w:ascii="仿宋_GB2312" w:eastAsia="仿宋_GB2312"/>
          <w:color w:val="000000"/>
          <w:spacing w:val="-2"/>
          <w:kern w:val="2"/>
          <w:sz w:val="32"/>
          <w:szCs w:val="32"/>
          <w:lang w:val="en-US" w:eastAsia="zh-CN" w:bidi="ar-SA"/>
        </w:rPr>
        <w:t>增加的主要原因</w:t>
      </w:r>
      <w:r>
        <w:rPr>
          <w:rStyle w:val="33"/>
          <w:rFonts w:hint="eastAsia" w:ascii="仿宋_GB2312" w:eastAsia="仿宋_GB2312" w:cs="仿宋_GB2312"/>
          <w:b w:val="0"/>
          <w:bCs/>
          <w:sz w:val="32"/>
          <w:szCs w:val="32"/>
          <w:shd w:val="clear" w:fill="FFFFFF"/>
        </w:rPr>
        <w:t>为人员增加</w:t>
      </w:r>
    </w:p>
    <w:p>
      <w:pPr>
        <w:snapToGrid w:val="0"/>
        <w:spacing w:line="520" w:lineRule="exact"/>
        <w:ind w:firstLine="640" w:firstLineChars="200"/>
        <w:rPr>
          <w:rStyle w:val="33"/>
          <w:rFonts w:hint="eastAsia" w:ascii="仿宋_GB2312" w:eastAsia="仿宋_GB2312" w:cs="仿宋_GB2312"/>
          <w:b w:val="0"/>
          <w:bCs/>
          <w:sz w:val="32"/>
          <w:szCs w:val="32"/>
          <w:shd w:val="clear" w:fill="FFFFFF"/>
        </w:rPr>
      </w:pPr>
      <w:r>
        <w:rPr>
          <w:rFonts w:hint="eastAsia" w:ascii="仿宋" w:eastAsia="仿宋"/>
          <w:color w:val="000000"/>
          <w:sz w:val="32"/>
          <w:szCs w:val="32"/>
          <w:lang w:val="en-US" w:eastAsia="zh-CN"/>
        </w:rPr>
        <w:t>2021年财政拨款支出412.5万元，</w:t>
      </w:r>
      <w:r>
        <w:rPr>
          <w:rFonts w:hint="eastAsia" w:ascii="仿宋" w:eastAsia="仿宋"/>
          <w:color w:val="auto"/>
          <w:sz w:val="32"/>
          <w:szCs w:val="32"/>
          <w:lang w:val="en-US" w:eastAsia="zh-CN"/>
        </w:rPr>
        <w:t>较上年支出增加157.98万元，增长62.07%</w:t>
      </w:r>
      <w:r>
        <w:rPr>
          <w:rFonts w:hint="eastAsia" w:ascii="仿宋_GB2312" w:eastAsia="仿宋_GB2312"/>
          <w:color w:val="auto"/>
          <w:spacing w:val="-2"/>
          <w:kern w:val="2"/>
          <w:sz w:val="32"/>
          <w:szCs w:val="32"/>
          <w:lang w:val="en-US" w:eastAsia="zh-CN" w:bidi="ar-SA"/>
        </w:rPr>
        <w:t>。</w:t>
      </w:r>
      <w:bookmarkStart w:id="32" w:name="_Toc15377209"/>
      <w:bookmarkStart w:id="33" w:name="_Toc15396607"/>
      <w:r>
        <w:rPr>
          <w:rFonts w:hint="eastAsia" w:ascii="仿宋_GB2312" w:eastAsia="仿宋_GB2312"/>
          <w:color w:val="000000"/>
          <w:spacing w:val="-2"/>
          <w:kern w:val="2"/>
          <w:sz w:val="32"/>
          <w:szCs w:val="32"/>
          <w:lang w:val="en-US" w:eastAsia="zh-CN" w:bidi="ar-SA"/>
        </w:rPr>
        <w:t>增加的主要原因</w:t>
      </w:r>
      <w:r>
        <w:rPr>
          <w:rStyle w:val="33"/>
          <w:rFonts w:hint="eastAsia" w:ascii="仿宋_GB2312" w:eastAsia="仿宋_GB2312" w:cs="仿宋_GB2312"/>
          <w:b w:val="0"/>
          <w:bCs/>
          <w:sz w:val="32"/>
          <w:szCs w:val="32"/>
          <w:shd w:val="clear" w:fill="FFFFFF"/>
        </w:rPr>
        <w:t>为人员增加</w:t>
      </w:r>
    </w:p>
    <w:p>
      <w:pPr>
        <w:snapToGrid w:val="0"/>
        <w:spacing w:line="520" w:lineRule="exact"/>
        <w:ind w:firstLine="632" w:firstLineChars="200"/>
        <w:rPr>
          <w:rFonts w:hint="default" w:ascii="仿宋_GB2312" w:eastAsia="仿宋_GB2312"/>
          <w:color w:val="auto"/>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 xml:space="preserve">  </w:t>
      </w:r>
    </w:p>
    <w:p>
      <w:pPr>
        <w:pStyle w:val="2"/>
        <w:jc w:val="center"/>
        <w:rPr>
          <w:rFonts w:hint="default" w:ascii="仿宋_GB2312" w:eastAsia="宋体"/>
          <w:color w:val="auto"/>
          <w:spacing w:val="-2"/>
          <w:kern w:val="2"/>
          <w:sz w:val="32"/>
          <w:szCs w:val="32"/>
          <w:lang w:val="en-US" w:eastAsia="zh-CN" w:bidi="ar-SA"/>
        </w:rPr>
      </w:pPr>
      <w:r>
        <w:drawing>
          <wp:inline distT="0" distB="0" distL="114300" distR="114300">
            <wp:extent cx="3486150" cy="1781810"/>
            <wp:effectExtent l="4445" t="4445" r="14605" b="2349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rPr>
          <w:rFonts w:hint="eastAsia" w:ascii="仿宋_GB2312" w:eastAsia="仿宋_GB2312"/>
          <w:color w:val="auto"/>
          <w:spacing w:val="-2"/>
          <w:kern w:val="2"/>
          <w:sz w:val="32"/>
          <w:szCs w:val="32"/>
          <w:lang w:val="en-US" w:eastAsia="zh-CN" w:bidi="ar-SA"/>
        </w:rPr>
      </w:pPr>
    </w:p>
    <w:p>
      <w:pPr>
        <w:snapToGrid w:val="0"/>
        <w:spacing w:line="52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Style w:val="33"/>
          <w:rFonts w:hint="eastAsia" w:ascii="仿宋_GB2312" w:eastAsia="仿宋_GB2312" w:cs="仿宋_GB2312"/>
          <w:b w:val="0"/>
          <w:bCs/>
          <w:sz w:val="32"/>
          <w:szCs w:val="32"/>
          <w:shd w:val="clear" w:fill="FFFFFF"/>
          <w:lang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一般公共预算财政拨款支出412.5万元，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支出增加157.98万元，增加62.07%。</w:t>
      </w:r>
      <w:r>
        <w:rPr>
          <w:rFonts w:hint="eastAsia" w:ascii="仿宋_GB2312" w:eastAsia="仿宋_GB2312"/>
          <w:color w:val="auto"/>
          <w:spacing w:val="-2"/>
          <w:kern w:val="2"/>
          <w:sz w:val="32"/>
          <w:szCs w:val="32"/>
          <w:lang w:val="en-US" w:eastAsia="zh-CN" w:bidi="ar-SA"/>
        </w:rPr>
        <w:t>主要原因</w:t>
      </w:r>
      <w:r>
        <w:rPr>
          <w:rStyle w:val="33"/>
          <w:rFonts w:hint="eastAsia" w:ascii="仿宋_GB2312" w:eastAsia="仿宋_GB2312" w:cs="仿宋_GB2312"/>
          <w:b w:val="0"/>
          <w:bCs/>
          <w:sz w:val="32"/>
          <w:szCs w:val="32"/>
          <w:shd w:val="clear" w:fill="FFFFFF"/>
        </w:rPr>
        <w:t>为人员增加</w:t>
      </w:r>
      <w:r>
        <w:rPr>
          <w:rStyle w:val="33"/>
          <w:rFonts w:hint="eastAsia" w:ascii="仿宋_GB2312" w:eastAsia="仿宋_GB2312" w:cs="仿宋_GB2312"/>
          <w:b w:val="0"/>
          <w:bCs/>
          <w:sz w:val="32"/>
          <w:szCs w:val="32"/>
          <w:shd w:val="clear" w:fill="FFFFFF"/>
          <w:lang w:eastAsia="zh-CN"/>
        </w:rPr>
        <w:t>。</w:t>
      </w:r>
    </w:p>
    <w:p>
      <w:pPr>
        <w:snapToGrid w:val="0"/>
        <w:spacing w:line="520" w:lineRule="exact"/>
        <w:ind w:firstLine="420" w:firstLineChars="200"/>
        <w:rPr>
          <w:rFonts w:hint="default" w:ascii="仿宋_GB2312" w:eastAsia="仿宋_GB2312"/>
          <w:color w:val="FF0000"/>
          <w:spacing w:val="-2"/>
          <w:kern w:val="2"/>
          <w:sz w:val="32"/>
          <w:szCs w:val="32"/>
          <w:lang w:val="en-US" w:eastAsia="zh-CN" w:bidi="ar-SA"/>
        </w:rPr>
      </w:pPr>
      <w:r>
        <w:drawing>
          <wp:anchor distT="0" distB="0" distL="114300" distR="114300" simplePos="0" relativeHeight="251662336" behindDoc="1" locked="0" layoutInCell="1" allowOverlap="1">
            <wp:simplePos x="0" y="0"/>
            <wp:positionH relativeFrom="column">
              <wp:posOffset>356870</wp:posOffset>
            </wp:positionH>
            <wp:positionV relativeFrom="paragraph">
              <wp:posOffset>84455</wp:posOffset>
            </wp:positionV>
            <wp:extent cx="4267200" cy="2019935"/>
            <wp:effectExtent l="4445" t="4445" r="14605" b="13970"/>
            <wp:wrapNone/>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color w:val="FF0000"/>
          <w:spacing w:val="-2"/>
          <w:kern w:val="2"/>
          <w:sz w:val="32"/>
          <w:szCs w:val="32"/>
          <w:lang w:val="en-US" w:eastAsia="zh-CN" w:bidi="ar-SA"/>
        </w:rPr>
        <w:t>.</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3" w:firstLineChars="200"/>
        <w:rPr>
          <w:rFonts w:hint="eastAsia" w:ascii="仿宋" w:eastAsia="仿宋"/>
          <w:b/>
          <w:color w:val="000000"/>
          <w:sz w:val="32"/>
          <w:szCs w:val="32"/>
        </w:rPr>
      </w:pPr>
      <w:bookmarkStart w:id="35" w:name="_Toc15377211"/>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412.5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325.17</w:t>
      </w:r>
      <w:r>
        <w:rPr>
          <w:rFonts w:hint="eastAsia" w:ascii="仿宋" w:eastAsia="仿宋"/>
          <w:color w:val="000000"/>
          <w:sz w:val="32"/>
          <w:szCs w:val="32"/>
        </w:rPr>
        <w:t>万元，占</w:t>
      </w:r>
      <w:r>
        <w:rPr>
          <w:rFonts w:hint="eastAsia" w:ascii="仿宋" w:eastAsia="仿宋"/>
          <w:color w:val="000000"/>
          <w:sz w:val="32"/>
          <w:szCs w:val="32"/>
          <w:lang w:val="en-US" w:eastAsia="zh-CN"/>
        </w:rPr>
        <w:t>78.83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41.58</w:t>
      </w:r>
      <w:r>
        <w:rPr>
          <w:rFonts w:hint="eastAsia" w:ascii="仿宋" w:eastAsia="仿宋"/>
          <w:color w:val="000000"/>
          <w:sz w:val="32"/>
          <w:szCs w:val="32"/>
        </w:rPr>
        <w:t>万元，占</w:t>
      </w:r>
      <w:r>
        <w:rPr>
          <w:rFonts w:hint="eastAsia" w:ascii="仿宋" w:eastAsia="仿宋"/>
          <w:color w:val="000000"/>
          <w:sz w:val="32"/>
          <w:szCs w:val="32"/>
          <w:lang w:val="en-US" w:eastAsia="zh-CN"/>
        </w:rPr>
        <w:t>10.08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16.58</w:t>
      </w:r>
      <w:r>
        <w:rPr>
          <w:rFonts w:hint="eastAsia" w:ascii="仿宋" w:eastAsia="仿宋"/>
          <w:color w:val="000000"/>
          <w:sz w:val="32"/>
          <w:szCs w:val="32"/>
        </w:rPr>
        <w:t>万元，占</w:t>
      </w:r>
      <w:r>
        <w:rPr>
          <w:rFonts w:hint="eastAsia" w:ascii="仿宋" w:eastAsia="仿宋"/>
          <w:color w:val="000000"/>
          <w:sz w:val="32"/>
          <w:szCs w:val="32"/>
          <w:lang w:val="en-US" w:eastAsia="zh-CN"/>
        </w:rPr>
        <w:t>4.02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29.16</w:t>
      </w:r>
      <w:r>
        <w:rPr>
          <w:rFonts w:hint="eastAsia" w:ascii="仿宋" w:eastAsia="仿宋"/>
          <w:color w:val="000000"/>
          <w:sz w:val="32"/>
          <w:szCs w:val="32"/>
        </w:rPr>
        <w:t>万元，占</w:t>
      </w:r>
      <w:r>
        <w:rPr>
          <w:rFonts w:hint="eastAsia" w:ascii="仿宋" w:eastAsia="仿宋"/>
          <w:color w:val="000000"/>
          <w:sz w:val="32"/>
          <w:szCs w:val="32"/>
          <w:lang w:val="en-US" w:eastAsia="zh-CN"/>
        </w:rPr>
        <w:t>7.07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53" w:firstLineChars="2600"/>
        <w:outlineLvl w:val="2"/>
        <w:rPr>
          <w:rFonts w:hint="eastAsia" w:ascii="仿宋" w:eastAsia="仿宋"/>
          <w:b/>
          <w:color w:val="000000"/>
          <w:sz w:val="32"/>
          <w:szCs w:val="32"/>
        </w:rPr>
      </w:pPr>
      <w:bookmarkStart w:id="36" w:name="_Toc15377212"/>
      <w:bookmarkStart w:id="37" w:name="_Toc15378460"/>
      <w:bookmarkStart w:id="38" w:name="_Toc15377213"/>
      <w:bookmarkStart w:id="39" w:name="_Toc15377444"/>
    </w:p>
    <w:p>
      <w:pPr>
        <w:pStyle w:val="2"/>
        <w:jc w:val="center"/>
        <w:rPr>
          <w:rFonts w:hint="eastAsia" w:ascii="仿宋" w:eastAsia="仿宋"/>
          <w:b/>
          <w:color w:val="000000"/>
          <w:sz w:val="32"/>
          <w:szCs w:val="32"/>
        </w:rPr>
      </w:pPr>
      <w:r>
        <w:drawing>
          <wp:inline distT="0" distB="0" distL="114300" distR="114300">
            <wp:extent cx="4343400" cy="2496185"/>
            <wp:effectExtent l="4445" t="4445" r="14605" b="1397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lang w:val="en-US" w:eastAsia="zh-CN"/>
        </w:rPr>
      </w:pPr>
      <w:r>
        <w:rPr>
          <w:rFonts w:hint="eastAsia" w:ascii="仿宋" w:eastAsia="仿宋"/>
          <w:b/>
          <w:color w:val="000000"/>
          <w:sz w:val="32"/>
          <w:szCs w:val="32"/>
        </w:rPr>
        <w:t>（三）一般公共预算财政拨款支出决算具体情况</w:t>
      </w:r>
      <w:bookmarkEnd w:id="36"/>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数为278.83万元，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412.5万元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147.94</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7"/>
      <w:bookmarkEnd w:id="38"/>
      <w:bookmarkEnd w:id="39"/>
    </w:p>
    <w:p>
      <w:pPr>
        <w:spacing w:line="600" w:lineRule="exact"/>
        <w:ind w:left="0"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行政运行</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325.17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116.62</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27.75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100.87</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w:t>
      </w:r>
      <w:r>
        <w:rPr>
          <w:rStyle w:val="15"/>
          <w:rFonts w:hint="eastAsia" w:ascii="仿宋" w:eastAsia="仿宋"/>
          <w:b w:val="0"/>
          <w:bCs/>
          <w:color w:val="000000"/>
          <w:sz w:val="32"/>
          <w:szCs w:val="32"/>
          <w:lang w:eastAsia="zh-CN"/>
        </w:rPr>
        <w:t>大于</w:t>
      </w:r>
      <w:r>
        <w:rPr>
          <w:rStyle w:val="15"/>
          <w:rFonts w:hint="eastAsia" w:ascii="仿宋" w:eastAsia="仿宋"/>
          <w:b w:val="0"/>
          <w:bCs/>
          <w:color w:val="000000"/>
          <w:sz w:val="32"/>
          <w:szCs w:val="32"/>
        </w:rPr>
        <w:t>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13.83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100.58</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hint="eastAsia" w:ascii="仿宋" w:eastAsia="仿宋"/>
          <w:bCs/>
          <w:color w:val="000000"/>
          <w:sz w:val="32"/>
          <w:szCs w:val="32"/>
          <w:lang w:val="en-US" w:eastAsia="zh-CN"/>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行政单位医疗</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12.58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104.57</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公务员医疗补助</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4.01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104.43</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w:t>
      </w:r>
      <w:r>
        <w:rPr>
          <w:rStyle w:val="15"/>
          <w:rFonts w:hint="eastAsia" w:ascii="仿宋" w:eastAsia="仿宋"/>
          <w:b w:val="0"/>
          <w:bCs/>
          <w:color w:val="000000"/>
          <w:sz w:val="32"/>
          <w:szCs w:val="32"/>
          <w:lang w:eastAsia="zh-CN"/>
        </w:rPr>
        <w:t>大于</w:t>
      </w:r>
      <w:r>
        <w:rPr>
          <w:rStyle w:val="15"/>
          <w:rFonts w:hint="eastAsia" w:ascii="仿宋" w:eastAsia="仿宋"/>
          <w:b w:val="0"/>
          <w:bCs/>
          <w:color w:val="000000"/>
          <w:sz w:val="32"/>
          <w:szCs w:val="32"/>
        </w:rPr>
        <w:t>预算数。</w:t>
      </w:r>
    </w:p>
    <w:p>
      <w:pPr>
        <w:spacing w:line="600" w:lineRule="exact"/>
        <w:ind w:firstLine="643" w:firstLineChars="200"/>
        <w:rPr>
          <w:rStyle w:val="15"/>
          <w:rFonts w:ascii="仿宋" w:eastAsia="仿宋"/>
          <w:bCs/>
          <w:color w:val="000000"/>
          <w:sz w:val="32"/>
          <w:szCs w:val="32"/>
          <w:lang w:val="en-US" w:eastAsia="zh-CN"/>
        </w:rPr>
      </w:pPr>
      <w:bookmarkStart w:id="40" w:name="_Toc15396608"/>
      <w:bookmarkStart w:id="41" w:name="_Toc15377214"/>
      <w:r>
        <w:rPr>
          <w:rStyle w:val="15"/>
          <w:rFonts w:hint="eastAsia" w:ascii="仿宋" w:eastAsia="仿宋"/>
          <w:bCs/>
          <w:color w:val="000000"/>
          <w:sz w:val="32"/>
          <w:szCs w:val="32"/>
          <w:lang w:val="en-US" w:eastAsia="zh-CN"/>
        </w:rPr>
        <w:t>6.住房保障（类）住房改革支出（款）住房公积金（项）：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29.16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141.35</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w:t>
      </w:r>
      <w:r>
        <w:rPr>
          <w:rStyle w:val="15"/>
          <w:rFonts w:hint="eastAsia" w:ascii="仿宋" w:eastAsia="仿宋"/>
          <w:b w:val="0"/>
          <w:bCs/>
          <w:color w:val="000000"/>
          <w:sz w:val="32"/>
          <w:szCs w:val="32"/>
          <w:lang w:eastAsia="zh-CN"/>
        </w:rPr>
        <w:t>大</w:t>
      </w:r>
      <w:r>
        <w:rPr>
          <w:rStyle w:val="15"/>
          <w:rFonts w:hint="eastAsia" w:ascii="仿宋" w:eastAsia="仿宋"/>
          <w:b w:val="0"/>
          <w:bCs/>
          <w:color w:val="000000"/>
          <w:sz w:val="32"/>
          <w:szCs w:val="32"/>
        </w:rPr>
        <w:t>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412.5</w:t>
      </w:r>
      <w:r>
        <w:rPr>
          <w:rFonts w:hint="eastAsia" w:ascii="仿宋" w:eastAsia="仿宋"/>
          <w:color w:val="000000"/>
          <w:sz w:val="32"/>
          <w:szCs w:val="32"/>
        </w:rPr>
        <w:t>万元，其中：</w:t>
      </w:r>
    </w:p>
    <w:p>
      <w:pPr>
        <w:spacing w:line="600" w:lineRule="exact"/>
        <w:ind w:firstLine="645"/>
        <w:rPr>
          <w:rFonts w:hint="default" w:ascii="仿宋" w:eastAsia="仿宋"/>
          <w:color w:val="000000"/>
          <w:sz w:val="32"/>
          <w:szCs w:val="32"/>
          <w:lang w:val="en-US" w:eastAsia="zh-CN"/>
        </w:rPr>
      </w:pPr>
      <w:r>
        <w:rPr>
          <w:rFonts w:hint="eastAsia" w:ascii="仿宋" w:eastAsia="仿宋"/>
          <w:color w:val="000000"/>
          <w:sz w:val="32"/>
          <w:szCs w:val="32"/>
          <w:lang w:eastAsia="zh-CN"/>
        </w:rPr>
        <w:t>基本支出：</w:t>
      </w:r>
      <w:r>
        <w:rPr>
          <w:rFonts w:hint="eastAsia" w:ascii="仿宋" w:eastAsia="仿宋"/>
          <w:color w:val="000000"/>
          <w:sz w:val="32"/>
          <w:szCs w:val="32"/>
          <w:lang w:val="en-US" w:eastAsia="zh-CN"/>
        </w:rPr>
        <w:t>376.63万元</w:t>
      </w:r>
    </w:p>
    <w:p>
      <w:pPr>
        <w:spacing w:line="600" w:lineRule="exact"/>
        <w:ind w:firstLine="645"/>
        <w:rPr>
          <w:rFonts w:hint="eastAsia" w:ascii="仿宋" w:eastAsia="仿宋"/>
          <w:color w:val="000000"/>
          <w:sz w:val="32"/>
          <w:szCs w:val="32"/>
          <w:lang w:val="en-US"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350.79</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72.42万元</w:t>
      </w:r>
      <w:r>
        <w:rPr>
          <w:rFonts w:hint="eastAsia" w:ascii="仿宋" w:eastAsia="仿宋"/>
          <w:color w:val="000000"/>
          <w:sz w:val="32"/>
          <w:szCs w:val="32"/>
        </w:rPr>
        <w:t>、津贴补贴</w:t>
      </w:r>
      <w:r>
        <w:rPr>
          <w:rFonts w:hint="eastAsia" w:ascii="仿宋" w:eastAsia="仿宋"/>
          <w:color w:val="000000"/>
          <w:sz w:val="32"/>
          <w:szCs w:val="32"/>
          <w:lang w:val="en-US" w:eastAsia="zh-CN"/>
        </w:rPr>
        <w:t>67.00万元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32.55万元、</w:t>
      </w:r>
      <w:r>
        <w:rPr>
          <w:rFonts w:hint="eastAsia" w:ascii="仿宋" w:eastAsia="仿宋"/>
          <w:color w:val="000000"/>
          <w:sz w:val="32"/>
          <w:szCs w:val="32"/>
        </w:rPr>
        <w:t>奖金</w:t>
      </w:r>
      <w:r>
        <w:rPr>
          <w:rFonts w:hint="eastAsia" w:ascii="仿宋" w:eastAsia="仿宋"/>
          <w:color w:val="000000"/>
          <w:sz w:val="32"/>
          <w:szCs w:val="32"/>
          <w:lang w:val="en-US" w:eastAsia="zh-CN"/>
        </w:rPr>
        <w:t>7.94万元</w:t>
      </w:r>
      <w:r>
        <w:rPr>
          <w:rFonts w:hint="eastAsia" w:ascii="仿宋" w:eastAsia="仿宋"/>
          <w:color w:val="000000"/>
          <w:sz w:val="32"/>
          <w:szCs w:val="32"/>
        </w:rPr>
        <w:t>、</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80.81万元、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27.75万元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13.83万元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职工基本医疗保险缴费12.58万元、公务员医疗补助缴费4.01万元、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2.74万元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29.16万元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w:t>
      </w:r>
      <w:r>
        <w:rPr>
          <w:rFonts w:hint="eastAsia" w:ascii="仿宋" w:eastAsia="仿宋"/>
          <w:color w:val="000000"/>
          <w:sz w:val="32"/>
          <w:szCs w:val="32"/>
        </w:rPr>
        <w:t>等。</w:t>
      </w:r>
      <w:r>
        <w:rPr>
          <w:rFonts w:hint="eastAsia" w:ascii="仿宋" w:eastAsia="仿宋"/>
          <w:color w:val="000000"/>
          <w:sz w:val="32"/>
          <w:szCs w:val="32"/>
          <w:lang w:val="en-US" w:eastAsia="zh-CN"/>
        </w:rPr>
        <w:t xml:space="preserve"> </w:t>
      </w:r>
    </w:p>
    <w:p>
      <w:pPr>
        <w:spacing w:line="600" w:lineRule="exact"/>
        <w:ind w:firstLine="645"/>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25.84</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5.76万元</w:t>
      </w:r>
      <w:r>
        <w:rPr>
          <w:rFonts w:hint="eastAsia" w:ascii="仿宋" w:eastAsia="仿宋"/>
          <w:color w:val="000000"/>
          <w:sz w:val="32"/>
          <w:szCs w:val="32"/>
        </w:rPr>
        <w:t>、</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w:t>
      </w:r>
      <w:r>
        <w:rPr>
          <w:rFonts w:hint="eastAsia" w:ascii="仿宋" w:eastAsia="仿宋"/>
          <w:color w:val="000000"/>
          <w:sz w:val="32"/>
          <w:szCs w:val="32"/>
        </w:rPr>
        <w:t>水费</w:t>
      </w:r>
      <w:r>
        <w:rPr>
          <w:rFonts w:hint="eastAsia" w:ascii="仿宋" w:eastAsia="仿宋"/>
          <w:color w:val="000000"/>
          <w:sz w:val="32"/>
          <w:szCs w:val="32"/>
          <w:lang w:val="en-US" w:eastAsia="zh-CN"/>
        </w:rPr>
        <w:t>1万元</w:t>
      </w:r>
      <w:r>
        <w:rPr>
          <w:rFonts w:hint="eastAsia" w:ascii="仿宋" w:eastAsia="仿宋"/>
          <w:color w:val="000000"/>
          <w:sz w:val="32"/>
          <w:szCs w:val="32"/>
        </w:rPr>
        <w:t>、电费</w:t>
      </w:r>
      <w:r>
        <w:rPr>
          <w:rFonts w:hint="eastAsia" w:ascii="仿宋" w:eastAsia="仿宋"/>
          <w:color w:val="000000"/>
          <w:sz w:val="32"/>
          <w:szCs w:val="32"/>
          <w:lang w:val="en-US" w:eastAsia="zh-CN"/>
        </w:rPr>
        <w:t>4.05万元</w:t>
      </w:r>
      <w:r>
        <w:rPr>
          <w:rFonts w:hint="eastAsia" w:ascii="仿宋" w:eastAsia="仿宋"/>
          <w:color w:val="000000"/>
          <w:sz w:val="32"/>
          <w:szCs w:val="32"/>
        </w:rPr>
        <w:t>、</w:t>
      </w:r>
      <w:r>
        <w:rPr>
          <w:rFonts w:hint="eastAsia" w:ascii="仿宋" w:eastAsia="仿宋"/>
          <w:color w:val="000000"/>
          <w:sz w:val="32"/>
          <w:szCs w:val="32"/>
          <w:lang w:eastAsia="zh-CN"/>
        </w:rPr>
        <w:t>取暖费</w:t>
      </w:r>
      <w:r>
        <w:rPr>
          <w:rFonts w:hint="eastAsia" w:ascii="仿宋" w:eastAsia="仿宋"/>
          <w:color w:val="000000"/>
          <w:sz w:val="32"/>
          <w:szCs w:val="32"/>
          <w:lang w:val="en-US" w:eastAsia="zh-CN"/>
        </w:rPr>
        <w:t>0.00万元、</w:t>
      </w:r>
      <w:r>
        <w:rPr>
          <w:rFonts w:hint="eastAsia" w:ascii="仿宋" w:eastAsia="仿宋"/>
          <w:color w:val="000000"/>
          <w:sz w:val="32"/>
          <w:szCs w:val="32"/>
        </w:rPr>
        <w:t>邮电费</w:t>
      </w:r>
      <w:r>
        <w:rPr>
          <w:rFonts w:hint="eastAsia" w:ascii="仿宋" w:eastAsia="仿宋"/>
          <w:color w:val="000000"/>
          <w:sz w:val="32"/>
          <w:szCs w:val="32"/>
          <w:lang w:val="en-US" w:eastAsia="zh-CN"/>
        </w:rPr>
        <w:t>4.53万元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6.00万元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2.00万元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w:t>
      </w:r>
      <w:r>
        <w:rPr>
          <w:rFonts w:hint="eastAsia" w:ascii="仿宋" w:eastAsia="仿宋"/>
          <w:color w:val="000000"/>
          <w:sz w:val="32"/>
          <w:szCs w:val="32"/>
          <w:lang w:val="en-US" w:eastAsia="zh-CN"/>
        </w:rPr>
        <w:t>0.52万元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0万元、其他交通费用0.98万元、劳务费1.00万元、其他商品和服务支出0万元、办公设备购置0万元、无形资产购置0万元</w:t>
      </w:r>
      <w:r>
        <w:rPr>
          <w:rFonts w:hint="eastAsia" w:ascii="仿宋" w:eastAsia="仿宋"/>
          <w:color w:val="000000"/>
          <w:sz w:val="32"/>
          <w:szCs w:val="32"/>
        </w:rPr>
        <w:t>等。</w:t>
      </w:r>
    </w:p>
    <w:p>
      <w:pPr>
        <w:pStyle w:val="2"/>
        <w:keepNext w:val="0"/>
        <w:keepLines w:val="0"/>
        <w:pageBreakBefore w:val="0"/>
        <w:widowControl w:val="0"/>
        <w:kinsoku/>
        <w:wordWrap/>
        <w:overflowPunct/>
        <w:topLinePunct w:val="0"/>
        <w:autoSpaceDE/>
        <w:autoSpaceDN/>
        <w:bidi w:val="0"/>
        <w:adjustRightInd/>
        <w:snapToGrid w:val="0"/>
        <w:spacing w:line="440" w:lineRule="exact"/>
        <w:ind w:firstLine="640" w:firstLineChars="200"/>
        <w:textAlignment w:val="auto"/>
        <w:rPr>
          <w:rFonts w:hint="default" w:ascii="仿宋" w:eastAsia="仿宋"/>
          <w:color w:val="000000"/>
          <w:sz w:val="32"/>
          <w:szCs w:val="32"/>
          <w:lang w:val="en-US" w:eastAsia="zh-CN"/>
        </w:rPr>
      </w:pPr>
      <w:r>
        <w:rPr>
          <w:rFonts w:hint="eastAsia" w:ascii="仿宋" w:eastAsia="仿宋"/>
          <w:color w:val="000000"/>
          <w:sz w:val="32"/>
          <w:szCs w:val="32"/>
          <w:lang w:eastAsia="zh-CN"/>
        </w:rPr>
        <w:t>项目支出：</w:t>
      </w:r>
      <w:r>
        <w:rPr>
          <w:rFonts w:hint="eastAsia" w:ascii="仿宋" w:eastAsia="仿宋"/>
          <w:color w:val="000000"/>
          <w:sz w:val="32"/>
          <w:szCs w:val="32"/>
          <w:lang w:val="en-US" w:eastAsia="zh-CN"/>
        </w:rPr>
        <w:t>35.86万元</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eastAsia="仿宋"/>
          <w:color w:val="000000"/>
          <w:sz w:val="32"/>
          <w:szCs w:val="32"/>
          <w:lang w:val="en-US"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 w:eastAsia="仿宋"/>
          <w:color w:val="000000"/>
          <w:sz w:val="32"/>
          <w:szCs w:val="32"/>
          <w:lang w:val="en-US" w:eastAsia="zh-CN"/>
        </w:rPr>
      </w:pPr>
      <w:r>
        <w:rPr>
          <w:rFonts w:hint="eastAsia" w:ascii="仿宋" w:eastAsia="仿宋"/>
          <w:color w:val="000000"/>
          <w:sz w:val="32"/>
          <w:szCs w:val="32"/>
        </w:rPr>
        <w:t>公用经费</w:t>
      </w:r>
      <w:r>
        <w:rPr>
          <w:rFonts w:hint="eastAsia" w:ascii="仿宋" w:eastAsia="仿宋"/>
          <w:color w:val="000000"/>
          <w:sz w:val="32"/>
          <w:szCs w:val="32"/>
          <w:lang w:val="en-US" w:eastAsia="zh-CN"/>
        </w:rPr>
        <w:t>35.86</w:t>
      </w:r>
      <w:r>
        <w:rPr>
          <w:rFonts w:hint="eastAsia" w:ascii="仿宋" w:eastAsia="仿宋"/>
          <w:color w:val="000000"/>
          <w:sz w:val="32"/>
          <w:szCs w:val="32"/>
        </w:rPr>
        <w:t>万元，主要包括</w:t>
      </w:r>
      <w:r>
        <w:rPr>
          <w:rFonts w:hint="eastAsia" w:ascii="仿宋" w:eastAsia="仿宋"/>
          <w:color w:val="000000"/>
          <w:sz w:val="32"/>
          <w:szCs w:val="32"/>
          <w:lang w:eastAsia="zh-CN"/>
        </w:rPr>
        <w:t>：</w:t>
      </w:r>
      <w:r>
        <w:rPr>
          <w:rFonts w:hint="eastAsia" w:ascii="仿宋" w:eastAsia="仿宋"/>
          <w:color w:val="000000"/>
          <w:sz w:val="32"/>
          <w:szCs w:val="32"/>
        </w:rPr>
        <w:t>办公费</w:t>
      </w:r>
      <w:r>
        <w:rPr>
          <w:rFonts w:hint="eastAsia" w:ascii="仿宋" w:eastAsia="仿宋"/>
          <w:color w:val="000000"/>
          <w:sz w:val="32"/>
          <w:szCs w:val="32"/>
          <w:lang w:val="en-US" w:eastAsia="zh-CN"/>
        </w:rPr>
        <w:t>:7.00万元</w:t>
      </w:r>
      <w:r>
        <w:rPr>
          <w:rFonts w:hint="eastAsia" w:ascii="仿宋" w:eastAsia="仿宋"/>
          <w:color w:val="000000"/>
          <w:sz w:val="32"/>
          <w:szCs w:val="32"/>
        </w:rPr>
        <w:t>、水费</w:t>
      </w:r>
      <w:r>
        <w:rPr>
          <w:rFonts w:hint="eastAsia" w:ascii="仿宋" w:eastAsia="仿宋"/>
          <w:color w:val="000000"/>
          <w:sz w:val="32"/>
          <w:szCs w:val="32"/>
          <w:lang w:val="en-US" w:eastAsia="zh-CN"/>
        </w:rPr>
        <w:t>0.50万元</w:t>
      </w:r>
      <w:r>
        <w:rPr>
          <w:rFonts w:hint="eastAsia" w:ascii="仿宋" w:eastAsia="仿宋"/>
          <w:color w:val="000000"/>
          <w:sz w:val="32"/>
          <w:szCs w:val="32"/>
        </w:rPr>
        <w:t>、差旅费</w:t>
      </w:r>
      <w:r>
        <w:rPr>
          <w:rFonts w:hint="eastAsia" w:ascii="仿宋" w:eastAsia="仿宋"/>
          <w:color w:val="000000"/>
          <w:sz w:val="32"/>
          <w:szCs w:val="32"/>
          <w:lang w:val="en-US" w:eastAsia="zh-CN"/>
        </w:rPr>
        <w:t>0.59万元</w:t>
      </w:r>
      <w:r>
        <w:rPr>
          <w:rFonts w:hint="eastAsia" w:ascii="仿宋" w:eastAsia="仿宋"/>
          <w:color w:val="000000"/>
          <w:sz w:val="32"/>
          <w:szCs w:val="32"/>
        </w:rPr>
        <w:t>、维修（护）费</w:t>
      </w:r>
      <w:r>
        <w:rPr>
          <w:rFonts w:hint="eastAsia" w:ascii="仿宋" w:eastAsia="仿宋"/>
          <w:color w:val="000000"/>
          <w:sz w:val="32"/>
          <w:szCs w:val="32"/>
          <w:lang w:val="en-US" w:eastAsia="zh-CN"/>
        </w:rPr>
        <w:t>11.56万元、其他交通费用0.00万元、劳务费16.21万元。</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0.52</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0.52万元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0.52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pStyle w:val="2"/>
        <w:jc w:val="center"/>
        <w:rPr>
          <w:rFonts w:hint="eastAsia" w:ascii="仿宋" w:eastAsia="仿宋"/>
          <w:color w:val="000000"/>
          <w:sz w:val="32"/>
          <w:szCs w:val="32"/>
          <w:lang w:eastAsia="zh-CN"/>
        </w:rPr>
      </w:pPr>
      <w:r>
        <w:drawing>
          <wp:inline distT="0" distB="0" distL="114300" distR="114300">
            <wp:extent cx="3696970" cy="1353820"/>
            <wp:effectExtent l="4445" t="4445" r="13335" b="1333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4"/>
        </w:numPr>
        <w:spacing w:line="600" w:lineRule="exact"/>
        <w:ind w:firstLine="640"/>
        <w:rPr>
          <w:rStyle w:val="15"/>
          <w:rFonts w:hint="eastAsia" w:ascii="仿宋" w:eastAsia="仿宋"/>
          <w:b w:val="0"/>
          <w:bCs/>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w:t>
      </w:r>
    </w:p>
    <w:p>
      <w:pPr>
        <w:numPr>
          <w:ilvl w:val="0"/>
          <w:numId w:val="0"/>
        </w:numPr>
        <w:spacing w:line="600" w:lineRule="exact"/>
        <w:ind w:firstLine="643" w:firstLineChars="20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公务接待费0.52万元，较上年增加0.33万元，增涨173.68%。</w:t>
      </w:r>
      <w:r>
        <w:rPr>
          <w:rFonts w:hint="eastAsia" w:ascii="仿宋_GB2312" w:eastAsia="仿宋_GB2312"/>
          <w:color w:val="auto"/>
          <w:spacing w:val="-2"/>
          <w:kern w:val="2"/>
          <w:sz w:val="32"/>
          <w:szCs w:val="32"/>
          <w:lang w:val="en-US" w:eastAsia="zh-CN" w:bidi="ar-SA"/>
        </w:rPr>
        <w:t>主要原因</w:t>
      </w:r>
      <w:r>
        <w:rPr>
          <w:rStyle w:val="33"/>
          <w:rFonts w:hint="eastAsia" w:ascii="仿宋_GB2312" w:eastAsia="仿宋_GB2312" w:cs="仿宋_GB2312"/>
          <w:b w:val="0"/>
          <w:bCs/>
          <w:sz w:val="32"/>
          <w:szCs w:val="32"/>
          <w:shd w:val="clear" w:fill="FFFFFF"/>
        </w:rPr>
        <w:t>为人员增加</w:t>
      </w:r>
      <w:r>
        <w:rPr>
          <w:rStyle w:val="33"/>
          <w:rFonts w:hint="eastAsia" w:ascii="仿宋_GB2312" w:eastAsia="仿宋_GB2312" w:cs="仿宋_GB2312"/>
          <w:b w:val="0"/>
          <w:bCs/>
          <w:sz w:val="32"/>
          <w:szCs w:val="32"/>
          <w:shd w:val="clear" w:fill="FFFFFF"/>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75</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Fonts w:hint="eastAsia" w:ascii="仿宋_GB2312" w:hAnsi="仿宋_GB2312" w:eastAsia="仿宋_GB2312" w:cs="仿宋_GB2312"/>
          <w:b/>
          <w:bCs/>
          <w:color w:val="000000"/>
          <w:sz w:val="32"/>
          <w:szCs w:val="32"/>
          <w:lang w:eastAsia="zh-CN"/>
        </w:rPr>
      </w:pPr>
      <w:r>
        <w:rPr>
          <w:rFonts w:hint="eastAsia" w:ascii="黑体" w:eastAsia="黑体"/>
          <w:b/>
          <w:bCs/>
          <w:color w:val="000000"/>
          <w:sz w:val="32"/>
          <w:szCs w:val="32"/>
          <w:lang w:eastAsia="zh-CN"/>
        </w:rPr>
        <w:t>（</w:t>
      </w:r>
      <w:r>
        <w:rPr>
          <w:rFonts w:hint="eastAsia" w:ascii="仿宋_GB2312" w:hAnsi="仿宋_GB2312" w:eastAsia="仿宋_GB2312" w:cs="仿宋_GB2312"/>
          <w:b/>
          <w:bCs/>
          <w:color w:val="000000"/>
          <w:sz w:val="32"/>
          <w:szCs w:val="32"/>
          <w:lang w:eastAsia="zh-CN"/>
        </w:rPr>
        <w:t>三</w:t>
      </w:r>
      <w:r>
        <w:rPr>
          <w:rFonts w:hint="eastAsia" w:ascii="黑体" w:eastAsia="黑体"/>
          <w:b/>
          <w:bCs/>
          <w:color w:val="000000"/>
          <w:sz w:val="32"/>
          <w:szCs w:val="32"/>
          <w:lang w:eastAsia="zh-CN"/>
        </w:rPr>
        <w:t>）</w:t>
      </w:r>
      <w:r>
        <w:rPr>
          <w:rFonts w:hint="eastAsia" w:ascii="仿宋_GB2312" w:hAnsi="仿宋_GB2312" w:eastAsia="仿宋_GB2312" w:cs="仿宋_GB2312"/>
          <w:b/>
          <w:bCs/>
          <w:color w:val="000000"/>
          <w:sz w:val="32"/>
          <w:szCs w:val="32"/>
          <w:lang w:eastAsia="zh-CN"/>
        </w:rPr>
        <w:t>“三公”经费增减变化情况</w:t>
      </w:r>
    </w:p>
    <w:p>
      <w:pPr>
        <w:spacing w:line="600" w:lineRule="exact"/>
        <w:ind w:firstLine="640"/>
        <w:rPr>
          <w:rFonts w:hint="eastAsia" w:ascii="仿宋" w:eastAsia="仿宋"/>
          <w:color w:val="000000"/>
          <w:sz w:val="32"/>
          <w:szCs w:val="32"/>
        </w:rPr>
      </w:pPr>
      <w:r>
        <w:rPr>
          <w:rFonts w:hint="eastAsia" w:ascii="仿宋_GB2312" w:hAnsi="仿宋_GB2312" w:eastAsia="仿宋_GB2312" w:cs="仿宋_GB2312"/>
          <w:sz w:val="32"/>
          <w:szCs w:val="32"/>
          <w:lang w:val="en-US" w:eastAsia="zh-CN"/>
        </w:rPr>
        <w:t xml:space="preserve"> </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lang w:eastAsia="zh-CN"/>
        </w:rPr>
        <w:t>预</w:t>
      </w:r>
      <w:r>
        <w:rPr>
          <w:rFonts w:hint="eastAsia" w:ascii="仿宋" w:eastAsia="仿宋"/>
          <w:color w:val="auto"/>
          <w:sz w:val="32"/>
          <w:szCs w:val="32"/>
        </w:rPr>
        <w:t>算</w:t>
      </w:r>
      <w:r>
        <w:rPr>
          <w:rFonts w:hint="eastAsia" w:ascii="仿宋" w:eastAsia="仿宋"/>
          <w:color w:val="auto"/>
          <w:sz w:val="32"/>
          <w:szCs w:val="32"/>
          <w:lang w:val="en-US" w:eastAsia="zh-CN"/>
        </w:rPr>
        <w:t>0.52万元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w:t>
      </w:r>
      <w:r>
        <w:rPr>
          <w:rFonts w:hint="eastAsia" w:ascii="仿宋" w:eastAsia="仿宋"/>
          <w:color w:val="000000"/>
          <w:sz w:val="32"/>
          <w:szCs w:val="32"/>
          <w:lang w:eastAsia="zh-CN"/>
        </w:rPr>
        <w:t>预</w:t>
      </w:r>
      <w:r>
        <w:rPr>
          <w:rFonts w:hint="eastAsia" w:ascii="仿宋" w:eastAsia="仿宋"/>
          <w:color w:val="000000"/>
          <w:sz w:val="32"/>
          <w:szCs w:val="32"/>
        </w:rPr>
        <w:t>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w:t>
      </w:r>
      <w:r>
        <w:rPr>
          <w:rFonts w:hint="eastAsia" w:ascii="仿宋" w:eastAsia="仿宋"/>
          <w:color w:val="000000"/>
          <w:sz w:val="32"/>
          <w:szCs w:val="32"/>
          <w:lang w:eastAsia="zh-CN"/>
        </w:rPr>
        <w:t>预</w:t>
      </w:r>
      <w:r>
        <w:rPr>
          <w:rFonts w:hint="eastAsia" w:ascii="仿宋" w:eastAsia="仿宋"/>
          <w:color w:val="000000"/>
          <w:sz w:val="32"/>
          <w:szCs w:val="32"/>
        </w:rPr>
        <w:t>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w:t>
      </w:r>
      <w:r>
        <w:rPr>
          <w:rFonts w:hint="eastAsia" w:ascii="仿宋" w:eastAsia="仿宋"/>
          <w:color w:val="000000"/>
          <w:sz w:val="32"/>
          <w:szCs w:val="32"/>
          <w:lang w:eastAsia="zh-CN"/>
        </w:rPr>
        <w:t>预</w:t>
      </w:r>
      <w:r>
        <w:rPr>
          <w:rFonts w:hint="eastAsia" w:ascii="仿宋" w:eastAsia="仿宋"/>
          <w:color w:val="000000"/>
          <w:sz w:val="32"/>
          <w:szCs w:val="32"/>
        </w:rPr>
        <w:t>算</w:t>
      </w:r>
      <w:r>
        <w:rPr>
          <w:rFonts w:hint="eastAsia" w:ascii="仿宋" w:eastAsia="仿宋"/>
          <w:color w:val="000000"/>
          <w:sz w:val="32"/>
          <w:szCs w:val="32"/>
          <w:lang w:val="en-US" w:eastAsia="zh-CN"/>
        </w:rPr>
        <w:t>0.52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0.52万元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0.52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政府性基金预算收入、支出决算情况说明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w:t>
      </w:r>
      <w:r>
        <w:rPr>
          <w:rFonts w:hint="eastAsia" w:ascii="仿宋_GB2312" w:eastAsia="仿宋_GB2312"/>
          <w:color w:val="000000"/>
          <w:sz w:val="32"/>
          <w:szCs w:val="32"/>
          <w:lang w:eastAsia="zh-CN"/>
        </w:rPr>
        <w:t>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w:t>
      </w:r>
      <w:r>
        <w:rPr>
          <w:rFonts w:hint="eastAsia" w:ascii="仿宋_GB2312" w:eastAsia="仿宋_GB2312"/>
          <w:color w:val="000000"/>
          <w:sz w:val="32"/>
          <w:szCs w:val="32"/>
          <w:lang w:eastAsia="zh-CN"/>
        </w:rPr>
        <w:t>决</w:t>
      </w:r>
      <w:r>
        <w:rPr>
          <w:rFonts w:hint="eastAsia" w:ascii="仿宋_GB2312" w:eastAsia="仿宋_GB2312"/>
          <w:color w:val="000000"/>
          <w:sz w:val="32"/>
          <w:szCs w:val="32"/>
        </w:rPr>
        <w:t>算支出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5"/>
        </w:numPr>
        <w:spacing w:line="600" w:lineRule="exact"/>
        <w:ind w:left="0"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6"/>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7"/>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pStyle w:val="25"/>
        <w:keepNext w:val="0"/>
        <w:keepLines w:val="0"/>
        <w:widowControl/>
        <w:suppressLineNumbers w:val="0"/>
        <w:spacing w:before="0" w:beforeAutospacing="0"/>
        <w:ind w:left="0" w:firstLine="640" w:firstLineChars="200"/>
        <w:jc w:val="left"/>
        <w:rPr>
          <w:rFonts w:hint="eastAsia" w:ascii="仿宋_GB2312" w:hAnsi="仿宋_GB2312" w:eastAsia="仿宋_GB2312" w:cs="仿宋_GB2312"/>
          <w:color w:val="333333"/>
          <w:kern w:val="0"/>
          <w:sz w:val="32"/>
          <w:szCs w:val="32"/>
          <w:lang w:eastAsia="zh-CN"/>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eastAsia="zh-CN"/>
        </w:rPr>
        <w:t>我局</w:t>
      </w:r>
      <w:r>
        <w:rPr>
          <w:rFonts w:hint="eastAsia" w:ascii="仿宋_GB2312" w:hAnsi="仿宋_GB2312" w:eastAsia="仿宋_GB2312" w:cs="仿宋_GB2312"/>
          <w:color w:val="333333"/>
          <w:kern w:val="0"/>
          <w:sz w:val="32"/>
          <w:szCs w:val="32"/>
        </w:rPr>
        <w:t xml:space="preserve">对本部门实施了整体支出绩效评价 </w:t>
      </w:r>
      <w:r>
        <w:rPr>
          <w:rFonts w:hint="eastAsia" w:ascii="仿宋_GB2312" w:hAnsi="仿宋_GB2312" w:eastAsia="仿宋_GB2312" w:cs="仿宋_GB2312"/>
          <w:color w:val="333333"/>
          <w:kern w:val="0"/>
          <w:sz w:val="32"/>
          <w:szCs w:val="32"/>
          <w:lang w:eastAsia="zh-CN"/>
        </w:rPr>
        <w:t>：</w:t>
      </w:r>
    </w:p>
    <w:p>
      <w:pPr>
        <w:pStyle w:val="25"/>
        <w:keepNext w:val="0"/>
        <w:keepLines w:val="0"/>
        <w:widowControl/>
        <w:suppressLineNumbers w:val="0"/>
        <w:spacing w:before="0" w:beforeAutospacing="0"/>
        <w:ind w:left="0"/>
        <w:jc w:val="left"/>
        <w:rPr>
          <w:rFonts w:hint="eastAsia" w:ascii="仿宋_GB2312" w:hAnsi="宋体" w:eastAsia="仿宋_GB2312" w:cs="仿宋_GB2312"/>
          <w:b w:val="0"/>
          <w:bCs/>
          <w:kern w:val="0"/>
          <w:sz w:val="32"/>
          <w:szCs w:val="32"/>
          <w:shd w:val="clear" w:fill="FFFFFF"/>
        </w:rPr>
      </w:pPr>
      <w:r>
        <w:rPr>
          <w:rStyle w:val="26"/>
          <w:rFonts w:hint="eastAsia" w:ascii="仿宋_GB2312" w:hAnsi="Times New Roman" w:eastAsia="仿宋_GB2312" w:cs="仿宋_GB2312"/>
          <w:b w:val="0"/>
          <w:bCs/>
          <w:sz w:val="32"/>
          <w:szCs w:val="32"/>
          <w:shd w:val="clear" w:fill="FFFFFF"/>
        </w:rPr>
        <w:t>（1）、完成了单位政策、信息、预、决算公示1次以上。</w:t>
      </w:r>
    </w:p>
    <w:p>
      <w:pPr>
        <w:pStyle w:val="25"/>
        <w:keepNext w:val="0"/>
        <w:keepLines w:val="0"/>
        <w:widowControl/>
        <w:suppressLineNumbers w:val="0"/>
        <w:spacing w:before="0" w:beforeAutospacing="0"/>
        <w:ind w:left="0"/>
        <w:jc w:val="left"/>
        <w:rPr>
          <w:rFonts w:hint="eastAsia" w:ascii="仿宋_GB2312" w:hAnsi="宋体" w:eastAsia="仿宋_GB2312" w:cs="仿宋_GB2312"/>
          <w:b w:val="0"/>
          <w:bCs/>
          <w:kern w:val="0"/>
          <w:sz w:val="32"/>
          <w:szCs w:val="32"/>
          <w:shd w:val="clear" w:fill="FFFFFF"/>
        </w:rPr>
      </w:pPr>
      <w:r>
        <w:rPr>
          <w:rStyle w:val="26"/>
          <w:rFonts w:hint="eastAsia" w:ascii="仿宋_GB2312" w:hAnsi="Times New Roman" w:eastAsia="仿宋_GB2312" w:cs="仿宋_GB2312"/>
          <w:b w:val="0"/>
          <w:bCs/>
          <w:sz w:val="32"/>
          <w:szCs w:val="32"/>
          <w:shd w:val="clear" w:fill="FFFFFF"/>
        </w:rPr>
        <w:t>（2）、完成了指导乡镇行政审批工作22次以上。</w:t>
      </w:r>
    </w:p>
    <w:p>
      <w:pPr>
        <w:pStyle w:val="25"/>
        <w:keepNext w:val="0"/>
        <w:keepLines w:val="0"/>
        <w:widowControl/>
        <w:suppressLineNumbers w:val="0"/>
        <w:spacing w:before="0" w:beforeAutospacing="0"/>
        <w:ind w:left="0"/>
        <w:jc w:val="left"/>
        <w:rPr>
          <w:rFonts w:hint="eastAsia" w:ascii="仿宋_GB2312" w:hAnsi="宋体" w:eastAsia="仿宋_GB2312" w:cs="仿宋_GB2312"/>
          <w:b w:val="0"/>
          <w:bCs/>
          <w:kern w:val="0"/>
          <w:sz w:val="32"/>
          <w:szCs w:val="32"/>
          <w:shd w:val="clear" w:fill="FFFFFF"/>
        </w:rPr>
      </w:pPr>
      <w:r>
        <w:rPr>
          <w:rStyle w:val="26"/>
          <w:rFonts w:hint="eastAsia" w:ascii="仿宋_GB2312" w:hAnsi="Times New Roman" w:eastAsia="仿宋_GB2312" w:cs="仿宋_GB2312"/>
          <w:b w:val="0"/>
          <w:bCs/>
          <w:sz w:val="32"/>
          <w:szCs w:val="32"/>
          <w:shd w:val="clear" w:fill="FFFFFF"/>
        </w:rPr>
        <w:t>（3）、完成了每天认真开展本单位的日常工作及严格管理、监督好政务服务大厅窗口各单位的工作开展，高质量的完成业务办理工作</w:t>
      </w:r>
    </w:p>
    <w:p>
      <w:pPr>
        <w:pStyle w:val="25"/>
        <w:keepNext w:val="0"/>
        <w:keepLines w:val="0"/>
        <w:widowControl/>
        <w:suppressLineNumbers w:val="0"/>
        <w:spacing w:before="0" w:beforeAutospacing="0"/>
        <w:ind w:left="0"/>
        <w:jc w:val="left"/>
        <w:rPr>
          <w:rFonts w:hint="eastAsia" w:ascii="仿宋_GB2312" w:hAnsi="宋体" w:eastAsia="仿宋_GB2312" w:cs="仿宋_GB2312"/>
          <w:b w:val="0"/>
          <w:bCs/>
          <w:kern w:val="0"/>
          <w:sz w:val="32"/>
          <w:szCs w:val="32"/>
          <w:shd w:val="clear" w:fill="FFFFFF"/>
        </w:rPr>
      </w:pPr>
      <w:r>
        <w:rPr>
          <w:rStyle w:val="26"/>
          <w:rFonts w:hint="eastAsia" w:ascii="仿宋_GB2312" w:hAnsi="Times New Roman" w:eastAsia="仿宋_GB2312" w:cs="仿宋_GB2312"/>
          <w:b w:val="0"/>
          <w:bCs/>
          <w:sz w:val="32"/>
          <w:szCs w:val="32"/>
          <w:shd w:val="clear" w:fill="FFFFFF"/>
        </w:rPr>
        <w:t>（4）、完成了为人民群众办事提供方便，解决为民服务最后一公里的问题</w:t>
      </w:r>
    </w:p>
    <w:p>
      <w:pPr>
        <w:pStyle w:val="25"/>
        <w:keepNext w:val="0"/>
        <w:keepLines w:val="0"/>
        <w:widowControl/>
        <w:suppressLineNumbers w:val="0"/>
        <w:spacing w:before="0" w:beforeAutospacing="0"/>
        <w:ind w:left="0"/>
        <w:jc w:val="left"/>
        <w:rPr>
          <w:rFonts w:hint="eastAsia" w:ascii="仿宋_GB2312" w:hAnsi="Times New Roman" w:eastAsia="仿宋_GB2312" w:cs="仿宋_GB2312"/>
          <w:b w:val="0"/>
          <w:bCs/>
          <w:kern w:val="0"/>
          <w:sz w:val="32"/>
          <w:szCs w:val="32"/>
          <w:shd w:val="clear" w:fill="FFFFFF"/>
        </w:rPr>
      </w:pPr>
      <w:r>
        <w:rPr>
          <w:rStyle w:val="34"/>
          <w:rFonts w:hint="eastAsia" w:ascii="仿宋_GB2312" w:hAnsi="Times New Roman" w:eastAsia="仿宋_GB2312" w:cs="仿宋_GB2312"/>
          <w:b w:val="0"/>
          <w:bCs/>
          <w:kern w:val="2"/>
          <w:sz w:val="32"/>
          <w:szCs w:val="32"/>
          <w:shd w:val="clear" w:fill="FFFFFF"/>
        </w:rPr>
        <w:t>（5）、完成了严格按照政府采购制度，保质保量完成全县政府采购工作</w:t>
      </w:r>
    </w:p>
    <w:p>
      <w:pPr>
        <w:pStyle w:val="25"/>
        <w:keepNext w:val="0"/>
        <w:keepLines w:val="0"/>
        <w:widowControl/>
        <w:suppressLineNumbers w:val="0"/>
        <w:spacing w:before="0" w:beforeAutospacing="0"/>
        <w:ind w:left="0"/>
        <w:jc w:val="left"/>
        <w:rPr>
          <w:rFonts w:hint="eastAsia" w:ascii="仿宋_GB2312" w:eastAsia="仿宋_GB2312" w:cs="仿宋_GB2312"/>
          <w:b w:val="0"/>
          <w:bCs/>
          <w:kern w:val="0"/>
          <w:sz w:val="32"/>
          <w:szCs w:val="32"/>
          <w:shd w:val="clear" w:fill="FFFFFF"/>
        </w:rPr>
      </w:pPr>
      <w:r>
        <w:rPr>
          <w:rStyle w:val="34"/>
          <w:rFonts w:hint="eastAsia" w:ascii="仿宋_GB2312" w:hAnsi="Times New Roman" w:eastAsia="仿宋_GB2312" w:cs="仿宋_GB2312"/>
          <w:b w:val="0"/>
          <w:bCs/>
          <w:kern w:val="2"/>
          <w:sz w:val="32"/>
          <w:szCs w:val="32"/>
          <w:shd w:val="clear" w:fill="FFFFFF"/>
        </w:rPr>
        <w:t>（6）、完成了为全县政府采购提供服务</w:t>
      </w:r>
    </w:p>
    <w:p>
      <w:pPr>
        <w:widowControl/>
        <w:adjustRightInd w:val="0"/>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333333"/>
          <w:kern w:val="0"/>
          <w:sz w:val="32"/>
          <w:szCs w:val="32"/>
        </w:rPr>
        <w:t>按照要求向金川县财政局按时报送自评报告，</w:t>
      </w:r>
      <w:r>
        <w:rPr>
          <w:rFonts w:hint="eastAsia" w:ascii="仿宋_GB2312" w:hAnsi="仿宋_GB2312" w:eastAsia="仿宋_GB2312" w:cs="仿宋_GB2312"/>
          <w:color w:val="000000"/>
          <w:sz w:val="32"/>
          <w:szCs w:val="32"/>
        </w:rPr>
        <w:t>财政资金支出主要用于保障本部门机构正常运转、更好完成各项日常工作，</w:t>
      </w:r>
      <w:r>
        <w:rPr>
          <w:rFonts w:hint="eastAsia" w:ascii="仿宋_GB2312" w:hAnsi="仿宋_GB2312" w:eastAsia="仿宋_GB2312" w:cs="仿宋_GB2312"/>
          <w:color w:val="333333"/>
          <w:kern w:val="0"/>
          <w:sz w:val="32"/>
          <w:szCs w:val="32"/>
        </w:rPr>
        <w:t>社会群众对行政审批局的工作总体较满意。</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83</w:t>
      </w:r>
      <w:r>
        <w:rPr>
          <w:rFonts w:hint="eastAsia" w:ascii="仿宋_GB2312" w:eastAsia="仿宋_GB2312"/>
          <w:color w:val="000000"/>
          <w:sz w:val="32"/>
          <w:szCs w:val="32"/>
        </w:rPr>
        <w:t>分</w:t>
      </w:r>
      <w:r>
        <w:rPr>
          <w:rFonts w:hint="eastAsia" w:ascii="仿宋_GB2312" w:eastAsia="仿宋_GB2312"/>
          <w:color w:val="000000"/>
          <w:sz w:val="32"/>
          <w:szCs w:val="32"/>
          <w:lang w:eastAsia="zh-CN"/>
        </w:rPr>
        <w:t>（</w:t>
      </w:r>
      <w:r>
        <w:rPr>
          <w:rFonts w:hint="eastAsia" w:ascii="仿宋_GB2312" w:eastAsia="仿宋_GB2312"/>
          <w:sz w:val="32"/>
          <w:szCs w:val="32"/>
        </w:rPr>
        <w:t>自评得分</w:t>
      </w:r>
      <w:r>
        <w:rPr>
          <w:rFonts w:hint="eastAsia" w:ascii="仿宋_GB2312" w:eastAsia="仿宋_GB2312"/>
          <w:sz w:val="32"/>
          <w:szCs w:val="32"/>
          <w:lang w:eastAsia="zh-CN"/>
        </w:rPr>
        <w:t>满分为</w:t>
      </w:r>
      <w:r>
        <w:rPr>
          <w:rFonts w:hint="eastAsia" w:ascii="仿宋_GB2312" w:eastAsia="仿宋_GB2312"/>
          <w:sz w:val="32"/>
          <w:szCs w:val="32"/>
          <w:lang w:val="en-US" w:eastAsia="zh-CN"/>
        </w:rPr>
        <w:t>90分</w:t>
      </w:r>
      <w:r>
        <w:rPr>
          <w:rFonts w:hint="eastAsia" w:ascii="仿宋_GB2312" w:eastAsia="仿宋_GB2312"/>
          <w:color w:val="000000"/>
          <w:sz w:val="32"/>
          <w:szCs w:val="32"/>
          <w:lang w:eastAsia="zh-CN"/>
        </w:rPr>
        <w:t>）</w:t>
      </w:r>
      <w:r>
        <w:rPr>
          <w:rFonts w:hint="eastAsia" w:ascii="仿宋_GB2312" w:eastAsia="仿宋_GB2312"/>
          <w:sz w:val="32"/>
          <w:szCs w:val="32"/>
        </w:rPr>
        <w:t>。</w:t>
      </w:r>
      <w:r>
        <w:rPr>
          <w:rFonts w:hint="eastAsia" w:ascii="仿宋_GB2312" w:hAnsi="仿宋_GB2312" w:eastAsia="仿宋_GB2312" w:cs="仿宋_GB2312"/>
          <w:sz w:val="32"/>
          <w:szCs w:val="32"/>
        </w:rPr>
        <w:t>无不良记录及违规违纪行为，预算收、支和决算收、支情况相符。</w:t>
      </w:r>
    </w:p>
    <w:p>
      <w:pPr>
        <w:spacing w:line="580" w:lineRule="exact"/>
        <w:ind w:left="0"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项目绩效目标完成情况。</w:t>
      </w:r>
    </w:p>
    <w:p>
      <w:pPr>
        <w:spacing w:line="580" w:lineRule="exact"/>
        <w:ind w:left="0"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rPr>
        <w:t xml:space="preserve">    </w:t>
      </w:r>
      <w:r>
        <w:rPr>
          <w:rFonts w:hint="eastAsia" w:ascii="仿宋_GB2312" w:eastAsia="仿宋_GB2312" w:cs="仿宋_GB2312"/>
          <w:sz w:val="32"/>
          <w:szCs w:val="32"/>
          <w:lang w:eastAsia="zh-CN"/>
        </w:rPr>
        <w:t>无</w:t>
      </w:r>
    </w:p>
    <w:p>
      <w:pPr>
        <w:numPr>
          <w:ilvl w:val="0"/>
          <w:numId w:val="7"/>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行政审批局</w:t>
      </w:r>
      <w:r>
        <w:rPr>
          <w:rFonts w:hint="eastAsia" w:ascii="仿宋_GB2312" w:eastAsia="仿宋_GB2312"/>
          <w:sz w:val="32"/>
          <w:szCs w:val="32"/>
          <w:lang w:val="en-US" w:eastAsia="zh-CN"/>
        </w:rPr>
        <w:t>2021</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金川县行政审批局机关</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12.51</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hAnsi="仿宋_GB2312" w:eastAsia="仿宋_GB2312" w:cs="仿宋_GB2312"/>
          <w:sz w:val="32"/>
          <w:lang w:eastAsia="zh-CN"/>
        </w:rPr>
        <w:t>增加</w:t>
      </w:r>
      <w:r>
        <w:rPr>
          <w:rFonts w:hint="eastAsia" w:ascii="仿宋_GB2312" w:hAnsi="仿宋_GB2312" w:eastAsia="仿宋_GB2312" w:cs="仿宋_GB2312"/>
          <w:sz w:val="32"/>
          <w:lang w:val="en-US" w:eastAsia="zh-CN"/>
        </w:rPr>
        <w:t>11.08</w:t>
      </w:r>
      <w:r>
        <w:rPr>
          <w:rFonts w:hint="eastAsia" w:ascii="仿宋_GB2312" w:eastAsia="仿宋_GB2312"/>
          <w:color w:val="000000"/>
          <w:sz w:val="32"/>
          <w:szCs w:val="32"/>
        </w:rPr>
        <w:t>万元，</w:t>
      </w:r>
      <w:r>
        <w:rPr>
          <w:rFonts w:hint="eastAsia" w:ascii="仿宋_GB2312" w:hAnsi="仿宋_GB2312" w:eastAsia="仿宋_GB2312" w:cs="仿宋_GB2312"/>
          <w:sz w:val="32"/>
          <w:lang w:eastAsia="zh-CN"/>
        </w:rPr>
        <w:t>増涨</w:t>
      </w:r>
      <w:r>
        <w:rPr>
          <w:rFonts w:hint="eastAsia" w:ascii="仿宋_GB2312" w:hAnsi="仿宋_GB2312" w:eastAsia="仿宋_GB2312" w:cs="仿宋_GB2312"/>
          <w:sz w:val="32"/>
          <w:lang w:val="en-US" w:eastAsia="zh-CN"/>
        </w:rPr>
        <w:t>780.18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_GB2312" w:eastAsia="仿宋_GB2312" w:cs="仿宋_GB2312"/>
          <w:sz w:val="32"/>
        </w:rPr>
        <w:t>主要用于办公</w:t>
      </w:r>
      <w:r>
        <w:rPr>
          <w:rFonts w:hint="eastAsia" w:ascii="仿宋_GB2312" w:hAnsi="仿宋_GB2312" w:eastAsia="仿宋_GB2312" w:cs="仿宋_GB2312"/>
          <w:sz w:val="32"/>
          <w:lang w:eastAsia="zh-CN"/>
        </w:rPr>
        <w:t>耗材、用品、</w:t>
      </w:r>
      <w:r>
        <w:rPr>
          <w:rFonts w:hint="eastAsia" w:ascii="仿宋_GB2312" w:hAnsi="仿宋_GB2312" w:eastAsia="仿宋_GB2312" w:cs="仿宋_GB2312"/>
          <w:sz w:val="32"/>
          <w:vertAlign w:val="baseline"/>
          <w:lang w:val="en-US" w:eastAsia="zh-CN"/>
        </w:rPr>
        <w:t>工作人员下乡补助费用、局机关维修改造费用、工作人员下乡产生的租车费用。</w:t>
      </w:r>
      <w:r>
        <w:rPr>
          <w:rFonts w:hint="eastAsia" w:ascii="仿宋_GB2312" w:hAnsi="仿宋_GB2312" w:eastAsia="仿宋_GB2312" w:cs="仿宋_GB2312"/>
          <w:sz w:val="32"/>
        </w:rPr>
        <w:t>该</w:t>
      </w:r>
      <w:r>
        <w:rPr>
          <w:rFonts w:hint="eastAsia" w:ascii="仿宋_GB2312" w:hAnsi="仿宋_GB2312" w:eastAsia="仿宋_GB2312" w:cs="仿宋_GB2312"/>
          <w:sz w:val="32"/>
          <w:lang w:eastAsia="zh-CN"/>
        </w:rPr>
        <w:t>支出</w:t>
      </w:r>
      <w:r>
        <w:rPr>
          <w:rFonts w:hint="eastAsia" w:ascii="仿宋_GB2312" w:hAnsi="仿宋_GB2312" w:eastAsia="仿宋_GB2312" w:cs="仿宋_GB2312"/>
          <w:sz w:val="32"/>
        </w:rPr>
        <w:t>与之前年度</w:t>
      </w:r>
      <w:r>
        <w:rPr>
          <w:rFonts w:hint="eastAsia" w:ascii="仿宋_GB2312" w:hAnsi="仿宋_GB2312" w:eastAsia="仿宋_GB2312" w:cs="仿宋_GB2312"/>
          <w:sz w:val="32"/>
          <w:lang w:eastAsia="zh-CN"/>
        </w:rPr>
        <w:t>增加</w:t>
      </w:r>
      <w:r>
        <w:rPr>
          <w:rFonts w:hint="eastAsia" w:ascii="仿宋_GB2312" w:hAnsi="仿宋_GB2312" w:eastAsia="仿宋_GB2312" w:cs="仿宋_GB2312"/>
          <w:sz w:val="32"/>
        </w:rPr>
        <w:t>幅度较大的主要原因是</w:t>
      </w:r>
      <w:r>
        <w:rPr>
          <w:rFonts w:hint="eastAsia" w:ascii="仿宋_GB2312" w:hAnsi="仿宋_GB2312" w:eastAsia="仿宋_GB2312" w:cs="仿宋_GB2312"/>
          <w:sz w:val="32"/>
          <w:lang w:eastAsia="zh-CN"/>
        </w:rPr>
        <w:t>人员增加及各项费用增加</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8"/>
        </w:numPr>
        <w:spacing w:line="600" w:lineRule="exact"/>
        <w:ind w:left="0" w:firstLine="660" w:firstLineChars="150"/>
        <w:jc w:val="center"/>
        <w:outlineLvl w:val="0"/>
        <w:rPr>
          <w:rStyle w:val="17"/>
          <w:rFonts w:ascii="黑体" w:eastAsia="黑体"/>
          <w:b w:val="0"/>
        </w:rPr>
      </w:pPr>
      <w:bookmarkStart w:id="55" w:name="_Toc15396613"/>
      <w:bookmarkStart w:id="56" w:name="_Toc15377225"/>
    </w:p>
    <w:p>
      <w:pPr>
        <w:numPr>
          <w:ilvl w:val="0"/>
          <w:numId w:val="0"/>
        </w:numPr>
        <w:tabs>
          <w:tab w:val="left" w:pos="0"/>
        </w:tabs>
        <w:spacing w:line="600" w:lineRule="exact"/>
        <w:ind w:firstLine="3534" w:firstLineChars="800"/>
        <w:jc w:val="both"/>
        <w:outlineLvl w:val="0"/>
        <w:rPr>
          <w:rStyle w:val="17"/>
          <w:rFonts w:ascii="黑体" w:eastAsia="黑体"/>
          <w:b w:val="0"/>
        </w:rPr>
      </w:pPr>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一般公共服务（类）政府办公厅（室）及相关机构事务（款）其他政府办公厅（室）及相关机构事务（项）：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w:t>
      </w:r>
      <w:r>
        <w:rPr>
          <w:rFonts w:hint="eastAsia" w:ascii="仿宋_GB2312" w:eastAsia="仿宋_GB2312" w:cs="仿宋"/>
          <w:color w:val="000000"/>
          <w:kern w:val="0"/>
          <w:sz w:val="32"/>
          <w:szCs w:val="32"/>
          <w:lang w:val="en-US" w:eastAsia="zh-CN" w:bidi="ar-SA"/>
        </w:rPr>
        <w:t>其他政府办公厅（室）及相关机构事务</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、邮电费、差旅费、维修</w:t>
      </w:r>
      <w:r>
        <w:rPr>
          <w:rFonts w:hint="eastAsia" w:ascii="仿宋_GB2312" w:eastAsia="仿宋_GB2312"/>
          <w:sz w:val="32"/>
          <w:szCs w:val="32"/>
          <w:lang w:eastAsia="zh-CN"/>
        </w:rPr>
        <w:t>（护）</w:t>
      </w:r>
      <w:r>
        <w:rPr>
          <w:rFonts w:hint="eastAsia" w:ascii="仿宋_GB2312" w:eastAsia="仿宋_GB2312"/>
          <w:sz w:val="32"/>
          <w:szCs w:val="32"/>
        </w:rPr>
        <w:t>费、</w:t>
      </w:r>
      <w:r>
        <w:rPr>
          <w:rFonts w:hint="eastAsia" w:ascii="仿宋_GB2312" w:eastAsia="仿宋_GB2312"/>
          <w:sz w:val="32"/>
          <w:szCs w:val="32"/>
          <w:lang w:eastAsia="zh-CN"/>
        </w:rPr>
        <w:t>劳务费、</w:t>
      </w:r>
      <w:r>
        <w:rPr>
          <w:rFonts w:hint="eastAsia" w:ascii="仿宋_GB2312" w:eastAsia="仿宋_GB2312"/>
          <w:sz w:val="32"/>
          <w:szCs w:val="32"/>
        </w:rPr>
        <w:t>水</w:t>
      </w:r>
      <w:r>
        <w:rPr>
          <w:rFonts w:hint="eastAsia" w:ascii="仿宋_GB2312" w:eastAsia="仿宋_GB2312"/>
          <w:sz w:val="32"/>
          <w:szCs w:val="32"/>
          <w:lang w:eastAsia="zh-CN"/>
        </w:rPr>
        <w:t>费、</w:t>
      </w:r>
      <w:r>
        <w:rPr>
          <w:rFonts w:hint="eastAsia" w:ascii="仿宋_GB2312" w:eastAsia="仿宋_GB2312"/>
          <w:sz w:val="32"/>
          <w:szCs w:val="32"/>
        </w:rPr>
        <w:t>电费、取暖费、</w:t>
      </w:r>
      <w:r>
        <w:rPr>
          <w:rFonts w:hint="eastAsia" w:ascii="仿宋_GB2312" w:eastAsia="仿宋_GB2312"/>
          <w:sz w:val="32"/>
          <w:szCs w:val="32"/>
          <w:lang w:eastAsia="zh-CN"/>
        </w:rPr>
        <w:t>公务接待费</w:t>
      </w:r>
      <w:r>
        <w:rPr>
          <w:rFonts w:hint="eastAsia" w:ascii="仿宋_GB2312" w:eastAsia="仿宋_GB2312"/>
          <w:sz w:val="32"/>
          <w:szCs w:val="32"/>
        </w:rPr>
        <w:t>及其他</w:t>
      </w:r>
      <w:r>
        <w:rPr>
          <w:rFonts w:hint="eastAsia" w:ascii="仿宋_GB2312" w:eastAsia="仿宋_GB2312"/>
          <w:sz w:val="32"/>
          <w:szCs w:val="32"/>
          <w:lang w:eastAsia="zh-CN"/>
        </w:rPr>
        <w:t>交通</w:t>
      </w:r>
      <w:r>
        <w:rPr>
          <w:rFonts w:hint="eastAsia" w:ascii="仿宋_GB2312" w:eastAsia="仿宋_GB2312"/>
          <w:sz w:val="32"/>
          <w:szCs w:val="32"/>
        </w:rPr>
        <w:t>费用</w:t>
      </w:r>
      <w:r>
        <w:rPr>
          <w:rFonts w:hint="eastAsia" w:ascii="仿宋_GB2312" w:eastAsia="仿宋_GB2312"/>
          <w:sz w:val="32"/>
          <w:szCs w:val="32"/>
          <w:lang w:eastAsia="zh-CN"/>
        </w:rPr>
        <w:t>等</w:t>
      </w:r>
      <w:r>
        <w:rPr>
          <w:rFonts w:hint="eastAsia" w:ascii="仿宋_GB2312" w:eastAsia="仿宋_GB2312"/>
          <w:sz w:val="32"/>
          <w:szCs w:val="32"/>
        </w:rPr>
        <w:t>。</w:t>
      </w:r>
    </w:p>
    <w:p>
      <w:pPr>
        <w:spacing w:line="600" w:lineRule="exact"/>
        <w:jc w:val="center"/>
        <w:outlineLvl w:val="0"/>
        <w:rPr>
          <w:rFonts w:hint="eastAsia" w:ascii="黑体" w:eastAsia="黑体"/>
          <w:color w:val="000000"/>
          <w:sz w:val="44"/>
          <w:szCs w:val="44"/>
        </w:rPr>
      </w:pPr>
      <w:bookmarkStart w:id="57" w:name="_Toc15396614"/>
      <w:bookmarkStart w:id="58"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8"/>
        </w:numPr>
        <w:spacing w:line="600" w:lineRule="exact"/>
        <w:ind w:left="0" w:firstLine="660" w:firstLineChars="150"/>
        <w:jc w:val="center"/>
        <w:outlineLvl w:val="0"/>
        <w:rPr>
          <w:rStyle w:val="17"/>
          <w:rFonts w:hint="eastAsia" w:ascii="黑体" w:eastAsia="黑体"/>
          <w:b w:val="0"/>
        </w:rPr>
      </w:pPr>
      <w:r>
        <w:rPr>
          <w:rStyle w:val="17"/>
          <w:rFonts w:hint="eastAsia" w:ascii="黑体" w:eastAsia="黑体"/>
          <w:b w:val="0"/>
        </w:rPr>
        <w:t>附件</w:t>
      </w:r>
      <w:bookmarkEnd w:id="57"/>
    </w:p>
    <w:p>
      <w:pPr>
        <w:spacing w:line="240" w:lineRule="auto"/>
        <w:jc w:val="both"/>
        <w:outlineLvl w:val="0"/>
        <w:rPr>
          <w:rStyle w:val="17"/>
          <w:rFonts w:hint="eastAsia" w:ascii="黑体" w:eastAsia="黑体"/>
          <w:b w:val="0"/>
        </w:rPr>
      </w:pPr>
    </w:p>
    <w:bookmarkEnd w:id="58"/>
    <w:p>
      <w:pPr>
        <w:widowControl/>
        <w:shd w:val="clear" w:color="auto" w:fill="FFFFFF"/>
        <w:spacing w:after="450" w:line="440" w:lineRule="exact"/>
        <w:jc w:val="center"/>
        <w:outlineLvl w:val="0"/>
        <w:rPr>
          <w:rFonts w:ascii="微软雅黑" w:hAnsi="微软雅黑" w:eastAsia="微软雅黑" w:cs="宋体"/>
          <w:b/>
          <w:bCs/>
          <w:color w:val="333333"/>
          <w:kern w:val="36"/>
          <w:sz w:val="44"/>
          <w:szCs w:val="44"/>
        </w:rPr>
      </w:pPr>
      <w:bookmarkStart w:id="60" w:name="_Toc15396618"/>
      <w:bookmarkStart w:id="61" w:name="_Toc15396619"/>
      <w:r>
        <w:rPr>
          <w:rFonts w:hint="eastAsia" w:ascii="微软雅黑" w:hAnsi="微软雅黑" w:eastAsia="微软雅黑" w:cs="宋体"/>
          <w:b/>
          <w:bCs/>
          <w:color w:val="333333"/>
          <w:kern w:val="36"/>
          <w:sz w:val="44"/>
          <w:szCs w:val="44"/>
        </w:rPr>
        <w:t>金川县行政审批局</w:t>
      </w:r>
    </w:p>
    <w:p>
      <w:pPr>
        <w:widowControl/>
        <w:shd w:val="clear" w:color="auto" w:fill="FFFFFF"/>
        <w:spacing w:after="450" w:line="440" w:lineRule="exact"/>
        <w:jc w:val="center"/>
        <w:outlineLvl w:val="0"/>
        <w:rPr>
          <w:rFonts w:ascii="微软雅黑" w:hAnsi="微软雅黑" w:eastAsia="微软雅黑" w:cs="宋体"/>
          <w:b/>
          <w:bCs/>
          <w:color w:val="333333"/>
          <w:kern w:val="36"/>
          <w:sz w:val="44"/>
          <w:szCs w:val="44"/>
        </w:rPr>
      </w:pPr>
      <w:r>
        <w:rPr>
          <w:rFonts w:hint="eastAsia" w:ascii="微软雅黑" w:hAnsi="微软雅黑" w:eastAsia="微软雅黑" w:cs="宋体"/>
          <w:b/>
          <w:bCs/>
          <w:color w:val="333333"/>
          <w:kern w:val="36"/>
          <w:sz w:val="44"/>
          <w:szCs w:val="44"/>
        </w:rPr>
        <w:t>202</w:t>
      </w:r>
      <w:r>
        <w:rPr>
          <w:rFonts w:hint="eastAsia" w:ascii="微软雅黑" w:hAnsi="微软雅黑" w:eastAsia="微软雅黑" w:cs="宋体"/>
          <w:b/>
          <w:bCs/>
          <w:color w:val="333333"/>
          <w:kern w:val="36"/>
          <w:sz w:val="44"/>
          <w:szCs w:val="44"/>
          <w:lang w:val="en-US" w:eastAsia="zh-CN"/>
        </w:rPr>
        <w:t>1</w:t>
      </w:r>
      <w:r>
        <w:rPr>
          <w:rFonts w:hint="eastAsia" w:ascii="微软雅黑" w:hAnsi="微软雅黑" w:eastAsia="微软雅黑" w:cs="宋体"/>
          <w:b/>
          <w:bCs/>
          <w:color w:val="333333"/>
          <w:kern w:val="36"/>
          <w:sz w:val="44"/>
          <w:szCs w:val="44"/>
        </w:rPr>
        <w:t>年度部门整体支出绩效评价报告</w:t>
      </w:r>
    </w:p>
    <w:p>
      <w:pPr>
        <w:widowControl/>
        <w:spacing w:line="4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（报告范围包括机关和下属单位）</w:t>
      </w:r>
    </w:p>
    <w:p>
      <w:pPr>
        <w:widowControl/>
        <w:spacing w:before="150" w:after="120" w:line="520" w:lineRule="exact"/>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金川县财政局：</w:t>
      </w:r>
    </w:p>
    <w:p>
      <w:pPr>
        <w:widowControl/>
        <w:spacing w:before="150" w:after="120" w:line="520" w:lineRule="exact"/>
        <w:ind w:firstLine="640" w:firstLineChars="20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按照金川县财政局</w:t>
      </w:r>
      <w:r>
        <w:rPr>
          <w:rFonts w:hint="eastAsia" w:ascii="仿宋_GB2312" w:hAnsi="仿宋_GB2312" w:eastAsia="仿宋_GB2312" w:cs="仿宋_GB2312"/>
          <w:color w:val="333333"/>
          <w:kern w:val="0"/>
          <w:sz w:val="32"/>
          <w:szCs w:val="32"/>
          <w:lang w:eastAsia="zh-CN"/>
        </w:rPr>
        <w:t>关于转发</w:t>
      </w:r>
      <w:r>
        <w:rPr>
          <w:rFonts w:hint="eastAsia" w:ascii="仿宋_GB2312" w:hAnsi="仿宋_GB2312" w:eastAsia="仿宋_GB2312" w:cs="仿宋_GB2312"/>
          <w:color w:val="333333"/>
          <w:kern w:val="0"/>
          <w:sz w:val="32"/>
          <w:szCs w:val="32"/>
        </w:rPr>
        <w:t>《开展202</w:t>
      </w:r>
      <w:r>
        <w:rPr>
          <w:rFonts w:hint="eastAsia" w:ascii="仿宋_GB2312" w:hAnsi="仿宋_GB2312" w:eastAsia="仿宋_GB2312" w:cs="仿宋_GB2312"/>
          <w:color w:val="333333"/>
          <w:kern w:val="0"/>
          <w:sz w:val="32"/>
          <w:szCs w:val="32"/>
          <w:lang w:val="en-US" w:eastAsia="zh-CN"/>
        </w:rPr>
        <w:t>2</w:t>
      </w:r>
      <w:r>
        <w:rPr>
          <w:rFonts w:hint="eastAsia" w:ascii="仿宋_GB2312" w:hAnsi="仿宋_GB2312" w:eastAsia="仿宋_GB2312" w:cs="仿宋_GB2312"/>
          <w:color w:val="333333"/>
          <w:kern w:val="0"/>
          <w:sz w:val="32"/>
          <w:szCs w:val="32"/>
        </w:rPr>
        <w:t>年</w:t>
      </w:r>
      <w:r>
        <w:rPr>
          <w:rFonts w:hint="eastAsia" w:ascii="仿宋_GB2312" w:hAnsi="仿宋_GB2312" w:eastAsia="仿宋_GB2312" w:cs="仿宋_GB2312"/>
          <w:color w:val="333333"/>
          <w:kern w:val="0"/>
          <w:sz w:val="32"/>
          <w:szCs w:val="32"/>
          <w:lang w:eastAsia="zh-CN"/>
        </w:rPr>
        <w:t>部门、政策和项目</w:t>
      </w:r>
      <w:r>
        <w:rPr>
          <w:rFonts w:hint="eastAsia" w:ascii="仿宋_GB2312" w:hAnsi="仿宋_GB2312" w:eastAsia="仿宋_GB2312" w:cs="仿宋_GB2312"/>
          <w:color w:val="333333"/>
          <w:kern w:val="0"/>
          <w:sz w:val="32"/>
          <w:szCs w:val="32"/>
        </w:rPr>
        <w:t>支出绩效评价工作的通知》(金财</w:t>
      </w:r>
      <w:r>
        <w:rPr>
          <w:rFonts w:hint="eastAsia" w:ascii="仿宋_GB2312" w:hAnsi="仿宋_GB2312" w:eastAsia="仿宋_GB2312" w:cs="仿宋_GB2312"/>
          <w:color w:val="333333"/>
          <w:kern w:val="0"/>
          <w:sz w:val="32"/>
          <w:szCs w:val="32"/>
          <w:lang w:eastAsia="zh-CN"/>
        </w:rPr>
        <w:t>监绩</w:t>
      </w:r>
      <w:r>
        <w:rPr>
          <w:rFonts w:hint="eastAsia" w:ascii="仿宋_GB2312" w:hAnsi="仿宋_GB2312" w:eastAsia="仿宋_GB2312" w:cs="仿宋_GB2312"/>
          <w:color w:val="333333"/>
          <w:kern w:val="0"/>
          <w:sz w:val="32"/>
          <w:szCs w:val="32"/>
        </w:rPr>
        <w:t>〔202</w:t>
      </w:r>
      <w:r>
        <w:rPr>
          <w:rFonts w:hint="eastAsia" w:ascii="仿宋_GB2312" w:hAnsi="仿宋_GB2312" w:eastAsia="仿宋_GB2312" w:cs="仿宋_GB2312"/>
          <w:color w:val="333333"/>
          <w:kern w:val="0"/>
          <w:sz w:val="32"/>
          <w:szCs w:val="32"/>
          <w:lang w:val="en-US" w:eastAsia="zh-CN"/>
        </w:rPr>
        <w:t>2</w:t>
      </w:r>
      <w:r>
        <w:rPr>
          <w:rFonts w:hint="eastAsia"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号)的文件精神，现对我单位20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年全年的财政支出实施的整体绩效进行自评，评价情况报告如下。</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部门（单位）概况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根据中共金川县委 金川县人民政府关于印发《金川县机构改革方案》的通知（金委发〔2019〕4号）文件精神，成立了金川县行政审批局。</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pPr>
        <w:widowControl/>
        <w:spacing w:line="520" w:lineRule="exact"/>
        <w:ind w:firstLine="480" w:firstLineChars="15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本部门属一级预算，其中内设机构</w:t>
      </w:r>
      <w:r>
        <w:rPr>
          <w:rFonts w:hint="eastAsia" w:ascii="仿宋_GB2312" w:hAnsi="仿宋_GB2312" w:eastAsia="仿宋_GB2312" w:cs="仿宋_GB2312"/>
          <w:kern w:val="0"/>
          <w:sz w:val="32"/>
          <w:szCs w:val="32"/>
          <w:u w:val="single"/>
        </w:rPr>
        <w:t xml:space="preserve"> 1</w:t>
      </w:r>
      <w:r>
        <w:rPr>
          <w:rFonts w:hint="eastAsia" w:ascii="仿宋_GB2312" w:hAnsi="仿宋_GB2312" w:eastAsia="仿宋_GB2312" w:cs="仿宋_GB2312"/>
          <w:kern w:val="0"/>
          <w:sz w:val="32"/>
          <w:szCs w:val="32"/>
        </w:rPr>
        <w:t>个，下属事业单位</w:t>
      </w:r>
      <w:r>
        <w:rPr>
          <w:rFonts w:hint="eastAsia" w:ascii="仿宋_GB2312" w:hAnsi="仿宋_GB2312" w:eastAsia="仿宋_GB2312" w:cs="仿宋_GB2312"/>
          <w:kern w:val="0"/>
          <w:sz w:val="32"/>
          <w:szCs w:val="32"/>
          <w:u w:val="single"/>
        </w:rPr>
        <w:t xml:space="preserve">1 </w:t>
      </w:r>
      <w:r>
        <w:rPr>
          <w:rFonts w:hint="eastAsia" w:ascii="仿宋_GB2312" w:hAnsi="仿宋_GB2312" w:eastAsia="仿宋_GB2312" w:cs="仿宋_GB2312"/>
          <w:kern w:val="0"/>
          <w:sz w:val="32"/>
          <w:szCs w:val="32"/>
        </w:rPr>
        <w:t>个。</w:t>
      </w:r>
    </w:p>
    <w:p>
      <w:pPr>
        <w:widowControl/>
        <w:spacing w:line="520" w:lineRule="exact"/>
        <w:ind w:firstLine="480" w:firstLineChars="15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1.综合股</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主要职责：</w:t>
      </w:r>
      <w:r>
        <w:rPr>
          <w:rFonts w:hint="eastAsia" w:ascii="仿宋_GB2312" w:hAnsi="仿宋_GB2312" w:eastAsia="仿宋_GB2312" w:cs="仿宋_GB2312"/>
          <w:kern w:val="0"/>
          <w:sz w:val="32"/>
          <w:szCs w:val="32"/>
        </w:rPr>
        <w:t>负责文电、会务、档案管理、财务管理、资产管理、后勤服务等机关日常工作。承担本单位保密、安全、信访、绩效管理、内部规章制度建设等工作。负责综合性材料和重要文稿的起草工作。承担机关党建和党风廉政建设等方面工作。负责本单位重大突发事件应急综合管理和维稳等工作。负责本单位人事及机构编制管理工作。负责本单位的干部培训教育、群团和离退休人员工作。组织办理人大代表建议、政协委员提案工作。负责深化行政审批制度改革、“放管服”改革等方面政策法规的宣传、推动和实施工作。负责本单位依法行政工作的监督检查。负责处理本单位涉及行政审批方面的法律事务等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规范全县行政审批行为，建立和完善相应工作机制。负责指导乡（镇）行政审批服务机构的工作，指导投资项目、市场准入、建设工程、交通水利、文教卫生、社会事务、涉农事务等方面的行政审批事项，及时通报行政审批等事项的实施情况。承担协调、指导公安、民族宗教、生态环境、应急管理和驻县中直、省直部门的行政审批工作，指导各乡（镇）的行政审批工作。负责县本级行政权力清单和责任清单的动态调整工作。负责拟定全县政务服务制度、办法和标准并组织实施，指导全县政务服务工作，推进政务服务体系建设，监督进驻和退出县政务服务工作平台的政务服务事项。牵头编制政务服务效能工作通报，组织开展政务服务工作的调查研究、评估分析。负责受理全县政务服务行为投诉，会同、协调相关部门按规定处理。负责全县政务服务绩效考评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拟定全县公共资源交易的制度、办法和标准并组织实施，推进公共资源交易体系建设。负责公共资源交易主体信用体系建设，编制公共资源交易目录，组织开展公共资源交易管理服务的调查研究、评估分析。负责受理违反公共资源交易规定的行为投诉，并会同、协调相关部门按规定进行处理。负责全县公共资源交易绩效考评工作。完成局领导交办的其他工作。</w:t>
      </w:r>
    </w:p>
    <w:p>
      <w:pPr>
        <w:widowControl/>
        <w:adjustRightInd w:val="0"/>
        <w:snapToGrid w:val="0"/>
        <w:spacing w:line="560" w:lineRule="exact"/>
        <w:ind w:firstLine="720"/>
        <w:jc w:val="left"/>
        <w:rPr>
          <w:rFonts w:ascii="仿宋_GB2312" w:hAnsi="宋体" w:cs="宋体"/>
          <w:kern w:val="0"/>
        </w:rPr>
      </w:pPr>
      <w:r>
        <w:rPr>
          <w:rFonts w:hint="eastAsia" w:ascii="仿宋_GB2312" w:hAnsi="仿宋_GB2312" w:eastAsia="仿宋_GB2312" w:cs="仿宋_GB2312"/>
          <w:color w:val="000000"/>
          <w:kern w:val="0"/>
          <w:sz w:val="32"/>
          <w:szCs w:val="32"/>
          <w:lang w:val="zh-CN"/>
        </w:rPr>
        <w:t>2．</w:t>
      </w:r>
      <w:r>
        <w:rPr>
          <w:rFonts w:hint="eastAsia" w:ascii="仿宋_GB2312" w:hAnsi="仿宋_GB2312" w:eastAsia="仿宋_GB2312" w:cs="仿宋_GB2312"/>
          <w:kern w:val="0"/>
          <w:sz w:val="32"/>
          <w:szCs w:val="32"/>
        </w:rPr>
        <w:t>下属事业单位（金川县政务服务和</w:t>
      </w:r>
      <w:r>
        <w:rPr>
          <w:rFonts w:hint="eastAsia" w:ascii="仿宋_GB2312" w:hAnsi="仿宋_GB2312" w:eastAsia="仿宋_GB2312" w:cs="仿宋_GB2312"/>
          <w:bCs/>
          <w:color w:val="000000"/>
          <w:sz w:val="32"/>
          <w:szCs w:val="32"/>
        </w:rPr>
        <w:t>公共资源交易中心</w:t>
      </w:r>
      <w:r>
        <w:rPr>
          <w:rFonts w:hint="eastAsia" w:ascii="仿宋_GB2312" w:hAnsi="仿宋_GB2312" w:eastAsia="仿宋_GB2312" w:cs="仿宋_GB2312"/>
          <w:kern w:val="0"/>
          <w:sz w:val="32"/>
          <w:szCs w:val="32"/>
        </w:rPr>
        <w:t>）</w:t>
      </w:r>
    </w:p>
    <w:p>
      <w:pPr>
        <w:pStyle w:val="6"/>
        <w:adjustRightInd w:val="0"/>
        <w:snapToGrid w:val="0"/>
        <w:spacing w:line="600" w:lineRule="exact"/>
        <w:ind w:firstLine="640" w:firstLineChars="200"/>
        <w:rPr>
          <w:bCs/>
          <w:color w:val="000000"/>
          <w:sz w:val="32"/>
          <w:szCs w:val="32"/>
        </w:rPr>
      </w:pPr>
      <w:r>
        <w:rPr>
          <w:rFonts w:hint="eastAsia" w:hAnsi="微软雅黑" w:cs="宋体"/>
          <w:color w:val="333333"/>
          <w:sz w:val="32"/>
          <w:szCs w:val="32"/>
        </w:rPr>
        <w:t>主要职责：</w:t>
      </w:r>
      <w:r>
        <w:rPr>
          <w:rFonts w:hint="eastAsia"/>
          <w:bCs/>
          <w:color w:val="000000"/>
          <w:sz w:val="32"/>
          <w:szCs w:val="32"/>
        </w:rPr>
        <w:t>提高政府采购资金使用效率，规范政府投资工程建设项目比选活动和国有产权交易、维护国家利益和当事人的合法利益，促进廉政建设。</w:t>
      </w:r>
    </w:p>
    <w:p>
      <w:pPr>
        <w:pStyle w:val="6"/>
        <w:adjustRightInd w:val="0"/>
        <w:snapToGrid w:val="0"/>
        <w:spacing w:line="600" w:lineRule="exact"/>
        <w:ind w:firstLine="640" w:firstLineChars="200"/>
        <w:rPr>
          <w:sz w:val="32"/>
          <w:szCs w:val="32"/>
        </w:rPr>
      </w:pPr>
      <w:r>
        <w:rPr>
          <w:rFonts w:hint="eastAsia"/>
          <w:sz w:val="32"/>
          <w:szCs w:val="32"/>
        </w:rPr>
        <w:t>依法接受政府采购业务代理范围的政府采购项目；在政府投资工程建设项目招标阶段，行使招标职责；接受委托国有产权交易，负责组织开展土地使用产权和矿业权招拍挂交易活动。</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widowControl/>
        <w:shd w:val="clear" w:color="auto" w:fill="FFFFFF"/>
        <w:spacing w:after="150" w:line="520" w:lineRule="exact"/>
        <w:ind w:firstLine="777" w:firstLineChars="243"/>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行政审批局</w:t>
      </w:r>
      <w:r>
        <w:rPr>
          <w:rFonts w:hint="eastAsia" w:ascii="仿宋_GB2312" w:hAnsi="仿宋_GB2312" w:eastAsia="仿宋_GB2312" w:cs="仿宋_GB2312"/>
          <w:kern w:val="0"/>
          <w:sz w:val="32"/>
          <w:szCs w:val="32"/>
          <w:lang w:eastAsia="zh-CN"/>
        </w:rPr>
        <w:t>（包含行政审批服务中心）</w:t>
      </w: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single"/>
          <w:lang w:val="en-US" w:eastAsia="zh-CN"/>
        </w:rPr>
        <w:t>15</w:t>
      </w:r>
      <w:r>
        <w:rPr>
          <w:rFonts w:hint="eastAsia" w:ascii="仿宋_GB2312" w:hAnsi="仿宋_GB2312" w:eastAsia="仿宋_GB2312" w:cs="仿宋_GB2312"/>
          <w:kern w:val="0"/>
          <w:sz w:val="32"/>
          <w:szCs w:val="32"/>
        </w:rPr>
        <w:t>名,其中:行政编制</w:t>
      </w:r>
      <w:r>
        <w:rPr>
          <w:rFonts w:hint="eastAsia" w:ascii="仿宋_GB2312" w:hAnsi="仿宋_GB2312" w:eastAsia="仿宋_GB2312" w:cs="仿宋_GB2312"/>
          <w:kern w:val="0"/>
          <w:sz w:val="32"/>
          <w:szCs w:val="32"/>
          <w:u w:val="single"/>
          <w:lang w:val="en-US" w:eastAsia="zh-CN"/>
        </w:rPr>
        <w:t>5</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名,参照公务员法管理的事业编制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名，其他事业编制</w:t>
      </w:r>
      <w:r>
        <w:rPr>
          <w:rFonts w:hint="eastAsia" w:ascii="仿宋_GB2312" w:hAnsi="仿宋_GB2312" w:eastAsia="仿宋_GB2312" w:cs="仿宋_GB2312"/>
          <w:kern w:val="0"/>
          <w:sz w:val="32"/>
          <w:szCs w:val="32"/>
          <w:u w:val="single"/>
        </w:rPr>
        <w:t>4</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15</w:t>
      </w:r>
      <w:r>
        <w:rPr>
          <w:rFonts w:hint="eastAsia" w:ascii="仿宋_GB2312" w:hAnsi="仿宋_GB2312" w:eastAsia="仿宋_GB2312" w:cs="仿宋_GB2312"/>
          <w:kern w:val="0"/>
          <w:sz w:val="32"/>
          <w:szCs w:val="32"/>
        </w:rPr>
        <w:t>名，其中：行政人员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eastAsia="zh-CN"/>
        </w:rPr>
        <w:t>（超编人员</w:t>
      </w:r>
      <w:r>
        <w:rPr>
          <w:rFonts w:hint="eastAsia" w:ascii="仿宋_GB2312" w:hAnsi="仿宋_GB2312" w:eastAsia="仿宋_GB2312" w:cs="仿宋_GB2312"/>
          <w:kern w:val="0"/>
          <w:sz w:val="32"/>
          <w:szCs w:val="32"/>
          <w:lang w:val="en-US" w:eastAsia="zh-CN"/>
        </w:rPr>
        <w:t>1名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参照公务员法管理的事业人员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5</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4</w:t>
      </w:r>
      <w:r>
        <w:rPr>
          <w:rFonts w:hint="eastAsia" w:ascii="仿宋_GB2312" w:hAnsi="仿宋_GB2312" w:eastAsia="仿宋_GB2312" w:cs="仿宋_GB2312"/>
          <w:kern w:val="0"/>
          <w:sz w:val="32"/>
          <w:szCs w:val="32"/>
        </w:rPr>
        <w:t>名；</w:t>
      </w:r>
    </w:p>
    <w:p>
      <w:pPr>
        <w:widowControl/>
        <w:shd w:val="clear" w:color="auto" w:fill="FFFFFF"/>
        <w:spacing w:after="150" w:line="520" w:lineRule="exact"/>
        <w:ind w:firstLine="777" w:firstLineChars="243"/>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金川县政务服务和</w:t>
      </w:r>
      <w:r>
        <w:rPr>
          <w:rFonts w:hint="eastAsia" w:ascii="仿宋_GB2312" w:hAnsi="仿宋_GB2312" w:eastAsia="仿宋_GB2312" w:cs="仿宋_GB2312"/>
          <w:bCs/>
          <w:color w:val="000000"/>
          <w:sz w:val="32"/>
          <w:szCs w:val="32"/>
        </w:rPr>
        <w:t>公共资源交易中心：</w:t>
      </w: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single"/>
          <w:lang w:val="en-US" w:eastAsia="zh-CN"/>
        </w:rPr>
        <w:t>12</w:t>
      </w:r>
      <w:r>
        <w:rPr>
          <w:rFonts w:hint="eastAsia" w:ascii="仿宋_GB2312" w:hAnsi="仿宋_GB2312" w:eastAsia="仿宋_GB2312" w:cs="仿宋_GB2312"/>
          <w:kern w:val="0"/>
          <w:sz w:val="32"/>
          <w:szCs w:val="32"/>
        </w:rPr>
        <w:t>名,其中:行政编制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名,参照公务员法管理的事业编制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名，其他事业编制</w:t>
      </w:r>
      <w:r>
        <w:rPr>
          <w:rFonts w:hint="eastAsia" w:ascii="仿宋_GB2312" w:hAnsi="仿宋_GB2312" w:eastAsia="仿宋_GB2312" w:cs="仿宋_GB2312"/>
          <w:kern w:val="0"/>
          <w:sz w:val="32"/>
          <w:szCs w:val="32"/>
          <w:u w:val="single"/>
          <w:lang w:val="en-US" w:eastAsia="zh-CN"/>
        </w:rPr>
        <w:t>12</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9</w:t>
      </w:r>
      <w:r>
        <w:rPr>
          <w:rFonts w:hint="eastAsia" w:ascii="仿宋_GB2312" w:hAnsi="仿宋_GB2312" w:eastAsia="仿宋_GB2312" w:cs="仿宋_GB2312"/>
          <w:kern w:val="0"/>
          <w:sz w:val="32"/>
          <w:szCs w:val="32"/>
        </w:rPr>
        <w:t>名，其中：行政人员</w:t>
      </w:r>
      <w:r>
        <w:rPr>
          <w:rFonts w:hint="eastAsia" w:ascii="仿宋_GB2312" w:hAnsi="仿宋_GB2312" w:eastAsia="仿宋_GB2312" w:cs="仿宋_GB2312"/>
          <w:kern w:val="0"/>
          <w:sz w:val="32"/>
          <w:szCs w:val="32"/>
          <w:u w:val="single"/>
        </w:rPr>
        <w:t xml:space="preserve"> 0</w:t>
      </w:r>
      <w:r>
        <w:rPr>
          <w:rFonts w:hint="eastAsia" w:ascii="仿宋_GB2312" w:hAnsi="仿宋_GB2312" w:eastAsia="仿宋_GB2312" w:cs="仿宋_GB2312"/>
          <w:kern w:val="0"/>
          <w:sz w:val="32"/>
          <w:szCs w:val="32"/>
        </w:rPr>
        <w:t>名，参照公务员法管理的事业人员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9</w:t>
      </w:r>
      <w:r>
        <w:rPr>
          <w:rFonts w:hint="eastAsia" w:ascii="仿宋_GB2312" w:hAnsi="仿宋_GB2312" w:eastAsia="仿宋_GB2312" w:cs="仿宋_GB2312"/>
          <w:kern w:val="0"/>
          <w:sz w:val="32"/>
          <w:szCs w:val="32"/>
        </w:rPr>
        <w:t>名；</w:t>
      </w:r>
    </w:p>
    <w:p>
      <w:pPr>
        <w:widowControl/>
        <w:adjustRightInd w:val="0"/>
        <w:snapToGrid w:val="0"/>
        <w:spacing w:line="480" w:lineRule="exact"/>
        <w:ind w:firstLine="720"/>
        <w:jc w:val="left"/>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二、部门财政资金收支情况</w:t>
      </w:r>
    </w:p>
    <w:p>
      <w:pPr>
        <w:widowControl/>
        <w:adjustRightInd w:val="0"/>
        <w:snapToGrid w:val="0"/>
        <w:spacing w:line="480" w:lineRule="exact"/>
        <w:ind w:firstLine="720"/>
        <w:jc w:val="left"/>
        <w:rPr>
          <w:rFonts w:hint="eastAsia" w:ascii="仿宋_GB2312" w:hAnsi="仿宋_GB2312" w:eastAsia="仿宋_GB2312" w:cs="仿宋_GB2312"/>
          <w:b w:val="0"/>
          <w:bCs w:val="0"/>
          <w:color w:val="000000"/>
          <w:kern w:val="0"/>
          <w:sz w:val="32"/>
          <w:szCs w:val="32"/>
          <w:lang w:val="zh-CN"/>
        </w:rPr>
      </w:pPr>
      <w:r>
        <w:rPr>
          <w:rFonts w:hint="eastAsia" w:ascii="仿宋_GB2312" w:hAnsi="仿宋_GB2312" w:eastAsia="仿宋_GB2312" w:cs="仿宋_GB2312"/>
          <w:b w:val="0"/>
          <w:bCs w:val="0"/>
          <w:color w:val="000000"/>
          <w:kern w:val="0"/>
          <w:sz w:val="32"/>
          <w:szCs w:val="32"/>
          <w:lang w:val="zh-CN"/>
        </w:rPr>
        <w:t>（一）部门财政资金收入情况。</w:t>
      </w:r>
    </w:p>
    <w:p>
      <w:pPr>
        <w:widowControl/>
        <w:adjustRightInd w:val="0"/>
        <w:snapToGrid w:val="0"/>
        <w:spacing w:line="520" w:lineRule="exact"/>
        <w:ind w:firstLine="640" w:firstLineChars="200"/>
        <w:jc w:val="left"/>
        <w:rPr>
          <w:rFonts w:hint="eastAsia" w:ascii="仿宋_GB2312" w:hAnsi="仿宋_GB2312" w:eastAsia="仿宋_GB2312" w:cs="仿宋_GB2312"/>
          <w:b w:val="0"/>
          <w:bCs w:val="0"/>
          <w:color w:val="000000"/>
          <w:kern w:val="0"/>
          <w:sz w:val="32"/>
          <w:szCs w:val="32"/>
          <w:lang w:bidi="ar"/>
        </w:rPr>
      </w:pPr>
      <w:r>
        <w:rPr>
          <w:rFonts w:hint="eastAsia" w:ascii="仿宋_GB2312" w:hAnsi="仿宋_GB2312" w:eastAsia="仿宋_GB2312" w:cs="仿宋_GB2312"/>
          <w:b w:val="0"/>
          <w:bCs w:val="0"/>
          <w:color w:val="000000"/>
          <w:kern w:val="0"/>
          <w:sz w:val="32"/>
          <w:szCs w:val="32"/>
          <w:lang w:bidi="ar"/>
        </w:rPr>
        <w:t>1、</w:t>
      </w:r>
      <w:r>
        <w:rPr>
          <w:rFonts w:hint="eastAsia" w:ascii="仿宋_GB2312" w:hAnsi="仿宋_GB2312" w:eastAsia="仿宋_GB2312" w:cs="仿宋_GB2312"/>
          <w:b w:val="0"/>
          <w:bCs w:val="0"/>
          <w:color w:val="333333"/>
          <w:kern w:val="0"/>
          <w:sz w:val="32"/>
          <w:szCs w:val="32"/>
          <w:lang w:eastAsia="zh-CN"/>
        </w:rPr>
        <w:t>202</w:t>
      </w:r>
      <w:r>
        <w:rPr>
          <w:rFonts w:hint="eastAsia" w:ascii="仿宋_GB2312" w:hAnsi="仿宋_GB2312" w:eastAsia="仿宋_GB2312" w:cs="仿宋_GB2312"/>
          <w:b w:val="0"/>
          <w:bCs w:val="0"/>
          <w:color w:val="333333"/>
          <w:kern w:val="0"/>
          <w:sz w:val="32"/>
          <w:szCs w:val="32"/>
          <w:lang w:val="en-US" w:eastAsia="zh-CN"/>
        </w:rPr>
        <w:t>1</w:t>
      </w:r>
      <w:r>
        <w:rPr>
          <w:rFonts w:hint="eastAsia" w:ascii="仿宋_GB2312" w:hAnsi="仿宋_GB2312" w:eastAsia="仿宋_GB2312" w:cs="仿宋_GB2312"/>
          <w:b w:val="0"/>
          <w:bCs w:val="0"/>
          <w:color w:val="333333"/>
          <w:kern w:val="0"/>
          <w:sz w:val="32"/>
          <w:szCs w:val="32"/>
          <w:lang w:eastAsia="zh-CN"/>
        </w:rPr>
        <w:t>年</w:t>
      </w:r>
      <w:r>
        <w:rPr>
          <w:rFonts w:hint="eastAsia" w:ascii="仿宋_GB2312" w:hAnsi="仿宋_GB2312" w:eastAsia="仿宋_GB2312" w:cs="仿宋_GB2312"/>
          <w:b w:val="0"/>
          <w:bCs w:val="0"/>
          <w:color w:val="333333"/>
          <w:kern w:val="0"/>
          <w:sz w:val="32"/>
          <w:szCs w:val="32"/>
        </w:rPr>
        <w:t>金川县行政审批局收入</w:t>
      </w:r>
      <w:r>
        <w:rPr>
          <w:rFonts w:hint="eastAsia" w:ascii="仿宋_GB2312" w:hAnsi="仿宋_GB2312" w:eastAsia="仿宋_GB2312" w:cs="仿宋_GB2312"/>
          <w:b w:val="0"/>
          <w:bCs w:val="0"/>
          <w:color w:val="000000"/>
          <w:kern w:val="0"/>
          <w:sz w:val="32"/>
          <w:szCs w:val="32"/>
          <w:lang w:val="zh-CN" w:bidi="ar"/>
        </w:rPr>
        <w:t>合计</w:t>
      </w:r>
      <w:r>
        <w:rPr>
          <w:rFonts w:hint="eastAsia" w:ascii="仿宋_GB2312" w:hAnsi="仿宋_GB2312" w:eastAsia="仿宋_GB2312" w:cs="仿宋_GB2312"/>
          <w:b w:val="0"/>
          <w:bCs w:val="0"/>
          <w:color w:val="000000"/>
          <w:sz w:val="32"/>
          <w:szCs w:val="32"/>
          <w:lang w:val="en-US" w:eastAsia="zh-CN"/>
        </w:rPr>
        <w:t>412.50</w:t>
      </w:r>
      <w:r>
        <w:rPr>
          <w:rFonts w:hint="eastAsia" w:ascii="仿宋_GB2312" w:hAnsi="仿宋_GB2312" w:eastAsia="仿宋_GB2312" w:cs="仿宋_GB2312"/>
          <w:b w:val="0"/>
          <w:bCs w:val="0"/>
          <w:color w:val="000000"/>
          <w:kern w:val="0"/>
          <w:sz w:val="32"/>
          <w:szCs w:val="32"/>
          <w:lang w:val="zh-CN" w:bidi="ar"/>
        </w:rPr>
        <w:t>万元，</w:t>
      </w:r>
      <w:r>
        <w:rPr>
          <w:rFonts w:hint="eastAsia" w:ascii="仿宋_GB2312" w:hAnsi="仿宋_GB2312" w:eastAsia="仿宋_GB2312" w:cs="仿宋_GB2312"/>
          <w:b w:val="0"/>
          <w:bCs w:val="0"/>
          <w:color w:val="000000"/>
          <w:kern w:val="0"/>
          <w:sz w:val="32"/>
          <w:szCs w:val="32"/>
          <w:lang w:bidi="ar"/>
        </w:rPr>
        <w:t>上年结转0万元，</w:t>
      </w:r>
      <w:r>
        <w:rPr>
          <w:rFonts w:hint="eastAsia" w:ascii="仿宋_GB2312" w:hAnsi="仿宋_GB2312" w:eastAsia="仿宋_GB2312" w:cs="仿宋_GB2312"/>
          <w:b w:val="0"/>
          <w:bCs w:val="0"/>
          <w:color w:val="000000"/>
          <w:kern w:val="0"/>
          <w:sz w:val="32"/>
          <w:szCs w:val="32"/>
          <w:lang w:val="zh-CN" w:bidi="ar"/>
        </w:rPr>
        <w:t>其中：财政拨款收入</w:t>
      </w:r>
      <w:r>
        <w:rPr>
          <w:rFonts w:hint="eastAsia" w:ascii="仿宋_GB2312" w:hAnsi="仿宋_GB2312" w:eastAsia="仿宋_GB2312" w:cs="仿宋_GB2312"/>
          <w:b w:val="0"/>
          <w:bCs w:val="0"/>
          <w:color w:val="000000"/>
          <w:sz w:val="32"/>
          <w:szCs w:val="32"/>
          <w:lang w:val="en-US" w:eastAsia="zh-CN"/>
        </w:rPr>
        <w:t>412.50</w:t>
      </w:r>
      <w:r>
        <w:rPr>
          <w:rFonts w:hint="eastAsia" w:ascii="仿宋_GB2312" w:hAnsi="仿宋_GB2312" w:eastAsia="仿宋_GB2312" w:cs="仿宋_GB2312"/>
          <w:b w:val="0"/>
          <w:bCs w:val="0"/>
          <w:color w:val="000000"/>
          <w:kern w:val="0"/>
          <w:sz w:val="32"/>
          <w:szCs w:val="32"/>
          <w:lang w:val="zh-CN" w:bidi="ar"/>
        </w:rPr>
        <w:t xml:space="preserve">万元。   </w:t>
      </w:r>
    </w:p>
    <w:p>
      <w:pPr>
        <w:widowControl/>
        <w:adjustRightInd w:val="0"/>
        <w:snapToGrid w:val="0"/>
        <w:spacing w:line="480" w:lineRule="exact"/>
        <w:ind w:firstLine="720"/>
        <w:jc w:val="left"/>
        <w:rPr>
          <w:rFonts w:hint="eastAsia" w:ascii="仿宋_GB2312" w:hAnsi="仿宋_GB2312" w:eastAsia="仿宋_GB2312" w:cs="仿宋_GB2312"/>
          <w:b w:val="0"/>
          <w:bCs w:val="0"/>
          <w:color w:val="000000"/>
          <w:kern w:val="0"/>
          <w:sz w:val="32"/>
          <w:szCs w:val="32"/>
          <w:lang w:val="zh-CN"/>
        </w:rPr>
      </w:pPr>
      <w:r>
        <w:rPr>
          <w:rFonts w:hint="eastAsia" w:ascii="仿宋_GB2312" w:hAnsi="仿宋_GB2312" w:eastAsia="仿宋_GB2312" w:cs="仿宋_GB2312"/>
          <w:b w:val="0"/>
          <w:bCs w:val="0"/>
          <w:color w:val="000000"/>
          <w:kern w:val="0"/>
          <w:sz w:val="32"/>
          <w:szCs w:val="32"/>
          <w:lang w:val="zh-CN"/>
        </w:rPr>
        <w:t>（二）部门财政资金支出情况。</w:t>
      </w:r>
    </w:p>
    <w:p>
      <w:pPr>
        <w:widowControl/>
        <w:adjustRightInd w:val="0"/>
        <w:snapToGrid w:val="0"/>
        <w:spacing w:line="520" w:lineRule="exact"/>
        <w:ind w:firstLine="720"/>
        <w:jc w:val="left"/>
        <w:rPr>
          <w:rFonts w:hint="eastAsia" w:ascii="仿宋_GB2312" w:hAnsi="仿宋_GB2312" w:eastAsia="仿宋_GB2312" w:cs="仿宋_GB2312"/>
          <w:b w:val="0"/>
          <w:bCs w:val="0"/>
          <w:color w:val="000000"/>
          <w:kern w:val="0"/>
          <w:sz w:val="32"/>
          <w:szCs w:val="32"/>
          <w:lang w:bidi="ar"/>
        </w:rPr>
      </w:pPr>
      <w:r>
        <w:rPr>
          <w:rFonts w:hint="eastAsia" w:ascii="仿宋_GB2312" w:hAnsi="仿宋_GB2312" w:eastAsia="仿宋_GB2312" w:cs="仿宋_GB2312"/>
          <w:b w:val="0"/>
          <w:bCs w:val="0"/>
          <w:color w:val="000000"/>
          <w:kern w:val="0"/>
          <w:sz w:val="32"/>
          <w:szCs w:val="32"/>
          <w:lang w:bidi="ar"/>
        </w:rPr>
        <w:t>1、金川县行政审批局</w:t>
      </w:r>
      <w:r>
        <w:rPr>
          <w:rFonts w:hint="eastAsia" w:ascii="仿宋_GB2312" w:hAnsi="仿宋_GB2312" w:eastAsia="仿宋_GB2312" w:cs="仿宋_GB2312"/>
          <w:b w:val="0"/>
          <w:bCs w:val="0"/>
          <w:color w:val="000000"/>
          <w:kern w:val="0"/>
          <w:sz w:val="32"/>
          <w:szCs w:val="32"/>
          <w:lang w:eastAsia="zh-CN" w:bidi="ar"/>
        </w:rPr>
        <w:t>202</w:t>
      </w: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eastAsia="zh-CN" w:bidi="ar"/>
        </w:rPr>
        <w:t>年</w:t>
      </w:r>
      <w:r>
        <w:rPr>
          <w:rFonts w:hint="eastAsia" w:ascii="仿宋_GB2312" w:hAnsi="仿宋_GB2312" w:eastAsia="仿宋_GB2312" w:cs="仿宋_GB2312"/>
          <w:b w:val="0"/>
          <w:bCs w:val="0"/>
          <w:color w:val="000000"/>
          <w:kern w:val="0"/>
          <w:sz w:val="32"/>
          <w:szCs w:val="32"/>
          <w:lang w:bidi="ar"/>
        </w:rPr>
        <w:t>一般公共预算财政拨款支出</w:t>
      </w:r>
      <w:r>
        <w:rPr>
          <w:rFonts w:hint="eastAsia" w:ascii="仿宋_GB2312" w:hAnsi="仿宋_GB2312" w:eastAsia="仿宋_GB2312" w:cs="仿宋_GB2312"/>
          <w:b w:val="0"/>
          <w:bCs w:val="0"/>
          <w:color w:val="000000"/>
          <w:sz w:val="32"/>
          <w:szCs w:val="32"/>
          <w:lang w:val="en-US" w:eastAsia="zh-CN"/>
        </w:rPr>
        <w:t>412.50</w:t>
      </w:r>
      <w:r>
        <w:rPr>
          <w:rFonts w:hint="eastAsia" w:ascii="仿宋_GB2312" w:hAnsi="仿宋_GB2312" w:eastAsia="仿宋_GB2312" w:cs="仿宋_GB2312"/>
          <w:b w:val="0"/>
          <w:bCs w:val="0"/>
          <w:color w:val="000000"/>
          <w:kern w:val="0"/>
          <w:sz w:val="32"/>
          <w:szCs w:val="32"/>
          <w:lang w:bidi="ar"/>
        </w:rPr>
        <w:t>万元，其中：</w:t>
      </w:r>
    </w:p>
    <w:p>
      <w:pPr>
        <w:widowControl/>
        <w:adjustRightInd w:val="0"/>
        <w:snapToGrid w:val="0"/>
        <w:spacing w:line="520" w:lineRule="exact"/>
        <w:ind w:firstLine="720"/>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b w:val="0"/>
          <w:bCs w:val="0"/>
          <w:color w:val="000000"/>
          <w:kern w:val="0"/>
          <w:sz w:val="32"/>
          <w:szCs w:val="32"/>
          <w:lang w:bidi="ar"/>
        </w:rPr>
        <w:t>人员经费</w:t>
      </w:r>
      <w:r>
        <w:rPr>
          <w:rFonts w:hint="eastAsia" w:ascii="仿宋_GB2312" w:hAnsi="仿宋_GB2312" w:eastAsia="仿宋_GB2312" w:cs="仿宋_GB2312"/>
          <w:b w:val="0"/>
          <w:bCs w:val="0"/>
          <w:kern w:val="0"/>
          <w:sz w:val="32"/>
          <w:szCs w:val="32"/>
          <w:shd w:val="clear" w:fill="FFFFFF"/>
          <w:lang w:val="en-US" w:eastAsia="zh-CN"/>
        </w:rPr>
        <w:t>350.79</w:t>
      </w:r>
      <w:r>
        <w:rPr>
          <w:rFonts w:hint="eastAsia" w:ascii="仿宋_GB2312" w:hAnsi="仿宋_GB2312" w:eastAsia="仿宋_GB2312" w:cs="仿宋_GB2312"/>
          <w:b w:val="0"/>
          <w:bCs w:val="0"/>
          <w:color w:val="000000"/>
          <w:kern w:val="0"/>
          <w:sz w:val="32"/>
          <w:szCs w:val="32"/>
          <w:lang w:bidi="ar"/>
        </w:rPr>
        <w:t>万元，主要包括：基本工资</w:t>
      </w:r>
      <w:r>
        <w:rPr>
          <w:rFonts w:hint="eastAsia" w:ascii="仿宋_GB2312" w:hAnsi="仿宋_GB2312" w:eastAsia="仿宋_GB2312" w:cs="仿宋_GB2312"/>
          <w:b w:val="0"/>
          <w:bCs w:val="0"/>
          <w:color w:val="000000"/>
          <w:kern w:val="0"/>
          <w:sz w:val="32"/>
          <w:szCs w:val="32"/>
          <w:lang w:val="en-US" w:eastAsia="zh-CN" w:bidi="ar"/>
        </w:rPr>
        <w:t>72.42</w:t>
      </w:r>
      <w:r>
        <w:rPr>
          <w:rFonts w:hint="eastAsia" w:ascii="仿宋_GB2312" w:hAnsi="仿宋_GB2312" w:eastAsia="仿宋_GB2312" w:cs="仿宋_GB2312"/>
          <w:b w:val="0"/>
          <w:bCs w:val="0"/>
          <w:color w:val="000000"/>
          <w:kern w:val="0"/>
          <w:sz w:val="32"/>
          <w:szCs w:val="32"/>
          <w:lang w:bidi="ar"/>
        </w:rPr>
        <w:t>万元、津贴补贴</w:t>
      </w:r>
      <w:r>
        <w:rPr>
          <w:rFonts w:hint="eastAsia" w:ascii="仿宋_GB2312" w:hAnsi="仿宋_GB2312" w:eastAsia="仿宋_GB2312" w:cs="仿宋_GB2312"/>
          <w:b w:val="0"/>
          <w:bCs w:val="0"/>
          <w:color w:val="000000"/>
          <w:kern w:val="0"/>
          <w:sz w:val="32"/>
          <w:szCs w:val="32"/>
          <w:lang w:val="en-US" w:eastAsia="zh-CN" w:bidi="ar"/>
        </w:rPr>
        <w:t>67.00</w:t>
      </w:r>
      <w:r>
        <w:rPr>
          <w:rFonts w:hint="eastAsia" w:ascii="仿宋_GB2312" w:hAnsi="仿宋_GB2312" w:eastAsia="仿宋_GB2312" w:cs="仿宋_GB2312"/>
          <w:b w:val="0"/>
          <w:bCs w:val="0"/>
          <w:color w:val="000000"/>
          <w:kern w:val="0"/>
          <w:sz w:val="32"/>
          <w:szCs w:val="32"/>
          <w:lang w:bidi="ar"/>
        </w:rPr>
        <w:t>万元、奖金</w:t>
      </w:r>
      <w:r>
        <w:rPr>
          <w:rFonts w:hint="eastAsia" w:ascii="仿宋_GB2312" w:hAnsi="仿宋_GB2312" w:eastAsia="仿宋_GB2312" w:cs="仿宋_GB2312"/>
          <w:b w:val="0"/>
          <w:bCs w:val="0"/>
          <w:color w:val="000000"/>
          <w:kern w:val="0"/>
          <w:sz w:val="32"/>
          <w:szCs w:val="32"/>
          <w:lang w:val="en-US" w:eastAsia="zh-CN" w:bidi="ar"/>
        </w:rPr>
        <w:t>7.94</w:t>
      </w:r>
      <w:r>
        <w:rPr>
          <w:rFonts w:hint="eastAsia" w:ascii="仿宋_GB2312" w:hAnsi="仿宋_GB2312" w:eastAsia="仿宋_GB2312" w:cs="仿宋_GB2312"/>
          <w:b w:val="0"/>
          <w:bCs w:val="0"/>
          <w:color w:val="000000"/>
          <w:kern w:val="0"/>
          <w:sz w:val="32"/>
          <w:szCs w:val="32"/>
          <w:lang w:bidi="ar"/>
        </w:rPr>
        <w:t>万元、绩效工资</w:t>
      </w:r>
      <w:r>
        <w:rPr>
          <w:rFonts w:hint="eastAsia" w:ascii="仿宋_GB2312" w:hAnsi="仿宋_GB2312" w:eastAsia="仿宋_GB2312" w:cs="仿宋_GB2312"/>
          <w:b w:val="0"/>
          <w:bCs w:val="0"/>
          <w:color w:val="000000"/>
          <w:kern w:val="0"/>
          <w:sz w:val="32"/>
          <w:szCs w:val="32"/>
          <w:lang w:val="en-US" w:eastAsia="zh-CN" w:bidi="ar"/>
        </w:rPr>
        <w:t>32.55</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12.58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lang w:bidi="ar"/>
        </w:rPr>
        <w:t>机关事业单位基本养老保险缴费</w:t>
      </w:r>
      <w:r>
        <w:rPr>
          <w:rFonts w:hint="eastAsia" w:ascii="仿宋_GB2312" w:hAnsi="仿宋_GB2312" w:eastAsia="仿宋_GB2312" w:cs="仿宋_GB2312"/>
          <w:color w:val="000000"/>
          <w:kern w:val="0"/>
          <w:sz w:val="32"/>
          <w:szCs w:val="32"/>
          <w:lang w:val="en-US" w:eastAsia="zh-CN" w:bidi="ar"/>
        </w:rPr>
        <w:t>27.75</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000000"/>
          <w:sz w:val="32"/>
          <w:szCs w:val="32"/>
        </w:rPr>
        <w:t>公务员医疗补助</w:t>
      </w:r>
      <w:r>
        <w:rPr>
          <w:rFonts w:hint="eastAsia" w:ascii="仿宋_GB2312" w:hAnsi="仿宋_GB2312" w:eastAsia="仿宋_GB2312" w:cs="仿宋_GB2312"/>
          <w:color w:val="000000"/>
          <w:sz w:val="32"/>
          <w:szCs w:val="32"/>
          <w:lang w:val="en-US" w:eastAsia="zh-CN"/>
        </w:rPr>
        <w:t>4.01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lang w:bidi="ar"/>
        </w:rPr>
        <w:t>职业年金缴费</w:t>
      </w:r>
      <w:r>
        <w:rPr>
          <w:rFonts w:hint="eastAsia" w:ascii="仿宋_GB2312" w:hAnsi="仿宋_GB2312" w:eastAsia="仿宋_GB2312" w:cs="仿宋_GB2312"/>
          <w:color w:val="000000"/>
          <w:kern w:val="0"/>
          <w:sz w:val="32"/>
          <w:szCs w:val="32"/>
          <w:lang w:val="en-US" w:eastAsia="zh-CN" w:bidi="ar"/>
        </w:rPr>
        <w:t>13.83</w:t>
      </w:r>
      <w:r>
        <w:rPr>
          <w:rFonts w:hint="eastAsia" w:ascii="仿宋_GB2312" w:hAnsi="仿宋_GB2312" w:eastAsia="仿宋_GB2312" w:cs="仿宋_GB2312"/>
          <w:color w:val="000000"/>
          <w:kern w:val="0"/>
          <w:sz w:val="32"/>
          <w:szCs w:val="32"/>
          <w:lang w:bidi="ar"/>
        </w:rPr>
        <w:t>元、其他社会保障缴费</w:t>
      </w:r>
      <w:r>
        <w:rPr>
          <w:rFonts w:hint="eastAsia" w:ascii="仿宋_GB2312" w:hAnsi="仿宋_GB2312" w:eastAsia="仿宋_GB2312" w:cs="仿宋_GB2312"/>
          <w:color w:val="000000"/>
          <w:kern w:val="0"/>
          <w:sz w:val="32"/>
          <w:szCs w:val="32"/>
          <w:lang w:val="en-US" w:eastAsia="zh-CN" w:bidi="ar"/>
        </w:rPr>
        <w:t>2.74</w:t>
      </w:r>
      <w:r>
        <w:rPr>
          <w:rFonts w:hint="eastAsia" w:ascii="仿宋_GB2312" w:hAnsi="仿宋_GB2312" w:eastAsia="仿宋_GB2312" w:cs="仿宋_GB2312"/>
          <w:color w:val="000000"/>
          <w:kern w:val="0"/>
          <w:sz w:val="32"/>
          <w:szCs w:val="32"/>
          <w:lang w:bidi="ar"/>
        </w:rPr>
        <w:t>万元、奖励金</w:t>
      </w:r>
      <w:r>
        <w:rPr>
          <w:rFonts w:hint="eastAsia" w:ascii="仿宋_GB2312" w:hAnsi="仿宋_GB2312" w:eastAsia="仿宋_GB2312" w:cs="仿宋_GB2312"/>
          <w:color w:val="000000"/>
          <w:kern w:val="0"/>
          <w:sz w:val="32"/>
          <w:szCs w:val="32"/>
          <w:lang w:val="en-US" w:eastAsia="zh-CN" w:bidi="ar"/>
        </w:rPr>
        <w:t>80.81</w:t>
      </w:r>
      <w:r>
        <w:rPr>
          <w:rFonts w:hint="eastAsia" w:ascii="仿宋_GB2312" w:hAnsi="仿宋_GB2312" w:eastAsia="仿宋_GB2312" w:cs="仿宋_GB2312"/>
          <w:color w:val="000000"/>
          <w:kern w:val="0"/>
          <w:sz w:val="32"/>
          <w:szCs w:val="32"/>
          <w:lang w:bidi="ar"/>
        </w:rPr>
        <w:t>万元、住房公积金</w:t>
      </w:r>
      <w:r>
        <w:rPr>
          <w:rFonts w:hint="eastAsia" w:ascii="仿宋_GB2312" w:hAnsi="仿宋_GB2312" w:eastAsia="仿宋_GB2312" w:cs="仿宋_GB2312"/>
          <w:color w:val="000000"/>
          <w:kern w:val="0"/>
          <w:sz w:val="32"/>
          <w:szCs w:val="32"/>
          <w:lang w:val="en-US" w:eastAsia="zh-CN" w:bidi="ar"/>
        </w:rPr>
        <w:t>29.16</w:t>
      </w:r>
      <w:r>
        <w:rPr>
          <w:rFonts w:hint="eastAsia" w:ascii="仿宋_GB2312" w:hAnsi="仿宋_GB2312" w:eastAsia="仿宋_GB2312" w:cs="仿宋_GB2312"/>
          <w:color w:val="000000"/>
          <w:kern w:val="0"/>
          <w:sz w:val="32"/>
          <w:szCs w:val="32"/>
          <w:lang w:bidi="ar"/>
        </w:rPr>
        <w:t>万元。</w:t>
      </w:r>
    </w:p>
    <w:p>
      <w:pPr>
        <w:widowControl/>
        <w:adjustRightInd w:val="0"/>
        <w:snapToGrid w:val="0"/>
        <w:spacing w:line="520" w:lineRule="exact"/>
        <w:ind w:firstLine="72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公用经费</w:t>
      </w:r>
      <w:r>
        <w:rPr>
          <w:rFonts w:hint="eastAsia" w:ascii="仿宋_GB2312" w:hAnsi="仿宋_GB2312" w:eastAsia="仿宋_GB2312" w:cs="仿宋_GB2312"/>
          <w:bCs/>
          <w:sz w:val="32"/>
          <w:szCs w:val="32"/>
          <w:lang w:val="en-US" w:eastAsia="zh-CN"/>
        </w:rPr>
        <w:t>25.84</w:t>
      </w:r>
      <w:r>
        <w:rPr>
          <w:rFonts w:hint="eastAsia" w:ascii="仿宋_GB2312" w:hAnsi="仿宋_GB2312" w:eastAsia="仿宋_GB2312" w:cs="仿宋_GB2312"/>
          <w:color w:val="000000"/>
          <w:kern w:val="0"/>
          <w:sz w:val="32"/>
          <w:szCs w:val="32"/>
          <w:lang w:bidi="ar"/>
        </w:rPr>
        <w:t>万元，主要包括：办公费</w:t>
      </w:r>
      <w:r>
        <w:rPr>
          <w:rFonts w:hint="eastAsia" w:ascii="仿宋_GB2312" w:hAnsi="仿宋_GB2312" w:eastAsia="仿宋_GB2312" w:cs="仿宋_GB2312"/>
          <w:color w:val="000000"/>
          <w:kern w:val="0"/>
          <w:sz w:val="32"/>
          <w:szCs w:val="32"/>
          <w:lang w:val="en-US" w:eastAsia="zh-CN" w:bidi="ar"/>
        </w:rPr>
        <w:t>5.76</w:t>
      </w:r>
      <w:r>
        <w:rPr>
          <w:rFonts w:hint="eastAsia" w:ascii="仿宋_GB2312" w:hAnsi="仿宋_GB2312" w:eastAsia="仿宋_GB2312" w:cs="仿宋_GB2312"/>
          <w:color w:val="000000"/>
          <w:kern w:val="0"/>
          <w:sz w:val="32"/>
          <w:szCs w:val="32"/>
          <w:lang w:bidi="ar"/>
        </w:rPr>
        <w:t>万元、水费</w:t>
      </w:r>
      <w:r>
        <w:rPr>
          <w:rFonts w:hint="eastAsia" w:ascii="仿宋_GB2312" w:hAnsi="仿宋_GB2312" w:eastAsia="仿宋_GB2312" w:cs="仿宋_GB2312"/>
          <w:color w:val="000000"/>
          <w:kern w:val="0"/>
          <w:sz w:val="32"/>
          <w:szCs w:val="32"/>
          <w:lang w:val="en-US" w:eastAsia="zh-CN" w:bidi="ar"/>
        </w:rPr>
        <w:t>1.00</w:t>
      </w:r>
      <w:r>
        <w:rPr>
          <w:rFonts w:hint="eastAsia" w:ascii="仿宋_GB2312" w:hAnsi="仿宋_GB2312" w:eastAsia="仿宋_GB2312" w:cs="仿宋_GB2312"/>
          <w:color w:val="000000"/>
          <w:kern w:val="0"/>
          <w:sz w:val="32"/>
          <w:szCs w:val="32"/>
          <w:lang w:bidi="ar"/>
        </w:rPr>
        <w:t>万元、电费</w:t>
      </w:r>
      <w:r>
        <w:rPr>
          <w:rFonts w:hint="eastAsia" w:ascii="仿宋_GB2312" w:hAnsi="仿宋_GB2312" w:eastAsia="仿宋_GB2312" w:cs="仿宋_GB2312"/>
          <w:color w:val="000000"/>
          <w:kern w:val="0"/>
          <w:sz w:val="32"/>
          <w:szCs w:val="32"/>
          <w:lang w:val="en-US" w:eastAsia="zh-CN" w:bidi="ar"/>
        </w:rPr>
        <w:t>4.05</w:t>
      </w:r>
      <w:r>
        <w:rPr>
          <w:rFonts w:hint="eastAsia" w:ascii="仿宋_GB2312" w:hAnsi="仿宋_GB2312" w:eastAsia="仿宋_GB2312" w:cs="仿宋_GB2312"/>
          <w:color w:val="000000"/>
          <w:kern w:val="0"/>
          <w:sz w:val="32"/>
          <w:szCs w:val="32"/>
          <w:lang w:bidi="ar"/>
        </w:rPr>
        <w:t>万元、邮电费</w:t>
      </w:r>
      <w:r>
        <w:rPr>
          <w:rFonts w:hint="eastAsia" w:ascii="仿宋_GB2312" w:hAnsi="仿宋_GB2312" w:eastAsia="仿宋_GB2312" w:cs="仿宋_GB2312"/>
          <w:color w:val="000000"/>
          <w:kern w:val="0"/>
          <w:sz w:val="32"/>
          <w:szCs w:val="32"/>
          <w:lang w:val="en-US" w:eastAsia="zh-CN" w:bidi="ar"/>
        </w:rPr>
        <w:t>4.53</w:t>
      </w:r>
      <w:r>
        <w:rPr>
          <w:rFonts w:hint="eastAsia" w:ascii="仿宋_GB2312" w:hAnsi="仿宋_GB2312" w:eastAsia="仿宋_GB2312" w:cs="仿宋_GB2312"/>
          <w:color w:val="000000"/>
          <w:kern w:val="0"/>
          <w:sz w:val="32"/>
          <w:szCs w:val="32"/>
          <w:lang w:bidi="ar"/>
        </w:rPr>
        <w:t>万元、取暖费0.0</w:t>
      </w:r>
      <w:r>
        <w:rPr>
          <w:rFonts w:hint="eastAsia" w:ascii="仿宋_GB2312" w:hAnsi="仿宋_GB2312" w:eastAsia="仿宋_GB2312" w:cs="仿宋_GB2312"/>
          <w:color w:val="000000"/>
          <w:kern w:val="0"/>
          <w:sz w:val="32"/>
          <w:szCs w:val="32"/>
          <w:lang w:val="en-US" w:eastAsia="zh-CN" w:bidi="ar"/>
        </w:rPr>
        <w:t>0</w:t>
      </w:r>
      <w:r>
        <w:rPr>
          <w:rFonts w:hint="eastAsia" w:ascii="仿宋_GB2312" w:hAnsi="仿宋_GB2312" w:eastAsia="仿宋_GB2312" w:cs="仿宋_GB2312"/>
          <w:color w:val="000000"/>
          <w:kern w:val="0"/>
          <w:sz w:val="32"/>
          <w:szCs w:val="32"/>
          <w:lang w:bidi="ar"/>
        </w:rPr>
        <w:t>万元、差旅费</w:t>
      </w:r>
      <w:r>
        <w:rPr>
          <w:rFonts w:hint="eastAsia" w:ascii="仿宋_GB2312" w:hAnsi="仿宋_GB2312" w:eastAsia="仿宋_GB2312" w:cs="仿宋_GB2312"/>
          <w:color w:val="000000"/>
          <w:kern w:val="0"/>
          <w:sz w:val="32"/>
          <w:szCs w:val="32"/>
          <w:lang w:val="en-US" w:eastAsia="zh-CN" w:bidi="ar"/>
        </w:rPr>
        <w:t>6.00</w:t>
      </w:r>
      <w:r>
        <w:rPr>
          <w:rFonts w:hint="eastAsia" w:ascii="仿宋_GB2312" w:hAnsi="仿宋_GB2312" w:eastAsia="仿宋_GB2312" w:cs="仿宋_GB2312"/>
          <w:color w:val="000000"/>
          <w:kern w:val="0"/>
          <w:sz w:val="32"/>
          <w:szCs w:val="32"/>
          <w:lang w:bidi="ar"/>
        </w:rPr>
        <w:t>万元、维修（护）费</w:t>
      </w:r>
      <w:r>
        <w:rPr>
          <w:rFonts w:hint="eastAsia" w:ascii="仿宋_GB2312" w:hAnsi="仿宋_GB2312" w:eastAsia="仿宋_GB2312" w:cs="仿宋_GB2312"/>
          <w:color w:val="000000"/>
          <w:kern w:val="0"/>
          <w:sz w:val="32"/>
          <w:szCs w:val="32"/>
          <w:lang w:val="en-US" w:eastAsia="zh-CN" w:bidi="ar"/>
        </w:rPr>
        <w:t>2.00</w:t>
      </w:r>
      <w:r>
        <w:rPr>
          <w:rFonts w:hint="eastAsia" w:ascii="仿宋_GB2312" w:hAnsi="仿宋_GB2312" w:eastAsia="仿宋_GB2312" w:cs="仿宋_GB2312"/>
          <w:color w:val="000000"/>
          <w:kern w:val="0"/>
          <w:sz w:val="32"/>
          <w:szCs w:val="32"/>
          <w:lang w:bidi="ar"/>
        </w:rPr>
        <w:t>万元、会议费0万元、公务接待费</w:t>
      </w:r>
      <w:r>
        <w:rPr>
          <w:rFonts w:hint="eastAsia" w:ascii="仿宋_GB2312" w:hAnsi="仿宋_GB2312" w:eastAsia="仿宋_GB2312" w:cs="仿宋_GB2312"/>
          <w:color w:val="000000"/>
          <w:kern w:val="0"/>
          <w:sz w:val="32"/>
          <w:szCs w:val="32"/>
          <w:lang w:val="en-US" w:eastAsia="zh-CN" w:bidi="ar"/>
        </w:rPr>
        <w:t>0.52</w:t>
      </w:r>
      <w:r>
        <w:rPr>
          <w:rFonts w:hint="eastAsia" w:ascii="仿宋_GB2312" w:hAnsi="仿宋_GB2312" w:eastAsia="仿宋_GB2312" w:cs="仿宋_GB2312"/>
          <w:color w:val="000000"/>
          <w:kern w:val="0"/>
          <w:sz w:val="32"/>
          <w:szCs w:val="32"/>
          <w:lang w:bidi="ar"/>
        </w:rPr>
        <w:t>万元、劳务费</w:t>
      </w:r>
      <w:r>
        <w:rPr>
          <w:rFonts w:hint="eastAsia" w:ascii="仿宋_GB2312" w:hAnsi="仿宋_GB2312" w:eastAsia="仿宋_GB2312" w:cs="仿宋_GB2312"/>
          <w:color w:val="000000"/>
          <w:kern w:val="0"/>
          <w:sz w:val="32"/>
          <w:szCs w:val="32"/>
          <w:lang w:val="en-US" w:eastAsia="zh-CN" w:bidi="ar"/>
        </w:rPr>
        <w:t>1.00</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000000"/>
          <w:sz w:val="32"/>
          <w:szCs w:val="32"/>
        </w:rPr>
        <w:t>其他交通费</w:t>
      </w:r>
      <w:r>
        <w:rPr>
          <w:rFonts w:hint="eastAsia" w:ascii="仿宋_GB2312" w:hAnsi="仿宋_GB2312" w:eastAsia="仿宋_GB2312" w:cs="仿宋_GB2312"/>
          <w:color w:val="000000"/>
          <w:sz w:val="32"/>
          <w:szCs w:val="32"/>
          <w:lang w:val="en-US" w:eastAsia="zh-CN"/>
        </w:rPr>
        <w:t>0.98</w:t>
      </w:r>
      <w:r>
        <w:rPr>
          <w:rFonts w:hint="eastAsia" w:ascii="仿宋_GB2312" w:hAnsi="仿宋_GB2312" w:eastAsia="仿宋_GB2312" w:cs="仿宋_GB2312"/>
          <w:color w:val="000000"/>
          <w:sz w:val="32"/>
          <w:szCs w:val="32"/>
        </w:rPr>
        <w:t>万元。</w:t>
      </w:r>
    </w:p>
    <w:p>
      <w:pPr>
        <w:widowControl/>
        <w:numPr>
          <w:ilvl w:val="0"/>
          <w:numId w:val="9"/>
        </w:numPr>
        <w:adjustRightInd w:val="0"/>
        <w:snapToGrid w:val="0"/>
        <w:spacing w:line="520" w:lineRule="exact"/>
        <w:ind w:firstLine="72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金川县行政审批局</w:t>
      </w:r>
      <w:r>
        <w:rPr>
          <w:rFonts w:hint="eastAsia" w:ascii="仿宋_GB2312" w:hAnsi="仿宋_GB2312" w:eastAsia="仿宋_GB2312" w:cs="仿宋_GB2312"/>
          <w:color w:val="000000"/>
          <w:kern w:val="0"/>
          <w:sz w:val="32"/>
          <w:szCs w:val="32"/>
          <w:lang w:eastAsia="zh-CN" w:bidi="ar"/>
        </w:rPr>
        <w:t>202</w:t>
      </w:r>
      <w:r>
        <w:rPr>
          <w:rFonts w:hint="eastAsia" w:ascii="仿宋_GB2312" w:hAnsi="仿宋_GB2312" w:eastAsia="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eastAsia="zh-CN" w:bidi="ar"/>
        </w:rPr>
        <w:t>年</w:t>
      </w:r>
      <w:r>
        <w:rPr>
          <w:rFonts w:hint="eastAsia" w:ascii="仿宋_GB2312" w:hAnsi="仿宋_GB2312" w:eastAsia="仿宋_GB2312" w:cs="仿宋_GB2312"/>
          <w:color w:val="000000"/>
          <w:kern w:val="0"/>
          <w:sz w:val="32"/>
          <w:szCs w:val="32"/>
          <w:lang w:bidi="ar"/>
        </w:rPr>
        <w:t>一般公共预算财政拨款</w:t>
      </w:r>
      <w:r>
        <w:rPr>
          <w:rFonts w:hint="eastAsia" w:ascii="仿宋_GB2312" w:hAnsi="仿宋_GB2312" w:eastAsia="仿宋_GB2312" w:cs="仿宋_GB2312"/>
          <w:color w:val="000000"/>
          <w:kern w:val="0"/>
          <w:sz w:val="32"/>
          <w:szCs w:val="32"/>
          <w:lang w:val="en-US" w:eastAsia="zh-CN" w:bidi="ar"/>
        </w:rPr>
        <w:t>项目</w:t>
      </w:r>
      <w:r>
        <w:rPr>
          <w:rFonts w:hint="eastAsia" w:ascii="仿宋_GB2312" w:hAnsi="仿宋_GB2312" w:eastAsia="仿宋_GB2312" w:cs="仿宋_GB2312"/>
          <w:color w:val="000000"/>
          <w:kern w:val="0"/>
          <w:sz w:val="32"/>
          <w:szCs w:val="32"/>
          <w:lang w:bidi="ar"/>
        </w:rPr>
        <w:t>支出</w:t>
      </w:r>
      <w:r>
        <w:rPr>
          <w:rFonts w:hint="eastAsia" w:ascii="仿宋_GB2312" w:hAnsi="仿宋_GB2312" w:eastAsia="仿宋_GB2312" w:cs="仿宋_GB2312"/>
          <w:color w:val="000000"/>
          <w:sz w:val="32"/>
          <w:szCs w:val="32"/>
          <w:lang w:val="en-US" w:eastAsia="zh-CN"/>
        </w:rPr>
        <w:t>35.87</w:t>
      </w:r>
      <w:r>
        <w:rPr>
          <w:rFonts w:hint="eastAsia" w:ascii="仿宋_GB2312" w:hAnsi="仿宋_GB2312" w:eastAsia="仿宋_GB2312" w:cs="仿宋_GB2312"/>
          <w:color w:val="000000"/>
          <w:kern w:val="0"/>
          <w:sz w:val="32"/>
          <w:szCs w:val="32"/>
          <w:lang w:bidi="ar"/>
        </w:rPr>
        <w:t>万元，其中：</w:t>
      </w:r>
    </w:p>
    <w:p>
      <w:pPr>
        <w:widowControl/>
        <w:numPr>
          <w:ilvl w:val="0"/>
          <w:numId w:val="0"/>
        </w:numPr>
        <w:adjustRightInd w:val="0"/>
        <w:snapToGrid w:val="0"/>
        <w:spacing w:line="520" w:lineRule="exact"/>
        <w:ind w:firstLine="642"/>
        <w:jc w:val="left"/>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kern w:val="0"/>
          <w:sz w:val="32"/>
          <w:szCs w:val="32"/>
          <w:lang w:bidi="ar"/>
        </w:rPr>
        <w:t>人员经费</w:t>
      </w:r>
      <w:r>
        <w:rPr>
          <w:rFonts w:hint="eastAsia" w:ascii="仿宋_GB2312" w:hAnsi="仿宋_GB2312" w:eastAsia="仿宋_GB2312" w:cs="仿宋_GB2312"/>
          <w:kern w:val="0"/>
          <w:sz w:val="32"/>
          <w:szCs w:val="32"/>
          <w:shd w:val="clear" w:fill="FFFFFF"/>
          <w:lang w:val="en-US" w:eastAsia="zh-CN"/>
        </w:rPr>
        <w:t>0.00</w:t>
      </w:r>
      <w:r>
        <w:rPr>
          <w:rFonts w:hint="eastAsia" w:ascii="仿宋_GB2312" w:hAnsi="仿宋_GB2312" w:eastAsia="仿宋_GB2312" w:cs="仿宋_GB2312"/>
          <w:color w:val="000000"/>
          <w:kern w:val="0"/>
          <w:sz w:val="32"/>
          <w:szCs w:val="32"/>
          <w:lang w:bidi="ar"/>
        </w:rPr>
        <w:t>万元</w:t>
      </w:r>
    </w:p>
    <w:p>
      <w:pPr>
        <w:widowControl/>
        <w:numPr>
          <w:ilvl w:val="0"/>
          <w:numId w:val="0"/>
        </w:numPr>
        <w:adjustRightInd w:val="0"/>
        <w:snapToGrid w:val="0"/>
        <w:spacing w:line="520" w:lineRule="exact"/>
        <w:ind w:firstLine="642"/>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color w:val="000000"/>
          <w:sz w:val="32"/>
          <w:szCs w:val="32"/>
        </w:rPr>
        <w:t>公用经费</w:t>
      </w:r>
      <w:r>
        <w:rPr>
          <w:rFonts w:hint="eastAsia" w:ascii="仿宋_GB2312" w:hAnsi="仿宋_GB2312" w:eastAsia="仿宋_GB2312" w:cs="仿宋_GB2312"/>
          <w:b w:val="0"/>
          <w:bCs/>
          <w:color w:val="000000"/>
          <w:sz w:val="32"/>
          <w:szCs w:val="32"/>
          <w:lang w:val="en-US" w:eastAsia="zh-CN"/>
        </w:rPr>
        <w:t>35.87</w:t>
      </w:r>
      <w:r>
        <w:rPr>
          <w:rFonts w:hint="eastAsia" w:ascii="仿宋_GB2312" w:hAnsi="仿宋_GB2312" w:eastAsia="仿宋_GB2312" w:cs="仿宋_GB2312"/>
          <w:b w:val="0"/>
          <w:bCs/>
          <w:color w:val="000000"/>
          <w:sz w:val="32"/>
          <w:szCs w:val="32"/>
        </w:rPr>
        <w:t>万元，主要包括：</w:t>
      </w:r>
      <w:r>
        <w:rPr>
          <w:rFonts w:hint="eastAsia" w:ascii="仿宋_GB2312" w:hAnsi="仿宋_GB2312" w:eastAsia="仿宋_GB2312" w:cs="仿宋_GB2312"/>
          <w:b w:val="0"/>
          <w:bCs/>
          <w:color w:val="000000"/>
          <w:kern w:val="0"/>
          <w:sz w:val="32"/>
          <w:szCs w:val="32"/>
          <w:lang w:bidi="ar"/>
        </w:rPr>
        <w:t>办</w:t>
      </w:r>
      <w:r>
        <w:rPr>
          <w:rFonts w:hint="eastAsia" w:ascii="仿宋_GB2312" w:hAnsi="仿宋_GB2312" w:eastAsia="仿宋_GB2312" w:cs="仿宋_GB2312"/>
          <w:color w:val="000000"/>
          <w:kern w:val="0"/>
          <w:sz w:val="32"/>
          <w:szCs w:val="32"/>
          <w:lang w:bidi="ar"/>
        </w:rPr>
        <w:t>公费</w:t>
      </w:r>
      <w:r>
        <w:rPr>
          <w:rFonts w:hint="eastAsia" w:ascii="仿宋_GB2312" w:hAnsi="仿宋_GB2312" w:eastAsia="仿宋_GB2312" w:cs="仿宋_GB2312"/>
          <w:color w:val="000000"/>
          <w:kern w:val="0"/>
          <w:sz w:val="32"/>
          <w:szCs w:val="32"/>
          <w:lang w:val="en-US" w:eastAsia="zh-CN" w:bidi="ar"/>
        </w:rPr>
        <w:t>7.00</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水费</w:t>
      </w:r>
      <w:r>
        <w:rPr>
          <w:rFonts w:hint="eastAsia" w:ascii="仿宋_GB2312" w:hAnsi="仿宋_GB2312" w:eastAsia="仿宋_GB2312" w:cs="仿宋_GB2312"/>
          <w:color w:val="000000"/>
          <w:kern w:val="0"/>
          <w:sz w:val="32"/>
          <w:szCs w:val="32"/>
          <w:lang w:val="en-US" w:eastAsia="zh-CN" w:bidi="ar"/>
        </w:rPr>
        <w:t>0.50</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邮电费</w:t>
      </w:r>
      <w:r>
        <w:rPr>
          <w:rFonts w:hint="eastAsia" w:ascii="仿宋_GB2312" w:hAnsi="仿宋_GB2312" w:eastAsia="仿宋_GB2312" w:cs="仿宋_GB2312"/>
          <w:color w:val="000000"/>
          <w:kern w:val="0"/>
          <w:sz w:val="32"/>
          <w:szCs w:val="32"/>
          <w:lang w:val="en-US" w:eastAsia="zh-CN" w:bidi="ar"/>
        </w:rPr>
        <w:t>0.00</w:t>
      </w:r>
      <w:r>
        <w:rPr>
          <w:rFonts w:hint="eastAsia" w:ascii="仿宋_GB2312" w:hAnsi="仿宋_GB2312" w:eastAsia="仿宋_GB2312" w:cs="仿宋_GB2312"/>
          <w:color w:val="000000"/>
          <w:kern w:val="0"/>
          <w:sz w:val="32"/>
          <w:szCs w:val="32"/>
          <w:lang w:bidi="ar"/>
        </w:rPr>
        <w:t>万元、差旅费</w:t>
      </w:r>
      <w:r>
        <w:rPr>
          <w:rFonts w:hint="eastAsia" w:ascii="仿宋_GB2312" w:hAnsi="仿宋_GB2312" w:eastAsia="仿宋_GB2312" w:cs="仿宋_GB2312"/>
          <w:color w:val="000000"/>
          <w:kern w:val="0"/>
          <w:sz w:val="32"/>
          <w:szCs w:val="32"/>
          <w:lang w:val="en-US" w:eastAsia="zh-CN" w:bidi="ar"/>
        </w:rPr>
        <w:t>0.59</w:t>
      </w:r>
      <w:r>
        <w:rPr>
          <w:rFonts w:hint="eastAsia" w:ascii="仿宋_GB2312" w:hAnsi="仿宋_GB2312" w:eastAsia="仿宋_GB2312" w:cs="仿宋_GB2312"/>
          <w:color w:val="000000"/>
          <w:kern w:val="0"/>
          <w:sz w:val="32"/>
          <w:szCs w:val="32"/>
          <w:lang w:bidi="ar"/>
        </w:rPr>
        <w:t>万元、维修费</w:t>
      </w:r>
      <w:r>
        <w:rPr>
          <w:rFonts w:hint="eastAsia" w:ascii="仿宋_GB2312" w:hAnsi="仿宋_GB2312" w:eastAsia="仿宋_GB2312" w:cs="仿宋_GB2312"/>
          <w:color w:val="000000"/>
          <w:kern w:val="0"/>
          <w:sz w:val="32"/>
          <w:szCs w:val="32"/>
          <w:lang w:val="en-US" w:eastAsia="zh-CN" w:bidi="ar"/>
        </w:rPr>
        <w:t>11.57万元、</w:t>
      </w:r>
      <w:r>
        <w:rPr>
          <w:rFonts w:hint="eastAsia" w:ascii="仿宋_GB2312" w:hAnsi="仿宋_GB2312" w:eastAsia="仿宋_GB2312" w:cs="仿宋_GB2312"/>
          <w:color w:val="000000"/>
          <w:kern w:val="0"/>
          <w:sz w:val="32"/>
          <w:szCs w:val="32"/>
          <w:lang w:bidi="ar"/>
        </w:rPr>
        <w:t>劳务费</w:t>
      </w:r>
      <w:r>
        <w:rPr>
          <w:rFonts w:hint="eastAsia" w:ascii="仿宋_GB2312" w:hAnsi="仿宋_GB2312" w:eastAsia="仿宋_GB2312" w:cs="仿宋_GB2312"/>
          <w:color w:val="000000"/>
          <w:kern w:val="0"/>
          <w:sz w:val="32"/>
          <w:szCs w:val="32"/>
          <w:lang w:val="en-US" w:eastAsia="zh-CN" w:bidi="ar"/>
        </w:rPr>
        <w:t>16.21</w:t>
      </w:r>
      <w:r>
        <w:rPr>
          <w:rFonts w:hint="eastAsia" w:ascii="仿宋_GB2312" w:hAnsi="仿宋_GB2312" w:eastAsia="仿宋_GB2312" w:cs="仿宋_GB2312"/>
          <w:color w:val="000000"/>
          <w:kern w:val="0"/>
          <w:sz w:val="32"/>
          <w:szCs w:val="32"/>
          <w:lang w:bidi="ar"/>
        </w:rPr>
        <w:t>万元、其他交通费用0.</w:t>
      </w:r>
      <w:r>
        <w:rPr>
          <w:rFonts w:hint="eastAsia" w:ascii="仿宋_GB2312" w:hAnsi="仿宋_GB2312" w:eastAsia="仿宋_GB2312" w:cs="仿宋_GB2312"/>
          <w:color w:val="000000"/>
          <w:kern w:val="0"/>
          <w:sz w:val="32"/>
          <w:szCs w:val="32"/>
          <w:lang w:val="en-US" w:eastAsia="zh-CN" w:bidi="ar"/>
        </w:rPr>
        <w:t>00</w:t>
      </w:r>
      <w:r>
        <w:rPr>
          <w:rFonts w:hint="eastAsia" w:ascii="仿宋_GB2312" w:hAnsi="仿宋_GB2312" w:eastAsia="仿宋_GB2312" w:cs="仿宋_GB2312"/>
          <w:color w:val="000000"/>
          <w:kern w:val="0"/>
          <w:sz w:val="32"/>
          <w:szCs w:val="32"/>
          <w:lang w:bidi="ar"/>
        </w:rPr>
        <w:t>万元。</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三、部门财政支出管理情况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widowControl/>
        <w:shd w:val="clear" w:color="auto" w:fill="FFFFFF"/>
        <w:spacing w:after="150" w:line="520" w:lineRule="exact"/>
        <w:ind w:firstLine="617" w:firstLineChars="19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按时编制、提交并上报了202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w:t>
      </w:r>
      <w:r>
        <w:rPr>
          <w:rFonts w:hint="eastAsia" w:ascii="仿宋_GB2312" w:hAnsi="仿宋_GB2312" w:eastAsia="仿宋_GB2312" w:cs="仿宋_GB2312"/>
          <w:color w:val="000000"/>
          <w:kern w:val="0"/>
          <w:sz w:val="32"/>
          <w:szCs w:val="32"/>
          <w:lang w:bidi="ar"/>
        </w:rPr>
        <w:t>金川县行政审批局</w:t>
      </w:r>
      <w:r>
        <w:rPr>
          <w:rFonts w:hint="eastAsia" w:ascii="仿宋_GB2312" w:hAnsi="仿宋_GB2312" w:eastAsia="仿宋_GB2312" w:cs="仿宋_GB2312"/>
          <w:color w:val="333333"/>
          <w:kern w:val="0"/>
          <w:sz w:val="32"/>
          <w:szCs w:val="32"/>
        </w:rPr>
        <w:t>部门预算 “二上二下”预算支出明细表。</w:t>
      </w:r>
    </w:p>
    <w:p>
      <w:pPr>
        <w:widowControl/>
        <w:shd w:val="clear" w:color="auto" w:fill="FFFFFF"/>
        <w:spacing w:after="150" w:line="520" w:lineRule="exact"/>
        <w:ind w:firstLine="617" w:firstLineChars="19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年我单位</w:t>
      </w:r>
      <w:r>
        <w:rPr>
          <w:rFonts w:hint="eastAsia" w:ascii="仿宋_GB2312" w:hAnsi="仿宋_GB2312" w:eastAsia="仿宋_GB2312" w:cs="仿宋_GB2312"/>
          <w:color w:val="333333"/>
          <w:kern w:val="0"/>
          <w:sz w:val="32"/>
          <w:szCs w:val="32"/>
          <w:lang w:eastAsia="zh-CN"/>
        </w:rPr>
        <w:t>年初</w:t>
      </w:r>
      <w:r>
        <w:rPr>
          <w:rFonts w:hint="eastAsia" w:ascii="仿宋_GB2312" w:hAnsi="仿宋_GB2312" w:eastAsia="仿宋_GB2312" w:cs="仿宋_GB2312"/>
          <w:color w:val="333333"/>
          <w:kern w:val="0"/>
          <w:sz w:val="32"/>
          <w:szCs w:val="32"/>
        </w:rPr>
        <w:t>在职人员为</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 xml:space="preserve">人，公用经费标准为行政人员每人12000元／年、事业人员每人9600元／年， </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度预算数为</w:t>
      </w:r>
      <w:r>
        <w:rPr>
          <w:rFonts w:hint="eastAsia" w:ascii="仿宋_GB2312" w:hAnsi="仿宋_GB2312" w:eastAsia="仿宋_GB2312" w:cs="仿宋_GB2312"/>
          <w:color w:val="333333"/>
          <w:kern w:val="0"/>
          <w:sz w:val="32"/>
          <w:szCs w:val="32"/>
          <w:lang w:val="en-US" w:eastAsia="zh-CN"/>
        </w:rPr>
        <w:t>278.83</w:t>
      </w:r>
      <w:r>
        <w:rPr>
          <w:rFonts w:hint="eastAsia" w:ascii="仿宋_GB2312" w:hAnsi="仿宋_GB2312" w:eastAsia="仿宋_GB2312" w:cs="仿宋_GB2312"/>
          <w:color w:val="333333"/>
          <w:kern w:val="0"/>
          <w:sz w:val="32"/>
          <w:szCs w:val="32"/>
        </w:rPr>
        <w:t>万元，年度预算编制项目分类准确，各项支出资金具体到明细科目。</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widowControl/>
        <w:shd w:val="clear" w:color="auto" w:fill="FFFFFF"/>
        <w:spacing w:after="150" w:line="520" w:lineRule="exact"/>
        <w:ind w:firstLine="774" w:firstLineChars="242"/>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年度预算数为</w:t>
      </w:r>
      <w:r>
        <w:rPr>
          <w:rFonts w:hint="eastAsia" w:ascii="仿宋_GB2312" w:hAnsi="仿宋_GB2312" w:eastAsia="仿宋_GB2312" w:cs="仿宋_GB2312"/>
          <w:color w:val="333333"/>
          <w:kern w:val="0"/>
          <w:sz w:val="32"/>
          <w:szCs w:val="32"/>
          <w:lang w:val="en-US" w:eastAsia="zh-CN"/>
        </w:rPr>
        <w:t>278.83</w:t>
      </w:r>
      <w:r>
        <w:rPr>
          <w:rFonts w:hint="eastAsia" w:ascii="仿宋_GB2312" w:hAnsi="仿宋_GB2312" w:eastAsia="仿宋_GB2312" w:cs="仿宋_GB2312"/>
          <w:color w:val="333333"/>
          <w:kern w:val="0"/>
          <w:sz w:val="32"/>
          <w:szCs w:val="32"/>
        </w:rPr>
        <w:t>万元，预算执行数</w:t>
      </w:r>
      <w:r>
        <w:rPr>
          <w:rFonts w:hint="eastAsia" w:ascii="仿宋_GB2312" w:hAnsi="仿宋_GB2312" w:eastAsia="仿宋_GB2312" w:cs="仿宋_GB2312"/>
          <w:color w:val="000000"/>
          <w:kern w:val="0"/>
          <w:sz w:val="32"/>
          <w:szCs w:val="32"/>
          <w:lang w:val="en-US" w:eastAsia="zh-CN" w:bidi="ar"/>
        </w:rPr>
        <w:t>412.50</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333333"/>
          <w:kern w:val="0"/>
          <w:sz w:val="32"/>
          <w:szCs w:val="32"/>
        </w:rPr>
        <w:t>，超预算</w:t>
      </w:r>
      <w:r>
        <w:rPr>
          <w:rFonts w:hint="eastAsia" w:ascii="仿宋_GB2312" w:hAnsi="仿宋_GB2312" w:eastAsia="仿宋_GB2312" w:cs="仿宋_GB2312"/>
          <w:color w:val="333333"/>
          <w:kern w:val="0"/>
          <w:sz w:val="32"/>
          <w:szCs w:val="32"/>
          <w:lang w:val="en-US" w:eastAsia="zh-CN"/>
        </w:rPr>
        <w:t>133.67</w:t>
      </w:r>
      <w:r>
        <w:rPr>
          <w:rFonts w:hint="eastAsia" w:ascii="仿宋_GB2312" w:hAnsi="仿宋_GB2312" w:eastAsia="仿宋_GB2312" w:cs="仿宋_GB2312"/>
          <w:color w:val="333333"/>
          <w:kern w:val="0"/>
          <w:sz w:val="32"/>
          <w:szCs w:val="32"/>
        </w:rPr>
        <w:t>万元，预算执行率</w:t>
      </w:r>
      <w:r>
        <w:rPr>
          <w:rFonts w:hint="eastAsia" w:ascii="仿宋_GB2312" w:hAnsi="仿宋_GB2312" w:eastAsia="仿宋_GB2312" w:cs="仿宋_GB2312"/>
          <w:color w:val="333333"/>
          <w:kern w:val="0"/>
          <w:sz w:val="32"/>
          <w:szCs w:val="32"/>
          <w:lang w:val="en-US" w:eastAsia="zh-CN"/>
        </w:rPr>
        <w:t>147.94</w:t>
      </w:r>
      <w:r>
        <w:rPr>
          <w:rFonts w:hint="eastAsia" w:ascii="仿宋_GB2312" w:hAnsi="仿宋_GB2312" w:eastAsia="仿宋_GB2312" w:cs="仿宋_GB2312"/>
          <w:color w:val="333333"/>
          <w:kern w:val="0"/>
          <w:sz w:val="32"/>
          <w:szCs w:val="32"/>
        </w:rPr>
        <w:t>%。预算总体执行情况为超预算执行，原因是以前年度的年初待安排资金未纳入202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年预算，从而出现202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年预算数较</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执行数还少，我局今年又向县人民政府打报告拨付</w:t>
      </w:r>
      <w:r>
        <w:rPr>
          <w:rFonts w:hint="eastAsia" w:ascii="仿宋_GB2312" w:hAnsi="仿宋_GB2312" w:eastAsia="仿宋_GB2312" w:cs="仿宋_GB2312"/>
          <w:color w:val="333333"/>
          <w:kern w:val="0"/>
          <w:sz w:val="32"/>
          <w:szCs w:val="32"/>
          <w:lang w:eastAsia="zh-CN"/>
        </w:rPr>
        <w:t>多</w:t>
      </w:r>
      <w:r>
        <w:rPr>
          <w:rFonts w:hint="eastAsia" w:ascii="仿宋_GB2312" w:hAnsi="仿宋_GB2312" w:eastAsia="仿宋_GB2312" w:cs="仿宋_GB2312"/>
          <w:color w:val="333333"/>
          <w:kern w:val="0"/>
          <w:sz w:val="32"/>
          <w:szCs w:val="32"/>
        </w:rPr>
        <w:t>次运转</w:t>
      </w:r>
      <w:r>
        <w:rPr>
          <w:rFonts w:hint="eastAsia" w:ascii="仿宋_GB2312" w:hAnsi="仿宋_GB2312" w:eastAsia="仿宋_GB2312" w:cs="仿宋_GB2312"/>
          <w:color w:val="333333"/>
          <w:kern w:val="0"/>
          <w:sz w:val="32"/>
          <w:szCs w:val="32"/>
          <w:lang w:eastAsia="zh-CN"/>
        </w:rPr>
        <w:t>经费</w:t>
      </w:r>
      <w:r>
        <w:rPr>
          <w:rFonts w:hint="eastAsia" w:ascii="仿宋_GB2312" w:hAnsi="仿宋_GB2312" w:eastAsia="仿宋_GB2312" w:cs="仿宋_GB2312"/>
          <w:color w:val="000000"/>
          <w:sz w:val="32"/>
          <w:szCs w:val="32"/>
          <w:lang w:val="en-US" w:eastAsia="zh-CN"/>
        </w:rPr>
        <w:t>35.87</w:t>
      </w:r>
      <w:r>
        <w:rPr>
          <w:rFonts w:hint="eastAsia" w:ascii="仿宋_GB2312" w:hAnsi="仿宋_GB2312" w:eastAsia="仿宋_GB2312" w:cs="仿宋_GB2312"/>
          <w:color w:val="000000"/>
          <w:kern w:val="0"/>
          <w:sz w:val="32"/>
          <w:szCs w:val="32"/>
          <w:lang w:bidi="ar"/>
        </w:rPr>
        <w:t>万元</w:t>
      </w:r>
      <w:r>
        <w:rPr>
          <w:rFonts w:hint="eastAsia" w:ascii="仿宋_GB2312" w:hAnsi="仿宋_GB2312" w:eastAsia="仿宋_GB2312" w:cs="仿宋_GB2312"/>
          <w:color w:val="333333"/>
          <w:kern w:val="0"/>
          <w:sz w:val="32"/>
          <w:szCs w:val="32"/>
        </w:rPr>
        <w:t>，从而造成超预算。</w:t>
      </w:r>
    </w:p>
    <w:p>
      <w:pPr>
        <w:widowControl/>
        <w:shd w:val="clear" w:color="auto" w:fill="FFFFFF"/>
        <w:spacing w:after="150" w:line="520" w:lineRule="exact"/>
        <w:ind w:firstLine="457" w:firstLineChars="14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节能降耗： 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年电费</w:t>
      </w:r>
      <w:r>
        <w:rPr>
          <w:rFonts w:hint="eastAsia" w:ascii="仿宋_GB2312" w:hAnsi="仿宋_GB2312" w:eastAsia="仿宋_GB2312" w:cs="仿宋_GB2312"/>
          <w:color w:val="333333"/>
          <w:kern w:val="0"/>
          <w:sz w:val="32"/>
          <w:szCs w:val="32"/>
          <w:lang w:val="en-US" w:eastAsia="zh-CN"/>
        </w:rPr>
        <w:t>4.05</w:t>
      </w:r>
      <w:r>
        <w:rPr>
          <w:rFonts w:hint="eastAsia" w:ascii="仿宋_GB2312" w:hAnsi="仿宋_GB2312" w:eastAsia="仿宋_GB2312" w:cs="仿宋_GB2312"/>
          <w:color w:val="333333"/>
          <w:kern w:val="0"/>
          <w:sz w:val="32"/>
          <w:szCs w:val="32"/>
        </w:rPr>
        <w:t>万元比</w:t>
      </w:r>
      <w:r>
        <w:rPr>
          <w:rFonts w:hint="eastAsia" w:ascii="仿宋_GB2312" w:hAnsi="仿宋_GB2312" w:eastAsia="仿宋_GB2312" w:cs="仿宋_GB2312"/>
          <w:color w:val="333333"/>
          <w:kern w:val="0"/>
          <w:sz w:val="32"/>
          <w:szCs w:val="32"/>
          <w:lang w:eastAsia="zh-CN"/>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同期电费</w:t>
      </w:r>
      <w:r>
        <w:rPr>
          <w:rFonts w:hint="eastAsia" w:ascii="仿宋_GB2312" w:hAnsi="仿宋_GB2312" w:eastAsia="仿宋_GB2312" w:cs="仿宋_GB2312"/>
          <w:color w:val="333333"/>
          <w:kern w:val="0"/>
          <w:sz w:val="32"/>
          <w:szCs w:val="32"/>
          <w:lang w:eastAsia="zh-CN"/>
        </w:rPr>
        <w:t>增加</w:t>
      </w:r>
      <w:r>
        <w:rPr>
          <w:rFonts w:hint="eastAsia" w:ascii="仿宋_GB2312" w:hAnsi="仿宋_GB2312" w:eastAsia="仿宋_GB2312" w:cs="仿宋_GB2312"/>
          <w:color w:val="333333"/>
          <w:kern w:val="0"/>
          <w:sz w:val="32"/>
          <w:szCs w:val="32"/>
          <w:lang w:val="en-US" w:eastAsia="zh-CN"/>
        </w:rPr>
        <w:t>3.55万元，原因是2019年的剩余电费较多，2020年继续使用2019年的剩余电费，从而导致2020年实际产生的电费只有0.5万元，因此才会产生</w:t>
      </w:r>
      <w:r>
        <w:rPr>
          <w:rFonts w:hint="eastAsia" w:ascii="仿宋_GB2312" w:hAnsi="仿宋_GB2312" w:eastAsia="仿宋_GB2312" w:cs="仿宋_GB2312"/>
          <w:color w:val="333333"/>
          <w:kern w:val="0"/>
          <w:sz w:val="32"/>
          <w:szCs w:val="32"/>
        </w:rPr>
        <w:t xml:space="preserve"> 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年电费</w:t>
      </w:r>
      <w:r>
        <w:rPr>
          <w:rFonts w:hint="eastAsia" w:ascii="仿宋_GB2312" w:hAnsi="仿宋_GB2312" w:eastAsia="仿宋_GB2312" w:cs="仿宋_GB2312"/>
          <w:color w:val="333333"/>
          <w:kern w:val="0"/>
          <w:sz w:val="32"/>
          <w:szCs w:val="32"/>
          <w:lang w:val="en-US" w:eastAsia="zh-CN"/>
        </w:rPr>
        <w:t>4.05</w:t>
      </w:r>
      <w:r>
        <w:rPr>
          <w:rFonts w:hint="eastAsia" w:ascii="仿宋_GB2312" w:hAnsi="仿宋_GB2312" w:eastAsia="仿宋_GB2312" w:cs="仿宋_GB2312"/>
          <w:color w:val="333333"/>
          <w:kern w:val="0"/>
          <w:sz w:val="32"/>
          <w:szCs w:val="32"/>
        </w:rPr>
        <w:t>万元比</w:t>
      </w:r>
      <w:r>
        <w:rPr>
          <w:rFonts w:hint="eastAsia" w:ascii="仿宋_GB2312" w:hAnsi="仿宋_GB2312" w:eastAsia="仿宋_GB2312" w:cs="仿宋_GB2312"/>
          <w:color w:val="333333"/>
          <w:kern w:val="0"/>
          <w:sz w:val="32"/>
          <w:szCs w:val="32"/>
          <w:lang w:eastAsia="zh-CN"/>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同期电费</w:t>
      </w:r>
      <w:r>
        <w:rPr>
          <w:rFonts w:hint="eastAsia" w:ascii="仿宋_GB2312" w:hAnsi="仿宋_GB2312" w:eastAsia="仿宋_GB2312" w:cs="仿宋_GB2312"/>
          <w:color w:val="333333"/>
          <w:kern w:val="0"/>
          <w:sz w:val="32"/>
          <w:szCs w:val="32"/>
          <w:lang w:eastAsia="zh-CN"/>
        </w:rPr>
        <w:t>增加</w:t>
      </w:r>
      <w:r>
        <w:rPr>
          <w:rFonts w:hint="eastAsia" w:ascii="仿宋_GB2312" w:hAnsi="仿宋_GB2312" w:eastAsia="仿宋_GB2312" w:cs="仿宋_GB2312"/>
          <w:color w:val="333333"/>
          <w:kern w:val="0"/>
          <w:sz w:val="32"/>
          <w:szCs w:val="32"/>
          <w:lang w:val="en-US" w:eastAsia="zh-CN"/>
        </w:rPr>
        <w:t>3.55万元。</w:t>
      </w:r>
    </w:p>
    <w:p>
      <w:pPr>
        <w:widowControl/>
        <w:shd w:val="clear" w:color="auto" w:fill="FFFFFF"/>
        <w:spacing w:after="150" w:line="520" w:lineRule="exact"/>
        <w:ind w:firstLine="457" w:firstLineChars="143"/>
        <w:rPr>
          <w:rFonts w:hint="eastAsia" w:ascii="仿宋_GB2312" w:hAnsi="仿宋_GB2312" w:eastAsia="仿宋_GB2312" w:cs="仿宋_GB2312"/>
          <w:color w:val="333333"/>
          <w:kern w:val="0"/>
          <w:sz w:val="32"/>
          <w:szCs w:val="32"/>
          <w:lang w:eastAsia="zh-CN"/>
        </w:rPr>
      </w:pPr>
      <w:r>
        <w:rPr>
          <w:rFonts w:hint="eastAsia" w:ascii="仿宋_GB2312" w:hAnsi="仿宋_GB2312" w:eastAsia="仿宋_GB2312" w:cs="仿宋_GB2312"/>
          <w:color w:val="333333"/>
          <w:kern w:val="0"/>
          <w:sz w:val="32"/>
          <w:szCs w:val="32"/>
        </w:rPr>
        <w:t>三公经费：我单位202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年三公经费预算为0.</w:t>
      </w:r>
      <w:r>
        <w:rPr>
          <w:rFonts w:hint="eastAsia" w:ascii="仿宋_GB2312" w:hAnsi="仿宋_GB2312" w:eastAsia="仿宋_GB2312" w:cs="仿宋_GB2312"/>
          <w:color w:val="333333"/>
          <w:kern w:val="0"/>
          <w:sz w:val="32"/>
          <w:szCs w:val="32"/>
          <w:lang w:val="en-US" w:eastAsia="zh-CN"/>
        </w:rPr>
        <w:t>52</w:t>
      </w:r>
      <w:r>
        <w:rPr>
          <w:rFonts w:hint="eastAsia" w:ascii="仿宋_GB2312" w:hAnsi="仿宋_GB2312" w:eastAsia="仿宋_GB2312" w:cs="仿宋_GB2312"/>
          <w:color w:val="333333"/>
          <w:kern w:val="0"/>
          <w:sz w:val="32"/>
          <w:szCs w:val="32"/>
        </w:rPr>
        <w:t>万元，比</w:t>
      </w:r>
      <w:r>
        <w:rPr>
          <w:rFonts w:hint="eastAsia" w:ascii="仿宋_GB2312" w:hAnsi="仿宋_GB2312" w:eastAsia="仿宋_GB2312" w:cs="仿宋_GB2312"/>
          <w:color w:val="333333"/>
          <w:kern w:val="0"/>
          <w:sz w:val="32"/>
          <w:szCs w:val="32"/>
          <w:lang w:eastAsia="zh-CN"/>
        </w:rPr>
        <w:t>2020年</w:t>
      </w:r>
      <w:r>
        <w:rPr>
          <w:rFonts w:hint="eastAsia" w:ascii="仿宋_GB2312" w:hAnsi="仿宋_GB2312" w:eastAsia="仿宋_GB2312" w:cs="仿宋_GB2312"/>
          <w:color w:val="333333"/>
          <w:kern w:val="0"/>
          <w:sz w:val="32"/>
          <w:szCs w:val="32"/>
        </w:rPr>
        <w:t>增加0</w:t>
      </w:r>
      <w:r>
        <w:rPr>
          <w:rFonts w:hint="eastAsia" w:ascii="仿宋_GB2312" w:hAnsi="仿宋_GB2312" w:eastAsia="仿宋_GB2312" w:cs="仿宋_GB2312"/>
          <w:color w:val="333333"/>
          <w:kern w:val="0"/>
          <w:sz w:val="32"/>
          <w:szCs w:val="32"/>
          <w:lang w:val="en-US" w:eastAsia="zh-CN"/>
        </w:rPr>
        <w:t>.33</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，原因是人员增加。</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pPr>
        <w:widowControl/>
        <w:shd w:val="clear" w:color="auto" w:fill="FFFFFF"/>
        <w:spacing w:after="150" w:line="520" w:lineRule="exact"/>
        <w:ind w:firstLine="777" w:firstLineChars="24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1.基础管理情况</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我局制定了《金川县行政审批局内部控制管理制度》、《固定资产管理制度及办法》、《行政审批局关于内部控制  </w:t>
      </w:r>
    </w:p>
    <w:p>
      <w:pPr>
        <w:widowControl/>
        <w:shd w:val="clear" w:color="auto" w:fill="FFFFFF"/>
        <w:spacing w:after="150" w:line="520" w:lineRule="exact"/>
        <w:ind w:firstLine="457" w:firstLineChars="14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体系建设的实施方案》、《行政审批局内部控制领导小组的方案》，制定的各项制度得到较好执行。</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2.政府债务情况</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度行政审批局政府债务合计0万元。</w:t>
      </w:r>
    </w:p>
    <w:p>
      <w:pPr>
        <w:widowControl/>
        <w:shd w:val="clear" w:color="auto" w:fill="FFFFFF"/>
        <w:spacing w:after="150" w:line="520" w:lineRule="exact"/>
        <w:ind w:firstLine="160" w:firstLineChars="5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3.非税收入执收情况</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年度行政审批局非税收入合计0元，上缴财政0万元。</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4.政府采购实施计划</w:t>
      </w:r>
    </w:p>
    <w:p>
      <w:pPr>
        <w:widowControl/>
        <w:shd w:val="clear" w:color="auto" w:fill="FFFFFF"/>
        <w:spacing w:after="150" w:line="520" w:lineRule="exact"/>
        <w:ind w:firstLine="617" w:firstLineChars="19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行政审批局</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年未制定年度政府采购计划。</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5.资产管理情况</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行政审批局已将国有资产纳入资产信息系统管理，并落实专人负责管理维护系统，如有资产变动将及时把资产变动情况录入系统。</w:t>
      </w:r>
    </w:p>
    <w:p>
      <w:pPr>
        <w:widowControl/>
        <w:shd w:val="clear" w:color="auto" w:fill="FFFFFF"/>
        <w:spacing w:after="150" w:line="520" w:lineRule="exact"/>
        <w:ind w:firstLine="617" w:firstLineChars="19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管理系统上固定资产金额为</w:t>
      </w:r>
      <w:r>
        <w:rPr>
          <w:rFonts w:hint="eastAsia" w:ascii="仿宋_GB2312" w:hAnsi="仿宋_GB2312" w:eastAsia="仿宋_GB2312" w:cs="仿宋_GB2312"/>
          <w:color w:val="333333"/>
          <w:kern w:val="0"/>
          <w:sz w:val="32"/>
          <w:szCs w:val="32"/>
          <w:lang w:val="en-US" w:eastAsia="zh-CN"/>
        </w:rPr>
        <w:t>53.32</w:t>
      </w:r>
      <w:r>
        <w:rPr>
          <w:rFonts w:hint="eastAsia" w:ascii="仿宋_GB2312" w:hAnsi="仿宋_GB2312" w:eastAsia="仿宋_GB2312" w:cs="仿宋_GB2312"/>
          <w:color w:val="333333"/>
          <w:kern w:val="0"/>
          <w:sz w:val="32"/>
          <w:szCs w:val="32"/>
        </w:rPr>
        <w:t>万元，会计账上金额为</w:t>
      </w:r>
      <w:r>
        <w:rPr>
          <w:rFonts w:hint="eastAsia" w:ascii="仿宋_GB2312" w:hAnsi="仿宋_GB2312" w:eastAsia="仿宋_GB2312" w:cs="仿宋_GB2312"/>
          <w:color w:val="333333"/>
          <w:kern w:val="0"/>
          <w:sz w:val="32"/>
          <w:szCs w:val="32"/>
          <w:lang w:val="en-US" w:eastAsia="zh-CN"/>
        </w:rPr>
        <w:t>53.32</w:t>
      </w:r>
      <w:r>
        <w:rPr>
          <w:rFonts w:hint="eastAsia" w:ascii="仿宋_GB2312" w:hAnsi="仿宋_GB2312" w:eastAsia="仿宋_GB2312" w:cs="仿宋_GB2312"/>
          <w:color w:val="333333"/>
          <w:kern w:val="0"/>
          <w:sz w:val="32"/>
          <w:szCs w:val="32"/>
        </w:rPr>
        <w:t>万元，系统金额与会计账目金额一致。</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6.信息公开情况</w:t>
      </w:r>
    </w:p>
    <w:p>
      <w:pPr>
        <w:widowControl/>
        <w:shd w:val="clear" w:color="auto" w:fill="FFFFFF"/>
        <w:spacing w:after="150" w:line="520" w:lineRule="exact"/>
        <w:ind w:firstLine="3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w:t>
      </w:r>
      <w:r>
        <w:rPr>
          <w:rFonts w:hint="eastAsia" w:ascii="仿宋_GB2312" w:hAnsi="仿宋_GB2312" w:eastAsia="仿宋_GB2312" w:cs="仿宋_GB2312"/>
          <w:color w:val="333333"/>
          <w:kern w:val="0"/>
          <w:sz w:val="32"/>
          <w:szCs w:val="32"/>
          <w:lang w:eastAsia="zh-CN"/>
        </w:rPr>
        <w:t>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lang w:eastAsia="zh-CN"/>
        </w:rPr>
        <w:t>年</w:t>
      </w:r>
      <w:r>
        <w:rPr>
          <w:rFonts w:hint="eastAsia" w:ascii="仿宋_GB2312" w:hAnsi="仿宋_GB2312" w:eastAsia="仿宋_GB2312" w:cs="仿宋_GB2312"/>
          <w:color w:val="333333"/>
          <w:kern w:val="0"/>
          <w:sz w:val="32"/>
          <w:szCs w:val="32"/>
        </w:rPr>
        <w:t>的预、决算编制说明、“三公”经费预、决算情况；202</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年的预算编制说明、“三公”经费预算情况已在政府网上公开。</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pPr>
        <w:widowControl/>
        <w:adjustRightInd w:val="0"/>
        <w:snapToGrid w:val="0"/>
        <w:spacing w:line="480" w:lineRule="exact"/>
        <w:ind w:firstLine="72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333333"/>
          <w:kern w:val="0"/>
          <w:sz w:val="32"/>
          <w:szCs w:val="32"/>
        </w:rPr>
        <w:t>行政审批局对本部门实施了整体支出绩效评价 ，按照要求向金川县财政局按时报送自评报告，</w:t>
      </w:r>
      <w:r>
        <w:rPr>
          <w:rFonts w:hint="eastAsia" w:ascii="仿宋_GB2312" w:hAnsi="仿宋_GB2312" w:eastAsia="仿宋_GB2312" w:cs="仿宋_GB2312"/>
          <w:color w:val="000000"/>
          <w:sz w:val="32"/>
          <w:szCs w:val="32"/>
        </w:rPr>
        <w:t>财政资金支出主要</w:t>
      </w:r>
    </w:p>
    <w:p>
      <w:pPr>
        <w:widowControl/>
        <w:adjustRightInd w:val="0"/>
        <w:snapToGrid w:val="0"/>
        <w:spacing w:line="480" w:lineRule="exact"/>
        <w:ind w:firstLine="720"/>
        <w:jc w:val="left"/>
        <w:rPr>
          <w:rFonts w:hint="eastAsia" w:ascii="仿宋_GB2312" w:hAnsi="仿宋_GB2312" w:eastAsia="仿宋_GB2312" w:cs="仿宋_GB2312"/>
          <w:color w:val="000000"/>
          <w:sz w:val="32"/>
          <w:szCs w:val="32"/>
        </w:rPr>
      </w:pPr>
    </w:p>
    <w:p>
      <w:pPr>
        <w:widowControl/>
        <w:adjustRightInd w:val="0"/>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用于保障本部门机构正常运转、更好完成各项日常工作，</w:t>
      </w:r>
      <w:r>
        <w:rPr>
          <w:rFonts w:hint="eastAsia" w:ascii="仿宋_GB2312" w:hAnsi="仿宋_GB2312" w:eastAsia="仿宋_GB2312" w:cs="仿宋_GB2312"/>
          <w:color w:val="333333"/>
          <w:kern w:val="0"/>
          <w:sz w:val="32"/>
          <w:szCs w:val="32"/>
        </w:rPr>
        <w:t>社会群众对行政审批局的工作总体较满意。</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四、评价结论及建议</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  编制了绩效评价及接受了财政监督，</w:t>
      </w:r>
      <w:r>
        <w:rPr>
          <w:rFonts w:hint="eastAsia" w:ascii="仿宋_GB2312" w:hAnsi="仿宋_GB2312" w:eastAsia="仿宋_GB2312" w:cs="仿宋_GB2312"/>
          <w:sz w:val="32"/>
          <w:szCs w:val="32"/>
        </w:rPr>
        <w:t>部门预算执行情况良好，</w:t>
      </w:r>
      <w:r>
        <w:rPr>
          <w:rFonts w:hint="eastAsia" w:ascii="仿宋_GB2312" w:hAnsi="仿宋_GB2312" w:eastAsia="仿宋_GB2312" w:cs="仿宋_GB2312"/>
          <w:sz w:val="32"/>
          <w:szCs w:val="32"/>
          <w:lang w:eastAsia="zh-CN"/>
        </w:rPr>
        <w:t>自评得分</w:t>
      </w:r>
      <w:r>
        <w:rPr>
          <w:rFonts w:hint="eastAsia" w:ascii="仿宋_GB2312" w:hAnsi="仿宋_GB2312" w:eastAsia="仿宋_GB2312" w:cs="仿宋_GB2312"/>
          <w:sz w:val="32"/>
          <w:szCs w:val="32"/>
          <w:lang w:val="en-US" w:eastAsia="zh-CN"/>
        </w:rPr>
        <w:t>83分（</w:t>
      </w:r>
      <w:r>
        <w:rPr>
          <w:rFonts w:hint="eastAsia" w:ascii="仿宋_GB2312" w:hAnsi="仿宋_GB2312" w:eastAsia="仿宋_GB2312" w:cs="仿宋_GB2312"/>
          <w:sz w:val="32"/>
          <w:szCs w:val="32"/>
          <w:lang w:eastAsia="zh-CN"/>
        </w:rPr>
        <w:t>自评得分满分为</w:t>
      </w:r>
      <w:r>
        <w:rPr>
          <w:rFonts w:hint="eastAsia" w:ascii="仿宋_GB2312" w:hAnsi="仿宋_GB2312" w:eastAsia="仿宋_GB2312" w:cs="仿宋_GB2312"/>
          <w:sz w:val="32"/>
          <w:szCs w:val="32"/>
          <w:lang w:val="en-US" w:eastAsia="zh-CN"/>
        </w:rPr>
        <w:t>90分），</w:t>
      </w:r>
      <w:r>
        <w:rPr>
          <w:rFonts w:hint="eastAsia" w:ascii="仿宋_GB2312" w:hAnsi="仿宋_GB2312" w:eastAsia="仿宋_GB2312" w:cs="仿宋_GB2312"/>
          <w:sz w:val="32"/>
          <w:szCs w:val="32"/>
        </w:rPr>
        <w:t>无不良记录及违规违纪行为，预算收、支和决算收、支情况相符。</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技术力量相当欠缺和薄弱。</w:t>
      </w:r>
      <w:r>
        <w:rPr>
          <w:rFonts w:hint="eastAsia" w:ascii="仿宋_GB2312" w:hAnsi="仿宋_GB2312" w:eastAsia="仿宋_GB2312" w:cs="仿宋_GB2312"/>
          <w:sz w:val="32"/>
          <w:szCs w:val="32"/>
        </w:rPr>
        <w:t>由于机改后，职能职责增加，业务工作增多，现有人员</w:t>
      </w:r>
      <w:r>
        <w:rPr>
          <w:rFonts w:hint="eastAsia" w:ascii="仿宋_GB2312" w:hAnsi="仿宋_GB2312" w:eastAsia="仿宋_GB2312" w:cs="仿宋_GB2312"/>
          <w:bCs/>
          <w:sz w:val="32"/>
          <w:szCs w:val="32"/>
        </w:rPr>
        <w:t>技术力量</w:t>
      </w:r>
      <w:r>
        <w:rPr>
          <w:rFonts w:hint="eastAsia" w:ascii="仿宋_GB2312" w:hAnsi="仿宋_GB2312" w:eastAsia="仿宋_GB2312" w:cs="仿宋_GB2312"/>
          <w:sz w:val="32"/>
          <w:szCs w:val="32"/>
          <w:lang w:eastAsia="zh-CN"/>
        </w:rPr>
        <w:t>还</w:t>
      </w:r>
      <w:r>
        <w:rPr>
          <w:rFonts w:hint="eastAsia" w:ascii="仿宋_GB2312" w:hAnsi="仿宋_GB2312" w:eastAsia="仿宋_GB2312" w:cs="仿宋_GB2312"/>
          <w:sz w:val="32"/>
          <w:szCs w:val="32"/>
        </w:rPr>
        <w:t>达不到“放管服”改革、“一体化政务平台”运行、乡镇便民中心业务指导等工作的需要，特别是网络技术力量紧缺，推动“放管服”改革“心有余而力不足”，更加谈不上一些政务应用程序和自助终端的研发。</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2、“互联网+政务服务”推广应用成效不明显。</w:t>
      </w:r>
      <w:r>
        <w:rPr>
          <w:rFonts w:hint="eastAsia" w:ascii="仿宋_GB2312" w:hAnsi="仿宋_GB2312" w:eastAsia="仿宋_GB2312" w:cs="仿宋_GB2312"/>
          <w:sz w:val="32"/>
          <w:szCs w:val="32"/>
        </w:rPr>
        <w:t>目前大数据</w:t>
      </w:r>
      <w:r>
        <w:rPr>
          <w:rFonts w:hint="eastAsia" w:ascii="仿宋_GB2312" w:hAnsi="仿宋_GB2312" w:eastAsia="仿宋_GB2312" w:cs="仿宋_GB2312"/>
          <w:sz w:val="32"/>
          <w:szCs w:val="32"/>
          <w:lang w:eastAsia="zh-CN"/>
        </w:rPr>
        <w:t>尚未</w:t>
      </w:r>
      <w:r>
        <w:rPr>
          <w:rFonts w:hint="eastAsia" w:ascii="仿宋_GB2312" w:hAnsi="仿宋_GB2312" w:eastAsia="仿宋_GB2312" w:cs="仿宋_GB2312"/>
          <w:sz w:val="32"/>
          <w:szCs w:val="32"/>
        </w:rPr>
        <w:t>建成，各行业、各系统各自拥有系统网，数据无法共享，向一体化政务服务平台推送成效不理想，导致在审批过程中还得按老办法，便民服务网点硬件建设现代化手段滞后。</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（三）改进建议。</w:t>
      </w:r>
    </w:p>
    <w:p>
      <w:pPr>
        <w:widowControl/>
        <w:shd w:val="clear" w:color="auto" w:fill="FFFFFF"/>
        <w:spacing w:after="150" w:line="520" w:lineRule="exact"/>
        <w:ind w:firstLine="777" w:firstLineChars="243"/>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增加</w:t>
      </w:r>
      <w:r>
        <w:rPr>
          <w:rFonts w:hint="eastAsia" w:ascii="仿宋_GB2312" w:hAnsi="仿宋_GB2312" w:eastAsia="仿宋_GB2312" w:cs="仿宋_GB2312"/>
          <w:bCs/>
          <w:sz w:val="32"/>
          <w:szCs w:val="32"/>
        </w:rPr>
        <w:t>人员编制，引进技术人才，扩大技术力量，</w:t>
      </w:r>
      <w:r>
        <w:rPr>
          <w:rFonts w:hint="eastAsia" w:ascii="仿宋_GB2312" w:hAnsi="仿宋_GB2312" w:eastAsia="仿宋_GB2312" w:cs="仿宋_GB2312"/>
          <w:color w:val="333333"/>
          <w:kern w:val="0"/>
          <w:sz w:val="32"/>
          <w:szCs w:val="32"/>
        </w:rPr>
        <w:t>解决“互联网+政务服务”方面专业技术人才，运用新技术提升政务服务水平。</w:t>
      </w:r>
    </w:p>
    <w:p>
      <w:pPr>
        <w:widowControl/>
        <w:adjustRightInd w:val="0"/>
        <w:snapToGrid w:val="0"/>
        <w:spacing w:line="480" w:lineRule="exact"/>
        <w:ind w:firstLine="720"/>
        <w:jc w:val="left"/>
        <w:rPr>
          <w:rFonts w:ascii="黑体" w:hAnsi="黑体" w:eastAsia="黑体"/>
          <w:sz w:val="30"/>
          <w:szCs w:val="30"/>
        </w:rPr>
      </w:pPr>
    </w:p>
    <w:p>
      <w:pPr>
        <w:spacing w:line="600" w:lineRule="exact"/>
        <w:jc w:val="both"/>
        <w:outlineLvl w:val="0"/>
        <w:rPr>
          <w:rFonts w:hint="eastAsia"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入决算表</w:t>
      </w:r>
      <w:bookmarkEnd w:id="62"/>
    </w:p>
    <w:p>
      <w:pPr>
        <w:pStyle w:val="4"/>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出决算表</w:t>
      </w:r>
      <w:bookmarkEnd w:id="63"/>
    </w:p>
    <w:p>
      <w:pPr>
        <w:pStyle w:val="4"/>
        <w:pageBreakBefore w:val="0"/>
        <w:widowControl w:val="0"/>
        <w:kinsoku/>
        <w:wordWrap/>
        <w:overflowPunct/>
        <w:topLinePunct w:val="0"/>
        <w:autoSpaceDE/>
        <w:autoSpaceDN/>
        <w:bidi w:val="0"/>
        <w:adjustRightInd/>
        <w:snapToGrid/>
        <w:spacing w:line="440" w:lineRule="exact"/>
        <w:textAlignment w:val="auto"/>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5" w:name="_Toc15396624"/>
      <w:r>
        <w:rPr>
          <w:rStyle w:val="18"/>
          <w:rFonts w:hint="eastAsia" w:ascii="仿宋" w:eastAsia="仿宋"/>
          <w:b w:val="0"/>
          <w:bCs w:val="0"/>
        </w:rPr>
        <w:t>五、财政拨款支出决算明细表</w:t>
      </w:r>
      <w:bookmarkEnd w:id="65"/>
    </w:p>
    <w:p>
      <w:pPr>
        <w:pStyle w:val="4"/>
        <w:pageBreakBefore w:val="0"/>
        <w:widowControl w:val="0"/>
        <w:kinsoku/>
        <w:wordWrap/>
        <w:overflowPunct/>
        <w:topLinePunct w:val="0"/>
        <w:autoSpaceDE/>
        <w:autoSpaceDN/>
        <w:bidi w:val="0"/>
        <w:adjustRightInd/>
        <w:snapToGrid/>
        <w:spacing w:line="440" w:lineRule="exact"/>
        <w:textAlignment w:val="auto"/>
        <w:rPr>
          <w:rFonts w:hint="eastAsia" w:ascii="仿宋" w:eastAsia="仿宋"/>
          <w:b w:val="0"/>
          <w:color w:val="000000"/>
        </w:rPr>
      </w:pPr>
      <w:bookmarkStart w:id="66" w:name="_Toc15396625"/>
      <w:r>
        <w:rPr>
          <w:rStyle w:val="18"/>
          <w:rFonts w:hint="eastAsia" w:ascii="仿宋" w:eastAsia="仿宋"/>
          <w:b w:val="0"/>
          <w:bCs w:val="0"/>
        </w:rPr>
        <w:t>六、</w:t>
      </w:r>
      <w:bookmarkEnd w:id="66"/>
      <w:bookmarkStart w:id="67" w:name="_Toc15396626"/>
      <w:r>
        <w:rPr>
          <w:rFonts w:hint="eastAsia" w:ascii="仿宋" w:eastAsia="仿宋"/>
          <w:b w:val="0"/>
          <w:color w:val="000000"/>
        </w:rPr>
        <w:t>一般公共预算财政拨款支出决算表</w:t>
      </w:r>
    </w:p>
    <w:p>
      <w:pPr>
        <w:pStyle w:val="4"/>
        <w:pageBreakBefore w:val="0"/>
        <w:widowControl w:val="0"/>
        <w:kinsoku/>
        <w:wordWrap/>
        <w:overflowPunct/>
        <w:topLinePunct w:val="0"/>
        <w:autoSpaceDE/>
        <w:autoSpaceDN/>
        <w:bidi w:val="0"/>
        <w:adjustRightInd/>
        <w:snapToGrid/>
        <w:spacing w:line="440" w:lineRule="exact"/>
        <w:textAlignment w:val="auto"/>
        <w:rPr>
          <w:rFonts w:hint="eastAsia" w:ascii="仿宋" w:eastAsia="仿宋"/>
          <w:b w:val="0"/>
          <w:color w:val="000000"/>
        </w:rPr>
      </w:pPr>
      <w:r>
        <w:rPr>
          <w:rStyle w:val="18"/>
          <w:rFonts w:hint="eastAsia" w:ascii="仿宋" w:eastAsia="仿宋"/>
          <w:b w:val="0"/>
          <w:bCs w:val="0"/>
        </w:rPr>
        <w:t>七、</w:t>
      </w:r>
      <w:bookmarkEnd w:id="67"/>
      <w:bookmarkStart w:id="68" w:name="_Toc15396627"/>
      <w:r>
        <w:rPr>
          <w:rFonts w:hint="eastAsia" w:ascii="仿宋" w:eastAsia="仿宋"/>
          <w:b w:val="0"/>
          <w:color w:val="000000"/>
        </w:rPr>
        <w:t>一般公共预算财政拨款支出决算明细表</w:t>
      </w:r>
    </w:p>
    <w:p>
      <w:pPr>
        <w:pStyle w:val="4"/>
        <w:pageBreakBefore w:val="0"/>
        <w:widowControl w:val="0"/>
        <w:kinsoku/>
        <w:wordWrap/>
        <w:overflowPunct/>
        <w:topLinePunct w:val="0"/>
        <w:autoSpaceDE/>
        <w:autoSpaceDN/>
        <w:bidi w:val="0"/>
        <w:adjustRightInd/>
        <w:snapToGrid/>
        <w:spacing w:line="440" w:lineRule="exact"/>
        <w:textAlignment w:val="auto"/>
        <w:rPr>
          <w:rFonts w:hint="eastAsia" w:ascii="仿宋" w:eastAsia="仿宋"/>
          <w:b w:val="0"/>
          <w:color w:val="000000"/>
        </w:rPr>
      </w:pPr>
      <w:r>
        <w:rPr>
          <w:rStyle w:val="18"/>
          <w:rFonts w:hint="eastAsia" w:ascii="仿宋" w:eastAsia="仿宋"/>
          <w:b w:val="0"/>
          <w:bCs w:val="0"/>
        </w:rPr>
        <w:t>八、</w:t>
      </w:r>
      <w:bookmarkEnd w:id="68"/>
      <w:bookmarkStart w:id="69" w:name="_Toc15396628"/>
      <w:r>
        <w:rPr>
          <w:rFonts w:hint="eastAsia" w:ascii="仿宋" w:eastAsia="仿宋"/>
          <w:b w:val="0"/>
          <w:color w:val="000000"/>
        </w:rPr>
        <w:t>一般公共预算财政拨款基本支出决算表</w:t>
      </w:r>
    </w:p>
    <w:p>
      <w:pPr>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一般公共预算财政拨款项目支出决算表</w:t>
      </w:r>
    </w:p>
    <w:p>
      <w:pPr>
        <w:pStyle w:val="4"/>
        <w:pageBreakBefore w:val="0"/>
        <w:widowControl w:val="0"/>
        <w:kinsoku/>
        <w:wordWrap/>
        <w:overflowPunct/>
        <w:topLinePunct w:val="0"/>
        <w:autoSpaceDE/>
        <w:autoSpaceDN/>
        <w:bidi w:val="0"/>
        <w:adjustRightInd/>
        <w:snapToGrid/>
        <w:spacing w:line="440" w:lineRule="exact"/>
        <w:textAlignment w:val="auto"/>
        <w:rPr>
          <w:rStyle w:val="18"/>
          <w:rFonts w:hint="eastAsia" w:ascii="仿宋" w:eastAsia="仿宋"/>
          <w:b w:val="0"/>
          <w:bCs w:val="0"/>
        </w:rPr>
      </w:pPr>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69"/>
      <w:bookmarkStart w:id="70" w:name="_Toc15396629"/>
    </w:p>
    <w:p>
      <w:pPr>
        <w:pStyle w:val="4"/>
        <w:pageBreakBefore w:val="0"/>
        <w:widowControl w:val="0"/>
        <w:kinsoku/>
        <w:wordWrap/>
        <w:overflowPunct/>
        <w:topLinePunct w:val="0"/>
        <w:autoSpaceDE/>
        <w:autoSpaceDN/>
        <w:bidi w:val="0"/>
        <w:adjustRightInd/>
        <w:snapToGrid/>
        <w:spacing w:line="440" w:lineRule="exact"/>
        <w:textAlignment w:val="auto"/>
        <w:rPr>
          <w:rFonts w:hint="eastAsia" w:ascii="仿宋" w:eastAsia="仿宋"/>
          <w:b w:val="0"/>
          <w:color w:val="000000"/>
          <w:lang w:eastAsia="zh-CN"/>
        </w:rPr>
      </w:pPr>
      <w:r>
        <w:rPr>
          <w:rStyle w:val="18"/>
          <w:rFonts w:hint="eastAsia" w:ascii="仿宋" w:eastAsia="仿宋"/>
          <w:b w:val="0"/>
          <w:bCs w:val="0"/>
        </w:rPr>
        <w:t>十、</w:t>
      </w:r>
      <w:bookmarkEnd w:id="70"/>
      <w:bookmarkStart w:id="71" w:name="_Toc15396630"/>
      <w:r>
        <w:rPr>
          <w:rFonts w:hint="eastAsia" w:ascii="仿宋_GB2312" w:hAnsi="仿宋_GB2312" w:eastAsia="仿宋_GB2312" w:cs="仿宋_GB2312"/>
          <w:b w:val="0"/>
          <w:color w:val="000000"/>
          <w:sz w:val="32"/>
          <w:szCs w:val="32"/>
          <w:lang w:eastAsia="zh-CN"/>
        </w:rPr>
        <w:t>一般公共预算财政拨款“三公”经费支出决算表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lang w:eastAsia="zh-CN"/>
        </w:rPr>
      </w:pPr>
      <w:r>
        <w:rPr>
          <w:rFonts w:hint="eastAsia" w:ascii="仿宋_GB2312" w:hAnsi="仿宋_GB2312" w:eastAsia="仿宋_GB2312" w:cs="仿宋_GB2312"/>
          <w:b w:val="0"/>
          <w:color w:val="000000"/>
          <w:sz w:val="32"/>
          <w:szCs w:val="32"/>
          <w:lang w:eastAsia="zh-CN"/>
        </w:rPr>
        <w:t>十一、政府性基金预算财政拨款收入支出决算表</w:t>
      </w:r>
    </w:p>
    <w:bookmarkEnd w:id="71"/>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b w:val="0"/>
          <w:color w:val="000000"/>
          <w:sz w:val="32"/>
          <w:szCs w:val="32"/>
          <w:lang w:eastAsia="zh-CN"/>
        </w:rPr>
      </w:pPr>
      <w:r>
        <w:rPr>
          <w:rFonts w:hint="eastAsia" w:ascii="仿宋_GB2312" w:hAnsi="仿宋_GB2312" w:eastAsia="仿宋_GB2312" w:cs="仿宋_GB2312"/>
          <w:b w:val="0"/>
          <w:color w:val="000000"/>
          <w:sz w:val="32"/>
          <w:szCs w:val="32"/>
          <w:lang w:eastAsia="zh-CN"/>
        </w:rPr>
        <w:t>十二、政府性基金预算财政拨款“三公”经费支出决算表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b w:val="0"/>
          <w:color w:val="000000"/>
          <w:sz w:val="32"/>
          <w:szCs w:val="32"/>
          <w:lang w:eastAsia="zh-CN"/>
        </w:rPr>
      </w:pPr>
      <w:r>
        <w:rPr>
          <w:rFonts w:hint="eastAsia" w:ascii="仿宋_GB2312" w:hAnsi="仿宋_GB2312" w:eastAsia="仿宋_GB2312" w:cs="仿宋_GB2312"/>
          <w:b w:val="0"/>
          <w:color w:val="000000"/>
          <w:sz w:val="32"/>
          <w:szCs w:val="32"/>
          <w:lang w:eastAsia="zh-CN"/>
        </w:rPr>
        <w:t>十三、国有资本经营预算财政拨款收入支出决算表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b w:val="0"/>
          <w:color w:val="000000"/>
          <w:sz w:val="32"/>
          <w:szCs w:val="32"/>
          <w:lang w:eastAsia="zh-CN"/>
        </w:rPr>
      </w:pPr>
      <w:r>
        <w:rPr>
          <w:rFonts w:hint="eastAsia" w:ascii="仿宋_GB2312" w:hAnsi="仿宋_GB2312" w:eastAsia="仿宋_GB2312" w:cs="仿宋_GB2312"/>
          <w:b w:val="0"/>
          <w:color w:val="000000"/>
          <w:sz w:val="32"/>
          <w:szCs w:val="32"/>
          <w:lang w:eastAsia="zh-CN"/>
        </w:rPr>
        <w:t>十四、国有资本经营预算财政拨款支出决算表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b w:val="0"/>
          <w:color w:val="000000"/>
          <w:sz w:val="32"/>
          <w:szCs w:val="32"/>
          <w:lang w:eastAsia="zh-CN"/>
        </w:rPr>
      </w:pPr>
      <w:r>
        <w:rPr>
          <w:rFonts w:hint="eastAsia" w:ascii="仿宋_GB2312" w:hAnsi="仿宋_GB2312" w:eastAsia="仿宋_GB2312" w:cs="仿宋_GB2312"/>
          <w:b w:val="0"/>
          <w:color w:val="000000"/>
          <w:sz w:val="32"/>
          <w:szCs w:val="32"/>
          <w:lang w:eastAsia="zh-CN"/>
        </w:rPr>
        <w:t>十五、封面代码</w:t>
      </w:r>
    </w:p>
    <w:p>
      <w:pPr>
        <w:pStyle w:val="4"/>
        <w:rPr>
          <w:rFonts w:ascii="仿宋" w:eastAsia="仿宋"/>
          <w:color w:val="000000"/>
        </w:rPr>
      </w:pPr>
    </w:p>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姚体">
    <w:panose1 w:val="02010601030101010101"/>
    <w:charset w:val="86"/>
    <w:family w:val="auto"/>
    <w:pitch w:val="default"/>
    <w:sig w:usb0="00000003"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方正宋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48437"/>
    <w:multiLevelType w:val="singleLevel"/>
    <w:tmpl w:val="83948437"/>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FE97DB12"/>
    <w:multiLevelType w:val="singleLevel"/>
    <w:tmpl w:val="FE97DB12"/>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362767B"/>
    <w:multiLevelType w:val="singleLevel"/>
    <w:tmpl w:val="5362767B"/>
    <w:lvl w:ilvl="0" w:tentative="0">
      <w:start w:val="1"/>
      <w:numFmt w:val="decimal"/>
      <w:lvlText w:val="%1."/>
      <w:lvlJc w:val="left"/>
      <w:pPr>
        <w:tabs>
          <w:tab w:val="left" w:pos="312"/>
        </w:tabs>
      </w:pPr>
    </w:lvl>
  </w:abstractNum>
  <w:abstractNum w:abstractNumId="8">
    <w:nsid w:val="6EAF4B30"/>
    <w:multiLevelType w:val="singleLevel"/>
    <w:tmpl w:val="6EAF4B30"/>
    <w:lvl w:ilvl="0" w:tentative="0">
      <w:start w:val="3"/>
      <w:numFmt w:val="chineseCounting"/>
      <w:suff w:val="nothing"/>
      <w:lvlText w:val="（%1）"/>
      <w:lvlJc w:val="left"/>
      <w:rPr>
        <w:rFonts w:hint="eastAsia"/>
      </w:rPr>
    </w:lvl>
  </w:abstractNum>
  <w:num w:numId="1">
    <w:abstractNumId w:val="4"/>
  </w:num>
  <w:num w:numId="2">
    <w:abstractNumId w:val="8"/>
  </w:num>
  <w:num w:numId="3">
    <w:abstractNumId w:val="5"/>
  </w:num>
  <w:num w:numId="4">
    <w:abstractNumId w:val="7"/>
  </w:num>
  <w:num w:numId="5">
    <w:abstractNumId w:val="1"/>
  </w:num>
  <w:num w:numId="6">
    <w:abstractNumId w:val="6"/>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2UyZTIzYjM4YTdhODdmZjQ4YzUzMGQ2YTlmYWMxZTYifQ=="/>
  </w:docVars>
  <w:rsids>
    <w:rsidRoot w:val="00000000"/>
    <w:rsid w:val="01B1652B"/>
    <w:rsid w:val="083E5CFF"/>
    <w:rsid w:val="0D2B7C7E"/>
    <w:rsid w:val="0E3F17ED"/>
    <w:rsid w:val="162F16DD"/>
    <w:rsid w:val="19706662"/>
    <w:rsid w:val="23807D4D"/>
    <w:rsid w:val="281C7C45"/>
    <w:rsid w:val="288248DE"/>
    <w:rsid w:val="2ABD742F"/>
    <w:rsid w:val="2CFE2045"/>
    <w:rsid w:val="2D3E5BEE"/>
    <w:rsid w:val="2F49303C"/>
    <w:rsid w:val="2F897441"/>
    <w:rsid w:val="34E839E5"/>
    <w:rsid w:val="36865610"/>
    <w:rsid w:val="369849B8"/>
    <w:rsid w:val="37647C20"/>
    <w:rsid w:val="3E75034A"/>
    <w:rsid w:val="3F097D3C"/>
    <w:rsid w:val="3F795328"/>
    <w:rsid w:val="408537D9"/>
    <w:rsid w:val="45551AAF"/>
    <w:rsid w:val="4A7E02CC"/>
    <w:rsid w:val="52160678"/>
    <w:rsid w:val="547E6F22"/>
    <w:rsid w:val="56607BAA"/>
    <w:rsid w:val="5B333240"/>
    <w:rsid w:val="5B637EE4"/>
    <w:rsid w:val="5BC4171E"/>
    <w:rsid w:val="5C061EDD"/>
    <w:rsid w:val="5C2E3E7A"/>
    <w:rsid w:val="61CC796E"/>
    <w:rsid w:val="61DB466D"/>
    <w:rsid w:val="6247424F"/>
    <w:rsid w:val="66B44300"/>
    <w:rsid w:val="69800A70"/>
    <w:rsid w:val="6A395FC6"/>
    <w:rsid w:val="6C296740"/>
    <w:rsid w:val="71093616"/>
    <w:rsid w:val="74596E7F"/>
    <w:rsid w:val="771C01EE"/>
    <w:rsid w:val="782175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6">
    <w:name w:val="15"/>
    <w:basedOn w:val="14"/>
    <w:qFormat/>
    <w:uiPriority w:val="0"/>
    <w:rPr>
      <w:rFonts w:hint="default" w:ascii="Times New Roman" w:hAnsi="Times New Roman" w:cs="Times New Roman"/>
      <w:b/>
    </w:rPr>
  </w:style>
  <w:style w:type="paragraph" w:customStyle="1" w:styleId="27">
    <w:name w:val="UserStyle_16"/>
    <w:basedOn w:val="1"/>
    <w:qFormat/>
    <w:uiPriority w:val="0"/>
    <w:pPr>
      <w:keepNext w:val="0"/>
      <w:keepLines w:val="0"/>
      <w:widowControl/>
      <w:suppressLineNumbers w:val="0"/>
      <w:spacing w:before="0" w:beforeAutospacing="0" w:after="0" w:afterAutospacing="0" w:line="480" w:lineRule="atLeast"/>
      <w:ind w:left="0" w:right="0"/>
      <w:jc w:val="both"/>
      <w:textAlignment w:val="baseline"/>
    </w:pPr>
    <w:rPr>
      <w:rFonts w:hint="default" w:ascii="Arial" w:hAnsi="Arial" w:eastAsia="宋体" w:cs="宋体"/>
      <w:kern w:val="0"/>
      <w:sz w:val="21"/>
      <w:szCs w:val="21"/>
      <w:lang w:val="en-US" w:eastAsia="zh-CN" w:bidi="ar"/>
    </w:rPr>
  </w:style>
  <w:style w:type="character" w:customStyle="1" w:styleId="28">
    <w:name w:val="19"/>
    <w:basedOn w:val="14"/>
    <w:qFormat/>
    <w:uiPriority w:val="0"/>
    <w:rPr>
      <w:rFonts w:hint="default" w:ascii="Calibri" w:hAnsi="Calibri" w:eastAsia="宋体" w:cs="Times New Roman"/>
      <w:kern w:val="2"/>
      <w:sz w:val="21"/>
      <w:szCs w:val="21"/>
    </w:rPr>
  </w:style>
  <w:style w:type="character" w:customStyle="1" w:styleId="29">
    <w:name w:val="18"/>
    <w:basedOn w:val="14"/>
    <w:qFormat/>
    <w:uiPriority w:val="0"/>
    <w:rPr>
      <w:rFonts w:hint="default" w:ascii="Times New Roman" w:hAnsi="Times New Roman" w:cs="Times New Roman"/>
      <w:kern w:val="2"/>
      <w:sz w:val="21"/>
      <w:szCs w:val="21"/>
    </w:rPr>
  </w:style>
  <w:style w:type="character" w:customStyle="1" w:styleId="30">
    <w:name w:val="20"/>
    <w:basedOn w:val="14"/>
    <w:qFormat/>
    <w:uiPriority w:val="0"/>
    <w:rPr>
      <w:rFonts w:hint="default" w:ascii="Times New Roman" w:hAnsi="Times New Roman" w:cs="Times New Roman"/>
    </w:rPr>
  </w:style>
  <w:style w:type="paragraph" w:customStyle="1" w:styleId="31">
    <w:name w:val="UserStyle_15"/>
    <w:basedOn w:val="1"/>
    <w:qFormat/>
    <w:uiPriority w:val="0"/>
    <w:pPr>
      <w:keepNext w:val="0"/>
      <w:keepLines w:val="0"/>
      <w:widowControl/>
      <w:suppressLineNumbers w:val="0"/>
      <w:spacing w:before="0" w:beforeAutospacing="0" w:after="0" w:afterAutospacing="0" w:line="480" w:lineRule="atLeast"/>
      <w:ind w:left="0" w:right="0"/>
      <w:jc w:val="both"/>
      <w:textAlignment w:val="baseline"/>
    </w:pPr>
    <w:rPr>
      <w:rFonts w:hint="default" w:ascii="Arial" w:hAnsi="Arial" w:eastAsia="宋体" w:cs="宋体"/>
      <w:kern w:val="0"/>
      <w:sz w:val="21"/>
      <w:szCs w:val="21"/>
      <w:lang w:val="en-US" w:eastAsia="zh-CN" w:bidi="ar"/>
    </w:rPr>
  </w:style>
  <w:style w:type="paragraph" w:customStyle="1" w:styleId="32">
    <w:name w:val="文档正文"/>
    <w:basedOn w:val="1"/>
    <w:qFormat/>
    <w:uiPriority w:val="0"/>
    <w:pPr>
      <w:adjustRightInd w:val="0"/>
      <w:spacing w:before="0" w:beforeAutospacing="0" w:after="0" w:afterAutospacing="0" w:line="480" w:lineRule="atLeast"/>
      <w:ind w:left="0" w:right="0"/>
      <w:jc w:val="left"/>
      <w:textAlignment w:val="baseline"/>
    </w:pPr>
    <w:rPr>
      <w:rFonts w:hint="default" w:ascii="Arial" w:hAnsi="Arial" w:eastAsia="宋体" w:cs="宋体"/>
      <w:kern w:val="0"/>
      <w:sz w:val="24"/>
      <w:szCs w:val="24"/>
      <w:lang w:val="en-US" w:eastAsia="zh-CN" w:bidi="ar"/>
    </w:rPr>
  </w:style>
  <w:style w:type="character" w:customStyle="1" w:styleId="33">
    <w:name w:val="16"/>
    <w:basedOn w:val="14"/>
    <w:qFormat/>
    <w:uiPriority w:val="0"/>
    <w:rPr>
      <w:rFonts w:hint="default" w:ascii="Times New Roman" w:hAnsi="Times New Roman" w:cs="Times New Roman"/>
      <w:b/>
    </w:rPr>
  </w:style>
  <w:style w:type="character" w:customStyle="1" w:styleId="34">
    <w:name w:val="17"/>
    <w:basedOn w:val="14"/>
    <w:qFormat/>
    <w:uiPriority w:val="0"/>
    <w:rPr>
      <w:rFonts w:hint="default" w:ascii="Times New Roman" w:hAnsi="Times New Roman" w:cs="Times New Roman"/>
      <w:kern w:val="2"/>
      <w:sz w:val="21"/>
      <w:szCs w:val="21"/>
    </w:rPr>
  </w:style>
  <w:style w:type="character" w:customStyle="1" w:styleId="35">
    <w:name w:val="UserStyle_2"/>
    <w:qFormat/>
    <w:uiPriority w:val="0"/>
    <w:rPr>
      <w:rFonts w:ascii="Calibri" w:hAnsi="Calibri" w:eastAsia="宋体"/>
      <w:kern w:val="2"/>
      <w:sz w:val="21"/>
      <w:szCs w:val="24"/>
      <w:lang w:val="en-US" w:eastAsia="zh-CN" w:bidi="ar-SA"/>
    </w:rPr>
  </w:style>
  <w:style w:type="character" w:customStyle="1" w:styleId="36">
    <w:name w:val="UserStyle_0"/>
    <w:qFormat/>
    <w:uiPriority w:val="0"/>
  </w:style>
  <w:style w:type="character" w:customStyle="1" w:styleId="3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1&#24180;&#20915;&#31639;&#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1&#24180;&#20915;&#31639;&#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1&#24180;&#20915;&#31639;&#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1&#24180;&#20915;&#31639;&#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1&#24180;&#20915;&#31639;&#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21&#24180;&#20915;&#31639;&#22270;&#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021&#24180;&#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[2021年决算图表.xlsx]Sheet1!$D$7:$D$8</c:f>
              <c:strCache>
                <c:ptCount val="1"/>
                <c:pt idx="0">
                  <c:v>收、支决算结构图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[2021年决算图表.xlsx]Sheet1!$C$9:$C$12</c:f>
              <c:strCache>
                <c:ptCount val="4"/>
                <c:pt idx="0">
                  <c:v>2020年总收入</c:v>
                </c:pt>
                <c:pt idx="1">
                  <c:v>2020年总支出</c:v>
                </c:pt>
                <c:pt idx="2">
                  <c:v>2021年总收入</c:v>
                </c:pt>
                <c:pt idx="3">
                  <c:v>2021年总支出</c:v>
                </c:pt>
              </c:strCache>
            </c:strRef>
          </c:cat>
          <c:val>
            <c:numRef>
              <c:f>[2021年决算图表.xlsx]Sheet1!$D$9:$D$12</c:f>
              <c:numCache>
                <c:formatCode>General</c:formatCode>
                <c:ptCount val="4"/>
                <c:pt idx="0">
                  <c:v>254.52</c:v>
                </c:pt>
                <c:pt idx="1">
                  <c:v>254.52</c:v>
                </c:pt>
                <c:pt idx="2">
                  <c:v>412.5</c:v>
                </c:pt>
                <c:pt idx="3">
                  <c:v>412.5</c:v>
                </c:pt>
              </c:numCache>
            </c:numRef>
          </c:val>
        </c:ser>
        <c:dLbls>
          <c:showLegendKey val="0"/>
          <c:showVal val="1"/>
          <c:showCatName val="0"/>
          <c:showSerName val="0"/>
          <c:showPercent val="0"/>
          <c:showBubbleSize val="0"/>
        </c:dLbls>
        <c:gapWidth val="219"/>
        <c:overlap val="-27"/>
        <c:axId val="340402836"/>
        <c:axId val="22877384"/>
      </c:barChart>
      <c:catAx>
        <c:axId val="340402836"/>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77384"/>
        <c:crosses val="autoZero"/>
        <c:auto val="1"/>
        <c:lblAlgn val="ctr"/>
        <c:lblOffset val="100"/>
        <c:noMultiLvlLbl val="0"/>
      </c:catAx>
      <c:valAx>
        <c:axId val="22877384"/>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4028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[2021年决算图表.xlsx]Sheet1!$D$7:$D$8</c:f>
              <c:strCache>
                <c:ptCount val="1"/>
                <c:pt idx="0">
                  <c:v>2021年总收入 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1"/>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[2021年决算图表.xlsx]Sheet1!$C$9:$C$15</c:f>
              <c:strCache>
                <c:ptCount val="7"/>
                <c:pt idx="0">
                  <c:v>一般公共预算财政拨款收入</c:v>
                </c:pt>
                <c:pt idx="1">
                  <c:v>政府性基金预算财政拨款收入</c:v>
                </c:pt>
                <c:pt idx="2">
                  <c:v>国有资本经营预算财政拨款收入0</c:v>
                </c:pt>
                <c:pt idx="3">
                  <c:v>事业收入</c:v>
                </c:pt>
                <c:pt idx="4">
                  <c:v>经营收入</c:v>
                </c:pt>
                <c:pt idx="5">
                  <c:v>附属单位上缴收入</c:v>
                </c:pt>
                <c:pt idx="6">
                  <c:v>其他收入</c:v>
                </c:pt>
              </c:strCache>
            </c:strRef>
          </c:cat>
          <c:val>
            <c:numRef>
              <c:f>[2021年决算图表.xlsx]Sheet1!$D$9:$D$15</c:f>
              <c:numCache>
                <c:formatCode>General</c:formatCode>
                <c:ptCount val="7"/>
                <c:pt idx="0">
                  <c:v>412.5</c:v>
                </c:pt>
                <c:pt idx="1">
                  <c:v>0</c:v>
                </c:pt>
                <c:pt idx="2">
                  <c:v>0</c:v>
                </c:pt>
                <c:pt idx="3">
                  <c:v>0</c:v>
                </c:pt>
                <c:pt idx="4">
                  <c:v>0</c:v>
                </c:pt>
                <c:pt idx="5">
                  <c:v>0</c:v>
                </c:pt>
                <c:pt idx="6">
                  <c:v>0</c:v>
                </c:pt>
              </c:numCache>
            </c:numRef>
          </c:val>
        </c:ser>
        <c:ser>
          <c:idx val="1"/>
          <c:order val="1"/>
          <c:tx>
            <c:strRef>
              <c:f>[2021年决算图表.xlsx]Sheet1!$E$7:$E$8</c:f>
              <c:strCache>
                <c:ptCount val="1"/>
                <c:pt idx="0">
                  <c:v>2021年总收入 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[2021年决算图表.xlsx]Sheet1!$C$9:$C$15</c:f>
              <c:strCache>
                <c:ptCount val="7"/>
                <c:pt idx="0">
                  <c:v>一般公共预算财政拨款收入</c:v>
                </c:pt>
                <c:pt idx="1">
                  <c:v>政府性基金预算财政拨款收入</c:v>
                </c:pt>
                <c:pt idx="2">
                  <c:v>国有资本经营预算财政拨款收入0</c:v>
                </c:pt>
                <c:pt idx="3">
                  <c:v>事业收入</c:v>
                </c:pt>
                <c:pt idx="4">
                  <c:v>经营收入</c:v>
                </c:pt>
                <c:pt idx="5">
                  <c:v>附属单位上缴收入</c:v>
                </c:pt>
                <c:pt idx="6">
                  <c:v>其他收入</c:v>
                </c:pt>
              </c:strCache>
            </c:strRef>
          </c:cat>
          <c:val>
            <c:numRef>
              <c:f>[2021年决算图表.xlsx]Sheet1!$E$9:$E$15</c:f>
              <c:numCache>
                <c:formatCode>General</c:formatCode>
                <c:ptCount val="7"/>
                <c:pt idx="0">
                  <c:v>100</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752253482655"/>
          <c:y val="0.72321221939365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[2021年决算图表.xlsx]Sheet1!$D$7:$D$8</c:f>
              <c:strCache>
                <c:ptCount val="1"/>
                <c:pt idx="0">
                  <c:v>支出决算结构图 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[2021年决算图表.xlsx]Sheet1!$C$9:$C$12</c:f>
              <c:strCache>
                <c:ptCount val="4"/>
                <c:pt idx="0">
                  <c:v>基本支出</c:v>
                </c:pt>
                <c:pt idx="1">
                  <c:v>项目支出</c:v>
                </c:pt>
                <c:pt idx="2">
                  <c:v>上缴上级支出</c:v>
                </c:pt>
                <c:pt idx="3">
                  <c:v>对附属单位补助支出</c:v>
                </c:pt>
              </c:strCache>
            </c:strRef>
          </c:cat>
          <c:val>
            <c:numRef>
              <c:f>[2021年决算图表.xlsx]Sheet1!$D$9:$D$12</c:f>
              <c:numCache>
                <c:formatCode>General</c:formatCode>
                <c:ptCount val="4"/>
                <c:pt idx="0">
                  <c:v>376.63</c:v>
                </c:pt>
                <c:pt idx="1">
                  <c:v>35.86</c:v>
                </c:pt>
                <c:pt idx="2">
                  <c:v>0</c:v>
                </c:pt>
                <c:pt idx="3">
                  <c:v>0</c:v>
                </c:pt>
              </c:numCache>
            </c:numRef>
          </c:val>
        </c:ser>
        <c:ser>
          <c:idx val="1"/>
          <c:order val="1"/>
          <c:tx>
            <c:strRef>
              <c:f>[2021年决算图表.xlsx]Sheet1!$E$7:$E$8</c:f>
              <c:strCache>
                <c:ptCount val="1"/>
                <c:pt idx="0">
                  <c:v>支出决算结构图 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[2021年决算图表.xlsx]Sheet1!$C$9:$C$12</c:f>
              <c:strCache>
                <c:ptCount val="4"/>
                <c:pt idx="0">
                  <c:v>基本支出</c:v>
                </c:pt>
                <c:pt idx="1">
                  <c:v>项目支出</c:v>
                </c:pt>
                <c:pt idx="2">
                  <c:v>上缴上级支出</c:v>
                </c:pt>
                <c:pt idx="3">
                  <c:v>对附属单位补助支出</c:v>
                </c:pt>
              </c:strCache>
            </c:strRef>
          </c:cat>
          <c:val>
            <c:numRef>
              <c:f>[2021年决算图表.xlsx]Sheet1!$E$9:$E$12</c:f>
              <c:numCache>
                <c:formatCode>General</c:formatCode>
                <c:ptCount val="4"/>
                <c:pt idx="0">
                  <c:v>91.3</c:v>
                </c:pt>
                <c:pt idx="1">
                  <c:v>8.7</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[2021年决算图表.xlsx]Sheet1!$D$7:$D$8</c:f>
              <c:strCache>
                <c:ptCount val="1"/>
                <c:pt idx="0">
                  <c:v>财政拨款收、支决算总体变动情况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[2021年决算图表.xlsx]Sheet1!$C$9:$C$12</c:f>
              <c:strCache>
                <c:ptCount val="4"/>
                <c:pt idx="0">
                  <c:v>2020年总收入</c:v>
                </c:pt>
                <c:pt idx="1">
                  <c:v>2020年总支出</c:v>
                </c:pt>
                <c:pt idx="2">
                  <c:v>2021年总收入</c:v>
                </c:pt>
                <c:pt idx="3">
                  <c:v>2021年总支出</c:v>
                </c:pt>
              </c:strCache>
            </c:strRef>
          </c:cat>
          <c:val>
            <c:numRef>
              <c:f>[2021年决算图表.xlsx]Sheet1!$D$9:$D$12</c:f>
              <c:numCache>
                <c:formatCode>General</c:formatCode>
                <c:ptCount val="4"/>
                <c:pt idx="0">
                  <c:v>254.52</c:v>
                </c:pt>
                <c:pt idx="1">
                  <c:v>254.52</c:v>
                </c:pt>
                <c:pt idx="2">
                  <c:v>412.5</c:v>
                </c:pt>
                <c:pt idx="3">
                  <c:v>412.5</c:v>
                </c:pt>
              </c:numCache>
            </c:numRef>
          </c:val>
        </c:ser>
        <c:dLbls>
          <c:showLegendKey val="0"/>
          <c:showVal val="1"/>
          <c:showCatName val="0"/>
          <c:showSerName val="0"/>
          <c:showPercent val="0"/>
          <c:showBubbleSize val="0"/>
        </c:dLbls>
        <c:gapWidth val="219"/>
        <c:overlap val="-27"/>
        <c:axId val="417973683"/>
        <c:axId val="148785734"/>
      </c:barChart>
      <c:catAx>
        <c:axId val="4179736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8785734"/>
        <c:crosses val="autoZero"/>
        <c:auto val="1"/>
        <c:lblAlgn val="ctr"/>
        <c:lblOffset val="100"/>
        <c:noMultiLvlLbl val="0"/>
      </c:catAx>
      <c:valAx>
        <c:axId val="14878573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79736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8422619047619"/>
          <c:y val="0.40584721785602"/>
          <c:w val="0.887113095238095"/>
          <c:h val="0.501854762653254"/>
        </c:manualLayout>
      </c:layout>
      <c:barChart>
        <c:barDir val="col"/>
        <c:grouping val="clustered"/>
        <c:varyColors val="0"/>
        <c:ser>
          <c:idx val="0"/>
          <c:order val="0"/>
          <c:tx>
            <c:strRef>
              <c:f>[2021年决算图表.xlsx]Sheet1!$D$7:$D$8</c:f>
              <c:strCache>
                <c:ptCount val="1"/>
                <c:pt idx="0">
                  <c:v>一般公共预算财政拨款支出决算变动情况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[2021年决算图表.xlsx]Sheet1!$C$9:$C$10</c:f>
              <c:strCache>
                <c:ptCount val="2"/>
                <c:pt idx="0">
                  <c:v>2020年一般公共预算财政拨款支出</c:v>
                </c:pt>
                <c:pt idx="1">
                  <c:v>2021年一般公共预算财政拨款支出</c:v>
                </c:pt>
              </c:strCache>
            </c:strRef>
          </c:cat>
          <c:val>
            <c:numRef>
              <c:f>[2021年决算图表.xlsx]Sheet1!$D$9:$D$10</c:f>
              <c:numCache>
                <c:formatCode>General</c:formatCode>
                <c:ptCount val="2"/>
                <c:pt idx="0">
                  <c:v>254.52</c:v>
                </c:pt>
                <c:pt idx="1">
                  <c:v>412.58</c:v>
                </c:pt>
              </c:numCache>
            </c:numRef>
          </c:val>
        </c:ser>
        <c:dLbls>
          <c:showLegendKey val="0"/>
          <c:showVal val="1"/>
          <c:showCatName val="0"/>
          <c:showSerName val="0"/>
          <c:showPercent val="0"/>
          <c:showBubbleSize val="0"/>
        </c:dLbls>
        <c:gapWidth val="219"/>
        <c:overlap val="-27"/>
        <c:axId val="693774743"/>
        <c:axId val="624087468"/>
      </c:barChart>
      <c:catAx>
        <c:axId val="6937747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087468"/>
        <c:crosses val="autoZero"/>
        <c:auto val="1"/>
        <c:lblAlgn val="ctr"/>
        <c:lblOffset val="100"/>
        <c:noMultiLvlLbl val="0"/>
      </c:catAx>
      <c:valAx>
        <c:axId val="6240874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774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[2021年决算图表.xlsx]Sheet1!$D$7:$D$8</c:f>
              <c:strCache>
                <c:ptCount val="1"/>
                <c:pt idx="0">
                  <c:v>一般公共预算财政拨款支出决算结构情况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[2021年决算图表.xlsx]Sheet1!$C$9:$C$12</c:f>
              <c:strCache>
                <c:ptCount val="4"/>
                <c:pt idx="0">
                  <c:v>一般公共服务（类）支出</c:v>
                </c:pt>
                <c:pt idx="1">
                  <c:v>社会保障和就业（类）支出</c:v>
                </c:pt>
                <c:pt idx="2">
                  <c:v>卫生健康支出</c:v>
                </c:pt>
                <c:pt idx="3">
                  <c:v>住房保障支出</c:v>
                </c:pt>
              </c:strCache>
            </c:strRef>
          </c:cat>
          <c:val>
            <c:numRef>
              <c:f>[2021年决算图表.xlsx]Sheet1!$D$9:$D$12</c:f>
              <c:numCache>
                <c:formatCode>General</c:formatCode>
                <c:ptCount val="4"/>
                <c:pt idx="0">
                  <c:v>325.17</c:v>
                </c:pt>
                <c:pt idx="1">
                  <c:v>41.58</c:v>
                </c:pt>
                <c:pt idx="2">
                  <c:v>16.58</c:v>
                </c:pt>
                <c:pt idx="3">
                  <c:v>29.16</c:v>
                </c:pt>
              </c:numCache>
            </c:numRef>
          </c:val>
        </c:ser>
        <c:dLbls>
          <c:showLegendKey val="0"/>
          <c:showVal val="1"/>
          <c:showCatName val="0"/>
          <c:showSerName val="0"/>
          <c:showPercent val="0"/>
          <c:showBubbleSize val="0"/>
        </c:dLbls>
        <c:gapWidth val="219"/>
        <c:overlap val="-27"/>
        <c:axId val="237429098"/>
        <c:axId val="319991326"/>
      </c:barChart>
      <c:catAx>
        <c:axId val="237429098"/>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991326"/>
        <c:crosses val="autoZero"/>
        <c:auto val="1"/>
        <c:lblAlgn val="ctr"/>
        <c:lblOffset val="100"/>
        <c:noMultiLvlLbl val="0"/>
      </c:catAx>
      <c:valAx>
        <c:axId val="319991326"/>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42909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[2021年决算图表.xlsx]Sheet1!$D$7:$D$8</c:f>
              <c:strCache>
                <c:ptCount val="1"/>
                <c:pt idx="0">
                  <c:v>“三公”经费财政拨款支出 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[2021年决算图表.xlsx]Sheet1!$C$9:$C$11</c:f>
              <c:strCache>
                <c:ptCount val="3"/>
                <c:pt idx="0">
                  <c:v>因公出国（境）费支出</c:v>
                </c:pt>
                <c:pt idx="1">
                  <c:v>公务用车购置及运行维护费支出</c:v>
                </c:pt>
                <c:pt idx="2">
                  <c:v>公务接待费支出</c:v>
                </c:pt>
              </c:strCache>
            </c:strRef>
          </c:cat>
          <c:val>
            <c:numRef>
              <c:f>[2021年决算图表.xlsx]Sheet1!$D$9:$D$11</c:f>
              <c:numCache>
                <c:formatCode>General</c:formatCode>
                <c:ptCount val="3"/>
                <c:pt idx="0">
                  <c:v>0</c:v>
                </c:pt>
                <c:pt idx="1">
                  <c:v>0</c:v>
                </c:pt>
                <c:pt idx="2">
                  <c:v>0.52</c:v>
                </c:pt>
              </c:numCache>
            </c:numRef>
          </c:val>
        </c:ser>
        <c:ser>
          <c:idx val="1"/>
          <c:order val="1"/>
          <c:tx>
            <c:strRef>
              <c:f>[2021年决算图表.xlsx]Sheet1!$E$7:$E$8</c:f>
              <c:strCache>
                <c:ptCount val="1"/>
                <c:pt idx="0">
                  <c:v>“三公”经费财政拨款支出 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[2021年决算图表.xlsx]Sheet1!$C$9:$C$11</c:f>
              <c:strCache>
                <c:ptCount val="3"/>
                <c:pt idx="0">
                  <c:v>因公出国（境）费支出</c:v>
                </c:pt>
                <c:pt idx="1">
                  <c:v>公务用车购置及运行维护费支出</c:v>
                </c:pt>
                <c:pt idx="2">
                  <c:v>公务接待费支出</c:v>
                </c:pt>
              </c:strCache>
            </c:strRef>
          </c:cat>
          <c:val>
            <c:numRef>
              <c:f>[2021年决算图表.xlsx]Sheet1!$E$9:$E$11</c:f>
              <c:numCache>
                <c:formatCode>General</c:formatCode>
                <c:ptCount val="3"/>
                <c:pt idx="0">
                  <c:v>0</c:v>
                </c:pt>
                <c:pt idx="1">
                  <c:v>0</c:v>
                </c:pt>
                <c:pt idx="2">
                  <c:v>100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10321</Words>
  <Characters>11338</Characters>
  <Lines>950</Lines>
  <Paragraphs>413</Paragraphs>
  <TotalTime>8</TotalTime>
  <ScaleCrop>false</ScaleCrop>
  <LinksUpToDate>false</LinksUpToDate>
  <CharactersWithSpaces>11484</CharactersWithSpaces>
  <Application>WPS Office_11.1.0.11875_F1E327BC-269C-435d-A152-05C5408002CA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2021-09-15T08:53:00Z</cp:lastPrinted>
  <dcterms:modified xsi:type="dcterms:W3CDTF">2022-08-26T03:27:30Z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0BE253691A894AC991EA91360D67E77E</vt:lpwstr>
  </property>
</Properties>
</file>