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3360" w:firstLineChars="700"/>
        <w:jc w:val="both"/>
        <w:rPr>
          <w:rFonts w:ascii="黑体" w:hAnsi="黑体" w:eastAsia="黑体"/>
          <w:color w:val="000000"/>
          <w:sz w:val="48"/>
          <w:szCs w:val="48"/>
        </w:rPr>
      </w:pP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pStyle w:val="5"/>
        <w:tabs>
          <w:tab w:val="center" w:pos="4153"/>
          <w:tab w:val="left" w:pos="6765"/>
        </w:tabs>
        <w:jc w:val="left"/>
      </w:pPr>
      <w:r>
        <w:rPr>
          <w:rFonts w:hint="eastAsia"/>
        </w:rPr>
        <w:fldChar w:fldCharType="begin"/>
      </w:r>
      <w:r>
        <w:rPr>
          <w:rFonts w:hint="eastAsia"/>
        </w:rPr>
        <w:instrText xml:space="preserve">TOC \o "1-3" \h \u </w:instrText>
      </w:r>
      <w:r>
        <w:rPr>
          <w:rFonts w:hint="eastAsia"/>
        </w:rPr>
        <w:fldChar w:fldCharType="separate"/>
      </w:r>
    </w:p>
    <w:p>
      <w:pPr>
        <w:pStyle w:val="5"/>
      </w:pPr>
      <w:r>
        <w:fldChar w:fldCharType="begin"/>
      </w:r>
      <w:r>
        <w:instrText xml:space="preserve"> HYPERLINK \l "_Toc11455" </w:instrText>
      </w:r>
      <w:r>
        <w:fldChar w:fldCharType="separate"/>
      </w:r>
      <w:r>
        <w:rPr>
          <w:rFonts w:hint="eastAsia"/>
        </w:rPr>
        <w:t>一、 单位基本情况</w:t>
      </w:r>
      <w:r>
        <w:rPr>
          <w:rFonts w:hint="eastAsia"/>
        </w:rPr>
        <w:tab/>
      </w:r>
      <w:r>
        <w:rPr>
          <w:rFonts w:hint="eastAsia"/>
          <w:lang w:val="en-US" w:eastAsia="zh-CN"/>
        </w:rPr>
        <w:t>3</w:t>
      </w:r>
      <w:r>
        <w:rPr>
          <w:rFonts w:hint="eastAsia"/>
        </w:rPr>
        <w:fldChar w:fldCharType="end"/>
      </w:r>
    </w:p>
    <w:p>
      <w:pPr>
        <w:pStyle w:val="5"/>
      </w:pPr>
      <w:r>
        <w:fldChar w:fldCharType="begin"/>
      </w:r>
      <w:r>
        <w:instrText xml:space="preserve"> HYPERLINK \l "_Toc26556" </w:instrText>
      </w:r>
      <w:r>
        <w:fldChar w:fldCharType="separate"/>
      </w:r>
      <w:r>
        <w:rPr>
          <w:rFonts w:hint="eastAsia"/>
        </w:rPr>
        <w:t>（一）主要职能</w:t>
      </w:r>
      <w:r>
        <w:rPr>
          <w:rFonts w:hint="eastAsia"/>
        </w:rPr>
        <w:tab/>
      </w:r>
      <w:r>
        <w:rPr>
          <w:rFonts w:hint="eastAsia"/>
          <w:lang w:val="en-US" w:eastAsia="zh-CN"/>
        </w:rPr>
        <w:t>3</w:t>
      </w:r>
      <w:r>
        <w:rPr>
          <w:rFonts w:hint="eastAsia"/>
        </w:rPr>
        <w:fldChar w:fldCharType="end"/>
      </w:r>
    </w:p>
    <w:p>
      <w:pPr>
        <w:pStyle w:val="5"/>
      </w:pPr>
      <w:r>
        <w:fldChar w:fldCharType="begin"/>
      </w:r>
      <w:r>
        <w:instrText xml:space="preserve"> HYPERLINK \l "_Toc1399" </w:instrText>
      </w:r>
      <w:r>
        <w:fldChar w:fldCharType="separate"/>
      </w:r>
      <w:r>
        <w:rPr>
          <w:rFonts w:hint="eastAsia"/>
        </w:rPr>
        <w:t>（二）机构和人员情况</w:t>
      </w:r>
      <w:r>
        <w:rPr>
          <w:rFonts w:hint="eastAsia"/>
        </w:rPr>
        <w:tab/>
      </w:r>
      <w:r>
        <w:rPr>
          <w:rFonts w:hint="eastAsia"/>
        </w:rPr>
        <w:fldChar w:fldCharType="begin"/>
      </w:r>
      <w:r>
        <w:rPr>
          <w:rFonts w:hint="eastAsia"/>
        </w:rPr>
        <w:instrText xml:space="preserve"> PAGEREF _Toc1399 </w:instrText>
      </w:r>
      <w:r>
        <w:rPr>
          <w:rFonts w:hint="eastAsia"/>
        </w:rPr>
        <w:fldChar w:fldCharType="separate"/>
      </w:r>
      <w:r>
        <w:rPr>
          <w:rFonts w:hint="eastAsia"/>
        </w:rPr>
        <w:t>4</w:t>
      </w:r>
      <w:r>
        <w:rPr>
          <w:rFonts w:hint="eastAsia"/>
        </w:rPr>
        <w:fldChar w:fldCharType="end"/>
      </w:r>
      <w:r>
        <w:rPr>
          <w:rFonts w:hint="eastAsia"/>
        </w:rPr>
        <w:fldChar w:fldCharType="end"/>
      </w:r>
    </w:p>
    <w:p>
      <w:pPr>
        <w:pStyle w:val="5"/>
      </w:pPr>
      <w:r>
        <w:fldChar w:fldCharType="begin"/>
      </w:r>
      <w:r>
        <w:instrText xml:space="preserve"> HYPERLINK \l "_Toc19488" </w:instrText>
      </w:r>
      <w:r>
        <w:fldChar w:fldCharType="separate"/>
      </w:r>
      <w:r>
        <w:rPr>
          <w:rFonts w:hint="eastAsia"/>
        </w:rPr>
        <w:t>（三）当年取得的主要成效：</w:t>
      </w:r>
      <w:r>
        <w:rPr>
          <w:rFonts w:hint="eastAsia"/>
        </w:rPr>
        <w:tab/>
      </w:r>
      <w:r>
        <w:rPr>
          <w:rFonts w:hint="eastAsia"/>
        </w:rPr>
        <w:t>5</w:t>
      </w:r>
      <w:r>
        <w:rPr>
          <w:rFonts w:hint="eastAsia"/>
        </w:rPr>
        <w:fldChar w:fldCharType="end"/>
      </w:r>
    </w:p>
    <w:p>
      <w:pPr>
        <w:pStyle w:val="5"/>
      </w:pPr>
      <w:r>
        <w:fldChar w:fldCharType="begin"/>
      </w:r>
      <w:r>
        <w:instrText xml:space="preserve"> HYPERLINK \l "_Toc13512" </w:instrText>
      </w:r>
      <w:r>
        <w:fldChar w:fldCharType="separate"/>
      </w:r>
      <w:r>
        <w:rPr>
          <w:rFonts w:hint="eastAsia"/>
        </w:rPr>
        <w:t>三、一般公共预算财政拨款</w:t>
      </w:r>
      <w:r>
        <w:rPr>
          <w:rFonts w:hint="eastAsia"/>
          <w:lang w:eastAsia="zh-CN"/>
        </w:rPr>
        <w:t>收入</w:t>
      </w:r>
      <w:r>
        <w:rPr>
          <w:rFonts w:hint="eastAsia"/>
        </w:rPr>
        <w:t>支出决算情况</w:t>
      </w:r>
      <w:r>
        <w:rPr>
          <w:rFonts w:hint="eastAsia"/>
        </w:rPr>
        <w:tab/>
      </w:r>
      <w:r>
        <w:rPr>
          <w:rFonts w:hint="eastAsia"/>
          <w:lang w:val="en-US" w:eastAsia="zh-CN"/>
        </w:rPr>
        <w:t>5</w:t>
      </w:r>
      <w:r>
        <w:rPr>
          <w:rFonts w:hint="eastAsia"/>
        </w:rPr>
        <w:fldChar w:fldCharType="end"/>
      </w:r>
    </w:p>
    <w:p>
      <w:pPr>
        <w:pStyle w:val="5"/>
      </w:pPr>
      <w:r>
        <w:fldChar w:fldCharType="begin"/>
      </w:r>
      <w:r>
        <w:instrText xml:space="preserve"> HYPERLINK \l "_Toc12371" </w:instrText>
      </w:r>
      <w:r>
        <w:fldChar w:fldCharType="separate"/>
      </w:r>
      <w:r>
        <w:rPr>
          <w:rFonts w:hint="eastAsia"/>
        </w:rPr>
        <w:t>四、“三公”经费财政拨款支出决算情况</w:t>
      </w:r>
      <w:r>
        <w:rPr>
          <w:rFonts w:hint="eastAsia"/>
        </w:rPr>
        <w:tab/>
      </w:r>
      <w:r>
        <w:rPr>
          <w:rFonts w:hint="eastAsia"/>
          <w:lang w:val="en-US" w:eastAsia="zh-CN"/>
        </w:rPr>
        <w:t>5</w:t>
      </w:r>
      <w:r>
        <w:rPr>
          <w:rFonts w:hint="eastAsia"/>
        </w:rPr>
        <w:fldChar w:fldCharType="end"/>
      </w:r>
    </w:p>
    <w:p>
      <w:pPr>
        <w:pStyle w:val="5"/>
      </w:pPr>
      <w:r>
        <w:fldChar w:fldCharType="begin"/>
      </w:r>
      <w:r>
        <w:instrText xml:space="preserve"> HYPERLINK \l "_Toc6872" </w:instrText>
      </w:r>
      <w:r>
        <w:fldChar w:fldCharType="separate"/>
      </w:r>
      <w:r>
        <w:rPr>
          <w:rFonts w:hint="eastAsia"/>
        </w:rPr>
        <w:t>（一）“三公”经费财政拨款支出决算总体情况说明</w:t>
      </w:r>
      <w:r>
        <w:rPr>
          <w:rFonts w:hint="eastAsia"/>
        </w:rPr>
        <w:tab/>
      </w:r>
      <w:r>
        <w:rPr>
          <w:rFonts w:hint="eastAsia"/>
        </w:rPr>
        <w:t>6</w:t>
      </w:r>
      <w:r>
        <w:rPr>
          <w:rFonts w:hint="eastAsia"/>
        </w:rPr>
        <w:fldChar w:fldCharType="end"/>
      </w:r>
    </w:p>
    <w:p>
      <w:pPr>
        <w:pStyle w:val="5"/>
      </w:pPr>
      <w:r>
        <w:fldChar w:fldCharType="begin"/>
      </w:r>
      <w:r>
        <w:instrText xml:space="preserve"> HYPERLINK \l "_Toc2762" </w:instrText>
      </w:r>
      <w:r>
        <w:fldChar w:fldCharType="separate"/>
      </w:r>
      <w:r>
        <w:rPr>
          <w:rFonts w:hint="eastAsia"/>
        </w:rPr>
        <w:t>（二）“三公”经费财政拨款支出决算具体情况说明</w:t>
      </w:r>
      <w:r>
        <w:rPr>
          <w:rFonts w:hint="eastAsia"/>
        </w:rPr>
        <w:tab/>
      </w:r>
      <w:r>
        <w:rPr>
          <w:rFonts w:hint="eastAsia"/>
        </w:rPr>
        <w:t>7</w:t>
      </w:r>
      <w:r>
        <w:rPr>
          <w:rFonts w:hint="eastAsia"/>
        </w:rPr>
        <w:fldChar w:fldCharType="end"/>
      </w:r>
    </w:p>
    <w:p>
      <w:pPr>
        <w:pStyle w:val="5"/>
      </w:pPr>
      <w:r>
        <w:fldChar w:fldCharType="begin"/>
      </w:r>
      <w:r>
        <w:instrText xml:space="preserve"> HYPERLINK \l "_Toc6049" </w:instrText>
      </w:r>
      <w:r>
        <w:fldChar w:fldCharType="separate"/>
      </w:r>
      <w:r>
        <w:rPr>
          <w:rFonts w:hint="eastAsia"/>
        </w:rPr>
        <w:t>1.因公出国（境）经费</w:t>
      </w:r>
      <w:r>
        <w:rPr>
          <w:rFonts w:hint="eastAsia"/>
        </w:rPr>
        <w:tab/>
      </w:r>
      <w:r>
        <w:rPr>
          <w:rFonts w:hint="eastAsia"/>
        </w:rPr>
        <w:fldChar w:fldCharType="begin"/>
      </w:r>
      <w:r>
        <w:rPr>
          <w:rFonts w:hint="eastAsia"/>
        </w:rPr>
        <w:instrText xml:space="preserve"> PAGEREF _Toc6049 </w:instrText>
      </w:r>
      <w:r>
        <w:rPr>
          <w:rFonts w:hint="eastAsia"/>
        </w:rPr>
        <w:fldChar w:fldCharType="separate"/>
      </w:r>
      <w:r>
        <w:rPr>
          <w:rFonts w:hint="eastAsia"/>
        </w:rPr>
        <w:t>6</w:t>
      </w:r>
      <w:r>
        <w:rPr>
          <w:rFonts w:hint="eastAsia"/>
        </w:rPr>
        <w:fldChar w:fldCharType="end"/>
      </w:r>
      <w:r>
        <w:rPr>
          <w:rFonts w:hint="eastAsia"/>
        </w:rPr>
        <w:fldChar w:fldCharType="end"/>
      </w:r>
    </w:p>
    <w:p>
      <w:pPr>
        <w:pStyle w:val="5"/>
      </w:pPr>
      <w:r>
        <w:fldChar w:fldCharType="begin"/>
      </w:r>
      <w:r>
        <w:instrText xml:space="preserve"> HYPERLINK \l "_Toc22919" </w:instrText>
      </w:r>
      <w:r>
        <w:fldChar w:fldCharType="separate"/>
      </w:r>
      <w:r>
        <w:rPr>
          <w:rFonts w:hint="eastAsia"/>
        </w:rPr>
        <w:t>2.公务用车购置及运行维护费</w:t>
      </w:r>
      <w:r>
        <w:rPr>
          <w:rFonts w:hint="eastAsia"/>
        </w:rPr>
        <w:tab/>
      </w:r>
      <w:r>
        <w:rPr>
          <w:rFonts w:hint="eastAsia"/>
        </w:rPr>
        <w:fldChar w:fldCharType="begin"/>
      </w:r>
      <w:r>
        <w:rPr>
          <w:rFonts w:hint="eastAsia"/>
        </w:rPr>
        <w:instrText xml:space="preserve"> PAGEREF _Toc22919 </w:instrText>
      </w:r>
      <w:r>
        <w:rPr>
          <w:rFonts w:hint="eastAsia"/>
        </w:rPr>
        <w:fldChar w:fldCharType="separate"/>
      </w:r>
      <w:r>
        <w:rPr>
          <w:rFonts w:hint="eastAsia"/>
        </w:rPr>
        <w:t>6</w:t>
      </w:r>
      <w:r>
        <w:rPr>
          <w:rFonts w:hint="eastAsia"/>
        </w:rPr>
        <w:fldChar w:fldCharType="end"/>
      </w:r>
      <w:r>
        <w:rPr>
          <w:rFonts w:hint="eastAsia"/>
        </w:rPr>
        <w:fldChar w:fldCharType="end"/>
      </w:r>
    </w:p>
    <w:p>
      <w:pPr>
        <w:pStyle w:val="5"/>
      </w:pPr>
      <w:r>
        <w:fldChar w:fldCharType="begin"/>
      </w:r>
      <w:r>
        <w:instrText xml:space="preserve"> HYPERLINK \l "_Toc8007" </w:instrText>
      </w:r>
      <w:r>
        <w:fldChar w:fldCharType="separate"/>
      </w:r>
      <w:r>
        <w:rPr>
          <w:rFonts w:hint="eastAsia"/>
        </w:rPr>
        <w:t>3.公务接待费</w:t>
      </w:r>
      <w:r>
        <w:rPr>
          <w:rFonts w:hint="eastAsia"/>
        </w:rPr>
        <w:tab/>
      </w:r>
      <w:r>
        <w:rPr>
          <w:rFonts w:hint="eastAsia"/>
        </w:rPr>
        <w:fldChar w:fldCharType="begin"/>
      </w:r>
      <w:r>
        <w:rPr>
          <w:rFonts w:hint="eastAsia"/>
        </w:rPr>
        <w:instrText xml:space="preserve"> PAGEREF _Toc8007 </w:instrText>
      </w:r>
      <w:r>
        <w:rPr>
          <w:rFonts w:hint="eastAsia"/>
        </w:rPr>
        <w:fldChar w:fldCharType="separate"/>
      </w:r>
      <w:r>
        <w:rPr>
          <w:rFonts w:hint="eastAsia"/>
        </w:rPr>
        <w:t>6</w:t>
      </w:r>
      <w:r>
        <w:rPr>
          <w:rFonts w:hint="eastAsia"/>
        </w:rPr>
        <w:fldChar w:fldCharType="end"/>
      </w:r>
      <w:r>
        <w:rPr>
          <w:rFonts w:hint="eastAsia"/>
        </w:rPr>
        <w:fldChar w:fldCharType="end"/>
      </w:r>
    </w:p>
    <w:p>
      <w:pPr>
        <w:pStyle w:val="5"/>
      </w:pPr>
      <w:r>
        <w:fldChar w:fldCharType="begin"/>
      </w:r>
      <w:r>
        <w:instrText xml:space="preserve"> HYPERLINK \l "_Toc7579" </w:instrText>
      </w:r>
      <w:r>
        <w:fldChar w:fldCharType="separate"/>
      </w:r>
      <w:r>
        <w:rPr>
          <w:rFonts w:hint="eastAsia"/>
        </w:rPr>
        <w:t>五、资产负债情况分析</w:t>
      </w:r>
      <w:r>
        <w:rPr>
          <w:rFonts w:hint="eastAsia"/>
        </w:rPr>
        <w:tab/>
      </w:r>
      <w:r>
        <w:rPr>
          <w:rFonts w:hint="eastAsia"/>
          <w:lang w:val="en-US" w:eastAsia="zh-CN"/>
        </w:rPr>
        <w:t>7</w:t>
      </w:r>
      <w:r>
        <w:rPr>
          <w:rFonts w:hint="eastAsia"/>
        </w:rPr>
        <w:fldChar w:fldCharType="end"/>
      </w:r>
    </w:p>
    <w:p>
      <w:pPr>
        <w:pStyle w:val="5"/>
      </w:pPr>
      <w:r>
        <w:fldChar w:fldCharType="begin"/>
      </w:r>
      <w:r>
        <w:instrText xml:space="preserve"> HYPERLINK \l "_Toc7698" </w:instrText>
      </w:r>
      <w:r>
        <w:fldChar w:fldCharType="separate"/>
      </w:r>
      <w:r>
        <w:rPr>
          <w:rFonts w:hint="eastAsia"/>
        </w:rPr>
        <w:t>六、政府性基金预算财政拨款支出决算情况</w:t>
      </w:r>
      <w:r>
        <w:rPr>
          <w:rFonts w:hint="eastAsia"/>
        </w:rPr>
        <w:tab/>
      </w:r>
      <w:r>
        <w:rPr>
          <w:rFonts w:hint="eastAsia"/>
        </w:rPr>
        <w:fldChar w:fldCharType="begin"/>
      </w:r>
      <w:r>
        <w:rPr>
          <w:rFonts w:hint="eastAsia"/>
        </w:rPr>
        <w:instrText xml:space="preserve"> PAGEREF _Toc7698 </w:instrText>
      </w:r>
      <w:r>
        <w:rPr>
          <w:rFonts w:hint="eastAsia"/>
        </w:rPr>
        <w:fldChar w:fldCharType="separate"/>
      </w:r>
      <w:r>
        <w:rPr>
          <w:rFonts w:hint="eastAsia"/>
        </w:rPr>
        <w:t>7</w:t>
      </w:r>
      <w:r>
        <w:rPr>
          <w:rFonts w:hint="eastAsia"/>
        </w:rPr>
        <w:fldChar w:fldCharType="end"/>
      </w:r>
      <w:r>
        <w:rPr>
          <w:rFonts w:hint="eastAsia"/>
        </w:rPr>
        <w:fldChar w:fldCharType="end"/>
      </w:r>
    </w:p>
    <w:p>
      <w:pPr>
        <w:pStyle w:val="5"/>
      </w:pPr>
      <w:r>
        <w:fldChar w:fldCharType="begin"/>
      </w:r>
      <w:r>
        <w:instrText xml:space="preserve"> HYPERLINK \l "_Toc11209" </w:instrText>
      </w:r>
      <w:r>
        <w:fldChar w:fldCharType="separate"/>
      </w:r>
      <w:r>
        <w:rPr>
          <w:rFonts w:hint="eastAsia"/>
        </w:rPr>
        <w:t>七、其他重要事项的情况说明</w:t>
      </w:r>
      <w:r>
        <w:rPr>
          <w:rFonts w:hint="eastAsia"/>
        </w:rPr>
        <w:tab/>
      </w:r>
      <w:r>
        <w:rPr>
          <w:rFonts w:hint="eastAsia"/>
        </w:rPr>
        <w:fldChar w:fldCharType="begin"/>
      </w:r>
      <w:r>
        <w:rPr>
          <w:rFonts w:hint="eastAsia"/>
        </w:rPr>
        <w:instrText xml:space="preserve"> PAGEREF _Toc11209 </w:instrText>
      </w:r>
      <w:r>
        <w:rPr>
          <w:rFonts w:hint="eastAsia"/>
        </w:rPr>
        <w:fldChar w:fldCharType="separate"/>
      </w:r>
      <w:r>
        <w:rPr>
          <w:rFonts w:hint="eastAsia"/>
        </w:rPr>
        <w:t>7</w:t>
      </w:r>
      <w:r>
        <w:rPr>
          <w:rFonts w:hint="eastAsia"/>
        </w:rPr>
        <w:fldChar w:fldCharType="end"/>
      </w:r>
      <w:r>
        <w:rPr>
          <w:rFonts w:hint="eastAsia"/>
        </w:rPr>
        <w:fldChar w:fldCharType="end"/>
      </w:r>
    </w:p>
    <w:p>
      <w:pPr>
        <w:pStyle w:val="5"/>
      </w:pPr>
      <w:r>
        <w:fldChar w:fldCharType="begin"/>
      </w:r>
      <w:r>
        <w:instrText xml:space="preserve"> HYPERLINK \l "_Toc4355" </w:instrText>
      </w:r>
      <w:r>
        <w:fldChar w:fldCharType="separate"/>
      </w:r>
      <w:r>
        <w:rPr>
          <w:rFonts w:hint="eastAsia"/>
        </w:rPr>
        <w:t>（一）机关运行经费支出情况</w:t>
      </w:r>
      <w:r>
        <w:rPr>
          <w:rFonts w:hint="eastAsia"/>
        </w:rPr>
        <w:tab/>
      </w:r>
      <w:r>
        <w:rPr>
          <w:rFonts w:hint="eastAsia"/>
        </w:rPr>
        <w:fldChar w:fldCharType="begin"/>
      </w:r>
      <w:r>
        <w:rPr>
          <w:rFonts w:hint="eastAsia"/>
        </w:rPr>
        <w:instrText xml:space="preserve"> PAGEREF _Toc4355 </w:instrText>
      </w:r>
      <w:r>
        <w:rPr>
          <w:rFonts w:hint="eastAsia"/>
        </w:rPr>
        <w:fldChar w:fldCharType="separate"/>
      </w:r>
      <w:r>
        <w:rPr>
          <w:rFonts w:hint="eastAsia"/>
        </w:rPr>
        <w:t>7</w:t>
      </w:r>
      <w:r>
        <w:rPr>
          <w:rFonts w:hint="eastAsia"/>
        </w:rPr>
        <w:fldChar w:fldCharType="end"/>
      </w:r>
      <w:r>
        <w:rPr>
          <w:rFonts w:hint="eastAsia"/>
        </w:rPr>
        <w:fldChar w:fldCharType="end"/>
      </w:r>
    </w:p>
    <w:p>
      <w:pPr>
        <w:pStyle w:val="5"/>
      </w:pPr>
      <w:r>
        <w:fldChar w:fldCharType="begin"/>
      </w:r>
      <w:r>
        <w:instrText xml:space="preserve"> HYPERLINK \l "_Toc17192" </w:instrText>
      </w:r>
      <w:r>
        <w:fldChar w:fldCharType="separate"/>
      </w:r>
      <w:r>
        <w:rPr>
          <w:rFonts w:hint="eastAsia"/>
        </w:rPr>
        <w:t>（二）政府采购支出情况</w:t>
      </w:r>
      <w:r>
        <w:rPr>
          <w:rFonts w:hint="eastAsia"/>
        </w:rPr>
        <w:tab/>
      </w:r>
      <w:r>
        <w:rPr>
          <w:rFonts w:hint="eastAsia"/>
        </w:rPr>
        <w:fldChar w:fldCharType="begin"/>
      </w:r>
      <w:r>
        <w:rPr>
          <w:rFonts w:hint="eastAsia"/>
        </w:rPr>
        <w:instrText xml:space="preserve"> PAGEREF _Toc17192 </w:instrText>
      </w:r>
      <w:r>
        <w:rPr>
          <w:rFonts w:hint="eastAsia"/>
        </w:rPr>
        <w:fldChar w:fldCharType="separate"/>
      </w:r>
      <w:r>
        <w:rPr>
          <w:rFonts w:hint="eastAsia"/>
        </w:rPr>
        <w:t>7</w:t>
      </w:r>
      <w:r>
        <w:rPr>
          <w:rFonts w:hint="eastAsia"/>
        </w:rPr>
        <w:fldChar w:fldCharType="end"/>
      </w:r>
      <w:r>
        <w:rPr>
          <w:rFonts w:hint="eastAsia"/>
        </w:rPr>
        <w:fldChar w:fldCharType="end"/>
      </w:r>
    </w:p>
    <w:p>
      <w:pPr>
        <w:pStyle w:val="5"/>
      </w:pPr>
      <w:r>
        <w:fldChar w:fldCharType="begin"/>
      </w:r>
      <w:r>
        <w:instrText xml:space="preserve"> HYPERLINK \l "_Toc8299" </w:instrText>
      </w:r>
      <w:r>
        <w:fldChar w:fldCharType="separate"/>
      </w:r>
      <w:r>
        <w:rPr>
          <w:rFonts w:hint="eastAsia"/>
        </w:rPr>
        <w:t>（三）国有资产占有使用情况</w:t>
      </w:r>
      <w:r>
        <w:rPr>
          <w:rFonts w:hint="eastAsia"/>
        </w:rPr>
        <w:tab/>
      </w:r>
      <w:r>
        <w:rPr>
          <w:rFonts w:hint="eastAsia"/>
          <w:lang w:val="en-US" w:eastAsia="zh-CN"/>
        </w:rPr>
        <w:t>8</w:t>
      </w:r>
      <w:r>
        <w:rPr>
          <w:rFonts w:hint="eastAsia"/>
        </w:rPr>
        <w:fldChar w:fldCharType="end"/>
      </w:r>
    </w:p>
    <w:p>
      <w:pPr>
        <w:pStyle w:val="5"/>
      </w:pPr>
      <w:r>
        <w:fldChar w:fldCharType="begin"/>
      </w:r>
      <w:r>
        <w:instrText xml:space="preserve"> HYPERLINK \l "_Toc8700" </w:instrText>
      </w:r>
      <w:r>
        <w:fldChar w:fldCharType="separate"/>
      </w:r>
      <w:r>
        <w:rPr>
          <w:rFonts w:hint="eastAsia"/>
        </w:rPr>
        <w:t>（四）预算绩效情况</w:t>
      </w:r>
      <w:r>
        <w:rPr>
          <w:rFonts w:hint="eastAsia"/>
        </w:rPr>
        <w:tab/>
      </w:r>
      <w:r>
        <w:rPr>
          <w:rFonts w:hint="eastAsia"/>
          <w:lang w:val="en-US" w:eastAsia="zh-CN"/>
        </w:rPr>
        <w:t>8</w:t>
      </w:r>
      <w:r>
        <w:rPr>
          <w:rFonts w:hint="eastAsia"/>
        </w:rPr>
        <w:fldChar w:fldCharType="end"/>
      </w:r>
    </w:p>
    <w:p>
      <w:pPr>
        <w:pStyle w:val="5"/>
      </w:pPr>
      <w:r>
        <w:fldChar w:fldCharType="begin"/>
      </w:r>
      <w:r>
        <w:instrText xml:space="preserve"> HYPERLINK \l "_Toc13295" </w:instrText>
      </w:r>
      <w:r>
        <w:fldChar w:fldCharType="separate"/>
      </w:r>
      <w:r>
        <w:rPr>
          <w:rFonts w:hint="eastAsia"/>
        </w:rPr>
        <w:t>1、评价结论</w:t>
      </w:r>
      <w:r>
        <w:rPr>
          <w:rFonts w:hint="eastAsia"/>
        </w:rPr>
        <w:tab/>
      </w:r>
      <w:r>
        <w:rPr>
          <w:rFonts w:hint="eastAsia"/>
          <w:lang w:val="en-US" w:eastAsia="zh-CN"/>
        </w:rPr>
        <w:t>8</w:t>
      </w:r>
      <w:r>
        <w:rPr>
          <w:rFonts w:hint="eastAsia"/>
        </w:rPr>
        <w:fldChar w:fldCharType="end"/>
      </w:r>
    </w:p>
    <w:p>
      <w:pPr>
        <w:pStyle w:val="5"/>
      </w:pPr>
      <w:r>
        <w:fldChar w:fldCharType="begin"/>
      </w:r>
      <w:r>
        <w:instrText xml:space="preserve"> HYPERLINK \l "_Toc21013" </w:instrText>
      </w:r>
      <w:r>
        <w:fldChar w:fldCharType="separate"/>
      </w:r>
      <w:r>
        <w:rPr>
          <w:rFonts w:hint="eastAsia"/>
        </w:rPr>
        <w:t>2、存在问题</w:t>
      </w:r>
      <w:r>
        <w:rPr>
          <w:rFonts w:hint="eastAsia"/>
        </w:rPr>
        <w:tab/>
      </w:r>
      <w:r>
        <w:rPr>
          <w:rFonts w:hint="eastAsia"/>
          <w:lang w:val="en-US" w:eastAsia="zh-CN"/>
        </w:rPr>
        <w:t>8</w:t>
      </w:r>
      <w:r>
        <w:rPr>
          <w:rFonts w:hint="eastAsia"/>
        </w:rPr>
        <w:fldChar w:fldCharType="end"/>
      </w:r>
    </w:p>
    <w:p>
      <w:pPr>
        <w:pStyle w:val="5"/>
      </w:pPr>
      <w:r>
        <w:fldChar w:fldCharType="begin"/>
      </w:r>
      <w:r>
        <w:instrText xml:space="preserve"> HYPERLINK \l "_Toc29651" </w:instrText>
      </w:r>
      <w:r>
        <w:fldChar w:fldCharType="separate"/>
      </w:r>
      <w:r>
        <w:rPr>
          <w:rFonts w:hint="eastAsia"/>
        </w:rPr>
        <w:t>3、改进建议</w:t>
      </w:r>
      <w:r>
        <w:rPr>
          <w:rFonts w:hint="eastAsia"/>
        </w:rPr>
        <w:tab/>
      </w:r>
      <w:r>
        <w:rPr>
          <w:rFonts w:hint="eastAsia"/>
          <w:lang w:val="en-US" w:eastAsia="zh-CN"/>
        </w:rPr>
        <w:t>8</w:t>
      </w:r>
      <w:r>
        <w:rPr>
          <w:rFonts w:hint="eastAsia"/>
        </w:rPr>
        <w:fldChar w:fldCharType="end"/>
      </w:r>
    </w:p>
    <w:p>
      <w:pPr>
        <w:pStyle w:val="5"/>
        <w:rPr>
          <w:rFonts w:hint="default" w:eastAsia="仿宋"/>
          <w:lang w:val="en-US" w:eastAsia="zh-CN"/>
        </w:rPr>
      </w:pPr>
      <w:r>
        <w:fldChar w:fldCharType="begin"/>
      </w:r>
      <w:r>
        <w:instrText xml:space="preserve"> HYPERLINK \l "_Toc29051" </w:instrText>
      </w:r>
      <w:r>
        <w:fldChar w:fldCharType="separate"/>
      </w:r>
      <w:r>
        <w:rPr>
          <w:rFonts w:hint="eastAsia"/>
        </w:rPr>
        <w:t>八、名词解释</w:t>
      </w:r>
      <w:r>
        <w:rPr>
          <w:rFonts w:hint="eastAsia"/>
        </w:rPr>
        <w:tab/>
      </w:r>
      <w:r>
        <w:rPr>
          <w:rFonts w:hint="eastAsia"/>
          <w:lang w:val="en-US" w:eastAsia="zh-CN"/>
        </w:rPr>
        <w:t>9</w:t>
      </w:r>
      <w:r>
        <w:rPr>
          <w:rFonts w:hint="eastAsia"/>
        </w:rPr>
        <w:fldChar w:fldCharType="end"/>
      </w:r>
      <w:r>
        <w:rPr>
          <w:rFonts w:hint="eastAsia"/>
          <w:lang w:val="en-US" w:eastAsia="zh-CN"/>
        </w:rPr>
        <w:t>-10</w:t>
      </w:r>
    </w:p>
    <w:p>
      <w:pPr>
        <w:pStyle w:val="5"/>
      </w:pPr>
      <w:r>
        <w:rPr>
          <w:rFonts w:hint="eastAsia"/>
        </w:rPr>
        <w:fldChar w:fldCharType="end"/>
      </w:r>
    </w:p>
    <w:p>
      <w:pPr>
        <w:pStyle w:val="5"/>
      </w:pPr>
      <w:r>
        <w:rPr>
          <w:rFonts w:hint="eastAsia"/>
        </w:rPr>
        <w:fldChar w:fldCharType="begin"/>
      </w:r>
      <w:r>
        <w:rPr>
          <w:rFonts w:hint="eastAsia"/>
        </w:rPr>
        <w:instrText xml:space="preserve">TOC \o "1-1" \h \u </w:instrText>
      </w:r>
      <w:r>
        <w:rPr>
          <w:rFonts w:hint="eastAsia"/>
        </w:rPr>
        <w:fldChar w:fldCharType="separate"/>
      </w:r>
    </w:p>
    <w:p>
      <w:pPr>
        <w:pStyle w:val="5"/>
      </w:pPr>
      <w:r>
        <w:rPr>
          <w:rFonts w:hint="eastAsia"/>
        </w:rPr>
        <w:fldChar w:fldCharType="end"/>
      </w:r>
    </w:p>
    <w:p/>
    <w:p/>
    <w:p/>
    <w:p/>
    <w:p/>
    <w:p/>
    <w:p/>
    <w:p/>
    <w:p/>
    <w:p/>
    <w:p>
      <w:pPr>
        <w:pStyle w:val="5"/>
      </w:pPr>
    </w:p>
    <w:p>
      <w:pPr>
        <w:pStyle w:val="5"/>
      </w:pPr>
      <w:bookmarkStart w:id="0" w:name="_Toc9300"/>
    </w:p>
    <w:p/>
    <w:p/>
    <w:p/>
    <w:p/>
    <w:p/>
    <w:p>
      <w:pPr>
        <w:snapToGrid w:val="0"/>
        <w:rPr>
          <w:rFonts w:ascii="黑体" w:hAnsi="黑体" w:eastAsia="黑体" w:cs="黑体"/>
          <w:sz w:val="44"/>
          <w:szCs w:val="44"/>
        </w:rPr>
      </w:pPr>
    </w:p>
    <w:p>
      <w:pPr>
        <w:snapToGrid w:val="0"/>
        <w:rPr>
          <w:rFonts w:ascii="黑体" w:hAnsi="黑体" w:eastAsia="黑体" w:cs="黑体"/>
          <w:sz w:val="44"/>
          <w:szCs w:val="44"/>
        </w:rPr>
      </w:pPr>
    </w:p>
    <w:bookmarkEnd w:id="0"/>
    <w:p>
      <w:pPr>
        <w:snapToGrid w:val="0"/>
        <w:jc w:val="center"/>
        <w:rPr>
          <w:rFonts w:hint="eastAsia" w:ascii="华文中宋" w:hAnsi="华文中宋" w:eastAsia="华文中宋"/>
          <w:sz w:val="36"/>
          <w:szCs w:val="36"/>
        </w:rPr>
      </w:pPr>
      <w:bookmarkStart w:id="1" w:name="_Toc14023"/>
      <w:bookmarkStart w:id="2" w:name="_Toc11455"/>
    </w:p>
    <w:p>
      <w:pPr>
        <w:snapToGrid w:val="0"/>
        <w:jc w:val="center"/>
        <w:rPr>
          <w:rFonts w:hint="eastAsia" w:ascii="华文中宋" w:hAnsi="华文中宋" w:eastAsia="华文中宋"/>
          <w:sz w:val="36"/>
          <w:szCs w:val="36"/>
          <w:lang w:eastAsia="zh-CN"/>
        </w:rPr>
      </w:pPr>
    </w:p>
    <w:p>
      <w:pPr>
        <w:snapToGrid w:val="0"/>
        <w:jc w:val="center"/>
        <w:rPr>
          <w:rFonts w:hint="eastAsia" w:ascii="华文中宋" w:hAnsi="华文中宋" w:eastAsia="华文中宋"/>
          <w:sz w:val="36"/>
          <w:szCs w:val="36"/>
        </w:rPr>
      </w:pPr>
      <w:r>
        <w:rPr>
          <w:rFonts w:hint="eastAsia" w:ascii="华文中宋" w:hAnsi="华文中宋" w:eastAsia="华文中宋"/>
          <w:sz w:val="36"/>
          <w:szCs w:val="36"/>
          <w:lang w:eastAsia="zh-CN"/>
        </w:rPr>
        <w:t>金川县行政审批局</w:t>
      </w:r>
      <w:r>
        <w:rPr>
          <w:rFonts w:hint="eastAsia" w:ascii="华文中宋" w:hAnsi="华文中宋" w:eastAsia="华文中宋"/>
          <w:sz w:val="36"/>
          <w:szCs w:val="36"/>
        </w:rPr>
        <w:t>2019年度部门决算</w:t>
      </w:r>
    </w:p>
    <w:p>
      <w:pPr>
        <w:snapToGrid w:val="0"/>
        <w:jc w:val="center"/>
        <w:rPr>
          <w:rFonts w:hint="eastAsia" w:ascii="华文中宋" w:hAnsi="华文中宋" w:eastAsia="华文中宋"/>
          <w:sz w:val="36"/>
          <w:szCs w:val="36"/>
        </w:rPr>
      </w:pPr>
      <w:r>
        <w:rPr>
          <w:rFonts w:hint="eastAsia" w:ascii="华文中宋" w:hAnsi="华文中宋" w:eastAsia="华文中宋"/>
          <w:sz w:val="36"/>
          <w:szCs w:val="36"/>
        </w:rPr>
        <w:t>分析报告</w:t>
      </w:r>
    </w:p>
    <w:p>
      <w:pPr>
        <w:snapToGrid w:val="0"/>
        <w:jc w:val="center"/>
        <w:rPr>
          <w:rFonts w:hint="eastAsia" w:ascii="华文中宋" w:hAnsi="华文中宋" w:eastAsia="华文中宋"/>
          <w:sz w:val="36"/>
          <w:szCs w:val="36"/>
        </w:rPr>
      </w:pPr>
      <w:r>
        <w:rPr>
          <w:rFonts w:hint="eastAsia" w:ascii="华文中宋" w:hAnsi="华文中宋" w:eastAsia="华文中宋"/>
          <w:sz w:val="36"/>
          <w:szCs w:val="36"/>
        </w:rPr>
        <w:t>（部门汇总）</w:t>
      </w:r>
    </w:p>
    <w:p>
      <w:pPr>
        <w:numPr>
          <w:ilvl w:val="0"/>
          <w:numId w:val="0"/>
        </w:numPr>
        <w:snapToGrid w:val="0"/>
        <w:spacing w:line="360" w:lineRule="auto"/>
        <w:outlineLvl w:val="0"/>
        <w:rPr>
          <w:rFonts w:hint="eastAsia" w:ascii="黑体" w:hAnsi="黑体" w:eastAsia="黑体" w:cs="黑体"/>
          <w:b/>
          <w:bCs/>
          <w:sz w:val="32"/>
        </w:rPr>
      </w:pPr>
    </w:p>
    <w:p>
      <w:pPr>
        <w:numPr>
          <w:ilvl w:val="0"/>
          <w:numId w:val="0"/>
        </w:numPr>
        <w:snapToGrid w:val="0"/>
        <w:spacing w:line="360" w:lineRule="auto"/>
        <w:ind w:firstLine="643" w:firstLineChars="200"/>
        <w:outlineLvl w:val="0"/>
        <w:rPr>
          <w:rFonts w:ascii="黑体" w:hAnsi="黑体" w:eastAsia="黑体" w:cs="黑体"/>
          <w:b/>
          <w:bCs/>
          <w:sz w:val="32"/>
        </w:rPr>
      </w:pPr>
      <w:r>
        <w:rPr>
          <w:rFonts w:hint="eastAsia" w:ascii="黑体" w:hAnsi="黑体" w:eastAsia="黑体" w:cs="黑体"/>
          <w:b/>
          <w:bCs/>
          <w:sz w:val="32"/>
          <w:lang w:eastAsia="zh-CN"/>
        </w:rPr>
        <w:t>一</w:t>
      </w:r>
      <w:r>
        <w:rPr>
          <w:rFonts w:hint="eastAsia" w:ascii="黑体" w:hAnsi="黑体" w:eastAsia="黑体" w:cs="黑体"/>
          <w:b/>
          <w:bCs/>
          <w:sz w:val="32"/>
        </w:rPr>
        <w:t>单位基本情况</w:t>
      </w:r>
      <w:bookmarkEnd w:id="1"/>
      <w:bookmarkEnd w:id="2"/>
    </w:p>
    <w:p>
      <w:pPr>
        <w:numPr>
          <w:ilvl w:val="0"/>
          <w:numId w:val="1"/>
        </w:numPr>
        <w:snapToGrid w:val="0"/>
        <w:spacing w:line="360" w:lineRule="auto"/>
        <w:outlineLvl w:val="1"/>
        <w:rPr>
          <w:rFonts w:ascii="仿宋_GB2312" w:eastAsia="仿宋_GB2312"/>
          <w:bCs/>
          <w:sz w:val="30"/>
          <w:szCs w:val="30"/>
        </w:rPr>
      </w:pPr>
      <w:bookmarkStart w:id="3" w:name="_Toc26556"/>
      <w:r>
        <w:rPr>
          <w:rFonts w:hint="eastAsia" w:ascii="楷体" w:hAnsi="楷体" w:eastAsia="楷体" w:cs="楷体"/>
          <w:b/>
          <w:sz w:val="32"/>
          <w:szCs w:val="32"/>
        </w:rPr>
        <w:t>主要职能</w:t>
      </w:r>
      <w:bookmarkEnd w:id="3"/>
    </w:p>
    <w:p>
      <w:pPr>
        <w:snapToGrid w:val="0"/>
        <w:spacing w:line="360" w:lineRule="auto"/>
        <w:ind w:firstLine="750" w:firstLineChars="250"/>
        <w:outlineLvl w:val="1"/>
        <w:rPr>
          <w:rFonts w:ascii="仿宋_GB2312" w:eastAsia="仿宋_GB2312"/>
          <w:bCs/>
          <w:sz w:val="30"/>
          <w:szCs w:val="30"/>
        </w:rPr>
      </w:pPr>
      <w:r>
        <w:rPr>
          <w:rFonts w:hint="eastAsia" w:ascii="仿宋_GB2312" w:eastAsia="仿宋_GB2312" w:cs="宋体"/>
          <w:kern w:val="0"/>
          <w:sz w:val="30"/>
          <w:szCs w:val="30"/>
        </w:rPr>
        <w:t>行政审批局基本职能：负责深化行政审批制度改革和“放管服”改革工作，承担县本级行政权力清单和责任清单的动态调整，指导全县行政</w:t>
      </w:r>
      <w:r>
        <w:rPr>
          <w:rFonts w:hint="eastAsia" w:ascii="仿宋_GB2312" w:eastAsia="仿宋_GB2312" w:cs="宋体"/>
          <w:kern w:val="0"/>
          <w:sz w:val="30"/>
          <w:szCs w:val="30"/>
          <w:lang w:eastAsia="zh-CN"/>
        </w:rPr>
        <w:t>权力</w:t>
      </w:r>
      <w:r>
        <w:rPr>
          <w:rFonts w:hint="eastAsia" w:ascii="仿宋_GB2312" w:eastAsia="仿宋_GB2312" w:cs="宋体"/>
          <w:kern w:val="0"/>
          <w:sz w:val="30"/>
          <w:szCs w:val="30"/>
        </w:rPr>
        <w:t>清单和责任清单工作，建立完善相关工作机制；负责县本级行政审批工作；负责协调入驻县行政审批局的政务服务平台的各部门的行政审批工作；指导乡（镇）行政审批工作；负责全县政务服务管理工作，指导全县政务服务体系建设；负责全县公共资源交易管理工作，指导全县公共资源交易服务体系建设；负责对涉及县行政审批局的政务服务平台、县公共资源交易中心、县行政审批服务机构的投诉举报的承办、转办和督办工作；完成县委、县政府交办的其他任务。</w:t>
      </w:r>
    </w:p>
    <w:p>
      <w:pPr>
        <w:ind w:firstLine="643" w:firstLineChars="200"/>
        <w:rPr>
          <w:rFonts w:ascii="仿宋_GB2312" w:hAnsi="宋体" w:eastAsia="仿宋_GB2312" w:cs="宋体"/>
          <w:color w:val="000000"/>
          <w:kern w:val="0"/>
          <w:sz w:val="30"/>
          <w:szCs w:val="30"/>
        </w:rPr>
      </w:pPr>
      <w:r>
        <w:rPr>
          <w:rFonts w:hint="eastAsia" w:ascii="仿宋_GB2312" w:hAnsi="仿宋_GB2312" w:eastAsia="仿宋_GB2312" w:cs="仿宋_GB2312"/>
          <w:b/>
          <w:kern w:val="16"/>
          <w:sz w:val="32"/>
          <w:szCs w:val="32"/>
        </w:rPr>
        <w:t>政务服务和公共资源交易服务中心基本职能：</w:t>
      </w:r>
      <w:r>
        <w:rPr>
          <w:rFonts w:hint="eastAsia" w:ascii="仿宋_GB2312" w:hAnsi="宋体" w:eastAsia="仿宋_GB2312" w:cs="宋体"/>
          <w:color w:val="000000"/>
          <w:kern w:val="0"/>
          <w:sz w:val="30"/>
          <w:szCs w:val="30"/>
        </w:rPr>
        <w:t>提高政府采购资金使用效率，规范政府投资工程建设项目比选活动和国有产权交易、维护国家利益和当事人的合法利益，促进廉政建设。依法接受政府采购业务代理范围的政府采购项目；在政府投资工程建设项目招标阶段，行使招标职责；接受委托国有产权交易，负责组织开展土地</w:t>
      </w:r>
      <w:r>
        <w:rPr>
          <w:rFonts w:hint="eastAsia" w:ascii="仿宋_GB2312" w:hAnsi="宋体" w:eastAsia="仿宋_GB2312" w:cs="宋体"/>
          <w:color w:val="000000"/>
          <w:kern w:val="0"/>
          <w:sz w:val="30"/>
          <w:szCs w:val="30"/>
          <w:lang w:eastAsia="zh-CN"/>
        </w:rPr>
        <w:t>使用权</w:t>
      </w:r>
      <w:r>
        <w:rPr>
          <w:rFonts w:hint="eastAsia" w:ascii="仿宋_GB2312" w:hAnsi="宋体" w:eastAsia="仿宋_GB2312" w:cs="宋体"/>
          <w:color w:val="000000"/>
          <w:kern w:val="0"/>
          <w:sz w:val="30"/>
          <w:szCs w:val="30"/>
        </w:rPr>
        <w:t>和矿业权招拍挂交易活动。</w:t>
      </w:r>
    </w:p>
    <w:p>
      <w:pPr>
        <w:snapToGrid w:val="0"/>
        <w:spacing w:line="360" w:lineRule="auto"/>
        <w:outlineLvl w:val="1"/>
        <w:rPr>
          <w:rFonts w:hint="eastAsia" w:ascii="仿宋_GB2312" w:eastAsia="仿宋_GB2312"/>
          <w:sz w:val="30"/>
          <w:szCs w:val="30"/>
        </w:rPr>
      </w:pPr>
      <w:r>
        <w:rPr>
          <w:rFonts w:hint="eastAsia" w:ascii="仿宋_GB2312" w:eastAsia="仿宋_GB2312"/>
          <w:sz w:val="30"/>
          <w:szCs w:val="30"/>
        </w:rPr>
        <w:t>　　</w:t>
      </w:r>
      <w:bookmarkStart w:id="4" w:name="_Toc1399"/>
    </w:p>
    <w:p>
      <w:pPr>
        <w:snapToGrid w:val="0"/>
        <w:spacing w:line="360" w:lineRule="auto"/>
        <w:outlineLvl w:val="1"/>
        <w:rPr>
          <w:rFonts w:hint="eastAsia" w:ascii="仿宋_GB2312" w:eastAsia="仿宋_GB2312"/>
          <w:sz w:val="30"/>
          <w:szCs w:val="30"/>
        </w:rPr>
      </w:pPr>
    </w:p>
    <w:p>
      <w:pPr>
        <w:snapToGrid w:val="0"/>
        <w:spacing w:line="360" w:lineRule="auto"/>
        <w:outlineLvl w:val="1"/>
        <w:rPr>
          <w:rFonts w:ascii="仿宋_GB2312" w:eastAsia="仿宋_GB2312"/>
          <w:sz w:val="30"/>
          <w:szCs w:val="30"/>
        </w:rPr>
      </w:pPr>
      <w:r>
        <w:rPr>
          <w:rFonts w:hint="eastAsia" w:ascii="楷体" w:hAnsi="楷体" w:eastAsia="楷体" w:cs="楷体"/>
          <w:b/>
          <w:bCs/>
          <w:sz w:val="32"/>
          <w:szCs w:val="32"/>
        </w:rPr>
        <w:t>（二）机构和人员情况</w:t>
      </w:r>
      <w:bookmarkEnd w:id="4"/>
    </w:p>
    <w:p>
      <w:pPr>
        <w:widowControl/>
        <w:spacing w:line="576" w:lineRule="exact"/>
        <w:ind w:firstLine="600" w:firstLineChars="200"/>
        <w:jc w:val="left"/>
        <w:rPr>
          <w:rFonts w:ascii="仿宋_GB2312" w:eastAsia="仿宋_GB2312" w:cs="宋体"/>
          <w:kern w:val="0"/>
          <w:sz w:val="30"/>
          <w:szCs w:val="30"/>
        </w:rPr>
      </w:pPr>
      <w:r>
        <w:rPr>
          <w:rFonts w:hint="eastAsia" w:ascii="仿宋_GB2312" w:eastAsia="仿宋_GB2312"/>
          <w:sz w:val="30"/>
          <w:szCs w:val="30"/>
        </w:rPr>
        <w:t xml:space="preserve"> </w:t>
      </w:r>
      <w:r>
        <w:rPr>
          <w:rFonts w:hint="eastAsia" w:ascii="仿宋_GB2312" w:eastAsia="仿宋_GB2312" w:cs="宋体"/>
          <w:kern w:val="0"/>
          <w:sz w:val="30"/>
          <w:szCs w:val="30"/>
        </w:rPr>
        <w:t>行政审批局机构设置：</w:t>
      </w:r>
    </w:p>
    <w:p>
      <w:pPr>
        <w:widowControl/>
        <w:ind w:firstLine="600" w:firstLineChars="200"/>
        <w:jc w:val="left"/>
        <w:rPr>
          <w:rFonts w:ascii="仿宋_GB2312" w:hAnsi="Times New Roman" w:eastAsia="仿宋_GB2312"/>
          <w:kern w:val="0"/>
          <w:sz w:val="30"/>
          <w:szCs w:val="22"/>
          <w:lang w:val="zh-CN"/>
        </w:rPr>
      </w:pPr>
      <w:r>
        <w:rPr>
          <w:rFonts w:hint="eastAsia" w:ascii="仿宋_GB2312" w:hAnsi="Times New Roman" w:eastAsia="仿宋_GB2312"/>
          <w:kern w:val="0"/>
          <w:sz w:val="30"/>
          <w:szCs w:val="22"/>
          <w:lang w:val="zh-CN"/>
        </w:rPr>
        <w:t xml:space="preserve">独立编制单位机构数为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个</w:t>
      </w:r>
      <w:r>
        <w:rPr>
          <w:rFonts w:hint="eastAsia" w:ascii="仿宋_GB2312" w:hAnsi="Times New Roman" w:eastAsia="仿宋_GB2312"/>
          <w:kern w:val="0"/>
          <w:sz w:val="30"/>
          <w:szCs w:val="22"/>
        </w:rPr>
        <w:t>，</w:t>
      </w:r>
      <w:r>
        <w:rPr>
          <w:rFonts w:hint="eastAsia" w:ascii="仿宋_GB2312" w:hAnsi="Times New Roman" w:eastAsia="仿宋_GB2312"/>
          <w:kern w:val="0"/>
          <w:sz w:val="30"/>
          <w:szCs w:val="22"/>
          <w:lang w:val="zh-CN"/>
        </w:rPr>
        <w:t>财政供养人员编制为</w:t>
      </w:r>
      <w:r>
        <w:rPr>
          <w:rFonts w:hint="eastAsia" w:ascii="仿宋_GB2312" w:hAnsi="Times New Roman" w:eastAsia="仿宋_GB2312"/>
          <w:kern w:val="0"/>
          <w:sz w:val="30"/>
          <w:szCs w:val="22"/>
        </w:rPr>
        <w:t>5</w:t>
      </w:r>
      <w:r>
        <w:rPr>
          <w:rFonts w:hint="eastAsia" w:ascii="仿宋_GB2312" w:hAnsi="Times New Roman" w:eastAsia="仿宋_GB2312"/>
          <w:kern w:val="0"/>
          <w:sz w:val="30"/>
          <w:szCs w:val="22"/>
          <w:lang w:val="zh-CN"/>
        </w:rPr>
        <w:t xml:space="preserve">名，其中行政编制 </w:t>
      </w:r>
      <w:r>
        <w:rPr>
          <w:rFonts w:hint="eastAsia" w:ascii="仿宋_GB2312" w:hAnsi="Times New Roman" w:eastAsia="仿宋_GB2312"/>
          <w:kern w:val="0"/>
          <w:sz w:val="30"/>
          <w:szCs w:val="22"/>
        </w:rPr>
        <w:t>4</w:t>
      </w:r>
      <w:r>
        <w:rPr>
          <w:rFonts w:hint="eastAsia" w:ascii="仿宋_GB2312" w:hAnsi="Times New Roman" w:eastAsia="仿宋_GB2312"/>
          <w:kern w:val="0"/>
          <w:sz w:val="30"/>
          <w:szCs w:val="22"/>
          <w:lang w:val="zh-CN"/>
        </w:rPr>
        <w:t>名，行政工勤编制</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名。实际财政供养人员</w:t>
      </w:r>
      <w:r>
        <w:rPr>
          <w:rFonts w:hint="eastAsia" w:ascii="仿宋_GB2312" w:hAnsi="Times New Roman" w:eastAsia="仿宋_GB2312"/>
          <w:kern w:val="0"/>
          <w:sz w:val="30"/>
          <w:szCs w:val="22"/>
        </w:rPr>
        <w:t>5</w:t>
      </w:r>
      <w:r>
        <w:rPr>
          <w:rFonts w:hint="eastAsia" w:ascii="仿宋_GB2312" w:hAnsi="Times New Roman" w:eastAsia="仿宋_GB2312"/>
          <w:kern w:val="0"/>
          <w:sz w:val="30"/>
          <w:szCs w:val="22"/>
          <w:lang w:val="zh-CN"/>
        </w:rPr>
        <w:t xml:space="preserve">人，其中：行政 </w:t>
      </w:r>
      <w:r>
        <w:rPr>
          <w:rFonts w:hint="eastAsia" w:ascii="仿宋_GB2312" w:hAnsi="Times New Roman" w:eastAsia="仿宋_GB2312"/>
          <w:kern w:val="0"/>
          <w:sz w:val="30"/>
          <w:szCs w:val="22"/>
        </w:rPr>
        <w:t>4</w:t>
      </w:r>
      <w:r>
        <w:rPr>
          <w:rFonts w:hint="eastAsia" w:ascii="仿宋_GB2312" w:hAnsi="Times New Roman" w:eastAsia="仿宋_GB2312"/>
          <w:kern w:val="0"/>
          <w:sz w:val="30"/>
          <w:szCs w:val="22"/>
          <w:lang w:val="zh-CN"/>
        </w:rPr>
        <w:t xml:space="preserve">人，行政工勤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 xml:space="preserve">人。 </w:t>
      </w:r>
    </w:p>
    <w:p>
      <w:pPr>
        <w:ind w:firstLine="600" w:firstLineChars="200"/>
        <w:rPr>
          <w:rFonts w:eastAsia="仿宋_GB2312" w:cs="宋体"/>
          <w:kern w:val="0"/>
          <w:sz w:val="30"/>
          <w:szCs w:val="30"/>
        </w:rPr>
      </w:pPr>
      <w:r>
        <w:rPr>
          <w:rFonts w:hint="eastAsia" w:ascii="仿宋_GB2312" w:eastAsia="仿宋_GB2312"/>
          <w:b w:val="0"/>
          <w:bCs/>
          <w:sz w:val="30"/>
          <w:szCs w:val="30"/>
        </w:rPr>
        <w:t xml:space="preserve"> </w:t>
      </w:r>
      <w:r>
        <w:rPr>
          <w:rFonts w:hint="eastAsia" w:ascii="仿宋_GB2312" w:hAnsi="仿宋_GB2312" w:eastAsia="仿宋_GB2312" w:cs="仿宋_GB2312"/>
          <w:b w:val="0"/>
          <w:bCs/>
          <w:kern w:val="16"/>
          <w:sz w:val="32"/>
          <w:szCs w:val="32"/>
        </w:rPr>
        <w:t>政务服务和公共资源交易服务中心</w:t>
      </w:r>
      <w:r>
        <w:rPr>
          <w:rFonts w:hint="eastAsia" w:ascii="仿宋_GB2312" w:eastAsia="仿宋_GB2312" w:cs="宋体"/>
          <w:kern w:val="0"/>
          <w:sz w:val="30"/>
          <w:szCs w:val="30"/>
        </w:rPr>
        <w:t>机构设置：</w:t>
      </w:r>
      <w:r>
        <w:rPr>
          <w:rFonts w:hint="eastAsia" w:ascii="仿宋_GB2312" w:hAnsi="Times New Roman" w:eastAsia="仿宋_GB2312"/>
          <w:kern w:val="0"/>
          <w:sz w:val="30"/>
          <w:szCs w:val="22"/>
          <w:lang w:val="zh-CN"/>
        </w:rPr>
        <w:t xml:space="preserve">独立编制单位机构数为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个</w:t>
      </w:r>
      <w:r>
        <w:rPr>
          <w:rFonts w:hint="eastAsia" w:ascii="仿宋_GB2312" w:hAnsi="Times New Roman" w:eastAsia="仿宋_GB2312"/>
          <w:kern w:val="0"/>
          <w:sz w:val="30"/>
          <w:szCs w:val="22"/>
        </w:rPr>
        <w:t>，</w:t>
      </w:r>
      <w:r>
        <w:rPr>
          <w:rFonts w:hint="eastAsia" w:ascii="仿宋_GB2312" w:hAnsi="Times New Roman" w:eastAsia="仿宋_GB2312"/>
          <w:kern w:val="0"/>
          <w:sz w:val="30"/>
          <w:szCs w:val="22"/>
          <w:lang w:val="zh-CN"/>
        </w:rPr>
        <w:t>财政供养人员编制为</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名，其中行政编制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 xml:space="preserve">名，行政工勤编制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名，事业编制</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名。实际财政供养人员</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人，其中：行政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 xml:space="preserve">人，行政工勤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人， 事业</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 人。 </w:t>
      </w:r>
    </w:p>
    <w:p>
      <w:pPr>
        <w:numPr>
          <w:ilvl w:val="0"/>
          <w:numId w:val="1"/>
        </w:numPr>
        <w:snapToGrid w:val="0"/>
        <w:spacing w:line="360" w:lineRule="auto"/>
        <w:rPr>
          <w:rFonts w:ascii="楷体" w:hAnsi="楷体" w:eastAsia="楷体" w:cs="楷体"/>
          <w:b/>
          <w:bCs/>
          <w:sz w:val="30"/>
          <w:szCs w:val="30"/>
        </w:rPr>
      </w:pPr>
      <w:bookmarkStart w:id="5" w:name="_Toc19488"/>
      <w:r>
        <w:rPr>
          <w:rFonts w:hint="eastAsia" w:ascii="楷体" w:hAnsi="楷体" w:eastAsia="楷体" w:cs="楷体"/>
          <w:b/>
          <w:bCs/>
          <w:sz w:val="30"/>
          <w:szCs w:val="30"/>
        </w:rPr>
        <w:t>当年取得的主要成效：</w:t>
      </w:r>
      <w:bookmarkEnd w:id="5"/>
    </w:p>
    <w:p>
      <w:pPr>
        <w:spacing w:line="578" w:lineRule="exact"/>
        <w:ind w:firstLine="600" w:firstLineChars="200"/>
        <w:rPr>
          <w:rFonts w:ascii="仿宋_GB2312" w:hAnsi="仿宋_GB2312" w:eastAsia="仿宋_GB2312" w:cs="仿宋_GB2312"/>
          <w:kern w:val="0"/>
          <w:sz w:val="30"/>
          <w:szCs w:val="30"/>
        </w:rPr>
      </w:pPr>
      <w:r>
        <w:rPr>
          <w:rFonts w:hint="eastAsia" w:ascii="仿宋_GB2312" w:hAnsi="楷体" w:eastAsia="仿宋_GB2312" w:cs="楷体"/>
          <w:kern w:val="0"/>
          <w:sz w:val="30"/>
          <w:szCs w:val="30"/>
        </w:rPr>
        <w:t>顺利完成机构改革工作</w:t>
      </w:r>
      <w:r>
        <w:rPr>
          <w:rFonts w:hint="eastAsia" w:ascii="仿宋_GB2312" w:hAnsi="楷体" w:eastAsia="仿宋_GB2312" w:cs="楷体"/>
          <w:kern w:val="0"/>
          <w:sz w:val="32"/>
          <w:szCs w:val="32"/>
        </w:rPr>
        <w:t>，</w:t>
      </w:r>
      <w:r>
        <w:rPr>
          <w:rFonts w:hint="eastAsia" w:ascii="仿宋_GB2312" w:hAnsi="仿宋_GB2312" w:eastAsia="仿宋_GB2312" w:cs="仿宋_GB2312"/>
          <w:kern w:val="0"/>
          <w:sz w:val="30"/>
          <w:szCs w:val="30"/>
        </w:rPr>
        <w:t>2019年3月，根据《中共金川县委、金川县人民政府关于印发〈金川县机构改革方案〉的通知》（金委办发〔 2019 〕 4号）和《金川县深化机构改革工作领导小组、中共金川县委机构编制委员会印发〈关于金川县机构改革方案的实施意见〉的通知》（金机改〔 2019 〕1号）要求，我单位积极配合、主动衔接、采取措施，确保机构改革工作顺利完成：按要求制定了《金川县行政审批局职能配置、内设机构和人员编制规定》；完成了“金川县行政审批局”挂牌及相关工作流程，正式成立了“金川县行政审批局；采取措施与各相关部门对接，部署好大厅窗口业务划转工作，确保机改期间各项工作平稳过渡，顺利完成了各项机改工作。</w:t>
      </w:r>
    </w:p>
    <w:p>
      <w:pPr>
        <w:snapToGrid w:val="0"/>
        <w:spacing w:line="360" w:lineRule="auto"/>
        <w:ind w:firstLine="600" w:firstLineChars="200"/>
        <w:rPr>
          <w:rFonts w:ascii="楷体" w:hAnsi="楷体" w:eastAsia="楷体" w:cs="楷体"/>
          <w:b/>
          <w:bCs/>
          <w:sz w:val="30"/>
          <w:szCs w:val="30"/>
        </w:rPr>
      </w:pPr>
      <w:r>
        <w:rPr>
          <w:rFonts w:hint="eastAsia" w:ascii="仿宋_GB2312" w:hAnsi="仿宋_GB2312" w:eastAsia="仿宋_GB2312" w:cs="仿宋_GB2312"/>
          <w:sz w:val="30"/>
          <w:szCs w:val="30"/>
        </w:rPr>
        <w:t>我县公共资源交易工作，在县委政府的高度重视下，在上级部门的指导下，坚持公开透明、公平竞争、公正、诚实信用的原则，严格按照《中华人民共和国招投标法》、《中华人民共和国政府采购法》等相关法律、法规，圆满完成了2019年政府采购和公共资源交易工作。</w:t>
      </w:r>
    </w:p>
    <w:p>
      <w:pPr>
        <w:spacing w:line="600" w:lineRule="exact"/>
        <w:ind w:firstLine="643" w:firstLineChars="200"/>
        <w:outlineLvl w:val="0"/>
        <w:rPr>
          <w:rFonts w:ascii="黑体" w:eastAsia="黑体"/>
          <w:b/>
          <w:bCs/>
          <w:color w:val="000000"/>
          <w:sz w:val="32"/>
          <w:szCs w:val="32"/>
        </w:rPr>
      </w:pPr>
      <w:bookmarkStart w:id="6" w:name="_Toc13512"/>
      <w:bookmarkStart w:id="7" w:name="_Toc3164"/>
      <w:r>
        <w:rPr>
          <w:rFonts w:hint="eastAsia" w:ascii="黑体" w:eastAsia="黑体"/>
          <w:b/>
          <w:bCs/>
          <w:color w:val="000000"/>
          <w:sz w:val="32"/>
          <w:szCs w:val="32"/>
        </w:rPr>
        <w:t>三、一般公共预算财政拨款</w:t>
      </w:r>
      <w:r>
        <w:rPr>
          <w:rFonts w:hint="eastAsia" w:ascii="黑体" w:eastAsia="黑体"/>
          <w:b/>
          <w:bCs/>
          <w:color w:val="000000"/>
          <w:sz w:val="32"/>
          <w:szCs w:val="32"/>
          <w:lang w:eastAsia="zh-CN"/>
        </w:rPr>
        <w:t>收入、</w:t>
      </w:r>
      <w:r>
        <w:rPr>
          <w:rFonts w:hint="eastAsia" w:ascii="黑体" w:eastAsia="黑体"/>
          <w:b/>
          <w:bCs/>
          <w:color w:val="000000"/>
          <w:sz w:val="32"/>
          <w:szCs w:val="32"/>
        </w:rPr>
        <w:t>支出决算情况</w:t>
      </w:r>
      <w:bookmarkEnd w:id="6"/>
      <w:bookmarkEnd w:id="7"/>
    </w:p>
    <w:p>
      <w:pPr>
        <w:spacing w:line="600" w:lineRule="exact"/>
        <w:ind w:firstLine="645"/>
        <w:rPr>
          <w:rFonts w:ascii="仿宋_GB2312" w:hAnsi="宋体" w:eastAsia="仿宋_GB2312" w:cs="宋体"/>
          <w:color w:val="000000"/>
          <w:kern w:val="0"/>
          <w:sz w:val="30"/>
          <w:szCs w:val="30"/>
        </w:rPr>
      </w:pPr>
      <w:r>
        <w:rPr>
          <w:rFonts w:hint="eastAsia" w:ascii="仿宋_GB2312" w:eastAsia="仿宋_GB2312"/>
          <w:color w:val="000000"/>
          <w:sz w:val="30"/>
          <w:szCs w:val="30"/>
        </w:rPr>
        <w:t>金川县行政审批局2019年一般公共预算财政拨款</w:t>
      </w:r>
      <w:r>
        <w:rPr>
          <w:rFonts w:hint="eastAsia" w:ascii="仿宋_GB2312" w:eastAsia="仿宋_GB2312"/>
          <w:color w:val="000000"/>
          <w:sz w:val="30"/>
          <w:szCs w:val="30"/>
          <w:lang w:eastAsia="zh-CN"/>
        </w:rPr>
        <w:t>收入</w:t>
      </w:r>
      <w:r>
        <w:rPr>
          <w:rFonts w:hint="eastAsia" w:ascii="仿宋_GB2312" w:eastAsia="仿宋_GB2312"/>
          <w:color w:val="000000"/>
          <w:sz w:val="30"/>
          <w:szCs w:val="30"/>
          <w:lang w:val="en-US" w:eastAsia="zh-CN"/>
        </w:rPr>
        <w:t>191.22万元，</w:t>
      </w:r>
      <w:r>
        <w:rPr>
          <w:rFonts w:hint="eastAsia" w:ascii="仿宋_GB2312" w:eastAsia="仿宋_GB2312"/>
          <w:color w:val="000000"/>
          <w:sz w:val="30"/>
          <w:szCs w:val="30"/>
        </w:rPr>
        <w:t>一般公共预算财政拨款基本支出214.64万元，其中：人员经费150.99万元，主要包括：基本工资34.81万元、津贴补贴28.58万元、奖金3.43万元、绩效工资18.37万元、机关事业单位基本养老保险缴费14.26万元、职业年金缴费6.47万元、职工基本医疗保险6.16万元、公务员医疗补助缴费1.52万元、其他社会保障缴费2.35万元、住房公积金12.62万元，奖励金22.42万元。</w:t>
      </w:r>
      <w:r>
        <w:rPr>
          <w:rFonts w:hint="eastAsia" w:ascii="仿宋_GB2312" w:eastAsia="仿宋_GB2312"/>
          <w:color w:val="000000"/>
          <w:sz w:val="30"/>
          <w:szCs w:val="30"/>
        </w:rPr>
        <w:br w:type="textWrapping"/>
      </w:r>
      <w:bookmarkStart w:id="8" w:name="_Toc25434"/>
      <w:bookmarkStart w:id="9" w:name="_Toc12371"/>
      <w:r>
        <w:rPr>
          <w:rFonts w:hint="eastAsia" w:ascii="仿宋_GB2312" w:hAnsi="宋体" w:eastAsia="仿宋_GB2312" w:cs="宋体"/>
          <w:color w:val="000000"/>
          <w:kern w:val="0"/>
          <w:sz w:val="30"/>
          <w:szCs w:val="30"/>
        </w:rPr>
        <w:t xml:space="preserve">  　公用经费63.65万元，主要包括：办公费22.89万元、水费0.6万元、邮电费10.63万元、电费6万元、取暖费0.08万元、差旅费12.81万元、维修费7.56万元、公务接待费0.19万元、劳务费1.39万元、其他交通费用1.5万元。</w:t>
      </w:r>
    </w:p>
    <w:p>
      <w:pPr>
        <w:spacing w:line="500" w:lineRule="exact"/>
        <w:ind w:firstLine="964" w:firstLineChars="300"/>
        <w:rPr>
          <w:rFonts w:ascii="黑体" w:eastAsia="黑体"/>
          <w:b/>
          <w:bCs/>
          <w:color w:val="000000"/>
          <w:sz w:val="32"/>
          <w:szCs w:val="32"/>
        </w:rPr>
      </w:pPr>
      <w:r>
        <w:rPr>
          <w:rFonts w:hint="eastAsia" w:ascii="黑体" w:eastAsia="黑体"/>
          <w:b/>
          <w:bCs/>
          <w:color w:val="000000"/>
          <w:sz w:val="32"/>
          <w:szCs w:val="32"/>
        </w:rPr>
        <w:t>四、“三公”经费财政拨款支出决算情况</w:t>
      </w:r>
      <w:bookmarkEnd w:id="8"/>
      <w:bookmarkEnd w:id="9"/>
    </w:p>
    <w:p>
      <w:pPr>
        <w:spacing w:line="600" w:lineRule="exact"/>
        <w:ind w:firstLine="640"/>
        <w:outlineLvl w:val="1"/>
        <w:rPr>
          <w:rFonts w:ascii="楷体" w:hAnsi="楷体" w:eastAsia="楷体" w:cs="楷体"/>
          <w:b/>
          <w:color w:val="000000"/>
          <w:sz w:val="30"/>
          <w:szCs w:val="30"/>
        </w:rPr>
      </w:pPr>
      <w:bookmarkStart w:id="10" w:name="_Toc6872"/>
      <w:r>
        <w:rPr>
          <w:rFonts w:hint="eastAsia" w:ascii="楷体" w:hAnsi="楷体" w:eastAsia="楷体" w:cs="楷体"/>
          <w:b/>
          <w:color w:val="000000"/>
          <w:sz w:val="30"/>
          <w:szCs w:val="30"/>
        </w:rPr>
        <w:t>（一）“三公”经费财政拨款支出决算总体情况说明</w:t>
      </w:r>
      <w:bookmarkEnd w:id="10"/>
    </w:p>
    <w:p>
      <w:pPr>
        <w:spacing w:line="600" w:lineRule="exact"/>
        <w:ind w:firstLine="645"/>
        <w:rPr>
          <w:rFonts w:ascii="仿宋_GB2312" w:hAnsi="仿宋_GB2312" w:eastAsia="仿宋_GB2312" w:cs="仿宋_GB2312"/>
          <w:color w:val="000000"/>
          <w:kern w:val="0"/>
          <w:sz w:val="30"/>
          <w:szCs w:val="30"/>
        </w:rPr>
      </w:pPr>
      <w:r>
        <w:rPr>
          <w:rFonts w:hint="eastAsia" w:ascii="仿宋_GB2312" w:eastAsia="仿宋_GB2312"/>
          <w:color w:val="000000"/>
          <w:sz w:val="30"/>
          <w:szCs w:val="30"/>
        </w:rPr>
        <w:t>金川县行政审批局</w:t>
      </w:r>
      <w:r>
        <w:rPr>
          <w:rFonts w:hint="eastAsia" w:ascii="仿宋_GB2312" w:hAnsi="仿宋_GB2312" w:eastAsia="仿宋_GB2312" w:cs="仿宋_GB2312"/>
          <w:color w:val="000000"/>
          <w:kern w:val="0"/>
          <w:sz w:val="30"/>
          <w:szCs w:val="30"/>
        </w:rPr>
        <w:t>2019年“三公”经费:</w:t>
      </w:r>
      <w:r>
        <w:rPr>
          <w:rFonts w:ascii="仿宋_GB2312" w:hAnsi="仿宋_GB2312" w:eastAsia="仿宋_GB2312" w:cs="仿宋_GB2312"/>
          <w:color w:val="000000"/>
          <w:kern w:val="0"/>
          <w:sz w:val="30"/>
          <w:szCs w:val="30"/>
        </w:rPr>
        <w:t xml:space="preserve"> </w:t>
      </w:r>
    </w:p>
    <w:p>
      <w:pPr>
        <w:spacing w:line="600" w:lineRule="exact"/>
        <w:ind w:firstLine="640"/>
        <w:rPr>
          <w:rFonts w:ascii="仿宋_GB2312" w:eastAsia="仿宋_GB2312"/>
          <w:color w:val="333333"/>
          <w:sz w:val="30"/>
          <w:szCs w:val="30"/>
        </w:rPr>
      </w:pPr>
      <w:r>
        <w:rPr>
          <w:rFonts w:hint="eastAsia" w:ascii="仿宋_GB2312" w:eastAsia="仿宋_GB2312"/>
          <w:color w:val="333333"/>
          <w:sz w:val="30"/>
          <w:szCs w:val="30"/>
        </w:rPr>
        <w:t>2019年度“三公”经费财政拨款支出决算为</w:t>
      </w:r>
      <w:r>
        <w:rPr>
          <w:rFonts w:hint="eastAsia" w:ascii="仿宋_GB2312" w:hAnsi="仿宋_GB2312" w:eastAsia="仿宋_GB2312" w:cs="仿宋_GB2312"/>
          <w:color w:val="000000"/>
          <w:kern w:val="0"/>
          <w:sz w:val="30"/>
          <w:szCs w:val="30"/>
        </w:rPr>
        <w:t>0.19</w:t>
      </w:r>
      <w:r>
        <w:rPr>
          <w:rFonts w:hint="eastAsia" w:ascii="仿宋_GB2312" w:eastAsia="仿宋_GB2312"/>
          <w:color w:val="333333"/>
          <w:sz w:val="30"/>
          <w:szCs w:val="30"/>
        </w:rPr>
        <w:t>万元，完成预算100%，其中：因公出国（境）费支出0万元；公务用车购置及运行维护费支出决算为0万元；公务接待费支出决算为0.19万元，完成预算100%，2019年度“三公”经费支出决算数等于年初预算数。</w:t>
      </w:r>
    </w:p>
    <w:p>
      <w:pPr>
        <w:spacing w:line="460" w:lineRule="exact"/>
        <w:ind w:firstLine="600" w:firstLineChars="200"/>
        <w:rPr>
          <w:rFonts w:ascii="仿宋_GB2312" w:hAnsi="宋体" w:eastAsia="仿宋_GB2312" w:cs="宋体"/>
          <w:color w:val="333333"/>
          <w:kern w:val="0"/>
          <w:sz w:val="30"/>
          <w:szCs w:val="30"/>
        </w:rPr>
      </w:pPr>
      <w:r>
        <w:rPr>
          <w:rFonts w:hint="eastAsia" w:ascii="仿宋_GB2312" w:eastAsia="仿宋_GB2312"/>
          <w:color w:val="333333"/>
          <w:sz w:val="30"/>
          <w:szCs w:val="30"/>
        </w:rPr>
        <w:t>2019年度“三公”经费财政拨款支出决算数比2018年</w:t>
      </w:r>
      <w:r>
        <w:rPr>
          <w:rFonts w:hint="eastAsia" w:ascii="仿宋_GB2312" w:eastAsia="仿宋_GB2312"/>
          <w:color w:val="000000"/>
          <w:sz w:val="30"/>
          <w:szCs w:val="30"/>
        </w:rPr>
        <w:t>增加0.19</w:t>
      </w:r>
      <w:r>
        <w:rPr>
          <w:rFonts w:hint="eastAsia" w:ascii="仿宋_GB2312" w:eastAsia="仿宋_GB2312"/>
          <w:color w:val="333333"/>
          <w:sz w:val="30"/>
          <w:szCs w:val="30"/>
        </w:rPr>
        <w:t>万元，</w:t>
      </w:r>
      <w:r>
        <w:rPr>
          <w:rFonts w:hint="eastAsia" w:ascii="仿宋_GB2312" w:eastAsia="仿宋_GB2312"/>
          <w:color w:val="000000"/>
          <w:sz w:val="30"/>
          <w:szCs w:val="30"/>
        </w:rPr>
        <w:t>增加100%。原因是：我局2018年未预算</w:t>
      </w:r>
      <w:r>
        <w:rPr>
          <w:rFonts w:hint="eastAsia" w:ascii="仿宋_GB2312" w:eastAsia="仿宋_GB2312"/>
          <w:color w:val="333333"/>
          <w:sz w:val="30"/>
          <w:szCs w:val="30"/>
        </w:rPr>
        <w:t>“三公”经费。</w:t>
      </w:r>
    </w:p>
    <w:p>
      <w:pPr>
        <w:spacing w:line="600" w:lineRule="exact"/>
        <w:ind w:firstLine="602" w:firstLineChars="200"/>
        <w:outlineLvl w:val="1"/>
        <w:rPr>
          <w:rFonts w:ascii="楷体" w:hAnsi="楷体" w:eastAsia="楷体" w:cs="楷体"/>
          <w:b/>
          <w:color w:val="333333"/>
          <w:sz w:val="30"/>
          <w:szCs w:val="30"/>
        </w:rPr>
      </w:pPr>
      <w:bookmarkStart w:id="11" w:name="_Toc2762"/>
      <w:r>
        <w:rPr>
          <w:rFonts w:hint="eastAsia" w:ascii="楷体" w:hAnsi="楷体" w:eastAsia="楷体" w:cs="楷体"/>
          <w:b/>
          <w:color w:val="333333"/>
          <w:sz w:val="30"/>
          <w:szCs w:val="30"/>
        </w:rPr>
        <w:t>（二）“三公”经费财政拨款支出决算具体情况说明</w:t>
      </w:r>
      <w:bookmarkEnd w:id="11"/>
    </w:p>
    <w:p>
      <w:pPr>
        <w:spacing w:line="600" w:lineRule="exact"/>
        <w:ind w:firstLine="640"/>
        <w:rPr>
          <w:rFonts w:ascii="仿宋_GB2312" w:eastAsia="仿宋_GB2312"/>
          <w:color w:val="000000"/>
          <w:sz w:val="30"/>
          <w:szCs w:val="30"/>
        </w:rPr>
      </w:pPr>
      <w:r>
        <w:rPr>
          <w:rFonts w:hint="eastAsia" w:ascii="仿宋_GB2312" w:eastAsia="仿宋_GB2312"/>
          <w:color w:val="333333"/>
          <w:sz w:val="30"/>
          <w:szCs w:val="30"/>
        </w:rPr>
        <w:t>2019年度“三公”经费财政拨款支出决算中，因公出国（境）费0万元；</w:t>
      </w:r>
      <w:r>
        <w:rPr>
          <w:rFonts w:hint="eastAsia" w:ascii="仿宋_GB2312" w:eastAsia="仿宋_GB2312"/>
          <w:color w:val="000000"/>
          <w:sz w:val="30"/>
          <w:szCs w:val="30"/>
        </w:rPr>
        <w:t>占0%，</w:t>
      </w:r>
      <w:r>
        <w:rPr>
          <w:rFonts w:hint="eastAsia" w:ascii="仿宋_GB2312" w:eastAsia="仿宋_GB2312"/>
          <w:color w:val="333333"/>
          <w:sz w:val="30"/>
          <w:szCs w:val="30"/>
        </w:rPr>
        <w:t>公务用车购置及运行维护费支出决算0万元，</w:t>
      </w:r>
      <w:r>
        <w:rPr>
          <w:rFonts w:hint="eastAsia" w:ascii="仿宋_GB2312" w:eastAsia="仿宋_GB2312"/>
          <w:color w:val="000000"/>
          <w:sz w:val="30"/>
          <w:szCs w:val="30"/>
        </w:rPr>
        <w:t>占0%</w:t>
      </w:r>
      <w:r>
        <w:rPr>
          <w:rFonts w:hint="eastAsia" w:ascii="仿宋_GB2312" w:eastAsia="仿宋_GB2312"/>
          <w:color w:val="333333"/>
          <w:sz w:val="30"/>
          <w:szCs w:val="30"/>
        </w:rPr>
        <w:t>；公务接待费支出决算0.19万元，</w:t>
      </w:r>
      <w:r>
        <w:rPr>
          <w:rFonts w:hint="eastAsia" w:ascii="仿宋_GB2312" w:eastAsia="仿宋_GB2312"/>
          <w:color w:val="000000"/>
          <w:sz w:val="30"/>
          <w:szCs w:val="30"/>
        </w:rPr>
        <w:t>占100%。具体情况如下：</w:t>
      </w:r>
    </w:p>
    <w:p/>
    <w:p>
      <w:pPr>
        <w:jc w:val="center"/>
      </w:pPr>
      <w:r>
        <w:drawing>
          <wp:inline distT="0" distB="0" distL="0" distR="0">
            <wp:extent cx="3629025" cy="1971675"/>
            <wp:effectExtent l="0" t="0" r="9525"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600" w:lineRule="exact"/>
        <w:ind w:firstLine="640"/>
        <w:outlineLvl w:val="2"/>
        <w:rPr>
          <w:rFonts w:ascii="楷体" w:hAnsi="楷体" w:eastAsia="楷体" w:cs="楷体"/>
          <w:b/>
          <w:color w:val="000000"/>
          <w:sz w:val="30"/>
          <w:szCs w:val="30"/>
        </w:rPr>
      </w:pPr>
      <w:bookmarkStart w:id="12" w:name="_Toc6049"/>
      <w:r>
        <w:rPr>
          <w:rFonts w:hint="eastAsia" w:ascii="楷体" w:hAnsi="楷体" w:eastAsia="楷体" w:cs="楷体"/>
          <w:b/>
          <w:color w:val="000000"/>
          <w:sz w:val="30"/>
          <w:szCs w:val="30"/>
        </w:rPr>
        <w:t>1.因公出国（境）经费</w:t>
      </w:r>
      <w:bookmarkEnd w:id="12"/>
    </w:p>
    <w:p>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9年因公出国（境）费0万元。</w:t>
      </w:r>
    </w:p>
    <w:p>
      <w:pPr>
        <w:spacing w:line="600" w:lineRule="exact"/>
        <w:ind w:firstLine="602" w:firstLineChars="200"/>
        <w:outlineLvl w:val="2"/>
        <w:rPr>
          <w:rFonts w:ascii="楷体" w:hAnsi="楷体" w:eastAsia="楷体" w:cs="楷体"/>
          <w:b/>
          <w:color w:val="000000"/>
          <w:sz w:val="30"/>
          <w:szCs w:val="30"/>
        </w:rPr>
      </w:pPr>
      <w:bookmarkStart w:id="13" w:name="_Toc22919"/>
      <w:r>
        <w:rPr>
          <w:rFonts w:hint="eastAsia" w:ascii="楷体" w:hAnsi="楷体" w:eastAsia="楷体" w:cs="楷体"/>
          <w:b/>
          <w:color w:val="000000"/>
          <w:sz w:val="30"/>
          <w:szCs w:val="30"/>
        </w:rPr>
        <w:t>2.公务用车购置及运行维护费</w:t>
      </w:r>
      <w:bookmarkEnd w:id="13"/>
    </w:p>
    <w:p>
      <w:pPr>
        <w:spacing w:line="600" w:lineRule="exact"/>
        <w:ind w:firstLine="640"/>
        <w:rPr>
          <w:rFonts w:ascii="仿宋_GB2312" w:eastAsia="仿宋_GB2312"/>
          <w:color w:val="000000"/>
          <w:sz w:val="30"/>
          <w:szCs w:val="30"/>
        </w:rPr>
      </w:pPr>
      <w:r>
        <w:rPr>
          <w:rFonts w:ascii="仿宋_GB2312" w:eastAsia="仿宋_GB2312"/>
          <w:bCs/>
          <w:color w:val="000000"/>
          <w:sz w:val="30"/>
          <w:szCs w:val="30"/>
        </w:rPr>
        <w:t>201</w:t>
      </w:r>
      <w:r>
        <w:rPr>
          <w:rFonts w:hint="eastAsia" w:ascii="仿宋_GB2312" w:eastAsia="仿宋_GB2312"/>
          <w:bCs/>
          <w:color w:val="000000"/>
          <w:sz w:val="30"/>
          <w:szCs w:val="30"/>
        </w:rPr>
        <w:t>9年公务用车购置及运行维护费0</w:t>
      </w:r>
      <w:r>
        <w:rPr>
          <w:rFonts w:hint="eastAsia" w:ascii="仿宋_GB2312" w:eastAsia="仿宋_GB2312"/>
          <w:color w:val="000000"/>
          <w:sz w:val="30"/>
          <w:szCs w:val="30"/>
        </w:rPr>
        <w:t>万元。</w:t>
      </w:r>
    </w:p>
    <w:p>
      <w:pPr>
        <w:spacing w:line="600" w:lineRule="exact"/>
        <w:ind w:firstLine="640"/>
        <w:outlineLvl w:val="2"/>
        <w:rPr>
          <w:rFonts w:ascii="楷体" w:hAnsi="楷体" w:eastAsia="楷体" w:cs="楷体"/>
          <w:b/>
          <w:color w:val="000000"/>
          <w:sz w:val="30"/>
          <w:szCs w:val="30"/>
        </w:rPr>
      </w:pPr>
      <w:bookmarkStart w:id="14" w:name="_Toc8007"/>
      <w:r>
        <w:rPr>
          <w:rFonts w:hint="eastAsia" w:ascii="楷体" w:hAnsi="楷体" w:eastAsia="楷体" w:cs="楷体"/>
          <w:b/>
          <w:color w:val="000000"/>
          <w:sz w:val="30"/>
          <w:szCs w:val="30"/>
        </w:rPr>
        <w:t>3.公务接待费</w:t>
      </w:r>
      <w:bookmarkEnd w:id="14"/>
    </w:p>
    <w:p>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9年公务接待费0.19万元。国内公务接待2批次，18人，共计支出0.19万元。主要用于执行公务、开展业务活动所开支的餐饮费等。</w:t>
      </w:r>
    </w:p>
    <w:p>
      <w:pPr>
        <w:snapToGrid w:val="0"/>
        <w:spacing w:line="520" w:lineRule="exact"/>
        <w:ind w:firstLine="640" w:firstLineChars="200"/>
        <w:outlineLvl w:val="0"/>
        <w:rPr>
          <w:rFonts w:ascii="黑体" w:hAnsi="黑体" w:eastAsia="黑体"/>
          <w:sz w:val="32"/>
          <w:szCs w:val="32"/>
        </w:rPr>
      </w:pPr>
      <w:bookmarkStart w:id="15" w:name="YS060103"/>
      <w:bookmarkStart w:id="16" w:name="_Toc7579"/>
      <w:bookmarkStart w:id="17" w:name="_Toc31036"/>
    </w:p>
    <w:p>
      <w:pPr>
        <w:snapToGrid w:val="0"/>
        <w:spacing w:line="520" w:lineRule="exact"/>
        <w:ind w:firstLine="640" w:firstLineChars="200"/>
        <w:outlineLvl w:val="0"/>
        <w:rPr>
          <w:rFonts w:ascii="黑体" w:hAnsi="黑体" w:eastAsia="黑体"/>
          <w:sz w:val="32"/>
          <w:szCs w:val="32"/>
        </w:rPr>
      </w:pPr>
    </w:p>
    <w:p>
      <w:pPr>
        <w:snapToGrid w:val="0"/>
        <w:spacing w:line="520" w:lineRule="exact"/>
        <w:outlineLvl w:val="0"/>
        <w:rPr>
          <w:rFonts w:ascii="黑体" w:hAnsi="黑体" w:eastAsia="黑体"/>
          <w:sz w:val="32"/>
          <w:szCs w:val="32"/>
        </w:rPr>
      </w:pPr>
    </w:p>
    <w:p>
      <w:pPr>
        <w:snapToGrid w:val="0"/>
        <w:spacing w:line="520" w:lineRule="exact"/>
        <w:ind w:firstLine="640" w:firstLineChars="200"/>
        <w:outlineLvl w:val="0"/>
        <w:rPr>
          <w:rFonts w:ascii="黑体" w:hAnsi="黑体" w:eastAsia="黑体"/>
          <w:sz w:val="32"/>
          <w:szCs w:val="32"/>
        </w:rPr>
      </w:pPr>
      <w:r>
        <w:rPr>
          <w:rFonts w:hint="eastAsia" w:ascii="黑体" w:hAnsi="黑体" w:eastAsia="黑体"/>
          <w:sz w:val="32"/>
          <w:szCs w:val="32"/>
        </w:rPr>
        <w:t>五、资产负债情况分析</w:t>
      </w:r>
      <w:bookmarkEnd w:id="15"/>
      <w:bookmarkEnd w:id="16"/>
      <w:bookmarkEnd w:id="17"/>
    </w:p>
    <w:p>
      <w:pPr>
        <w:snapToGrid w:val="0"/>
        <w:spacing w:line="360" w:lineRule="auto"/>
        <w:ind w:firstLine="640" w:firstLineChars="200"/>
        <w:rPr>
          <w:rFonts w:ascii="仿宋_GB2312" w:hAnsi="Times New Roman" w:eastAsia="仿宋_GB2312"/>
          <w:bCs/>
          <w:sz w:val="32"/>
        </w:rPr>
      </w:pPr>
      <w:r>
        <w:rPr>
          <w:rFonts w:hint="eastAsia" w:ascii="仿宋_GB2312" w:hAnsi="Times New Roman" w:eastAsia="仿宋_GB2312"/>
          <w:bCs/>
          <w:sz w:val="32"/>
        </w:rPr>
        <w:drawing>
          <wp:anchor distT="0" distB="0" distL="114300" distR="114300" simplePos="0" relativeHeight="251659264" behindDoc="0" locked="0" layoutInCell="1" allowOverlap="1">
            <wp:simplePos x="0" y="0"/>
            <wp:positionH relativeFrom="column">
              <wp:posOffset>685800</wp:posOffset>
            </wp:positionH>
            <wp:positionV relativeFrom="paragraph">
              <wp:posOffset>3434080</wp:posOffset>
            </wp:positionV>
            <wp:extent cx="3877310" cy="1743710"/>
            <wp:effectExtent l="0" t="0" r="0" b="3810"/>
            <wp:wrapNone/>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Times New Roman" w:eastAsia="仿宋_GB2312"/>
          <w:bCs/>
          <w:sz w:val="32"/>
        </w:rPr>
        <w:t>2019年我单位资产总计85.41万元，上年数315.84万元，比上年减少230.43万元，主要原因2018年度的固定资产在2019年已计提折旧，固定资产累计折旧230.03万元，财政应返还额度1.03万元在2019年已全部支付，负债总计0.63万元，上年数0万元，比上年增加0.63万元。净资产总计84.78万元，上年数315.84万元，比上年减少228.76万元，主要原因固定资产累计折旧230.03万元，财政应返还额度1.03万元在2019年已全部支付。下面用柱状图直观地表示出来：</w:t>
      </w:r>
    </w:p>
    <w:p>
      <w:pPr>
        <w:snapToGrid w:val="0"/>
        <w:spacing w:line="360" w:lineRule="auto"/>
        <w:ind w:firstLine="640" w:firstLineChars="200"/>
        <w:rPr>
          <w:rFonts w:ascii="仿宋_GB2312" w:hAnsi="Times New Roman" w:eastAsia="仿宋_GB2312"/>
          <w:bCs/>
          <w:sz w:val="32"/>
        </w:rPr>
      </w:pPr>
    </w:p>
    <w:p>
      <w:pPr>
        <w:snapToGrid w:val="0"/>
        <w:spacing w:line="360" w:lineRule="auto"/>
        <w:rPr>
          <w:rFonts w:ascii="仿宋_GB2312" w:hAnsi="Times New Roman" w:eastAsia="仿宋_GB2312"/>
          <w:bCs/>
          <w:sz w:val="32"/>
        </w:rPr>
      </w:pPr>
    </w:p>
    <w:p>
      <w:pPr>
        <w:snapToGrid w:val="0"/>
        <w:spacing w:line="360" w:lineRule="auto"/>
        <w:rPr>
          <w:rFonts w:ascii="仿宋_GB2312" w:hAnsi="Times New Roman" w:eastAsia="仿宋_GB2312"/>
          <w:bCs/>
          <w:sz w:val="32"/>
        </w:rPr>
      </w:pPr>
    </w:p>
    <w:p>
      <w:pPr>
        <w:snapToGrid w:val="0"/>
        <w:spacing w:line="360" w:lineRule="auto"/>
        <w:rPr>
          <w:rFonts w:ascii="仿宋_GB2312" w:hAnsi="Times New Roman" w:eastAsia="仿宋_GB2312"/>
          <w:bCs/>
          <w:sz w:val="32"/>
        </w:rPr>
      </w:pPr>
    </w:p>
    <w:p>
      <w:pPr>
        <w:snapToGrid w:val="0"/>
        <w:spacing w:line="360" w:lineRule="auto"/>
        <w:rPr>
          <w:rFonts w:ascii="仿宋_GB2312" w:hAnsi="Times New Roman" w:eastAsia="仿宋_GB2312"/>
          <w:bCs/>
          <w:sz w:val="32"/>
        </w:rPr>
      </w:pPr>
    </w:p>
    <w:p>
      <w:pPr>
        <w:spacing w:line="600" w:lineRule="exact"/>
        <w:ind w:firstLine="640"/>
        <w:outlineLvl w:val="0"/>
        <w:rPr>
          <w:rFonts w:ascii="黑体" w:hAnsi="黑体" w:eastAsia="黑体" w:cs="黑体"/>
          <w:b/>
          <w:bCs/>
          <w:color w:val="000000"/>
          <w:sz w:val="32"/>
          <w:szCs w:val="32"/>
        </w:rPr>
      </w:pPr>
      <w:bookmarkStart w:id="18" w:name="_Toc6898"/>
      <w:bookmarkStart w:id="19" w:name="_Toc7698"/>
      <w:r>
        <w:rPr>
          <w:rFonts w:hint="eastAsia" w:ascii="黑体" w:hAnsi="黑体" w:eastAsia="黑体" w:cs="黑体"/>
          <w:b/>
          <w:bCs/>
          <w:color w:val="000000"/>
          <w:sz w:val="32"/>
          <w:szCs w:val="32"/>
        </w:rPr>
        <w:t>六、政府性基金预算财政拨款支出决算情况</w:t>
      </w:r>
      <w:bookmarkEnd w:id="18"/>
      <w:bookmarkEnd w:id="19"/>
    </w:p>
    <w:p>
      <w:pPr>
        <w:spacing w:line="600" w:lineRule="exact"/>
        <w:ind w:firstLine="866" w:firstLineChars="321"/>
        <w:rPr>
          <w:rFonts w:ascii="仿宋_GB2312" w:eastAsia="仿宋_GB2312"/>
          <w:color w:val="000000"/>
          <w:w w:val="90"/>
          <w:sz w:val="30"/>
          <w:szCs w:val="30"/>
        </w:rPr>
      </w:pPr>
      <w:r>
        <w:rPr>
          <w:rFonts w:hint="eastAsia" w:ascii="仿宋_GB2312" w:eastAsia="仿宋_GB2312"/>
          <w:color w:val="000000"/>
          <w:w w:val="90"/>
          <w:sz w:val="30"/>
          <w:szCs w:val="30"/>
        </w:rPr>
        <w:t>金川县行政审批局2019年无政府性基金预算财政拨款支出。</w:t>
      </w:r>
    </w:p>
    <w:p>
      <w:pPr>
        <w:spacing w:line="600" w:lineRule="exact"/>
        <w:ind w:firstLine="643" w:firstLineChars="200"/>
        <w:outlineLvl w:val="0"/>
        <w:rPr>
          <w:rFonts w:ascii="黑体" w:eastAsia="黑体"/>
          <w:b/>
          <w:bCs/>
          <w:color w:val="000000"/>
          <w:sz w:val="32"/>
          <w:szCs w:val="32"/>
        </w:rPr>
      </w:pPr>
      <w:bookmarkStart w:id="20" w:name="_Toc11209"/>
      <w:bookmarkStart w:id="21" w:name="_Toc12269"/>
      <w:r>
        <w:rPr>
          <w:rFonts w:hint="eastAsia" w:ascii="黑体" w:eastAsia="黑体"/>
          <w:b/>
          <w:bCs/>
          <w:color w:val="000000"/>
          <w:sz w:val="32"/>
          <w:szCs w:val="32"/>
        </w:rPr>
        <w:t>七、其他重要事项的情况说明</w:t>
      </w:r>
      <w:bookmarkEnd w:id="20"/>
      <w:bookmarkEnd w:id="21"/>
    </w:p>
    <w:p>
      <w:pPr>
        <w:spacing w:line="600" w:lineRule="exact"/>
        <w:ind w:firstLine="602" w:firstLineChars="200"/>
        <w:outlineLvl w:val="1"/>
        <w:rPr>
          <w:rFonts w:ascii="楷体" w:hAnsi="楷体" w:eastAsia="楷体" w:cs="楷体"/>
          <w:b/>
          <w:color w:val="000000"/>
          <w:sz w:val="30"/>
          <w:szCs w:val="30"/>
        </w:rPr>
      </w:pPr>
      <w:bookmarkStart w:id="22" w:name="_Toc4355"/>
      <w:r>
        <w:rPr>
          <w:rFonts w:hint="eastAsia" w:ascii="楷体" w:hAnsi="楷体" w:eastAsia="楷体" w:cs="楷体"/>
          <w:b/>
          <w:color w:val="000000"/>
          <w:sz w:val="30"/>
          <w:szCs w:val="30"/>
        </w:rPr>
        <w:t>（一）机关运行经费支出情况</w:t>
      </w:r>
      <w:bookmarkEnd w:id="22"/>
    </w:p>
    <w:p>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2019年度，金川县行政审批局机关运行经费</w:t>
      </w:r>
      <w:r>
        <w:rPr>
          <w:rFonts w:hint="eastAsia" w:ascii="仿宋_GB2312" w:eastAsia="仿宋_GB2312"/>
          <w:sz w:val="30"/>
          <w:szCs w:val="30"/>
        </w:rPr>
        <w:t>63.65</w:t>
      </w:r>
      <w:r>
        <w:rPr>
          <w:rFonts w:hint="eastAsia" w:ascii="仿宋_GB2312" w:eastAsia="仿宋_GB2312"/>
          <w:color w:val="000000"/>
          <w:sz w:val="30"/>
          <w:szCs w:val="30"/>
        </w:rPr>
        <w:t>万元。</w:t>
      </w:r>
    </w:p>
    <w:p>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23" w:name="_Toc17192"/>
      <w:r>
        <w:rPr>
          <w:rFonts w:hint="eastAsia" w:ascii="楷体" w:hAnsi="楷体" w:eastAsia="楷体" w:cs="楷体"/>
          <w:b/>
          <w:color w:val="000000"/>
          <w:sz w:val="30"/>
          <w:szCs w:val="30"/>
        </w:rPr>
        <w:t>（二）政府采购支出情况</w:t>
      </w:r>
      <w:bookmarkEnd w:id="23"/>
    </w:p>
    <w:p>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金川县行政审批局无政府采购项目。</w:t>
      </w:r>
    </w:p>
    <w:p>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24" w:name="_Toc8299"/>
      <w:r>
        <w:rPr>
          <w:rFonts w:hint="eastAsia" w:ascii="楷体" w:hAnsi="楷体" w:eastAsia="楷体" w:cs="楷体"/>
          <w:b/>
          <w:color w:val="000000"/>
          <w:sz w:val="30"/>
          <w:szCs w:val="30"/>
        </w:rPr>
        <w:t>（三）国有资产占有使用情况</w:t>
      </w:r>
      <w:bookmarkEnd w:id="24"/>
    </w:p>
    <w:p>
      <w:pPr>
        <w:autoSpaceDE w:val="0"/>
        <w:autoSpaceDN w:val="0"/>
        <w:adjustRightInd w:val="0"/>
        <w:spacing w:line="600" w:lineRule="exact"/>
        <w:ind w:firstLine="600" w:firstLineChars="200"/>
        <w:jc w:val="left"/>
        <w:rPr>
          <w:rFonts w:ascii="仿宋_GB2312" w:eastAsia="仿宋_GB2312"/>
          <w:color w:val="000000"/>
          <w:sz w:val="30"/>
          <w:szCs w:val="30"/>
        </w:rPr>
      </w:pPr>
      <w:r>
        <w:rPr>
          <w:rFonts w:hint="eastAsia" w:ascii="仿宋_GB2312" w:eastAsia="仿宋_GB2312"/>
          <w:sz w:val="30"/>
          <w:szCs w:val="30"/>
        </w:rPr>
        <w:t>一是加强会计核算工作。严格执行现行固定资产管理制度，对已购入的固定资产及时入账，并按照数量、金额登记明细账，编制固定资产卡片，确保账面上能真实、完整的反映单位的固定资产情况，并结合本单位的实际情况，完善固定资产管理制度。二是加强内部监督。定期或</w:t>
      </w:r>
      <w:r>
        <w:rPr>
          <w:rFonts w:hint="eastAsia" w:ascii="仿宋_GB2312" w:eastAsia="仿宋_GB2312"/>
          <w:sz w:val="30"/>
          <w:szCs w:val="30"/>
          <w:lang w:eastAsia="zh-CN"/>
        </w:rPr>
        <w:t>不定期地对</w:t>
      </w:r>
      <w:bookmarkStart w:id="31" w:name="_GoBack"/>
      <w:bookmarkEnd w:id="31"/>
      <w:r>
        <w:rPr>
          <w:rFonts w:hint="eastAsia" w:ascii="仿宋_GB2312" w:eastAsia="仿宋_GB2312"/>
          <w:sz w:val="30"/>
          <w:szCs w:val="30"/>
        </w:rPr>
        <w:t>固定资产进行抽查。检查固定资产的购置、领用、处置等程序是否合规，账实是否相符等，防止国有资产的流失。</w:t>
      </w:r>
      <w:r>
        <w:rPr>
          <w:rFonts w:hint="eastAsia" w:ascii="仿宋_GB2312" w:eastAsia="仿宋_GB2312"/>
          <w:sz w:val="30"/>
          <w:szCs w:val="30"/>
        </w:rPr>
        <w:br w:type="textWrapping"/>
      </w:r>
      <w:r>
        <w:rPr>
          <w:rFonts w:hint="eastAsia" w:ascii="仿宋_GB2312" w:eastAsia="仿宋_GB2312"/>
          <w:color w:val="000000"/>
          <w:sz w:val="30"/>
          <w:szCs w:val="30"/>
        </w:rPr>
        <w:t xml:space="preserve">    截至2019年12月31日，我办有公务用车辆0辆，；无单价50万元以上通用设备，无单价100万元以上专用设备。</w:t>
      </w:r>
    </w:p>
    <w:p>
      <w:pPr>
        <w:autoSpaceDE w:val="0"/>
        <w:autoSpaceDN w:val="0"/>
        <w:adjustRightInd w:val="0"/>
        <w:spacing w:line="600" w:lineRule="exact"/>
        <w:ind w:firstLine="643" w:firstLineChars="200"/>
        <w:jc w:val="left"/>
        <w:outlineLvl w:val="1"/>
        <w:rPr>
          <w:rFonts w:ascii="楷体" w:hAnsi="楷体" w:eastAsia="楷体" w:cs="楷体"/>
          <w:b/>
          <w:color w:val="000000"/>
          <w:sz w:val="32"/>
          <w:szCs w:val="32"/>
        </w:rPr>
      </w:pPr>
      <w:bookmarkStart w:id="25" w:name="_Toc8700"/>
      <w:r>
        <w:rPr>
          <w:rFonts w:hint="eastAsia" w:ascii="楷体" w:hAnsi="楷体" w:eastAsia="楷体" w:cs="楷体"/>
          <w:b/>
          <w:color w:val="000000"/>
          <w:sz w:val="32"/>
          <w:szCs w:val="32"/>
        </w:rPr>
        <w:t>（四）预算绩效情况</w:t>
      </w:r>
      <w:bookmarkEnd w:id="25"/>
    </w:p>
    <w:p>
      <w:pPr>
        <w:widowControl/>
        <w:ind w:firstLine="600" w:firstLineChars="200"/>
        <w:jc w:val="left"/>
        <w:rPr>
          <w:rFonts w:ascii="仿宋_GB2312" w:hAnsi="宋体" w:eastAsia="仿宋_GB2312" w:cs="宋体"/>
          <w:kern w:val="0"/>
          <w:sz w:val="30"/>
          <w:szCs w:val="30"/>
        </w:rPr>
      </w:pPr>
      <w:bookmarkStart w:id="26" w:name="_Toc13295"/>
      <w:r>
        <w:rPr>
          <w:rFonts w:hint="eastAsia" w:ascii="仿宋_GB2312" w:hAnsi="宋体" w:eastAsia="仿宋_GB2312" w:cs="宋体"/>
          <w:kern w:val="0"/>
          <w:sz w:val="30"/>
          <w:szCs w:val="30"/>
        </w:rPr>
        <w:t>　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w:t>
      </w:r>
    </w:p>
    <w:p>
      <w:pPr>
        <w:spacing w:line="600" w:lineRule="atLeast"/>
        <w:ind w:firstLine="602" w:firstLineChars="200"/>
        <w:outlineLvl w:val="2"/>
        <w:rPr>
          <w:rFonts w:ascii="楷体" w:hAnsi="楷体" w:eastAsia="楷体" w:cs="楷体"/>
          <w:b/>
          <w:bCs/>
          <w:sz w:val="30"/>
          <w:szCs w:val="30"/>
        </w:rPr>
      </w:pPr>
      <w:r>
        <w:rPr>
          <w:rFonts w:hint="eastAsia" w:ascii="楷体" w:hAnsi="楷体" w:eastAsia="楷体" w:cs="楷体"/>
          <w:b/>
          <w:bCs/>
          <w:sz w:val="30"/>
          <w:szCs w:val="30"/>
        </w:rPr>
        <w:t>1、评价结论</w:t>
      </w:r>
      <w:bookmarkEnd w:id="26"/>
    </w:p>
    <w:p>
      <w:pPr>
        <w:spacing w:line="600" w:lineRule="atLeast"/>
        <w:ind w:firstLine="600" w:firstLineChars="200"/>
        <w:rPr>
          <w:rFonts w:ascii="仿宋_GB2312" w:eastAsia="仿宋_GB2312"/>
          <w:sz w:val="30"/>
          <w:szCs w:val="30"/>
        </w:rPr>
      </w:pPr>
      <w:r>
        <w:rPr>
          <w:rFonts w:hint="eastAsia" w:ascii="仿宋_GB2312" w:eastAsia="仿宋_GB2312"/>
          <w:sz w:val="30"/>
          <w:szCs w:val="30"/>
        </w:rPr>
        <w:t>部门预算执行情况良好，无不良记录及违规违纪行为，预算支出和决算支出基本情况相符。</w:t>
      </w:r>
    </w:p>
    <w:p>
      <w:pPr>
        <w:spacing w:line="600" w:lineRule="atLeast"/>
        <w:ind w:firstLine="602" w:firstLineChars="200"/>
        <w:outlineLvl w:val="2"/>
        <w:rPr>
          <w:rFonts w:ascii="楷体" w:hAnsi="楷体" w:eastAsia="楷体" w:cs="楷体"/>
          <w:b/>
          <w:bCs/>
          <w:sz w:val="30"/>
          <w:szCs w:val="30"/>
        </w:rPr>
      </w:pPr>
      <w:bookmarkStart w:id="27" w:name="_Toc21013"/>
    </w:p>
    <w:p>
      <w:pPr>
        <w:spacing w:line="600" w:lineRule="atLeast"/>
        <w:ind w:firstLine="602" w:firstLineChars="200"/>
        <w:outlineLvl w:val="2"/>
        <w:rPr>
          <w:rFonts w:ascii="楷体" w:hAnsi="楷体" w:eastAsia="楷体" w:cs="楷体"/>
          <w:b/>
          <w:bCs/>
          <w:sz w:val="30"/>
          <w:szCs w:val="30"/>
        </w:rPr>
      </w:pPr>
      <w:r>
        <w:rPr>
          <w:rFonts w:hint="eastAsia" w:ascii="楷体" w:hAnsi="楷体" w:eastAsia="楷体" w:cs="楷体"/>
          <w:b/>
          <w:bCs/>
          <w:sz w:val="30"/>
          <w:szCs w:val="30"/>
        </w:rPr>
        <w:t>2、存在问题</w:t>
      </w:r>
      <w:bookmarkEnd w:id="27"/>
    </w:p>
    <w:p>
      <w:pPr>
        <w:spacing w:line="600" w:lineRule="atLeast"/>
        <w:ind w:firstLine="600" w:firstLineChars="200"/>
        <w:rPr>
          <w:rFonts w:ascii="仿宋_GB2312" w:eastAsia="仿宋_GB2312"/>
          <w:sz w:val="30"/>
          <w:szCs w:val="30"/>
        </w:rPr>
      </w:pPr>
      <w:r>
        <w:rPr>
          <w:rFonts w:hint="eastAsia" w:ascii="仿宋_GB2312" w:eastAsia="仿宋_GB2312"/>
          <w:sz w:val="30"/>
          <w:szCs w:val="30"/>
        </w:rPr>
        <w:t>部门决算上报处理效率还需继续提升。</w:t>
      </w:r>
    </w:p>
    <w:p>
      <w:pPr>
        <w:spacing w:line="600" w:lineRule="atLeast"/>
        <w:ind w:firstLine="602" w:firstLineChars="200"/>
        <w:outlineLvl w:val="2"/>
        <w:rPr>
          <w:rFonts w:ascii="楷体" w:hAnsi="楷体" w:eastAsia="楷体" w:cs="楷体"/>
          <w:b/>
          <w:bCs/>
          <w:sz w:val="30"/>
          <w:szCs w:val="30"/>
        </w:rPr>
      </w:pPr>
      <w:bookmarkStart w:id="28" w:name="_Toc29651"/>
      <w:r>
        <w:rPr>
          <w:rFonts w:hint="eastAsia" w:ascii="楷体" w:hAnsi="楷体" w:eastAsia="楷体" w:cs="楷体"/>
          <w:b/>
          <w:bCs/>
          <w:sz w:val="30"/>
          <w:szCs w:val="30"/>
        </w:rPr>
        <w:t>3、改进建议</w:t>
      </w:r>
      <w:bookmarkEnd w:id="28"/>
    </w:p>
    <w:p>
      <w:pPr>
        <w:spacing w:line="600" w:lineRule="atLeast"/>
        <w:ind w:firstLine="600" w:firstLineChars="200"/>
        <w:rPr>
          <w:rFonts w:ascii="仿宋_GB2312" w:eastAsia="仿宋_GB2312"/>
          <w:sz w:val="30"/>
          <w:szCs w:val="30"/>
        </w:rPr>
      </w:pPr>
      <w:r>
        <w:rPr>
          <w:rFonts w:hint="eastAsia" w:ascii="仿宋_GB2312" w:eastAsia="仿宋_GB2312"/>
          <w:sz w:val="30"/>
          <w:szCs w:val="30"/>
        </w:rPr>
        <w:t>加强会计核算和财务管理能力，及时与财政局相关科室对接工作，提升工作效率。</w:t>
      </w:r>
    </w:p>
    <w:p>
      <w:pPr>
        <w:autoSpaceDE w:val="0"/>
        <w:autoSpaceDN w:val="0"/>
        <w:adjustRightInd w:val="0"/>
        <w:spacing w:line="600" w:lineRule="exact"/>
        <w:ind w:firstLine="643" w:firstLineChars="200"/>
        <w:jc w:val="left"/>
        <w:outlineLvl w:val="0"/>
        <w:rPr>
          <w:rFonts w:ascii="黑体" w:eastAsia="黑体"/>
          <w:b/>
          <w:bCs/>
          <w:color w:val="000000"/>
          <w:sz w:val="32"/>
          <w:szCs w:val="32"/>
        </w:rPr>
      </w:pPr>
      <w:bookmarkStart w:id="29" w:name="_Toc22034"/>
      <w:bookmarkStart w:id="30" w:name="_Toc29051"/>
      <w:r>
        <w:rPr>
          <w:rFonts w:hint="eastAsia" w:ascii="黑体" w:eastAsia="黑体"/>
          <w:b/>
          <w:bCs/>
          <w:color w:val="000000"/>
          <w:sz w:val="32"/>
          <w:szCs w:val="32"/>
        </w:rPr>
        <w:t>八、名词解释</w:t>
      </w:r>
      <w:bookmarkEnd w:id="29"/>
      <w:bookmarkEnd w:id="30"/>
    </w:p>
    <w:p>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1.财政拨款收入：指县级财政当年拨付的资金。 </w:t>
      </w:r>
    </w:p>
    <w:p>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2.年初结转和结余：指以前年度尚未完成、结转到本年按有关规定继续使用的资金。 </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3. 一般公共服务201（类）政府办公厅（室）及相关机构事务03（款）行政运行01（项）：指反映行政人员的基本支出。</w:t>
      </w:r>
    </w:p>
    <w:p>
      <w:pPr>
        <w:ind w:firstLine="600" w:firstLineChars="200"/>
        <w:rPr>
          <w:rFonts w:hint="eastAsia" w:ascii="仿宋_GB2312" w:eastAsia="仿宋_GB2312"/>
          <w:color w:val="000000"/>
          <w:sz w:val="30"/>
          <w:szCs w:val="30"/>
        </w:rPr>
      </w:pPr>
      <w:r>
        <w:rPr>
          <w:rFonts w:hint="eastAsia" w:ascii="仿宋_GB2312" w:eastAsia="仿宋_GB2312"/>
          <w:color w:val="000000"/>
          <w:sz w:val="30"/>
          <w:szCs w:val="30"/>
        </w:rPr>
        <w:t>4. 一般公共服务201（类）政府办公厅（室）及相关机构事务03（款）事业运行50（项）：指反映事业单位人员的基本支出。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5.社会保障和就业208行政事业单位离退休05机关事业单位基本养老保险缴费支出05：指机关事业单位实施养老保险制度由单位缴纳的基本养老保险费支出。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6.社会保障和就业208行政事业单位离退休05机关事业单位职业年金缴费支出06：指机关事业单位实施养老保险制度由单位缴纳的职业年金支出。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7.医疗卫生与计划生育支出210医疗保障05行政单位医疗01：指行政单位基本医疗保险缴费。</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8.住房保障支出221住房改革支出02住房公积金01：指反映行政事业单位按人力资源和社会保障部、财政部规定的基本工资和津贴补贴以及规定比例为职工缴纳的住房公积金。</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9.年末结转和结余：指本年度或以前年度预算安排、因客观条件发生变化无法按原计划实施，需延迟到以后年度按有关规定继续使用的资金。</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10.基本支出：指为保障机构正常运转、完成日常工作任务而发生的人员支出和公用支出。</w:t>
      </w:r>
    </w:p>
    <w:p>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00" w:lineRule="exact"/>
        <w:rPr>
          <w:rFonts w:ascii="仿宋_GB2312" w:eastAsia="仿宋_GB2312"/>
          <w:b/>
          <w:i/>
          <w:color w:val="404040"/>
          <w:sz w:val="30"/>
          <w:szCs w:val="30"/>
        </w:rPr>
      </w:pPr>
    </w:p>
    <w:p>
      <w:pPr>
        <w:spacing w:line="460" w:lineRule="exact"/>
        <w:rPr>
          <w:rFonts w:ascii="仿宋_GB2312" w:eastAsia="仿宋_GB2312" w:cs="仿宋"/>
          <w:color w:val="000000"/>
          <w:kern w:val="0"/>
          <w:sz w:val="30"/>
          <w:szCs w:val="30"/>
        </w:rPr>
      </w:pPr>
      <w:r>
        <w:rPr>
          <w:rFonts w:hint="eastAsia" w:ascii="仿宋_GB2312" w:hAnsi="仿宋_GB2312" w:eastAsia="仿宋_GB2312" w:cs="仿宋_GB2312"/>
          <w:b/>
          <w:sz w:val="30"/>
          <w:szCs w:val="30"/>
        </w:rPr>
        <w:t xml:space="preserve">                                 </w:t>
      </w:r>
      <w:r>
        <w:rPr>
          <w:rFonts w:hint="eastAsia" w:ascii="仿宋_GB2312" w:eastAsia="仿宋_GB2312" w:cs="仿宋"/>
          <w:color w:val="000000"/>
          <w:kern w:val="0"/>
          <w:sz w:val="30"/>
          <w:szCs w:val="30"/>
        </w:rPr>
        <w:t xml:space="preserve"> 金川县行政审批局</w:t>
      </w:r>
    </w:p>
    <w:p>
      <w:pPr>
        <w:spacing w:line="460" w:lineRule="exact"/>
        <w:rPr>
          <w:rFonts w:ascii="仿宋_GB2312" w:eastAsia="仿宋_GB2312" w:cs="仿宋"/>
          <w:color w:val="000000"/>
          <w:kern w:val="0"/>
          <w:sz w:val="30"/>
          <w:szCs w:val="30"/>
        </w:rPr>
      </w:pPr>
      <w:r>
        <w:rPr>
          <w:rFonts w:hint="eastAsia" w:ascii="仿宋_GB2312" w:eastAsia="仿宋_GB2312" w:cs="仿宋"/>
          <w:color w:val="000000"/>
          <w:kern w:val="0"/>
          <w:sz w:val="30"/>
          <w:szCs w:val="30"/>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68229"/>
      <w:docPartObj>
        <w:docPartGallery w:val="autotext"/>
      </w:docPartObj>
    </w:sdtPr>
    <w:sdtContent>
      <w:p>
        <w:pPr>
          <w:pStyle w:val="3"/>
          <w:jc w:val="center"/>
        </w:pPr>
        <w:r>
          <w:fldChar w:fldCharType="begin"/>
        </w:r>
        <w:r>
          <w:instrText xml:space="preserve">PAGE   \* MERGEFORMAT</w:instrText>
        </w:r>
        <w:r>
          <w:fldChar w:fldCharType="separate"/>
        </w:r>
        <w:r>
          <w:rPr>
            <w:lang w:val="zh-CN"/>
          </w:rPr>
          <w:t>10</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D09EC"/>
    <w:multiLevelType w:val="multilevel"/>
    <w:tmpl w:val="0C0D09EC"/>
    <w:lvl w:ilvl="0" w:tentative="0">
      <w:start w:val="1"/>
      <w:numFmt w:val="japaneseCounting"/>
      <w:lvlText w:val="（%1）"/>
      <w:lvlJc w:val="left"/>
      <w:pPr>
        <w:ind w:left="1890" w:hanging="1080"/>
      </w:pPr>
      <w:rPr>
        <w:rFonts w:hint="default" w:ascii="楷体" w:hAnsi="楷体" w:eastAsia="楷体" w:cs="楷体"/>
        <w:b/>
        <w:sz w:val="32"/>
      </w:rPr>
    </w:lvl>
    <w:lvl w:ilvl="1" w:tentative="0">
      <w:start w:val="1"/>
      <w:numFmt w:val="lowerLetter"/>
      <w:lvlText w:val="%2)"/>
      <w:lvlJc w:val="left"/>
      <w:pPr>
        <w:ind w:left="1650" w:hanging="420"/>
      </w:pPr>
    </w:lvl>
    <w:lvl w:ilvl="2" w:tentative="0">
      <w:start w:val="1"/>
      <w:numFmt w:val="lowerRoman"/>
      <w:lvlText w:val="%3."/>
      <w:lvlJc w:val="right"/>
      <w:pPr>
        <w:ind w:left="2070" w:hanging="420"/>
      </w:pPr>
    </w:lvl>
    <w:lvl w:ilvl="3" w:tentative="0">
      <w:start w:val="1"/>
      <w:numFmt w:val="decimal"/>
      <w:lvlText w:val="%4."/>
      <w:lvlJc w:val="left"/>
      <w:pPr>
        <w:ind w:left="2490" w:hanging="420"/>
      </w:pPr>
    </w:lvl>
    <w:lvl w:ilvl="4" w:tentative="0">
      <w:start w:val="1"/>
      <w:numFmt w:val="lowerLetter"/>
      <w:lvlText w:val="%5)"/>
      <w:lvlJc w:val="left"/>
      <w:pPr>
        <w:ind w:left="2910" w:hanging="420"/>
      </w:pPr>
    </w:lvl>
    <w:lvl w:ilvl="5" w:tentative="0">
      <w:start w:val="1"/>
      <w:numFmt w:val="lowerRoman"/>
      <w:lvlText w:val="%6."/>
      <w:lvlJc w:val="right"/>
      <w:pPr>
        <w:ind w:left="3330" w:hanging="420"/>
      </w:pPr>
    </w:lvl>
    <w:lvl w:ilvl="6" w:tentative="0">
      <w:start w:val="1"/>
      <w:numFmt w:val="decimal"/>
      <w:lvlText w:val="%7."/>
      <w:lvlJc w:val="left"/>
      <w:pPr>
        <w:ind w:left="3750" w:hanging="420"/>
      </w:pPr>
    </w:lvl>
    <w:lvl w:ilvl="7" w:tentative="0">
      <w:start w:val="1"/>
      <w:numFmt w:val="lowerLetter"/>
      <w:lvlText w:val="%8)"/>
      <w:lvlJc w:val="left"/>
      <w:pPr>
        <w:ind w:left="4170" w:hanging="420"/>
      </w:pPr>
    </w:lvl>
    <w:lvl w:ilvl="8" w:tentative="0">
      <w:start w:val="1"/>
      <w:numFmt w:val="lowerRoman"/>
      <w:lvlText w:val="%9."/>
      <w:lvlJc w:val="right"/>
      <w:pPr>
        <w:ind w:left="45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1B0"/>
    <w:rsid w:val="00100565"/>
    <w:rsid w:val="002E6608"/>
    <w:rsid w:val="003219CC"/>
    <w:rsid w:val="00351702"/>
    <w:rsid w:val="0037533E"/>
    <w:rsid w:val="003801B0"/>
    <w:rsid w:val="0040026C"/>
    <w:rsid w:val="0056027C"/>
    <w:rsid w:val="00623ED2"/>
    <w:rsid w:val="006427A4"/>
    <w:rsid w:val="00872A7C"/>
    <w:rsid w:val="008D1420"/>
    <w:rsid w:val="00A31A36"/>
    <w:rsid w:val="00BF763C"/>
    <w:rsid w:val="00E068E1"/>
    <w:rsid w:val="00FA139F"/>
    <w:rsid w:val="11B73D43"/>
    <w:rsid w:val="11E51952"/>
    <w:rsid w:val="24DB449A"/>
    <w:rsid w:val="28334558"/>
    <w:rsid w:val="38941EA1"/>
    <w:rsid w:val="436D596A"/>
    <w:rsid w:val="4972159A"/>
    <w:rsid w:val="5C6B28C4"/>
    <w:rsid w:val="6A863BD2"/>
    <w:rsid w:val="70637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character" w:customStyle="1" w:styleId="8">
    <w:name w:val="批注框文本 Char"/>
    <w:basedOn w:val="7"/>
    <w:link w:val="2"/>
    <w:semiHidden/>
    <w:uiPriority w:val="99"/>
    <w:rPr>
      <w:sz w:val="18"/>
      <w:szCs w:val="18"/>
    </w:rPr>
  </w:style>
  <w:style w:type="paragraph" w:customStyle="1" w:styleId="9">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10">
    <w:name w:val="页眉 Char"/>
    <w:basedOn w:val="7"/>
    <w:link w:val="4"/>
    <w:qFormat/>
    <w:uiPriority w:val="99"/>
    <w:rPr>
      <w:rFonts w:ascii="Calibri" w:hAnsi="Calibri" w:eastAsia="宋体" w:cs="Times New Roman"/>
      <w:sz w:val="18"/>
      <w:szCs w:val="18"/>
    </w:rPr>
  </w:style>
  <w:style w:type="character" w:customStyle="1" w:styleId="11">
    <w:name w:val="页脚 Char"/>
    <w:basedOn w:val="7"/>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Sheet1!$F$5:$F$6</c:f>
              <c:strCache>
                <c:ptCount val="1"/>
                <c:pt idx="0">
                  <c:v>2019年“三公”经费财政拨款支出 金额：万元</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1"/>
            <c:showPercent val="1"/>
            <c:showBubbleSize val="0"/>
            <c:showLeaderLines val="1"/>
            <c:extLst>
              <c:ext xmlns:c15="http://schemas.microsoft.com/office/drawing/2012/chart" uri="{CE6537A1-D6FC-4f65-9D91-7224C49458BB}">
                <c15:layout/>
                <c15:showLeaderLines val="1"/>
                <c15:leaderLines/>
              </c:ext>
            </c:extLst>
          </c:dLbls>
          <c:cat>
            <c:strRef>
              <c:f>Sheet1!$E$7:$E$9</c:f>
              <c:strCache>
                <c:ptCount val="3"/>
                <c:pt idx="0">
                  <c:v>公出国（境）费</c:v>
                </c:pt>
                <c:pt idx="1">
                  <c:v>公务用车购置及运行维护费</c:v>
                </c:pt>
                <c:pt idx="2">
                  <c:v>公务接待费</c:v>
                </c:pt>
              </c:strCache>
            </c:strRef>
          </c:cat>
          <c:val>
            <c:numRef>
              <c:f>Sheet1!$F$7:$F$9</c:f>
              <c:numCache>
                <c:formatCode>General</c:formatCode>
                <c:ptCount val="3"/>
                <c:pt idx="0">
                  <c:v>0</c:v>
                </c:pt>
                <c:pt idx="1">
                  <c:v>0</c:v>
                </c:pt>
                <c:pt idx="2">
                  <c:v>0.19</c:v>
                </c:pt>
              </c:numCache>
            </c:numRef>
          </c:val>
        </c:ser>
        <c:ser>
          <c:idx val="1"/>
          <c:order val="1"/>
          <c:tx>
            <c:strRef>
              <c:f>Sheet1!$G$5:$G$6</c:f>
              <c:strCache>
                <c:ptCount val="1"/>
                <c:pt idx="0">
                  <c:v>2019年“三公”经费财政拨款支出 占比：%</c:v>
                </c:pt>
              </c:strCache>
            </c:strRef>
          </c:tx>
          <c:explosion val="0"/>
          <c:dPt>
            <c:idx val="0"/>
            <c:bubble3D val="0"/>
          </c:dPt>
          <c:dPt>
            <c:idx val="1"/>
            <c:bubble3D val="0"/>
          </c:dPt>
          <c:dPt>
            <c:idx val="2"/>
            <c:bubble3D val="0"/>
          </c:dPt>
          <c:dLbls>
            <c:delete val="1"/>
          </c:dLbls>
          <c:cat>
            <c:strRef>
              <c:f>Sheet1!$E$7:$E$9</c:f>
              <c:strCache>
                <c:ptCount val="3"/>
                <c:pt idx="0">
                  <c:v>公出国（境）费</c:v>
                </c:pt>
                <c:pt idx="1">
                  <c:v>公务用车购置及运行维护费</c:v>
                </c:pt>
                <c:pt idx="2">
                  <c:v>公务接待费</c:v>
                </c:pt>
              </c:strCache>
            </c:strRef>
          </c:cat>
          <c:val>
            <c:numRef>
              <c:f>Sheet1!$G$7:$G$9</c:f>
              <c:numCache>
                <c:formatCode>General</c:formatCode>
                <c:ptCount val="3"/>
                <c:pt idx="0">
                  <c:v>0</c:v>
                </c:pt>
                <c:pt idx="1">
                  <c:v>0</c:v>
                </c:pt>
                <c:pt idx="2">
                  <c:v>100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7349081364829"/>
          <c:y val="0.0173410404624277"/>
        </c:manualLayout>
      </c:layout>
      <c:overlay val="0"/>
      <c:spPr>
        <a:noFill/>
        <a:ln w="25404">
          <a:noFill/>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25984251968504"/>
          <c:y val="0.260115606936416"/>
          <c:w val="0.514435695538058"/>
          <c:h val="0.294797687861272"/>
        </c:manualLayout>
      </c:layout>
      <c:barChart>
        <c:barDir val="col"/>
        <c:grouping val="clustered"/>
        <c:varyColors val="0"/>
        <c:ser>
          <c:idx val="0"/>
          <c:order val="0"/>
          <c:tx>
            <c:strRef>
              <c:f>Sheet1!$G$6:$G$7</c:f>
              <c:strCache>
                <c:ptCount val="1"/>
                <c:pt idx="0">
                  <c:v>2018年与2019年资产、负债对比 单位：万元</c:v>
                </c:pt>
              </c:strCache>
            </c:strRef>
          </c:tx>
          <c:spPr>
            <a:solidFill>
              <a:srgbClr val="9999FF"/>
            </a:solidFill>
            <a:ln w="12702">
              <a:solidFill>
                <a:srgbClr val="000000"/>
              </a:solidFill>
              <a:prstDash val="solid"/>
            </a:ln>
          </c:spPr>
          <c:invertIfNegative val="0"/>
          <c:dLbls>
            <c:spPr>
              <a:noFill/>
              <a:ln w="25404">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1"/>
            <c:showSerName val="1"/>
            <c:showPercent val="0"/>
            <c:showBubbleSize val="0"/>
            <c:showLeaderLines val="0"/>
            <c:extLst>
              <c:ext xmlns:c15="http://schemas.microsoft.com/office/drawing/2012/chart" uri="{CE6537A1-D6FC-4f65-9D91-7224C49458BB}">
                <c15:layout/>
                <c15:showLeaderLines val="0"/>
                <c15:leaderLines/>
              </c:ext>
            </c:extLst>
          </c:dLbls>
          <c:cat>
            <c:strRef>
              <c:f>Sheet1!$F$8:$F$11</c:f>
              <c:strCache>
                <c:ptCount val="4"/>
                <c:pt idx="0">
                  <c:v>2018年总资产</c:v>
                </c:pt>
                <c:pt idx="1">
                  <c:v>2018年负债</c:v>
                </c:pt>
                <c:pt idx="2">
                  <c:v>2019年总资产</c:v>
                </c:pt>
                <c:pt idx="3">
                  <c:v>2019年负债</c:v>
                </c:pt>
              </c:strCache>
            </c:strRef>
          </c:cat>
          <c:val>
            <c:numRef>
              <c:f>Sheet1!$G$8:$G$11</c:f>
              <c:numCache>
                <c:formatCode>General</c:formatCode>
                <c:ptCount val="4"/>
                <c:pt idx="0">
                  <c:v>312.52</c:v>
                </c:pt>
                <c:pt idx="1">
                  <c:v>0</c:v>
                </c:pt>
                <c:pt idx="2">
                  <c:v>84.39</c:v>
                </c:pt>
                <c:pt idx="3">
                  <c:v>0.63</c:v>
                </c:pt>
              </c:numCache>
            </c:numRef>
          </c:val>
        </c:ser>
        <c:dLbls>
          <c:showLegendKey val="0"/>
          <c:showVal val="1"/>
          <c:showCatName val="1"/>
          <c:showSerName val="1"/>
          <c:showPercent val="0"/>
          <c:showBubbleSize val="0"/>
        </c:dLbls>
        <c:gapWidth val="150"/>
        <c:axId val="294263424"/>
        <c:axId val="294155776"/>
      </c:barChart>
      <c:catAx>
        <c:axId val="294263424"/>
        <c:scaling>
          <c:orientation val="minMax"/>
        </c:scaling>
        <c:delete val="0"/>
        <c:axPos val="b"/>
        <c:numFmt formatCode="General" sourceLinked="1"/>
        <c:majorTickMark val="in"/>
        <c:minorTickMark val="none"/>
        <c:tickLblPos val="nextTo"/>
        <c:spPr>
          <a:ln w="3176" cap="flat" cmpd="sng" algn="ctr">
            <a:solidFill>
              <a:srgbClr val="000000"/>
            </a:solidFill>
            <a:prstDash val="solid"/>
            <a:round/>
          </a:ln>
        </c:spPr>
        <c:txPr>
          <a:bodyPr rot="-270000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94155776"/>
        <c:crosses val="autoZero"/>
        <c:auto val="1"/>
        <c:lblAlgn val="ctr"/>
        <c:lblOffset val="100"/>
        <c:tickLblSkip val="1"/>
        <c:noMultiLvlLbl val="0"/>
      </c:catAx>
      <c:valAx>
        <c:axId val="294155776"/>
        <c:scaling>
          <c:orientation val="minMax"/>
        </c:scaling>
        <c:delete val="0"/>
        <c:axPos val="l"/>
        <c:majorGridlines>
          <c:spPr>
            <a:ln w="3176" cap="flat" cmpd="sng" algn="ctr">
              <a:solidFill>
                <a:srgbClr val="000000"/>
              </a:solidFill>
              <a:prstDash val="solid"/>
              <a:round/>
            </a:ln>
          </c:spPr>
        </c:majorGridlines>
        <c:numFmt formatCode="General" sourceLinked="1"/>
        <c:majorTickMark val="in"/>
        <c:minorTickMark val="none"/>
        <c:tickLblPos val="nextTo"/>
        <c:spPr>
          <a:ln w="3176"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94263424"/>
        <c:crosses val="autoZero"/>
        <c:crossBetween val="between"/>
      </c:valAx>
      <c:spPr>
        <a:solidFill>
          <a:srgbClr val="C0C0C0"/>
        </a:solidFill>
        <a:ln w="12702">
          <a:solidFill>
            <a:srgbClr val="808080"/>
          </a:solidFill>
          <a:prstDash val="solid"/>
        </a:ln>
      </c:spPr>
    </c:plotArea>
    <c:legend>
      <c:legendPos val="r"/>
      <c:layout>
        <c:manualLayout>
          <c:xMode val="edge"/>
          <c:yMode val="edge"/>
          <c:x val="0.666666666666667"/>
          <c:y val="0.277456647398844"/>
          <c:w val="0.322834645669291"/>
          <c:h val="0.248554913294798"/>
        </c:manualLayout>
      </c:layout>
      <c:overlay val="0"/>
      <c:spPr>
        <a:solidFill>
          <a:srgbClr val="FFFFFF"/>
        </a:solidFill>
        <a:ln w="3176">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solidFill>
    <a:ln w="3176"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0A25E1-B98F-4519-8618-C6EF550CF75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804</Words>
  <Characters>4583</Characters>
  <Lines>38</Lines>
  <Paragraphs>10</Paragraphs>
  <TotalTime>7</TotalTime>
  <ScaleCrop>false</ScaleCrop>
  <LinksUpToDate>false</LinksUpToDate>
  <CharactersWithSpaces>5377</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2020-09-09T09:34:00Z</dcterms:created>
  <dc:creator>微软用户</dc:creator>
  <cp:lastModifiedBy>平淡无奇</cp:lastModifiedBy>
  <cp:lastPrinted>2021-05-20T08:45:00Z</cp:lastPrinted>
  <dcterms:modified xsi:type="dcterms:W3CDTF">2021-05-28T08:06:53Z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40038D2169424EE2A7ABBEE1F75E191B</vt:lpwstr>
  </property>
</Properties>
</file>