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96597"/>
      <w:bookmarkStart w:id="3" w:name="_Toc15377193"/>
      <w:bookmarkStart w:id="4" w:name="_Toc15378441"/>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96598"/>
      <w:bookmarkStart w:id="8" w:name="_Toc15396476"/>
      <w:bookmarkStart w:id="9" w:name="_Toc15378442"/>
      <w:bookmarkStart w:id="10" w:name="_Toc15306268"/>
      <w:bookmarkStart w:id="11" w:name="_Toc15377426"/>
      <w:r>
        <w:rPr>
          <w:rFonts w:hint="eastAsia" w:ascii="方正小标宋简体" w:eastAsia="方正小标宋简体"/>
          <w:color w:val="000000"/>
          <w:sz w:val="72"/>
          <w:szCs w:val="72"/>
        </w:rPr>
        <w:t>金川县行政审批局</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1</w:t>
      </w:r>
      <w:r>
        <w:rPr>
          <w:rFonts w:hint="eastAsia"/>
        </w:rPr>
        <w:fldChar w:fldCharType="end"/>
      </w:r>
      <w:r>
        <w:rPr>
          <w:rFonts w:hint="eastAsia"/>
        </w:rPr>
        <w:t>0</w:t>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2-14</w:t>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5-16</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6</w:t>
      </w:r>
    </w:p>
    <w:p>
      <w:pPr>
        <w:pStyle w:val="11"/>
        <w:ind w:left="420"/>
        <w:rPr>
          <w:rFonts w:ascii="仿宋" w:eastAsia="仿宋"/>
          <w:sz w:val="28"/>
          <w:szCs w:val="28"/>
        </w:rPr>
      </w:pPr>
      <w:r>
        <w:rPr>
          <w:rStyle w:val="15"/>
          <w:rFonts w:hint="eastAsia" w:ascii="仿宋" w:eastAsia="仿宋"/>
          <w:bCs/>
          <w:sz w:val="28"/>
          <w:szCs w:val="28"/>
        </w:rPr>
        <w:t xml:space="preserve"> 十、预算绩效情况说明...............................17-18</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8</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9-21</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2</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2-28</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9</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五、</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"_Toc15396628" </w:instrText>
      </w:r>
      <w:r>
        <w:fldChar w:fldCharType="separate"/>
      </w:r>
      <w:r>
        <w:rPr>
          <w:rFonts w:hint="eastAsia" w:ascii="仿宋" w:eastAsia="仿宋"/>
          <w:sz w:val="28"/>
          <w:szCs w:val="28"/>
        </w:rPr>
        <w:t>机构运行信息表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4"/>
        <w:spacing w:before="0" w:after="0" w:line="240" w:lineRule="auto"/>
        <w:ind w:left="640" w:hanging="640" w:hangingChars="200"/>
        <w:rPr>
          <w:rStyle w:val="17"/>
          <w:rFonts w:ascii="黑体" w:eastAsia="黑体"/>
          <w:b w:val="0"/>
          <w:bCs w:val="0"/>
        </w:rPr>
      </w:pPr>
      <w:bookmarkStart w:id="14" w:name="_Toc15396600"/>
      <w:bookmarkStart w:id="15" w:name="_Toc15377197"/>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pStyle w:val="24"/>
        <w:widowControl/>
        <w:spacing w:beforeAutospacing="0"/>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shd w:val="clear" w:color="auto" w:fill="FFFFFF"/>
        </w:rPr>
        <w:t xml:space="preserve">行政审批局： </w:t>
      </w:r>
      <w:r>
        <w:rPr>
          <w:rFonts w:ascii="仿宋_GB2312" w:hAnsi="仿宋_GB2312" w:eastAsia="仿宋_GB2312" w:cs="仿宋_GB2312"/>
          <w:sz w:val="32"/>
          <w:szCs w:val="32"/>
        </w:rPr>
        <w:t>负责深化行政审批制度改革和“放管服”改革工作，承担县本级行政权力清单和责任清单的动态调整，指导全县行政</w:t>
      </w:r>
      <w:r>
        <w:rPr>
          <w:rFonts w:hint="eastAsia" w:ascii="仿宋_GB2312" w:hAnsi="仿宋_GB2312" w:eastAsia="仿宋_GB2312" w:cs="仿宋_GB2312"/>
          <w:sz w:val="32"/>
          <w:szCs w:val="32"/>
          <w:lang w:eastAsia="zh-CN"/>
        </w:rPr>
        <w:t>权力</w:t>
      </w:r>
      <w:r>
        <w:rPr>
          <w:rFonts w:ascii="仿宋_GB2312" w:hAnsi="仿宋_GB2312" w:eastAsia="仿宋_GB2312" w:cs="仿宋_GB2312"/>
          <w:sz w:val="32"/>
          <w:szCs w:val="32"/>
        </w:rPr>
        <w:t>清单和责任清单工作，建立完善相关工作机制；负责县本级行政审批工作；负责协调入驻县行政审批局的政务服务平台的各部门的行政审批工作；指导乡（镇）行政审批工作；负责全县政务服务管理工作，指导全县政务服务体系建设；负责全县公共资源交易管理工作，指导全县公共资源交易服务体系建设；负责对涉及县行政审批局的政务服务平台、县公共资源交易中心、县行政审批服务机构的投诉举报的承办、转办和督办工作；完成县委、县政府交办的其他任务。</w:t>
      </w:r>
    </w:p>
    <w:p>
      <w:pPr>
        <w:pStyle w:val="6"/>
        <w:widowControl/>
        <w:autoSpaceDE w:val="0"/>
        <w:adjustRightInd w:val="0"/>
        <w:snapToGrid w:val="0"/>
        <w:spacing w:before="93" w:afterAutospacing="1" w:line="440" w:lineRule="exact"/>
        <w:ind w:firstLine="640" w:firstLineChars="200"/>
        <w:jc w:val="left"/>
        <w:rPr>
          <w:rFonts w:hAnsi="仿宋_GB2312" w:cs="仿宋_GB2312"/>
          <w:color w:val="000000"/>
          <w:sz w:val="32"/>
          <w:szCs w:val="32"/>
        </w:rPr>
      </w:pPr>
      <w:r>
        <w:rPr>
          <w:rFonts w:hint="eastAsia" w:hAnsi="仿宋_GB2312" w:cs="仿宋_GB2312"/>
          <w:color w:val="000000"/>
          <w:sz w:val="32"/>
          <w:szCs w:val="32"/>
        </w:rPr>
        <w:t>政务服务和公共资源交易服务中心： 提高政府采购资金使用效率，规范政府投资工程建设项目比选活动和国有产权交易、维护国家利益和当事人的合法利益，促进廉政建设。</w:t>
      </w:r>
    </w:p>
    <w:p>
      <w:pPr>
        <w:pStyle w:val="6"/>
        <w:widowControl/>
        <w:autoSpaceDE w:val="0"/>
        <w:adjustRightInd w:val="0"/>
        <w:snapToGrid w:val="0"/>
        <w:spacing w:before="93" w:afterAutospacing="1" w:line="440" w:lineRule="exact"/>
        <w:ind w:firstLine="640" w:firstLineChars="200"/>
        <w:jc w:val="left"/>
        <w:rPr>
          <w:rFonts w:hAnsi="仿宋_GB2312" w:cs="仿宋_GB2312"/>
          <w:color w:val="000000"/>
          <w:sz w:val="32"/>
          <w:szCs w:val="32"/>
        </w:rPr>
      </w:pPr>
      <w:r>
        <w:rPr>
          <w:rFonts w:hint="eastAsia" w:hAnsi="仿宋_GB2312" w:cs="仿宋_GB2312"/>
          <w:color w:val="000000"/>
          <w:sz w:val="32"/>
          <w:szCs w:val="32"/>
        </w:rPr>
        <w:t>依法接受政府采购业务代理范围的政府采购项目；在政府投资工程建设项目招标阶段，行使招标职责；接受委托国有产权交易，负责组织开展土地使用产权和矿业权招拍挂交易活动。</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pStyle w:val="24"/>
        <w:widowControl/>
        <w:spacing w:beforeAutospacing="0"/>
        <w:rPr>
          <w:rFonts w:hint="default" w:ascii="仿宋_GB2312" w:hAnsi="仿宋_GB2312" w:eastAsia="仿宋_GB2312" w:cs="仿宋_GB2312"/>
          <w:sz w:val="32"/>
          <w:szCs w:val="32"/>
        </w:rPr>
      </w:pPr>
      <w:bookmarkStart w:id="20" w:name="_Toc15377200"/>
      <w:bookmarkStart w:id="21" w:name="_Toc15396601"/>
      <w:r>
        <w:rPr>
          <w:rFonts w:ascii="仿宋_GB2312" w:hAnsi="仿宋_GB2312" w:eastAsia="仿宋_GB2312" w:cs="仿宋_GB2312"/>
          <w:sz w:val="32"/>
          <w:szCs w:val="32"/>
          <w:shd w:val="clear" w:color="auto" w:fill="FFFFFF"/>
        </w:rPr>
        <w:t>一、概述单位工作开展情况及主要事业成效。</w:t>
      </w:r>
    </w:p>
    <w:p>
      <w:pPr>
        <w:pStyle w:val="26"/>
        <w:numPr>
          <w:ilvl w:val="0"/>
          <w:numId w:val="1"/>
        </w:numPr>
        <w:autoSpaceDE w:val="0"/>
        <w:ind w:firstLine="640" w:firstLineChars="200"/>
        <w:rPr>
          <w:rFonts w:ascii="仿宋_GB2312" w:hAnsi="仿宋_GB2312" w:eastAsia="仿宋_GB2312" w:cs="仿宋_GB2312"/>
          <w:kern w:val="2"/>
          <w:sz w:val="32"/>
          <w:szCs w:val="32"/>
        </w:rPr>
      </w:pPr>
      <w:r>
        <w:rPr>
          <w:rStyle w:val="27"/>
          <w:rFonts w:hint="eastAsia" w:ascii="仿宋_GB2312" w:hAnsi="仿宋_GB2312" w:eastAsia="仿宋_GB2312" w:cs="仿宋_GB2312"/>
          <w:sz w:val="32"/>
          <w:szCs w:val="32"/>
        </w:rPr>
        <w:t>深学严教，全面推进机关党建、意识形态和党风廉政工作</w:t>
      </w:r>
    </w:p>
    <w:p>
      <w:pPr>
        <w:pStyle w:val="26"/>
        <w:autoSpaceDE w:val="0"/>
        <w:ind w:firstLine="640" w:firstLineChars="200"/>
        <w:rPr>
          <w:rFonts w:ascii="仿宋_GB2312" w:hAnsi="仿宋_GB2312" w:eastAsia="仿宋_GB2312" w:cs="仿宋_GB2312"/>
          <w:b/>
          <w:kern w:val="2"/>
          <w:sz w:val="32"/>
          <w:szCs w:val="32"/>
        </w:rPr>
      </w:pPr>
      <w:r>
        <w:rPr>
          <w:rStyle w:val="27"/>
          <w:rFonts w:hint="eastAsia" w:ascii="仿宋_GB2312" w:hAnsi="仿宋_GB2312" w:eastAsia="仿宋_GB2312" w:cs="仿宋_GB2312"/>
          <w:kern w:val="0"/>
          <w:sz w:val="32"/>
          <w:szCs w:val="32"/>
        </w:rPr>
        <w:t>今年我局党建、意识形态、党风廉政工作在县委的统一领导下,坚持以习近平新时代中国特色社会主义思想为指导，认真履行了本部门主体责任，同步推进了局机关党风廉政建设和意识形态工作开展，严格落实“一岗双责”责任制，扎实开展了“三会一课”、“两学一做”、“主题党日活动”、“谈心谈话”等学习教育工作；深入学习贯彻落实了党的十九届四中全会、省委十一届六次全会、州委十一届八次全会、省委十一届七次全会、州委十一届九次全会等会议精神及中央、省委、州委、县委领导的重要讲话和指示精神；认真抓好了局机关全体党员、干部职工的廉政教育，组织全体党员、干部学了</w:t>
      </w:r>
      <w:r>
        <w:rPr>
          <w:rStyle w:val="28"/>
          <w:rFonts w:hint="eastAsia" w:ascii="仿宋_GB2312" w:hAnsi="仿宋_GB2312" w:eastAsia="仿宋_GB2312" w:cs="仿宋_GB2312"/>
          <w:color w:val="191919"/>
          <w:sz w:val="32"/>
          <w:szCs w:val="32"/>
        </w:rPr>
        <w:t>典型案例和《四川省纪检监察机关查处诬告陷害行为实施办法（试行）》等党风廉政相关文件精神，并</w:t>
      </w:r>
      <w:r>
        <w:rPr>
          <w:rStyle w:val="27"/>
          <w:rFonts w:hint="eastAsia" w:ascii="仿宋_GB2312" w:hAnsi="仿宋_GB2312" w:eastAsia="仿宋_GB2312" w:cs="仿宋_GB2312"/>
          <w:kern w:val="0"/>
          <w:sz w:val="32"/>
          <w:szCs w:val="32"/>
        </w:rPr>
        <w:t>通过以案肃纪的形式，深入宣讲了“政治纪律的26条‘高压线’碰不得”和“违反政治纪律的行为”，全面筑牢全体党员、干部的廉洁履职意识；</w:t>
      </w:r>
      <w:r>
        <w:rPr>
          <w:rStyle w:val="29"/>
          <w:rFonts w:hint="eastAsia" w:ascii="仿宋_GB2312" w:hAnsi="仿宋_GB2312" w:eastAsia="仿宋_GB2312" w:cs="仿宋_GB2312"/>
          <w:sz w:val="32"/>
          <w:szCs w:val="32"/>
        </w:rPr>
        <w:t>召开意识形态专题部署会4次，全面分析研判了意识形态领域情况，辨析思想文化领域突出问题。全年共</w:t>
      </w:r>
      <w:r>
        <w:rPr>
          <w:rStyle w:val="27"/>
          <w:rFonts w:hint="eastAsia" w:ascii="仿宋_GB2312" w:hAnsi="仿宋_GB2312" w:eastAsia="仿宋_GB2312" w:cs="仿宋_GB2312"/>
          <w:kern w:val="0"/>
          <w:sz w:val="32"/>
          <w:szCs w:val="32"/>
        </w:rPr>
        <w:t>报送党建简报30期、党风廉政简报13期。</w:t>
      </w:r>
    </w:p>
    <w:p>
      <w:pPr>
        <w:widowControl/>
        <w:autoSpaceDE w:val="0"/>
        <w:spacing w:line="578" w:lineRule="exact"/>
        <w:ind w:firstLine="640" w:firstLineChars="200"/>
        <w:rPr>
          <w:rFonts w:ascii="仿宋_GB2312" w:hAnsi="仿宋_GB2312" w:eastAsia="仿宋_GB2312" w:cs="仿宋_GB2312"/>
          <w:sz w:val="32"/>
          <w:szCs w:val="32"/>
        </w:rPr>
      </w:pPr>
      <w:r>
        <w:rPr>
          <w:rStyle w:val="27"/>
          <w:rFonts w:hint="eastAsia" w:ascii="仿宋_GB2312" w:hAnsi="仿宋_GB2312" w:eastAsia="仿宋_GB2312" w:cs="仿宋_GB2312"/>
          <w:sz w:val="32"/>
          <w:szCs w:val="32"/>
        </w:rPr>
        <w:t>二、真抓实干，切实做好各项业务工作</w:t>
      </w:r>
    </w:p>
    <w:p>
      <w:pPr>
        <w:widowControl/>
        <w:autoSpaceDE w:val="0"/>
        <w:spacing w:line="576" w:lineRule="exact"/>
        <w:ind w:firstLine="643" w:firstLineChars="200"/>
        <w:rPr>
          <w:rFonts w:ascii="仿宋_GB2312" w:hAnsi="仿宋_GB2312" w:eastAsia="仿宋_GB2312" w:cs="仿宋_GB2312"/>
          <w:sz w:val="32"/>
          <w:szCs w:val="32"/>
        </w:rPr>
      </w:pPr>
      <w:r>
        <w:rPr>
          <w:rStyle w:val="27"/>
          <w:rFonts w:hint="eastAsia" w:ascii="仿宋_GB2312" w:hAnsi="仿宋_GB2312" w:eastAsia="仿宋_GB2312" w:cs="仿宋_GB2312"/>
          <w:b/>
          <w:sz w:val="32"/>
          <w:szCs w:val="32"/>
        </w:rPr>
        <w:t>（一）积极</w:t>
      </w:r>
      <w:r>
        <w:rPr>
          <w:rStyle w:val="28"/>
          <w:rFonts w:hint="eastAsia" w:ascii="仿宋_GB2312" w:hAnsi="仿宋_GB2312" w:eastAsia="仿宋_GB2312" w:cs="仿宋_GB2312"/>
          <w:b/>
          <w:sz w:val="32"/>
          <w:szCs w:val="32"/>
        </w:rPr>
        <w:t>推进行政审批划转改革工作。</w:t>
      </w:r>
      <w:r>
        <w:rPr>
          <w:rStyle w:val="27"/>
          <w:rFonts w:hint="eastAsia" w:ascii="仿宋_GB2312" w:hAnsi="仿宋_GB2312" w:eastAsia="仿宋_GB2312" w:cs="仿宋_GB2312"/>
          <w:sz w:val="32"/>
          <w:szCs w:val="32"/>
        </w:rPr>
        <w:t>我局通过到部门走访调研、集体会商等形式，及时制定了《</w:t>
      </w:r>
      <w:r>
        <w:rPr>
          <w:rFonts w:hint="eastAsia" w:ascii="仿宋_GB2312" w:hAnsi="仿宋_GB2312" w:eastAsia="仿宋_GB2312" w:cs="仿宋_GB2312"/>
          <w:kern w:val="0"/>
          <w:sz w:val="32"/>
          <w:szCs w:val="32"/>
        </w:rPr>
        <w:t>金川县行政审批制度改革工作实施方案》，</w:t>
      </w:r>
      <w:r>
        <w:rPr>
          <w:rStyle w:val="27"/>
          <w:rFonts w:hint="eastAsia" w:ascii="仿宋_GB2312" w:hAnsi="仿宋_GB2312" w:eastAsia="仿宋_GB2312" w:cs="仿宋_GB2312"/>
          <w:sz w:val="32"/>
          <w:szCs w:val="32"/>
        </w:rPr>
        <w:t>拟订了“金川县行政许可事项（第一批）划转清单”，梳理出首批划转审批事项98项，共计涉及11个部门。同时，完成了政务服务大厅窗口的重置改造工作，确保我县行政审批制度改革有序推进。</w:t>
      </w:r>
    </w:p>
    <w:p>
      <w:pPr>
        <w:widowControl/>
        <w:autoSpaceDE w:val="0"/>
        <w:spacing w:line="578" w:lineRule="exact"/>
        <w:ind w:firstLine="643" w:firstLineChars="200"/>
        <w:rPr>
          <w:rFonts w:ascii="仿宋_GB2312" w:hAnsi="仿宋_GB2312" w:eastAsia="仿宋_GB2312" w:cs="仿宋_GB2312"/>
          <w:sz w:val="32"/>
          <w:szCs w:val="32"/>
        </w:rPr>
      </w:pPr>
      <w:r>
        <w:rPr>
          <w:rStyle w:val="27"/>
          <w:rFonts w:hint="eastAsia" w:ascii="仿宋_GB2312" w:hAnsi="仿宋_GB2312" w:eastAsia="仿宋_GB2312" w:cs="仿宋_GB2312"/>
          <w:b/>
          <w:sz w:val="32"/>
          <w:szCs w:val="32"/>
        </w:rPr>
        <w:t>（二）继续加强对“四川省一体化政务服务平台”的运用和动态管理。</w:t>
      </w:r>
      <w:r>
        <w:rPr>
          <w:rStyle w:val="27"/>
          <w:rFonts w:hint="eastAsia" w:ascii="仿宋_GB2312" w:hAnsi="仿宋_GB2312" w:eastAsia="仿宋_GB2312" w:cs="仿宋_GB2312"/>
          <w:sz w:val="32"/>
          <w:szCs w:val="32"/>
        </w:rPr>
        <w:t>我局继续加强对“四川省一体化政务服务平台”（以下简称“一体化平台”）的运用和管理，全年在“一体化政务服务平台”运行的行政许可事项有258项，公共服务事项有152项，全县累计在“一体化平台”上办结行政许可事项</w:t>
      </w:r>
      <w:r>
        <w:rPr>
          <w:rFonts w:hint="eastAsia" w:ascii="仿宋_GB2312" w:hAnsi="仿宋_GB2312" w:eastAsia="仿宋_GB2312" w:cs="仿宋_GB2312"/>
          <w:color w:val="FF0000"/>
          <w:kern w:val="0"/>
          <w:sz w:val="32"/>
          <w:szCs w:val="32"/>
        </w:rPr>
        <w:t>6801</w:t>
      </w:r>
      <w:r>
        <w:rPr>
          <w:rStyle w:val="27"/>
          <w:rFonts w:hint="eastAsia" w:ascii="仿宋_GB2312" w:hAnsi="仿宋_GB2312" w:eastAsia="仿宋_GB2312" w:cs="仿宋_GB2312"/>
          <w:color w:val="FF0000"/>
          <w:sz w:val="32"/>
          <w:szCs w:val="32"/>
        </w:rPr>
        <w:t>件，办结公共服务事项</w:t>
      </w:r>
      <w:r>
        <w:rPr>
          <w:rFonts w:hint="eastAsia" w:ascii="仿宋_GB2312" w:hAnsi="仿宋_GB2312" w:eastAsia="仿宋_GB2312" w:cs="仿宋_GB2312"/>
          <w:color w:val="FF0000"/>
          <w:kern w:val="0"/>
          <w:sz w:val="32"/>
          <w:szCs w:val="32"/>
        </w:rPr>
        <w:t>182491</w:t>
      </w:r>
      <w:r>
        <w:rPr>
          <w:rStyle w:val="27"/>
          <w:rFonts w:hint="eastAsia" w:ascii="仿宋_GB2312" w:hAnsi="仿宋_GB2312" w:eastAsia="仿宋_GB2312" w:cs="仿宋_GB2312"/>
          <w:color w:val="FF0000"/>
          <w:sz w:val="32"/>
          <w:szCs w:val="32"/>
        </w:rPr>
        <w:t>件</w:t>
      </w:r>
      <w:r>
        <w:rPr>
          <w:rStyle w:val="27"/>
          <w:rFonts w:hint="eastAsia" w:ascii="仿宋_GB2312" w:hAnsi="仿宋_GB2312" w:eastAsia="仿宋_GB2312" w:cs="仿宋_GB2312"/>
          <w:sz w:val="32"/>
          <w:szCs w:val="32"/>
        </w:rPr>
        <w:t>。</w:t>
      </w:r>
    </w:p>
    <w:p>
      <w:pPr>
        <w:widowControl/>
        <w:autoSpaceDE w:val="0"/>
        <w:spacing w:line="576" w:lineRule="exact"/>
        <w:ind w:firstLine="643" w:firstLineChars="200"/>
        <w:rPr>
          <w:rFonts w:ascii="仿宋_GB2312" w:hAnsi="仿宋_GB2312" w:eastAsia="仿宋_GB2312" w:cs="仿宋_GB2312"/>
          <w:color w:val="000000"/>
          <w:sz w:val="32"/>
          <w:szCs w:val="32"/>
        </w:rPr>
      </w:pPr>
      <w:r>
        <w:rPr>
          <w:rStyle w:val="27"/>
          <w:rFonts w:hint="eastAsia" w:ascii="仿宋_GB2312" w:hAnsi="仿宋_GB2312" w:eastAsia="仿宋_GB2312" w:cs="仿宋_GB2312"/>
          <w:b/>
          <w:sz w:val="32"/>
          <w:szCs w:val="32"/>
        </w:rPr>
        <w:t>（三）大力推行“全程网办”</w:t>
      </w:r>
      <w:r>
        <w:rPr>
          <w:rStyle w:val="27"/>
          <w:rFonts w:hint="eastAsia" w:ascii="仿宋_GB2312" w:hAnsi="仿宋_GB2312" w:eastAsia="仿宋_GB2312" w:cs="仿宋_GB2312"/>
          <w:b/>
          <w:color w:val="000000"/>
          <w:sz w:val="32"/>
          <w:szCs w:val="32"/>
        </w:rPr>
        <w:t>。</w:t>
      </w:r>
      <w:r>
        <w:rPr>
          <w:rStyle w:val="28"/>
          <w:rFonts w:hint="eastAsia" w:ascii="仿宋_GB2312" w:hAnsi="仿宋_GB2312" w:eastAsia="仿宋_GB2312" w:cs="仿宋_GB2312"/>
          <w:sz w:val="32"/>
          <w:szCs w:val="32"/>
        </w:rPr>
        <w:t>我局采取多种措施，大力推广“天府通办”APP的注册、安装、使用，逐步推行政务服务事项网上办，目前政务服务事项“全程网办”件已</w:t>
      </w:r>
      <w:r>
        <w:rPr>
          <w:rStyle w:val="28"/>
          <w:rFonts w:hint="eastAsia" w:ascii="仿宋_GB2312" w:hAnsi="仿宋_GB2312" w:eastAsia="仿宋_GB2312" w:cs="仿宋_GB2312"/>
          <w:color w:val="000000"/>
          <w:sz w:val="32"/>
          <w:szCs w:val="32"/>
        </w:rPr>
        <w:t>办理800余件,全程网办率达50%。</w:t>
      </w:r>
    </w:p>
    <w:p>
      <w:pPr>
        <w:widowControl/>
        <w:autoSpaceDE w:val="0"/>
        <w:spacing w:line="576" w:lineRule="exact"/>
        <w:ind w:firstLine="643" w:firstLineChars="200"/>
        <w:rPr>
          <w:rFonts w:ascii="仿宋_GB2312" w:hAnsi="仿宋_GB2312" w:eastAsia="仿宋_GB2312" w:cs="仿宋_GB2312"/>
          <w:b/>
          <w:sz w:val="32"/>
          <w:szCs w:val="32"/>
        </w:rPr>
      </w:pPr>
      <w:r>
        <w:rPr>
          <w:rStyle w:val="27"/>
          <w:rFonts w:hint="eastAsia" w:ascii="仿宋_GB2312" w:hAnsi="仿宋_GB2312" w:eastAsia="仿宋_GB2312" w:cs="仿宋_GB2312"/>
          <w:b/>
          <w:sz w:val="32"/>
          <w:szCs w:val="32"/>
        </w:rPr>
        <w:t>（四）有序推进权力事项和公共服务事项的下放</w:t>
      </w:r>
    </w:p>
    <w:p>
      <w:pPr>
        <w:widowControl/>
        <w:autoSpaceDE w:val="0"/>
        <w:snapToGrid w:val="0"/>
        <w:spacing w:line="576" w:lineRule="exact"/>
        <w:ind w:firstLine="640" w:firstLineChars="200"/>
        <w:rPr>
          <w:rFonts w:ascii="仿宋_GB2312" w:hAnsi="仿宋_GB2312" w:eastAsia="仿宋_GB2312" w:cs="仿宋_GB2312"/>
          <w:sz w:val="32"/>
          <w:szCs w:val="32"/>
        </w:rPr>
      </w:pPr>
      <w:r>
        <w:rPr>
          <w:rStyle w:val="27"/>
          <w:rFonts w:hint="eastAsia" w:ascii="仿宋_GB2312" w:hAnsi="仿宋_GB2312" w:eastAsia="仿宋_GB2312" w:cs="仿宋_GB2312"/>
          <w:sz w:val="32"/>
          <w:szCs w:val="32"/>
        </w:rPr>
        <w:t>我局通过部门</w:t>
      </w:r>
      <w:r>
        <w:rPr>
          <w:rStyle w:val="27"/>
          <w:rFonts w:hint="eastAsia" w:ascii="仿宋_GB2312" w:hAnsi="仿宋_GB2312" w:eastAsia="仿宋_GB2312" w:cs="仿宋_GB2312"/>
          <w:sz w:val="32"/>
          <w:szCs w:val="32"/>
          <w:lang w:eastAsia="zh-CN"/>
        </w:rPr>
        <w:t>联席会</w:t>
      </w:r>
      <w:r>
        <w:rPr>
          <w:rStyle w:val="27"/>
          <w:rFonts w:hint="eastAsia" w:ascii="仿宋_GB2312" w:hAnsi="仿宋_GB2312" w:eastAsia="仿宋_GB2312" w:cs="仿宋_GB2312"/>
          <w:sz w:val="32"/>
          <w:szCs w:val="32"/>
        </w:rPr>
        <w:t>、乡镇调研、部门研讨等形式，已将我县第一批权力事项（2项）、公共服务事项（42项）下放至乡（镇）。</w:t>
      </w:r>
    </w:p>
    <w:p>
      <w:pPr>
        <w:pStyle w:val="30"/>
        <w:autoSpaceDE w:val="0"/>
        <w:ind w:firstLine="643" w:firstLineChars="200"/>
        <w:rPr>
          <w:rFonts w:ascii="仿宋_GB2312" w:hAnsi="仿宋_GB2312" w:eastAsia="仿宋_GB2312" w:cs="仿宋_GB2312"/>
          <w:color w:val="FF0000"/>
          <w:sz w:val="32"/>
          <w:szCs w:val="32"/>
        </w:rPr>
      </w:pPr>
      <w:r>
        <w:rPr>
          <w:rStyle w:val="27"/>
          <w:rFonts w:hint="eastAsia" w:ascii="仿宋_GB2312" w:hAnsi="仿宋_GB2312" w:eastAsia="仿宋_GB2312" w:cs="仿宋_GB2312"/>
          <w:b/>
          <w:sz w:val="32"/>
          <w:szCs w:val="32"/>
        </w:rPr>
        <w:t>（五）全力推进“12345”政务服务热线的搭建运行工作。</w:t>
      </w:r>
      <w:r>
        <w:rPr>
          <w:rStyle w:val="28"/>
          <w:rFonts w:hint="eastAsia" w:ascii="仿宋_GB2312" w:hAnsi="仿宋_GB2312" w:eastAsia="仿宋_GB2312" w:cs="仿宋_GB2312"/>
          <w:kern w:val="0"/>
          <w:sz w:val="32"/>
          <w:szCs w:val="32"/>
        </w:rPr>
        <w:t>根据州中心要求，我局完成了“阿坝州12345政务服务”平台的搭建、对接工作，切实做好了12345政务服务热线的转办、处理、答复、反馈、回访等工作，确保群众诉求得到及时</w:t>
      </w:r>
      <w:r>
        <w:rPr>
          <w:rStyle w:val="28"/>
          <w:rFonts w:hint="eastAsia" w:ascii="仿宋_GB2312" w:hAnsi="仿宋_GB2312" w:eastAsia="仿宋_GB2312" w:cs="仿宋_GB2312"/>
          <w:kern w:val="0"/>
          <w:sz w:val="32"/>
          <w:szCs w:val="32"/>
          <w:lang w:eastAsia="zh-CN"/>
        </w:rPr>
        <w:t>有效地解决</w:t>
      </w:r>
      <w:r>
        <w:rPr>
          <w:rStyle w:val="28"/>
          <w:rFonts w:hint="eastAsia" w:ascii="仿宋_GB2312" w:hAnsi="仿宋_GB2312" w:eastAsia="仿宋_GB2312" w:cs="仿宋_GB2312"/>
          <w:kern w:val="0"/>
          <w:sz w:val="32"/>
          <w:szCs w:val="32"/>
        </w:rPr>
        <w:t>。今年我县已完</w:t>
      </w:r>
      <w:r>
        <w:rPr>
          <w:rStyle w:val="28"/>
          <w:rFonts w:hint="eastAsia" w:ascii="仿宋_GB2312" w:hAnsi="仿宋_GB2312" w:eastAsia="仿宋_GB2312" w:cs="仿宋_GB2312"/>
          <w:color w:val="000000"/>
          <w:kern w:val="0"/>
          <w:sz w:val="32"/>
          <w:szCs w:val="32"/>
        </w:rPr>
        <w:t>成150件</w:t>
      </w:r>
      <w:r>
        <w:rPr>
          <w:rStyle w:val="28"/>
          <w:rFonts w:hint="eastAsia" w:ascii="仿宋_GB2312" w:hAnsi="仿宋_GB2312" w:eastAsia="仿宋_GB2312" w:cs="仿宋_GB2312"/>
          <w:kern w:val="0"/>
          <w:sz w:val="32"/>
          <w:szCs w:val="32"/>
        </w:rPr>
        <w:t>12345政务服务热线的转接、督办，</w:t>
      </w:r>
      <w:r>
        <w:rPr>
          <w:rStyle w:val="28"/>
          <w:rFonts w:hint="eastAsia" w:ascii="仿宋_GB2312" w:hAnsi="仿宋_GB2312" w:eastAsia="仿宋_GB2312" w:cs="仿宋_GB2312"/>
          <w:color w:val="000000"/>
          <w:kern w:val="0"/>
          <w:sz w:val="32"/>
          <w:szCs w:val="32"/>
        </w:rPr>
        <w:t>回访满意率达95%</w:t>
      </w:r>
      <w:r>
        <w:rPr>
          <w:rStyle w:val="28"/>
          <w:rFonts w:hint="eastAsia" w:ascii="仿宋_GB2312" w:hAnsi="仿宋_GB2312" w:eastAsia="仿宋_GB2312" w:cs="仿宋_GB2312"/>
          <w:kern w:val="0"/>
          <w:sz w:val="32"/>
          <w:szCs w:val="32"/>
        </w:rPr>
        <w:t>。</w:t>
      </w:r>
    </w:p>
    <w:p>
      <w:pPr>
        <w:widowControl/>
        <w:spacing w:line="576" w:lineRule="exact"/>
        <w:ind w:firstLine="643" w:firstLineChars="200"/>
        <w:textAlignment w:val="baseline"/>
        <w:rPr>
          <w:rFonts w:ascii="仿宋_GB2312" w:hAnsi="仿宋_GB2312" w:eastAsia="仿宋_GB2312" w:cs="仿宋_GB2312"/>
          <w:spacing w:val="8"/>
          <w:kern w:val="0"/>
          <w:sz w:val="32"/>
          <w:szCs w:val="32"/>
        </w:rPr>
      </w:pPr>
      <w:r>
        <w:rPr>
          <w:rStyle w:val="27"/>
          <w:rFonts w:hint="eastAsia" w:ascii="仿宋_GB2312" w:hAnsi="仿宋_GB2312" w:eastAsia="仿宋_GB2312" w:cs="仿宋_GB2312"/>
          <w:b/>
          <w:sz w:val="32"/>
          <w:szCs w:val="32"/>
        </w:rPr>
        <w:t>（六）依法、依规推进公共资源交易工作。</w:t>
      </w:r>
      <w:r>
        <w:rPr>
          <w:rStyle w:val="27"/>
          <w:rFonts w:hint="eastAsia" w:ascii="仿宋_GB2312" w:hAnsi="仿宋_GB2312" w:eastAsia="仿宋_GB2312" w:cs="仿宋_GB2312"/>
          <w:sz w:val="32"/>
          <w:szCs w:val="32"/>
        </w:rPr>
        <w:t>我局</w:t>
      </w:r>
      <w:r>
        <w:rPr>
          <w:rStyle w:val="27"/>
          <w:rFonts w:hint="eastAsia" w:ascii="仿宋_GB2312" w:hAnsi="仿宋_GB2312" w:eastAsia="仿宋_GB2312" w:cs="仿宋_GB2312"/>
          <w:color w:val="000000"/>
          <w:sz w:val="32"/>
          <w:szCs w:val="32"/>
        </w:rPr>
        <w:t>认真履行集中采购代理机构职责，做到不越位、不缺位，全面实行“阳光采购”</w:t>
      </w:r>
      <w:r>
        <w:rPr>
          <w:rStyle w:val="27"/>
          <w:rFonts w:hint="eastAsia" w:ascii="仿宋_GB2312" w:hAnsi="仿宋_GB2312" w:eastAsia="仿宋_GB2312" w:cs="仿宋_GB2312"/>
          <w:sz w:val="32"/>
          <w:szCs w:val="32"/>
        </w:rPr>
        <w:t>。</w:t>
      </w:r>
      <w:r>
        <w:rPr>
          <w:rStyle w:val="27"/>
          <w:rFonts w:hint="eastAsia" w:ascii="仿宋_GB2312" w:hAnsi="仿宋_GB2312" w:eastAsia="仿宋_GB2312" w:cs="仿宋_GB2312"/>
          <w:spacing w:val="8"/>
          <w:kern w:val="0"/>
          <w:sz w:val="32"/>
          <w:szCs w:val="32"/>
        </w:rPr>
        <w:t>今年共完成政府集中采购48件，预算金额1596.8346万元，实际完成货物、服务类采购额1475.644325万元，节约资金121.190275万元，资金节约率为7.58%；完成工程项目进场登记审核20项。</w:t>
      </w:r>
    </w:p>
    <w:p>
      <w:pPr>
        <w:widowControl/>
        <w:autoSpaceDE w:val="0"/>
        <w:spacing w:line="578" w:lineRule="exact"/>
        <w:ind w:firstLine="643" w:firstLineChars="200"/>
        <w:rPr>
          <w:rFonts w:ascii="仿宋_GB2312" w:hAnsi="仿宋_GB2312" w:eastAsia="仿宋_GB2312" w:cs="仿宋_GB2312"/>
          <w:kern w:val="0"/>
          <w:sz w:val="32"/>
          <w:szCs w:val="32"/>
        </w:rPr>
      </w:pPr>
      <w:r>
        <w:rPr>
          <w:rStyle w:val="27"/>
          <w:rFonts w:hint="eastAsia" w:ascii="仿宋_GB2312" w:hAnsi="仿宋_GB2312" w:eastAsia="仿宋_GB2312" w:cs="仿宋_GB2312"/>
          <w:b/>
          <w:sz w:val="32"/>
          <w:szCs w:val="32"/>
        </w:rPr>
        <w:t>（七）持续抓好大厅管理。</w:t>
      </w:r>
      <w:r>
        <w:rPr>
          <w:rStyle w:val="27"/>
          <w:rFonts w:hint="eastAsia" w:ascii="仿宋_GB2312" w:hAnsi="仿宋_GB2312" w:eastAsia="仿宋_GB2312" w:cs="仿宋_GB2312"/>
          <w:sz w:val="32"/>
          <w:szCs w:val="32"/>
        </w:rPr>
        <w:t>我局今年结合全县“三大行动”中的干部作风大转变工作，进一步严抓大厅窗口纪律，严格执行了“周一联合巡查”、“工作日定时大厅巡查”、“季度办件情况通报会”、“纪律约谈”、“双签到考勤”等工作制度，开展了重点行业、风险窗口“谈心谈话”工作，落实好了“红旗窗口”和“服务明星”评选工作等。全年评选出“红旗窗口”4个，“服务明星”4名。</w:t>
      </w:r>
    </w:p>
    <w:p>
      <w:pPr>
        <w:widowControl/>
        <w:spacing w:line="576" w:lineRule="exact"/>
        <w:ind w:firstLine="640" w:firstLineChars="200"/>
        <w:textAlignment w:val="baseline"/>
        <w:rPr>
          <w:rFonts w:ascii="仿宋_GB2312" w:hAnsi="仿宋_GB2312" w:eastAsia="仿宋_GB2312" w:cs="仿宋_GB2312"/>
          <w:sz w:val="32"/>
          <w:szCs w:val="32"/>
        </w:rPr>
      </w:pPr>
      <w:r>
        <w:rPr>
          <w:rStyle w:val="27"/>
          <w:rFonts w:hint="eastAsia" w:ascii="仿宋_GB2312" w:hAnsi="仿宋_GB2312" w:eastAsia="仿宋_GB2312" w:cs="仿宋_GB2312"/>
          <w:sz w:val="32"/>
          <w:szCs w:val="32"/>
        </w:rPr>
        <w:t>三、尽职履责，落实好县委政府安排的各项重点工作</w:t>
      </w:r>
    </w:p>
    <w:p>
      <w:pPr>
        <w:widowControl/>
        <w:spacing w:line="576" w:lineRule="exact"/>
        <w:ind w:firstLine="643" w:firstLineChars="200"/>
        <w:textAlignment w:val="baseline"/>
        <w:rPr>
          <w:rFonts w:ascii="仿宋_GB2312" w:hAnsi="仿宋_GB2312" w:eastAsia="仿宋_GB2312" w:cs="仿宋_GB2312"/>
          <w:b/>
          <w:sz w:val="32"/>
          <w:szCs w:val="32"/>
        </w:rPr>
      </w:pPr>
      <w:r>
        <w:rPr>
          <w:rStyle w:val="27"/>
          <w:rFonts w:hint="eastAsia" w:ascii="仿宋_GB2312" w:hAnsi="仿宋_GB2312" w:eastAsia="仿宋_GB2312" w:cs="仿宋_GB2312"/>
          <w:b/>
          <w:sz w:val="32"/>
          <w:szCs w:val="32"/>
        </w:rPr>
        <w:t>（一）</w:t>
      </w:r>
      <w:r>
        <w:rPr>
          <w:rStyle w:val="28"/>
          <w:rFonts w:hint="eastAsia" w:ascii="仿宋_GB2312" w:hAnsi="仿宋_GB2312" w:eastAsia="仿宋_GB2312" w:cs="仿宋_GB2312"/>
          <w:b/>
          <w:sz w:val="32"/>
          <w:szCs w:val="32"/>
        </w:rPr>
        <w:t>扎实推进“三大行动”和“两联一进”全覆盖工作</w:t>
      </w:r>
    </w:p>
    <w:p>
      <w:pPr>
        <w:pStyle w:val="30"/>
        <w:autoSpaceDE w:val="0"/>
        <w:ind w:firstLine="640" w:firstLineChars="200"/>
        <w:rPr>
          <w:rStyle w:val="28"/>
          <w:rFonts w:hint="eastAsia" w:ascii="仿宋_GB2312" w:hAnsi="仿宋_GB2312" w:eastAsia="仿宋_GB2312" w:cs="仿宋_GB2312"/>
          <w:kern w:val="0"/>
          <w:sz w:val="32"/>
          <w:szCs w:val="32"/>
          <w:lang w:eastAsia="zh-CN"/>
        </w:rPr>
      </w:pPr>
      <w:r>
        <w:rPr>
          <w:rStyle w:val="28"/>
          <w:rFonts w:hint="eastAsia" w:ascii="仿宋_GB2312" w:hAnsi="仿宋_GB2312" w:eastAsia="仿宋_GB2312" w:cs="仿宋_GB2312"/>
          <w:kern w:val="0"/>
          <w:sz w:val="32"/>
          <w:szCs w:val="32"/>
        </w:rPr>
        <w:t>为积极响应县委关于“深入开展‘三大行动’持续深化‘两联一进’群众工作全覆盖”工作要求，我局高度重视，严格压实责任，成立了以主要领导为组长、分管领导为副组长、各股室工作人员为成员的领导小组，制定了“三大行动”工作方案，扎实开展了干部职工作风大转变、基层治理大提升、矛盾纠纷大化解及“两联一进”群众工作全覆盖等工作。年内共开展了“三大行动”树好行风政风专题谈心谈话会60余人次；深入联系点开展全覆盖群众大走访工作16次，帮助解决群众诉求3件，及时转办解决“12345”热线投诉150件；发放《森林防灭火法》、《中华人民共和国野生动物保护法》、《12340满意度电话接听方式》等宣传单3000余份；向贫困联系户赠送“家庭应急包”6个。</w:t>
      </w:r>
    </w:p>
    <w:p>
      <w:pPr>
        <w:pStyle w:val="30"/>
        <w:autoSpaceDE w:val="0"/>
        <w:ind w:firstLine="643" w:firstLineChars="200"/>
        <w:rPr>
          <w:rFonts w:ascii="仿宋_GB2312" w:hAnsi="仿宋_GB2312" w:eastAsia="仿宋_GB2312" w:cs="仿宋_GB2312"/>
          <w:sz w:val="32"/>
          <w:szCs w:val="32"/>
        </w:rPr>
      </w:pPr>
      <w:r>
        <w:rPr>
          <w:rStyle w:val="27"/>
          <w:rFonts w:hint="eastAsia" w:ascii="仿宋_GB2312" w:hAnsi="仿宋_GB2312" w:eastAsia="仿宋_GB2312" w:cs="仿宋_GB2312"/>
          <w:b/>
          <w:sz w:val="32"/>
          <w:szCs w:val="32"/>
        </w:rPr>
        <w:t xml:space="preserve">   （二）</w:t>
      </w:r>
      <w:r>
        <w:rPr>
          <w:rStyle w:val="28"/>
          <w:rFonts w:hint="eastAsia" w:ascii="仿宋_GB2312" w:hAnsi="仿宋_GB2312" w:eastAsia="仿宋_GB2312" w:cs="仿宋_GB2312"/>
          <w:b/>
          <w:sz w:val="32"/>
          <w:szCs w:val="32"/>
        </w:rPr>
        <w:t>持续开展好疫情防控工作</w:t>
      </w:r>
    </w:p>
    <w:p>
      <w:pPr>
        <w:pStyle w:val="26"/>
        <w:autoSpaceDE w:val="0"/>
        <w:ind w:firstLine="640" w:firstLineChars="200"/>
        <w:rPr>
          <w:rFonts w:ascii="仿宋_GB2312" w:hAnsi="仿宋_GB2312" w:eastAsia="仿宋_GB2312" w:cs="仿宋_GB2312"/>
          <w:sz w:val="32"/>
          <w:szCs w:val="32"/>
        </w:rPr>
      </w:pPr>
      <w:r>
        <w:rPr>
          <w:rStyle w:val="28"/>
          <w:rFonts w:hint="eastAsia" w:ascii="仿宋_GB2312" w:hAnsi="仿宋_GB2312" w:eastAsia="仿宋_GB2312" w:cs="仿宋_GB2312"/>
          <w:kern w:val="0"/>
          <w:sz w:val="32"/>
          <w:szCs w:val="32"/>
        </w:rPr>
        <w:t>我局按照中央、省、州、县疫情防控相关文件要求，拟定预案、多措并举，扎实做好了局机关、二办公区公共区域的疫情防控工作和局机关业务开展工作，确保了局机关疫情防控和业务工作安全有序开展。</w:t>
      </w:r>
    </w:p>
    <w:p>
      <w:pPr>
        <w:widowControl/>
        <w:autoSpaceDE w:val="0"/>
        <w:spacing w:line="576" w:lineRule="exact"/>
        <w:ind w:firstLine="643" w:firstLineChars="200"/>
        <w:rPr>
          <w:rFonts w:ascii="仿宋_GB2312" w:hAnsi="仿宋_GB2312" w:eastAsia="仿宋_GB2312" w:cs="仿宋_GB2312"/>
          <w:b/>
          <w:sz w:val="32"/>
          <w:szCs w:val="32"/>
        </w:rPr>
      </w:pPr>
      <w:r>
        <w:rPr>
          <w:rStyle w:val="27"/>
          <w:rFonts w:hint="eastAsia" w:ascii="仿宋_GB2312" w:hAnsi="仿宋_GB2312" w:eastAsia="仿宋_GB2312" w:cs="仿宋_GB2312"/>
          <w:b/>
          <w:sz w:val="32"/>
          <w:szCs w:val="32"/>
        </w:rPr>
        <w:t>（三）深入落实好“脱贫攻坚”工作</w:t>
      </w:r>
    </w:p>
    <w:p>
      <w:pPr>
        <w:pStyle w:val="26"/>
        <w:autoSpaceDE w:val="0"/>
        <w:spacing w:line="576" w:lineRule="exact"/>
        <w:ind w:firstLine="640" w:firstLineChars="200"/>
        <w:rPr>
          <w:rFonts w:ascii="仿宋_GB2312" w:hAnsi="仿宋_GB2312" w:eastAsia="仿宋_GB2312" w:cs="仿宋_GB2312"/>
          <w:sz w:val="32"/>
          <w:szCs w:val="32"/>
        </w:rPr>
      </w:pPr>
      <w:r>
        <w:rPr>
          <w:rStyle w:val="27"/>
          <w:rFonts w:hint="eastAsia" w:ascii="仿宋_GB2312" w:hAnsi="仿宋_GB2312" w:eastAsia="仿宋_GB2312" w:cs="仿宋_GB2312"/>
          <w:kern w:val="0"/>
          <w:sz w:val="32"/>
          <w:szCs w:val="32"/>
        </w:rPr>
        <w:t>按照县委政府关于“脱贫攻坚”相关文件要求，我局及时组织全局干部职工认真学习了省、州、县“脱贫攻坚”相关文件精神和领导重要讲话指示精神，深入基层开展了“脱贫攻坚”走村入户工作，全面了解和掌握了“贫困户”、“联系户”的生产生活、经济收入状况及所思所想和困难诉求等，积极帮助其谋发展、制计划、算收入，确保了真脱贫。</w:t>
      </w:r>
    </w:p>
    <w:p>
      <w:pPr>
        <w:pStyle w:val="31"/>
        <w:autoSpaceDE w:val="0"/>
        <w:spacing w:line="576" w:lineRule="exact"/>
        <w:ind w:firstLine="643" w:firstLineChars="200"/>
        <w:rPr>
          <w:rFonts w:ascii="仿宋_GB2312" w:hAnsi="仿宋_GB2312" w:eastAsia="仿宋_GB2312" w:cs="仿宋_GB2312"/>
          <w:b/>
          <w:sz w:val="32"/>
          <w:szCs w:val="32"/>
        </w:rPr>
      </w:pPr>
      <w:r>
        <w:rPr>
          <w:rStyle w:val="27"/>
          <w:rFonts w:hint="eastAsia" w:ascii="仿宋_GB2312" w:hAnsi="仿宋_GB2312" w:eastAsia="仿宋_GB2312" w:cs="仿宋_GB2312"/>
          <w:b/>
          <w:sz w:val="32"/>
          <w:szCs w:val="32"/>
        </w:rPr>
        <w:t>（四）</w:t>
      </w:r>
      <w:r>
        <w:rPr>
          <w:rFonts w:hint="eastAsia" w:ascii="仿宋_GB2312" w:hAnsi="仿宋_GB2312" w:eastAsia="仿宋_GB2312" w:cs="仿宋_GB2312"/>
          <w:b/>
          <w:sz w:val="32"/>
          <w:szCs w:val="32"/>
        </w:rPr>
        <w:t>全面抓好环境整治工作</w:t>
      </w:r>
    </w:p>
    <w:p>
      <w:pPr>
        <w:autoSpaceDE w:val="0"/>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我县关于开展环境卫生综合整治相关工作要求，我局扎实开展了“省级文明城市创建”及“爱国卫生周末大扫除”等工作，坚持做好环境卫生日常管理与不定期督促检查相结合，确保了办公室场所干净整洁、环境达标。</w:t>
      </w:r>
    </w:p>
    <w:p>
      <w:pPr>
        <w:widowControl/>
        <w:autoSpaceDE w:val="0"/>
        <w:ind w:firstLine="643" w:firstLineChars="200"/>
        <w:rPr>
          <w:rFonts w:ascii="仿宋_GB2312" w:hAnsi="仿宋_GB2312" w:eastAsia="仿宋_GB2312" w:cs="仿宋_GB2312"/>
          <w:b/>
          <w:sz w:val="32"/>
          <w:szCs w:val="32"/>
        </w:rPr>
      </w:pPr>
      <w:r>
        <w:rPr>
          <w:rStyle w:val="27"/>
          <w:rFonts w:hint="eastAsia" w:ascii="仿宋_GB2312" w:hAnsi="仿宋_GB2312" w:eastAsia="仿宋_GB2312" w:cs="仿宋_GB2312"/>
          <w:b/>
          <w:sz w:val="32"/>
          <w:szCs w:val="32"/>
        </w:rPr>
        <w:t>（五）有力推进工青妇、民族宗教、安全生产、应急管理、依法治县、保密、语言文字等相关工作。</w:t>
      </w:r>
    </w:p>
    <w:p>
      <w:pPr>
        <w:autoSpaceDE w:val="0"/>
        <w:spacing w:line="576" w:lineRule="exact"/>
        <w:ind w:firstLine="640" w:firstLineChars="200"/>
        <w:jc w:val="left"/>
        <w:rPr>
          <w:rFonts w:ascii="仿宋_GB2312" w:hAnsi="仿宋_GB2312" w:eastAsia="仿宋_GB2312" w:cs="仿宋_GB2312"/>
          <w:kern w:val="0"/>
          <w:sz w:val="32"/>
          <w:szCs w:val="32"/>
        </w:rPr>
      </w:pPr>
      <w:r>
        <w:rPr>
          <w:rStyle w:val="27"/>
          <w:rFonts w:hint="eastAsia" w:ascii="仿宋_GB2312" w:hAnsi="仿宋_GB2312" w:eastAsia="仿宋_GB2312" w:cs="仿宋_GB2312"/>
          <w:kern w:val="0"/>
          <w:sz w:val="32"/>
          <w:szCs w:val="32"/>
        </w:rPr>
        <w:t>四、</w:t>
      </w:r>
      <w:r>
        <w:rPr>
          <w:rFonts w:hint="eastAsia" w:ascii="仿宋_GB2312" w:hAnsi="仿宋_GB2312" w:eastAsia="仿宋_GB2312" w:cs="仿宋_GB2312"/>
          <w:kern w:val="0"/>
          <w:sz w:val="32"/>
          <w:szCs w:val="32"/>
        </w:rPr>
        <w:t>“十三五”规划完成情况及“十四五”规划编制情况</w:t>
      </w:r>
    </w:p>
    <w:p>
      <w:pPr>
        <w:autoSpaceDE w:val="0"/>
        <w:spacing w:line="576" w:lineRule="exact"/>
        <w:ind w:firstLine="643"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（一）“十三五”规划完成情况。</w:t>
      </w:r>
      <w:r>
        <w:rPr>
          <w:rFonts w:hint="eastAsia" w:ascii="仿宋_GB2312" w:hAnsi="仿宋_GB2312" w:eastAsia="仿宋_GB2312" w:cs="仿宋_GB2312"/>
          <w:kern w:val="0"/>
          <w:sz w:val="32"/>
          <w:szCs w:val="32"/>
        </w:rPr>
        <w:t>我局完成了县乡村三级政务服务体系标准化建设，建立健全了各项工作机制，全面推进政务服务“网上办”、“全程网办”，扎实开展深化行政审批制度改革、权力事项和公共服务事项下放及“最多跑一次”改革等工作，为全县“放管服”改革工作的有序推进打下坚实基础。</w:t>
      </w:r>
    </w:p>
    <w:p>
      <w:pPr>
        <w:autoSpaceDE w:val="0"/>
        <w:spacing w:line="576" w:lineRule="exact"/>
        <w:ind w:firstLine="643"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（二）十四五”规划编制情况。</w:t>
      </w:r>
      <w:r>
        <w:rPr>
          <w:rFonts w:hint="eastAsia" w:ascii="仿宋_GB2312" w:hAnsi="仿宋_GB2312" w:eastAsia="仿宋_GB2312" w:cs="仿宋_GB2312"/>
          <w:kern w:val="0"/>
          <w:sz w:val="32"/>
          <w:szCs w:val="32"/>
        </w:rPr>
        <w:t>我局将立足本职工作，以进一步贯彻落实好国务院关于深化“放管服”改革，优化营商环境的系列指示精神，以深入推进行政审批制度改革、“县乡村”三级政务体系标准化建设、“全程网办”、“互联网+政务”服务等工作为重点，认真编制完成了“十四五”规划。</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widowControl/>
        <w:ind w:firstLine="640" w:firstLineChars="200"/>
        <w:jc w:val="left"/>
        <w:rPr>
          <w:rFonts w:ascii="仿宋" w:hAnsi="仿宋" w:eastAsia="仿宋_GB2312"/>
          <w:color w:val="000000"/>
          <w:kern w:val="0"/>
          <w:sz w:val="32"/>
          <w:szCs w:val="32"/>
        </w:rPr>
      </w:pPr>
      <w:r>
        <w:rPr>
          <w:rFonts w:eastAsia="仿宋_GB2312"/>
          <w:kern w:val="0"/>
          <w:sz w:val="32"/>
          <w:szCs w:val="32"/>
        </w:rPr>
        <w:t>金川县行政审批局（简称县行政审批局）是金川县人民政府工作部门，为正科级。</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统一核算机构为1个，独立编制机构3个，其中:行政单位1个，参照公务员法管理的事业单位1个，事业单位1个。</w:t>
      </w:r>
    </w:p>
    <w:p>
      <w:pPr>
        <w:pStyle w:val="3"/>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2"/>
        </w:numPr>
        <w:ind w:left="0" w:firstLine="0" w:firstLineChars="0"/>
        <w:outlineLvl w:val="1"/>
        <w:rPr>
          <w:rStyle w:val="17"/>
          <w:rFonts w:ascii="黑体" w:eastAsia="黑体"/>
          <w:b w:val="0"/>
        </w:rPr>
      </w:pPr>
      <w:bookmarkStart w:id="24" w:name="_Toc15377205"/>
      <w:bookmarkStart w:id="25" w:name="_Toc15396603"/>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napToGrid w:val="0"/>
        <w:spacing w:line="520" w:lineRule="exact"/>
        <w:ind w:firstLine="632" w:firstLineChars="200"/>
        <w:rPr>
          <w:rStyle w:val="32"/>
          <w:rFonts w:ascii="仿宋_GB2312" w:eastAsia="仿宋_GB2312" w:cs="仿宋_GB2312"/>
          <w:b w:val="0"/>
          <w:bCs/>
          <w:sz w:val="32"/>
          <w:szCs w:val="32"/>
          <w:shd w:val="clear" w:color="auto" w:fill="FFFFFF"/>
        </w:rPr>
      </w:pPr>
      <w:r>
        <w:rPr>
          <w:rFonts w:hint="eastAsia" w:ascii="仿宋_GB2312" w:eastAsia="仿宋_GB2312"/>
          <w:color w:val="000000"/>
          <w:spacing w:val="-2"/>
          <w:sz w:val="32"/>
          <w:szCs w:val="32"/>
        </w:rPr>
        <w:t>2020年度总收入254.52万元，较上年收入增加63.3万元，增长33.10%。增加的主要原因</w:t>
      </w:r>
      <w:r>
        <w:rPr>
          <w:rStyle w:val="32"/>
          <w:rFonts w:hint="eastAsia" w:ascii="仿宋_GB2312" w:eastAsia="仿宋_GB2312" w:cs="仿宋_GB2312"/>
          <w:b w:val="0"/>
          <w:bCs/>
          <w:sz w:val="32"/>
          <w:szCs w:val="32"/>
          <w:shd w:val="clear" w:color="auto" w:fill="FFFFFF"/>
        </w:rPr>
        <w:t>为人员增加</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w:t>
      </w:r>
      <w:r>
        <w:rPr>
          <w:rFonts w:hint="eastAsia" w:ascii="仿宋_GB2312" w:eastAsia="仿宋_GB2312"/>
          <w:color w:val="000000"/>
          <w:spacing w:val="-2"/>
          <w:sz w:val="32"/>
          <w:szCs w:val="32"/>
        </w:rPr>
        <w:t>254.52</w:t>
      </w:r>
      <w:r>
        <w:rPr>
          <w:rFonts w:hint="eastAsia" w:ascii="仿宋_GB2312" w:eastAsia="仿宋_GB2312"/>
          <w:spacing w:val="-2"/>
          <w:sz w:val="32"/>
          <w:szCs w:val="32"/>
        </w:rPr>
        <w:t>万元，较上年支出增加39.88万元，增长18.58%。主要原因</w:t>
      </w:r>
      <w:r>
        <w:rPr>
          <w:rStyle w:val="32"/>
          <w:rFonts w:hint="eastAsia" w:ascii="仿宋_GB2312" w:eastAsia="仿宋_GB2312" w:cs="仿宋_GB2312"/>
          <w:b w:val="0"/>
          <w:bCs/>
          <w:sz w:val="32"/>
          <w:szCs w:val="32"/>
          <w:shd w:val="clear" w:color="auto" w:fill="FFFFFF"/>
        </w:rPr>
        <w:t>为人员增加</w:t>
      </w:r>
      <w:r>
        <w:rPr>
          <w:rFonts w:hint="eastAsia" w:ascii="仿宋_GB2312" w:eastAsia="仿宋_GB2312"/>
          <w:spacing w:val="-2"/>
          <w:sz w:val="32"/>
          <w:szCs w:val="32"/>
        </w:rPr>
        <w:t>。</w:t>
      </w:r>
    </w:p>
    <w:p>
      <w:pPr>
        <w:spacing w:line="600" w:lineRule="exact"/>
        <w:ind w:firstLine="420" w:firstLineChars="200"/>
        <w:rPr>
          <w:rFonts w:ascii="黑体" w:eastAsia="黑体"/>
          <w:color w:val="000000"/>
          <w:sz w:val="32"/>
          <w:szCs w:val="32"/>
        </w:rPr>
      </w:pPr>
      <w:bookmarkStart w:id="26" w:name="_Toc15377206"/>
      <w:bookmarkStart w:id="27" w:name="_Toc15396604"/>
      <w:r>
        <w:drawing>
          <wp:anchor distT="0" distB="0" distL="114300" distR="114300" simplePos="0" relativeHeight="251659264" behindDoc="1" locked="0" layoutInCell="1" allowOverlap="1">
            <wp:simplePos x="0" y="0"/>
            <wp:positionH relativeFrom="column">
              <wp:posOffset>614045</wp:posOffset>
            </wp:positionH>
            <wp:positionV relativeFrom="paragraph">
              <wp:posOffset>176530</wp:posOffset>
            </wp:positionV>
            <wp:extent cx="4067810" cy="2334260"/>
            <wp:effectExtent l="5080" t="4445" r="22860" b="23495"/>
            <wp:wrapNone/>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640" w:firstLineChars="200"/>
        <w:rPr>
          <w:rStyle w:val="17"/>
          <w:rFonts w:ascii="黑体" w:eastAsia="黑体"/>
          <w:b w:val="0"/>
        </w:rPr>
      </w:pPr>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20年总收入254.52万元，其中：一般公共预算财政拨款收入254.52万元，占100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Fonts w:ascii="黑体" w:eastAsia="黑体"/>
          <w:color w:val="000000"/>
          <w:sz w:val="32"/>
          <w:szCs w:val="32"/>
        </w:rPr>
      </w:pPr>
      <w:bookmarkStart w:id="28" w:name="_Toc15396605"/>
      <w:bookmarkStart w:id="29" w:name="_Toc15377207"/>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420" w:firstLineChars="200"/>
        <w:outlineLvl w:val="1"/>
        <w:rPr>
          <w:rFonts w:ascii="黑体" w:eastAsia="黑体"/>
          <w:color w:val="000000"/>
          <w:sz w:val="32"/>
          <w:szCs w:val="32"/>
        </w:rPr>
      </w:pPr>
      <w:r>
        <w:drawing>
          <wp:anchor distT="0" distB="0" distL="114300" distR="114300" simplePos="0" relativeHeight="251660288" behindDoc="1" locked="0" layoutInCell="1" allowOverlap="1">
            <wp:simplePos x="0" y="0"/>
            <wp:positionH relativeFrom="column">
              <wp:posOffset>261620</wp:posOffset>
            </wp:positionH>
            <wp:positionV relativeFrom="paragraph">
              <wp:posOffset>64135</wp:posOffset>
            </wp:positionV>
            <wp:extent cx="4829175" cy="2522855"/>
            <wp:effectExtent l="4445" t="4445" r="5080" b="6350"/>
            <wp:wrapNone/>
            <wp:docPr id="1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ascii="黑体" w:eastAsia="黑体"/>
          <w:color w:val="000000"/>
          <w:kern w:val="2"/>
          <w:sz w:val="32"/>
          <w:szCs w:val="32"/>
        </w:rPr>
      </w:pPr>
    </w:p>
    <w:p>
      <w:pPr>
        <w:pStyle w:val="2"/>
        <w:rPr>
          <w:rFonts w:ascii="黑体" w:eastAsia="黑体"/>
          <w:color w:val="000000"/>
          <w:kern w:val="2"/>
          <w:sz w:val="32"/>
          <w:szCs w:val="32"/>
        </w:rPr>
      </w:pPr>
    </w:p>
    <w:p>
      <w:pPr>
        <w:pStyle w:val="2"/>
        <w:rPr>
          <w:rFonts w:ascii="黑体" w:eastAsia="黑体"/>
          <w:color w:val="000000"/>
          <w:kern w:val="2"/>
          <w:sz w:val="32"/>
          <w:szCs w:val="32"/>
        </w:rPr>
      </w:pPr>
    </w:p>
    <w:p>
      <w:pPr>
        <w:pStyle w:val="2"/>
        <w:rPr>
          <w:rFonts w:ascii="黑体" w:eastAsia="黑体"/>
          <w:color w:val="000000"/>
          <w:kern w:val="2"/>
          <w:sz w:val="32"/>
          <w:szCs w:val="32"/>
        </w:rPr>
      </w:pPr>
    </w:p>
    <w:p>
      <w:pPr>
        <w:pStyle w:val="2"/>
        <w:rPr>
          <w:rFonts w:ascii="黑体" w:eastAsia="黑体"/>
          <w:color w:val="000000"/>
          <w:kern w:val="2"/>
          <w:sz w:val="32"/>
          <w:szCs w:val="32"/>
        </w:rPr>
      </w:pPr>
    </w:p>
    <w:p>
      <w:pPr>
        <w:pStyle w:val="2"/>
        <w:rPr>
          <w:rFonts w:ascii="黑体" w:eastAsia="黑体"/>
          <w:color w:val="000000"/>
          <w:kern w:val="2"/>
          <w:sz w:val="32"/>
          <w:szCs w:val="32"/>
        </w:rPr>
      </w:pPr>
    </w:p>
    <w:p>
      <w:pPr>
        <w:pStyle w:val="2"/>
        <w:rPr>
          <w:rFonts w:ascii="黑体" w:eastAsia="黑体"/>
          <w:color w:val="000000"/>
          <w:kern w:val="2"/>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2020年本年总支出254.52万元，其中：基本支出234.17万元，占92.00%；项目支出20.35万元，占8.00%；上缴上级支出0万元，占0%；经营支出0万元，占0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1" locked="0" layoutInCell="1" allowOverlap="1">
            <wp:simplePos x="0" y="0"/>
            <wp:positionH relativeFrom="column">
              <wp:posOffset>24130</wp:posOffset>
            </wp:positionH>
            <wp:positionV relativeFrom="paragraph">
              <wp:posOffset>147320</wp:posOffset>
            </wp:positionV>
            <wp:extent cx="5170805" cy="2952750"/>
            <wp:effectExtent l="4445" t="4445" r="6350" b="14605"/>
            <wp:wrapNone/>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
        <w:rPr>
          <w:rFonts w:ascii="仿宋_GB2312" w:eastAsia="仿宋_GB2312"/>
          <w:color w:val="FF0000"/>
          <w:sz w:val="32"/>
          <w:szCs w:val="32"/>
        </w:rPr>
      </w:pPr>
    </w:p>
    <w:p>
      <w:pPr>
        <w:pStyle w:val="2"/>
        <w:rPr>
          <w:rFonts w:ascii="仿宋_GB2312" w:eastAsia="仿宋_GB2312"/>
          <w:color w:val="FF0000"/>
          <w:sz w:val="32"/>
          <w:szCs w:val="32"/>
        </w:rPr>
      </w:pPr>
    </w:p>
    <w:p>
      <w:pPr>
        <w:pStyle w:val="2"/>
        <w:rPr>
          <w:rFonts w:ascii="仿宋_GB2312" w:eastAsia="仿宋_GB2312"/>
          <w:color w:val="FF0000"/>
          <w:sz w:val="32"/>
          <w:szCs w:val="32"/>
        </w:rPr>
      </w:pPr>
    </w:p>
    <w:p>
      <w:pPr>
        <w:pStyle w:val="2"/>
        <w:rPr>
          <w:rFonts w:ascii="仿宋_GB2312" w:eastAsia="仿宋_GB2312"/>
          <w:color w:val="FF0000"/>
          <w:sz w:val="32"/>
          <w:szCs w:val="32"/>
        </w:rPr>
      </w:pPr>
    </w:p>
    <w:p>
      <w:pPr>
        <w:pStyle w:val="2"/>
        <w:rPr>
          <w:rFonts w:ascii="仿宋_GB2312" w:eastAsia="仿宋_GB2312"/>
          <w:color w:val="FF0000"/>
          <w:sz w:val="32"/>
          <w:szCs w:val="32"/>
        </w:rPr>
      </w:pPr>
    </w:p>
    <w:p>
      <w:pPr>
        <w:spacing w:line="600" w:lineRule="exact"/>
        <w:ind w:firstLine="640" w:firstLineChars="200"/>
        <w:outlineLvl w:val="1"/>
        <w:rPr>
          <w:rStyle w:val="17"/>
          <w:rFonts w:ascii="黑体" w:eastAsia="黑体"/>
          <w:b w:val="0"/>
        </w:rPr>
      </w:pPr>
      <w:bookmarkStart w:id="30" w:name="_Toc15396606"/>
      <w:bookmarkStart w:id="31" w:name="_Toc15377208"/>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napToGrid w:val="0"/>
        <w:spacing w:line="520" w:lineRule="exact"/>
        <w:ind w:firstLine="640" w:firstLineChars="200"/>
        <w:rPr>
          <w:rStyle w:val="32"/>
          <w:rFonts w:ascii="仿宋_GB2312" w:eastAsia="仿宋_GB2312" w:cs="仿宋_GB2312"/>
          <w:b w:val="0"/>
          <w:bCs/>
          <w:sz w:val="32"/>
          <w:szCs w:val="32"/>
          <w:shd w:val="clear" w:color="auto" w:fill="FFFFFF"/>
        </w:rPr>
      </w:pPr>
      <w:r>
        <w:rPr>
          <w:rFonts w:hint="eastAsia" w:ascii="仿宋" w:eastAsia="仿宋"/>
          <w:color w:val="000000"/>
          <w:sz w:val="32"/>
          <w:szCs w:val="32"/>
        </w:rPr>
        <w:t>2020年财政拨款收入254.52万元。与2019年相比，一般公共预算财政拨款收入较上年增加63.3万元，增长33.10%。</w:t>
      </w:r>
      <w:r>
        <w:rPr>
          <w:rFonts w:hint="eastAsia" w:ascii="仿宋_GB2312" w:eastAsia="仿宋_GB2312"/>
          <w:color w:val="000000"/>
          <w:spacing w:val="-2"/>
          <w:sz w:val="32"/>
          <w:szCs w:val="32"/>
        </w:rPr>
        <w:t>增加的主要原因</w:t>
      </w:r>
      <w:r>
        <w:rPr>
          <w:rStyle w:val="32"/>
          <w:rFonts w:hint="eastAsia" w:ascii="仿宋_GB2312" w:eastAsia="仿宋_GB2312" w:cs="仿宋_GB2312"/>
          <w:b w:val="0"/>
          <w:bCs/>
          <w:sz w:val="32"/>
          <w:szCs w:val="32"/>
          <w:shd w:val="clear" w:color="auto" w:fill="FFFFFF"/>
        </w:rPr>
        <w:t>为人员增加</w:t>
      </w:r>
    </w:p>
    <w:p>
      <w:pPr>
        <w:snapToGrid w:val="0"/>
        <w:spacing w:line="520" w:lineRule="exact"/>
        <w:ind w:firstLine="640" w:firstLineChars="200"/>
        <w:rPr>
          <w:rFonts w:ascii="仿宋_GB2312" w:eastAsia="仿宋_GB2312"/>
          <w:spacing w:val="-2"/>
          <w:sz w:val="32"/>
          <w:szCs w:val="32"/>
        </w:rPr>
      </w:pPr>
      <w:r>
        <w:rPr>
          <w:rFonts w:hint="eastAsia" w:ascii="仿宋" w:eastAsia="仿宋"/>
          <w:color w:val="000000"/>
          <w:sz w:val="32"/>
          <w:szCs w:val="32"/>
        </w:rPr>
        <w:t>2020年财政拨款支出254.52万元，</w:t>
      </w:r>
      <w:r>
        <w:rPr>
          <w:rFonts w:hint="eastAsia" w:ascii="仿宋" w:eastAsia="仿宋"/>
          <w:sz w:val="32"/>
          <w:szCs w:val="32"/>
        </w:rPr>
        <w:t>较上年支出增加39.88万元，增长18.58%</w:t>
      </w:r>
      <w:r>
        <w:rPr>
          <w:rFonts w:hint="eastAsia" w:ascii="仿宋_GB2312" w:eastAsia="仿宋_GB2312"/>
          <w:spacing w:val="-2"/>
          <w:sz w:val="32"/>
          <w:szCs w:val="32"/>
        </w:rPr>
        <w:t>。</w:t>
      </w:r>
      <w:bookmarkStart w:id="32" w:name="_Toc15396607"/>
      <w:bookmarkStart w:id="33" w:name="_Toc15377209"/>
    </w:p>
    <w:p>
      <w:pPr>
        <w:pStyle w:val="2"/>
        <w:rPr>
          <w:rFonts w:ascii="仿宋_GB2312" w:eastAsia="仿宋_GB2312"/>
          <w:spacing w:val="-2"/>
          <w:kern w:val="2"/>
          <w:sz w:val="32"/>
          <w:szCs w:val="32"/>
        </w:rPr>
      </w:pPr>
      <w:r>
        <w:drawing>
          <wp:anchor distT="0" distB="0" distL="114300" distR="114300" simplePos="0" relativeHeight="251662336" behindDoc="1" locked="0" layoutInCell="1" allowOverlap="1">
            <wp:simplePos x="0" y="0"/>
            <wp:positionH relativeFrom="column">
              <wp:posOffset>1070610</wp:posOffset>
            </wp:positionH>
            <wp:positionV relativeFrom="paragraph">
              <wp:posOffset>229870</wp:posOffset>
            </wp:positionV>
            <wp:extent cx="3343910" cy="1638300"/>
            <wp:effectExtent l="4445" t="4445" r="23495" b="14605"/>
            <wp:wrapNone/>
            <wp:docPr id="15"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ascii="仿宋_GB2312" w:eastAsia="仿宋_GB2312"/>
          <w:spacing w:val="-2"/>
          <w:kern w:val="2"/>
          <w:sz w:val="32"/>
          <w:szCs w:val="32"/>
        </w:rPr>
      </w:pPr>
    </w:p>
    <w:p>
      <w:pPr>
        <w:pStyle w:val="2"/>
        <w:rPr>
          <w:rFonts w:ascii="仿宋_GB2312" w:eastAsia="仿宋_GB2312"/>
          <w:spacing w:val="-2"/>
          <w:kern w:val="2"/>
          <w:sz w:val="32"/>
          <w:szCs w:val="32"/>
        </w:rPr>
      </w:pPr>
    </w:p>
    <w:p>
      <w:pPr>
        <w:pStyle w:val="2"/>
        <w:rPr>
          <w:rFonts w:ascii="仿宋_GB2312" w:eastAsia="仿宋_GB2312"/>
          <w:spacing w:val="-2"/>
          <w:kern w:val="2"/>
          <w:sz w:val="32"/>
          <w:szCs w:val="32"/>
        </w:rPr>
      </w:pPr>
    </w:p>
    <w:p>
      <w:pPr>
        <w:pStyle w:val="2"/>
        <w:rPr>
          <w:rFonts w:ascii="仿宋_GB2312" w:eastAsia="仿宋_GB2312"/>
          <w:spacing w:val="-2"/>
          <w:kern w:val="2"/>
          <w:sz w:val="32"/>
          <w:szCs w:val="32"/>
        </w:rPr>
      </w:pPr>
    </w:p>
    <w:p>
      <w:pPr>
        <w:pStyle w:val="2"/>
        <w:rPr>
          <w:rFonts w:ascii="仿宋_GB2312" w:eastAsia="仿宋_GB2312"/>
          <w:spacing w:val="-2"/>
          <w:kern w:val="2"/>
          <w:sz w:val="32"/>
          <w:szCs w:val="32"/>
        </w:rPr>
      </w:pPr>
    </w:p>
    <w:p>
      <w:pPr>
        <w:pStyle w:val="2"/>
        <w:rPr>
          <w:rFonts w:ascii="仿宋_GB2312" w:eastAsia="仿宋_GB2312"/>
          <w:spacing w:val="-2"/>
          <w:kern w:val="2"/>
          <w:sz w:val="32"/>
          <w:szCs w:val="32"/>
        </w:rPr>
      </w:pPr>
    </w:p>
    <w:p>
      <w:pPr>
        <w:pStyle w:val="2"/>
        <w:rPr>
          <w:rFonts w:ascii="仿宋_GB2312" w:eastAsia="仿宋_GB2312"/>
          <w:spacing w:val="-2"/>
          <w:kern w:val="2"/>
          <w:sz w:val="32"/>
          <w:szCs w:val="32"/>
        </w:rPr>
      </w:pPr>
    </w:p>
    <w:p>
      <w:pPr>
        <w:snapToGrid w:val="0"/>
        <w:spacing w:line="520" w:lineRule="exact"/>
        <w:ind w:firstLine="640" w:firstLineChars="200"/>
        <w:rPr>
          <w:rStyle w:val="1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Style w:val="32"/>
          <w:rFonts w:ascii="仿宋_GB2312" w:eastAsia="仿宋_GB2312" w:cs="仿宋_GB2312"/>
          <w:b w:val="0"/>
          <w:bCs/>
          <w:sz w:val="32"/>
          <w:szCs w:val="32"/>
          <w:shd w:val="clear" w:color="auto" w:fill="FFFFFF"/>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一般公共预算财政拨款支出254.52万元，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支出增加39.88万元，增加18.58%。主要原因</w:t>
      </w:r>
      <w:r>
        <w:rPr>
          <w:rStyle w:val="32"/>
          <w:rFonts w:hint="eastAsia" w:ascii="仿宋_GB2312" w:eastAsia="仿宋_GB2312" w:cs="仿宋_GB2312"/>
          <w:b w:val="0"/>
          <w:bCs/>
          <w:sz w:val="32"/>
          <w:szCs w:val="32"/>
          <w:shd w:val="clear" w:color="auto" w:fill="FFFFFF"/>
        </w:rPr>
        <w:t>为人员增加。</w:t>
      </w:r>
    </w:p>
    <w:p>
      <w:pPr>
        <w:snapToGrid w:val="0"/>
        <w:spacing w:line="520" w:lineRule="exact"/>
        <w:ind w:firstLine="420" w:firstLineChars="200"/>
        <w:rPr>
          <w:rFonts w:ascii="仿宋_GB2312" w:eastAsia="仿宋_GB2312"/>
          <w:color w:val="FF0000"/>
          <w:spacing w:val="-2"/>
          <w:sz w:val="32"/>
          <w:szCs w:val="32"/>
        </w:rPr>
      </w:pPr>
      <w:r>
        <w:drawing>
          <wp:anchor distT="0" distB="0" distL="114300" distR="114300" simplePos="0" relativeHeight="251662336" behindDoc="1" locked="0" layoutInCell="1" allowOverlap="1">
            <wp:simplePos x="0" y="0"/>
            <wp:positionH relativeFrom="column">
              <wp:posOffset>585470</wp:posOffset>
            </wp:positionH>
            <wp:positionV relativeFrom="paragraph">
              <wp:posOffset>191770</wp:posOffset>
            </wp:positionV>
            <wp:extent cx="4380865" cy="2011045"/>
            <wp:effectExtent l="4445" t="4445" r="15240" b="22860"/>
            <wp:wrapNone/>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eastAsia="仿宋_GB2312"/>
          <w:color w:val="FF0000"/>
          <w:spacing w:val="-2"/>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3" w:firstLineChars="200"/>
        <w:rPr>
          <w:rFonts w:ascii="仿宋" w:eastAsia="仿宋"/>
          <w:b/>
          <w:color w:val="000000"/>
          <w:sz w:val="32"/>
          <w:szCs w:val="32"/>
        </w:rPr>
      </w:pPr>
      <w:bookmarkStart w:id="35" w:name="_Toc15377211"/>
    </w:p>
    <w:p>
      <w:pPr>
        <w:snapToGrid w:val="0"/>
        <w:spacing w:line="520" w:lineRule="exact"/>
        <w:ind w:firstLine="643" w:firstLineChars="200"/>
        <w:rPr>
          <w:rFonts w:ascii="仿宋" w:eastAsia="仿宋"/>
          <w:b/>
          <w:color w:val="000000"/>
          <w:sz w:val="32"/>
          <w:szCs w:val="32"/>
        </w:rPr>
      </w:pPr>
    </w:p>
    <w:p>
      <w:pPr>
        <w:snapToGrid w:val="0"/>
        <w:spacing w:line="520" w:lineRule="exact"/>
        <w:ind w:firstLine="643" w:firstLineChars="200"/>
        <w:rPr>
          <w:rFonts w:ascii="仿宋" w:eastAsia="仿宋"/>
          <w:b/>
          <w:color w:val="000000"/>
          <w:sz w:val="32"/>
          <w:szCs w:val="32"/>
        </w:rPr>
      </w:pPr>
    </w:p>
    <w:p>
      <w:pPr>
        <w:snapToGrid w:val="0"/>
        <w:spacing w:line="520" w:lineRule="exact"/>
        <w:ind w:firstLine="643" w:firstLineChars="200"/>
        <w:rPr>
          <w:rFonts w:ascii="仿宋" w:eastAsia="仿宋"/>
          <w:b/>
          <w:color w:val="000000"/>
          <w:sz w:val="32"/>
          <w:szCs w:val="32"/>
        </w:rPr>
      </w:pPr>
    </w:p>
    <w:p>
      <w:pPr>
        <w:snapToGrid w:val="0"/>
        <w:spacing w:line="520" w:lineRule="exact"/>
        <w:ind w:firstLine="643" w:firstLineChars="200"/>
        <w:rPr>
          <w:rFonts w:ascii="仿宋" w:eastAsia="仿宋"/>
          <w:b/>
          <w:color w:val="000000"/>
          <w:sz w:val="32"/>
          <w:szCs w:val="32"/>
        </w:rPr>
      </w:pPr>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20年一般公共预算财政拨款支出254.52万元，主要用于以下方面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支出191.15万元，占75.10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支出30.05万元，占11.81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12.90万元，占5.07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20.41万元，占8.02</w:t>
      </w:r>
      <w:r>
        <w:rPr>
          <w:rFonts w:ascii="仿宋" w:eastAsia="仿宋"/>
          <w:color w:val="000000"/>
          <w:sz w:val="32"/>
          <w:szCs w:val="32"/>
        </w:rPr>
        <w:t>%</w:t>
      </w:r>
      <w:r>
        <w:rPr>
          <w:rFonts w:hint="eastAsia" w:ascii="仿宋" w:eastAsia="仿宋"/>
          <w:color w:val="000000"/>
          <w:sz w:val="32"/>
          <w:szCs w:val="32"/>
        </w:rPr>
        <w:t>。</w:t>
      </w:r>
    </w:p>
    <w:p>
      <w:pPr>
        <w:spacing w:line="600" w:lineRule="exact"/>
        <w:ind w:firstLine="5460" w:firstLineChars="2600"/>
        <w:outlineLvl w:val="2"/>
        <w:rPr>
          <w:rFonts w:ascii="仿宋" w:eastAsia="仿宋"/>
          <w:b/>
          <w:color w:val="000000"/>
          <w:sz w:val="32"/>
          <w:szCs w:val="32"/>
        </w:rPr>
      </w:pPr>
      <w:bookmarkStart w:id="36" w:name="_Toc15377212"/>
      <w:bookmarkStart w:id="37" w:name="_Toc15378460"/>
      <w:bookmarkStart w:id="38" w:name="_Toc15377444"/>
      <w:bookmarkStart w:id="39" w:name="_Toc15377213"/>
      <w:r>
        <w:drawing>
          <wp:anchor distT="0" distB="0" distL="114300" distR="114300" simplePos="0" relativeHeight="251663360" behindDoc="1" locked="0" layoutInCell="1" allowOverlap="1">
            <wp:simplePos x="0" y="0"/>
            <wp:positionH relativeFrom="column">
              <wp:posOffset>556895</wp:posOffset>
            </wp:positionH>
            <wp:positionV relativeFrom="paragraph">
              <wp:posOffset>99695</wp:posOffset>
            </wp:positionV>
            <wp:extent cx="4428490" cy="2409825"/>
            <wp:effectExtent l="4445" t="4445" r="5715" b="5080"/>
            <wp:wrapNone/>
            <wp:docPr id="16"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ascii="仿宋" w:eastAsia="仿宋"/>
          <w:b/>
          <w:color w:val="000000"/>
          <w:sz w:val="32"/>
          <w:szCs w:val="32"/>
        </w:rPr>
      </w:pPr>
    </w:p>
    <w:p>
      <w:pPr>
        <w:pStyle w:val="2"/>
        <w:rPr>
          <w:rFonts w:ascii="仿宋" w:eastAsia="仿宋"/>
          <w:b/>
          <w:color w:val="000000"/>
          <w:sz w:val="32"/>
          <w:szCs w:val="32"/>
        </w:rPr>
      </w:pPr>
    </w:p>
    <w:p>
      <w:pPr>
        <w:pStyle w:val="2"/>
        <w:rPr>
          <w:rFonts w:ascii="仿宋" w:eastAsia="仿宋"/>
          <w:b/>
          <w:color w:val="000000"/>
          <w:sz w:val="32"/>
          <w:szCs w:val="32"/>
        </w:rPr>
      </w:pPr>
    </w:p>
    <w:p>
      <w:pPr>
        <w:pStyle w:val="2"/>
        <w:rPr>
          <w:rFonts w:ascii="仿宋" w:eastAsia="仿宋"/>
          <w:b/>
          <w:color w:val="000000"/>
          <w:sz w:val="32"/>
          <w:szCs w:val="32"/>
        </w:rPr>
      </w:pPr>
    </w:p>
    <w:p>
      <w:pPr>
        <w:pStyle w:val="2"/>
        <w:rPr>
          <w:rFonts w:ascii="仿宋" w:eastAsia="仿宋"/>
          <w:b/>
          <w:color w:val="000000"/>
          <w:sz w:val="32"/>
          <w:szCs w:val="32"/>
        </w:rPr>
      </w:pPr>
    </w:p>
    <w:p>
      <w:pPr>
        <w:pStyle w:val="2"/>
        <w:rPr>
          <w:rFonts w:ascii="仿宋" w:eastAsia="仿宋"/>
          <w:b/>
          <w:color w:val="000000"/>
          <w:sz w:val="32"/>
          <w:szCs w:val="32"/>
        </w:rPr>
      </w:pPr>
    </w:p>
    <w:p>
      <w:pPr>
        <w:pStyle w:val="2"/>
        <w:rPr>
          <w:rFonts w:ascii="仿宋" w:eastAsia="仿宋"/>
          <w:b/>
          <w:color w:val="000000"/>
          <w:sz w:val="32"/>
          <w:szCs w:val="32"/>
        </w:rPr>
      </w:pPr>
    </w:p>
    <w:p>
      <w:pPr>
        <w:pStyle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36"/>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2020年一般公共预算数为157.21万元，支出决算数为254.52万元，完</w:t>
      </w:r>
      <w:r>
        <w:rPr>
          <w:rStyle w:val="14"/>
          <w:rFonts w:hint="eastAsia" w:ascii="仿宋" w:eastAsia="仿宋"/>
          <w:b w:val="0"/>
          <w:bCs/>
          <w:color w:val="000000"/>
          <w:sz w:val="32"/>
          <w:szCs w:val="32"/>
        </w:rPr>
        <w:t>成预算161.90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37"/>
      <w:bookmarkEnd w:id="38"/>
      <w:bookmarkEnd w:id="39"/>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1.一般公共服务（类）政府办公厅（室）及相关机构事务（款）行政运行（项）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支出决算为191.15万元，完成预算169.75</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2</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社会保障和就业（类）行政事业单位离退休（款）机关事业单位基本养老保险缴费支出（项）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支出决算为20万元，完成预算126.34</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，决算数大于预算数。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社会保障和就业（类）行政事业单位离退休（款）机关事业单位基本职业年金缴费支出（项）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支出决算为10.05万元，完成预算126.89</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Cs/>
          <w:color w:val="000000"/>
          <w:sz w:val="32"/>
          <w:szCs w:val="32"/>
        </w:rPr>
      </w:pPr>
      <w:r>
        <w:rPr>
          <w:rStyle w:val="14"/>
          <w:rFonts w:hint="eastAsia" w:ascii="仿宋" w:eastAsia="仿宋"/>
          <w:bCs/>
          <w:color w:val="000000"/>
          <w:sz w:val="32"/>
          <w:szCs w:val="32"/>
        </w:rPr>
        <w:t>4.卫生健康支出（类）行政事业单位医疗（款）行政单位医疗（项）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支出决算为9.69万元，完成预算139.83</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5.卫生健康支出（类）行政事业单位医疗（款）公务员医疗补助（项）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支出决算为2.45万元，完成预算119.51</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，决算数大于预算数。</w:t>
      </w:r>
    </w:p>
    <w:p>
      <w:pPr>
        <w:spacing w:line="600" w:lineRule="exact"/>
        <w:ind w:firstLine="643" w:firstLineChars="200"/>
        <w:rPr>
          <w:rStyle w:val="14"/>
          <w:rFonts w:ascii="仿宋" w:eastAsia="仿宋"/>
          <w:bCs/>
          <w:color w:val="000000"/>
          <w:sz w:val="32"/>
          <w:szCs w:val="32"/>
        </w:rPr>
      </w:pPr>
      <w:bookmarkStart w:id="40" w:name="_Toc15396608"/>
      <w:bookmarkStart w:id="41" w:name="_Toc15377214"/>
      <w:r>
        <w:rPr>
          <w:rStyle w:val="14"/>
          <w:rFonts w:hint="eastAsia" w:ascii="仿宋" w:eastAsia="仿宋"/>
          <w:bCs/>
          <w:color w:val="000000"/>
          <w:sz w:val="32"/>
          <w:szCs w:val="32"/>
        </w:rPr>
        <w:t>6.住房保障（类）住房改革支出（款）住房公积金（项）：</w:t>
      </w:r>
      <w:r>
        <w:rPr>
          <w:rStyle w:val="14"/>
          <w:rFonts w:hint="eastAsia" w:ascii="仿宋" w:eastAsia="仿宋"/>
          <w:b w:val="0"/>
          <w:bCs/>
          <w:color w:val="000000"/>
          <w:sz w:val="32"/>
          <w:szCs w:val="32"/>
        </w:rPr>
        <w:t>支出决算为20.41万元，完成预算171.80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，决算数大于预算数。</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20年一般公共预算财政拨款支出254.52万元，其中：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基本支出：234.17万元</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 xml:space="preserve">人员经费222.45万元，主要包括：基本工资53.22万元、津贴补贴47.10万元、绩效工资24.76万元、奖金5.73万元、奖励金27.22万元、伙食补助费0万元、机关事业单位基本养老保险缴费20.00万元、职业年金缴费10.05万元、职工基本医疗保险缴费9.69万元、公务员医疗补助缴费2.44万元、其他社会保障缴费1.81万元、其他工资福利支出0万元、生活补助0万元、抚恤金0万元、住房公积金20.41万元、其他对个人和家庭的补助支出0万元等。 </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11.72万元，主要包括：办公费3.29万元、手续费0万元、水费0.70万元、电费0.50万元、取暖费0.04万元、邮电费3.00万元、物业管理费0万元、差旅费2.50万元、因公出国（境）费用0万元、维修（护）费0.20万元、租赁费0万元、会议费0万元、培训费0万元、公务接待费0.19万元、福利费0万元、公务用车运行维护费0万元、其他交通费用0.50万元、劳务费0.80万元、其他商品和服务支出0万元、办公设备购置0万元、无形资产购置0万元等。</w:t>
      </w:r>
    </w:p>
    <w:p>
      <w:pPr>
        <w:pStyle w:val="2"/>
        <w:spacing w:line="440" w:lineRule="exact"/>
        <w:ind w:firstLine="640" w:firstLineChars="200"/>
        <w:rPr>
          <w:rFonts w:ascii="仿宋" w:eastAsia="仿宋"/>
          <w:color w:val="000000"/>
          <w:sz w:val="32"/>
          <w:szCs w:val="32"/>
        </w:rPr>
      </w:pPr>
      <w:r>
        <w:rPr>
          <w:rFonts w:hint="eastAsia" w:ascii="仿宋" w:eastAsia="仿宋"/>
          <w:color w:val="000000"/>
          <w:sz w:val="32"/>
          <w:szCs w:val="32"/>
        </w:rPr>
        <w:t>项目支出：20.35万元</w:t>
      </w:r>
    </w:p>
    <w:p>
      <w:pPr>
        <w:pStyle w:val="2"/>
        <w:spacing w:line="600" w:lineRule="exact"/>
        <w:ind w:firstLine="640" w:firstLineChars="200"/>
        <w:rPr>
          <w:rFonts w:ascii="仿宋" w:eastAsia="仿宋"/>
          <w:color w:val="000000"/>
          <w:sz w:val="32"/>
          <w:szCs w:val="32"/>
        </w:rPr>
      </w:pPr>
      <w:r>
        <w:rPr>
          <w:rFonts w:hint="eastAsia" w:ascii="仿宋" w:eastAsia="仿宋"/>
          <w:color w:val="000000"/>
          <w:sz w:val="32"/>
          <w:szCs w:val="32"/>
        </w:rPr>
        <w:t>人员经费0.65万元，主要包括：生活补助0.65万元。</w:t>
      </w:r>
    </w:p>
    <w:p>
      <w:pPr>
        <w:pStyle w:val="2"/>
        <w:spacing w:line="600" w:lineRule="exact"/>
        <w:ind w:firstLine="640" w:firstLineChars="200"/>
        <w:rPr>
          <w:rFonts w:ascii="仿宋" w:eastAsia="仿宋"/>
          <w:color w:val="000000"/>
          <w:sz w:val="32"/>
          <w:szCs w:val="32"/>
        </w:rPr>
      </w:pPr>
      <w:r>
        <w:rPr>
          <w:rFonts w:hint="eastAsia" w:ascii="仿宋" w:eastAsia="仿宋"/>
          <w:color w:val="000000"/>
          <w:sz w:val="32"/>
          <w:szCs w:val="32"/>
        </w:rPr>
        <w:t>公用经费19.70万元，主要包括：办公费:5.50万元、邮电费3.20万元、差旅费2.00万元、维修（护）费7.40万元、其他交通费用0.80万元、劳务费0.80万元、</w:t>
      </w:r>
    </w:p>
    <w:p>
      <w:pPr>
        <w:spacing w:line="600" w:lineRule="exact"/>
        <w:ind w:firstLine="640" w:firstLineChars="200"/>
        <w:outlineLvl w:val="1"/>
        <w:rPr>
          <w:rStyle w:val="17"/>
          <w:rFonts w:asci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20年“三公”经费财政拨款支出决算为0.19万元，完成预算100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9年“三公”经费财政拨款支出</w:t>
      </w:r>
      <w:r>
        <w:rPr>
          <w:rFonts w:hint="eastAsia" w:ascii="仿宋" w:eastAsia="仿宋"/>
          <w:sz w:val="32"/>
          <w:szCs w:val="32"/>
        </w:rPr>
        <w:t>决算0.19万元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；公务用车购置及运行维护费支出决算0万元，占0</w:t>
      </w:r>
      <w:r>
        <w:rPr>
          <w:rFonts w:ascii="仿宋" w:eastAsia="仿宋"/>
          <w:color w:val="000000"/>
          <w:sz w:val="32"/>
          <w:szCs w:val="32"/>
        </w:rPr>
        <w:t>%</w:t>
      </w:r>
      <w:r>
        <w:rPr>
          <w:rFonts w:hint="eastAsia" w:ascii="仿宋" w:eastAsia="仿宋"/>
          <w:color w:val="000000"/>
          <w:sz w:val="32"/>
          <w:szCs w:val="32"/>
        </w:rPr>
        <w:t>；公务接待费支出决算0.19万元，占100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pStyle w:val="2"/>
        <w:rPr>
          <w:rFonts w:ascii="仿宋" w:eastAsia="仿宋"/>
          <w:color w:val="000000"/>
          <w:sz w:val="32"/>
          <w:szCs w:val="32"/>
        </w:rPr>
      </w:pPr>
      <w:r>
        <w:drawing>
          <wp:anchor distT="0" distB="0" distL="114300" distR="114300" simplePos="0" relativeHeight="251664384" behindDoc="1" locked="0" layoutInCell="1" allowOverlap="1">
            <wp:simplePos x="0" y="0"/>
            <wp:positionH relativeFrom="column">
              <wp:posOffset>420370</wp:posOffset>
            </wp:positionH>
            <wp:positionV relativeFrom="paragraph">
              <wp:posOffset>23495</wp:posOffset>
            </wp:positionV>
            <wp:extent cx="4410710" cy="2771775"/>
            <wp:effectExtent l="4445" t="4445" r="23495" b="5080"/>
            <wp:wrapNone/>
            <wp:docPr id="18"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numPr>
          <w:ilvl w:val="0"/>
          <w:numId w:val="3"/>
        </w:numPr>
        <w:spacing w:line="600" w:lineRule="exact"/>
        <w:ind w:firstLine="640"/>
        <w:rPr>
          <w:rStyle w:val="14"/>
          <w:rFonts w:ascii="仿宋" w:eastAsia="仿宋"/>
          <w:b w:val="0"/>
          <w:bCs/>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w:t>
      </w:r>
    </w:p>
    <w:p>
      <w:pPr>
        <w:spacing w:line="600" w:lineRule="exact"/>
        <w:ind w:firstLine="643" w:firstLineChars="200"/>
        <w:rPr>
          <w:rFonts w:ascii="仿宋_GB2312" w:eastAsia="仿宋_GB2312" w:cs="仿宋"/>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0.19万元，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s="仿宋"/>
          <w:color w:val="000000"/>
          <w:sz w:val="32"/>
          <w:szCs w:val="32"/>
        </w:rPr>
        <w:t>公务接待费0.19万元，较上年减少0万元，减少0%。</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主要用于执行公务、开展业务活动开支的交通费、住宿费、用餐费等。国内公务接待3批次，16人次，共计支出0.19万元。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96610"/>
      <w:bookmarkStart w:id="47" w:name="_Toc15377218"/>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5"/>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6"/>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pStyle w:val="24"/>
        <w:widowControl/>
        <w:spacing w:beforeAutospacing="0"/>
        <w:ind w:firstLine="640" w:firstLineChars="200"/>
        <w:rPr>
          <w:rFonts w:hint="default" w:ascii="仿宋_GB2312" w:hAnsi="仿宋_GB2312" w:eastAsia="仿宋_GB2312" w:cs="仿宋_GB2312"/>
          <w:color w:val="333333"/>
          <w:sz w:val="32"/>
          <w:szCs w:val="32"/>
        </w:rPr>
      </w:pPr>
      <w:r>
        <w:rPr>
          <w:rFonts w:ascii="仿宋_GB2312" w:eastAsia="仿宋_GB2312" w:cs="仿宋_GB2312"/>
          <w:sz w:val="32"/>
          <w:szCs w:val="32"/>
        </w:rPr>
        <w:t>根据预算绩效管理要求，我局</w:t>
      </w:r>
      <w:r>
        <w:rPr>
          <w:rFonts w:ascii="仿宋_GB2312" w:hAnsi="仿宋_GB2312" w:eastAsia="仿宋_GB2312" w:cs="仿宋_GB2312"/>
          <w:color w:val="333333"/>
          <w:sz w:val="32"/>
          <w:szCs w:val="32"/>
        </w:rPr>
        <w:t>对本部门实施了整体支出绩效评价 ：</w:t>
      </w:r>
    </w:p>
    <w:p>
      <w:pPr>
        <w:pStyle w:val="24"/>
        <w:widowControl/>
        <w:spacing w:beforeAutospacing="0"/>
        <w:rPr>
          <w:rFonts w:hint="default" w:ascii="仿宋_GB2312" w:eastAsia="仿宋_GB2312" w:cs="仿宋_GB2312"/>
          <w:bCs/>
          <w:sz w:val="32"/>
          <w:szCs w:val="32"/>
          <w:shd w:val="clear" w:color="auto" w:fill="FFFFFF"/>
        </w:rPr>
      </w:pPr>
      <w:r>
        <w:rPr>
          <w:rStyle w:val="25"/>
          <w:rFonts w:hint="eastAsia" w:ascii="仿宋_GB2312" w:eastAsia="仿宋_GB2312" w:cs="仿宋_GB2312"/>
          <w:b w:val="0"/>
          <w:bCs/>
          <w:sz w:val="32"/>
          <w:szCs w:val="32"/>
          <w:shd w:val="clear" w:color="auto" w:fill="FFFFFF"/>
        </w:rPr>
        <w:t>（1）、完成了单位政策、信息、预、决算公示1次以上。</w:t>
      </w:r>
    </w:p>
    <w:p>
      <w:pPr>
        <w:pStyle w:val="24"/>
        <w:widowControl/>
        <w:spacing w:beforeAutospacing="0"/>
        <w:rPr>
          <w:rFonts w:hint="default" w:ascii="仿宋_GB2312" w:eastAsia="仿宋_GB2312" w:cs="仿宋_GB2312"/>
          <w:bCs/>
          <w:sz w:val="32"/>
          <w:szCs w:val="32"/>
          <w:shd w:val="clear" w:color="auto" w:fill="FFFFFF"/>
        </w:rPr>
      </w:pPr>
      <w:r>
        <w:rPr>
          <w:rStyle w:val="25"/>
          <w:rFonts w:hint="eastAsia" w:ascii="仿宋_GB2312" w:eastAsia="仿宋_GB2312" w:cs="仿宋_GB2312"/>
          <w:b w:val="0"/>
          <w:bCs/>
          <w:sz w:val="32"/>
          <w:szCs w:val="32"/>
          <w:shd w:val="clear" w:color="auto" w:fill="FFFFFF"/>
        </w:rPr>
        <w:t>（2）、完成了指导乡镇行政审批工作22次以上。</w:t>
      </w:r>
    </w:p>
    <w:p>
      <w:pPr>
        <w:pStyle w:val="24"/>
        <w:widowControl/>
        <w:spacing w:beforeAutospacing="0"/>
        <w:rPr>
          <w:rFonts w:hint="default" w:ascii="仿宋_GB2312" w:eastAsia="仿宋_GB2312" w:cs="仿宋_GB2312"/>
          <w:bCs/>
          <w:sz w:val="32"/>
          <w:szCs w:val="32"/>
          <w:shd w:val="clear" w:color="auto" w:fill="FFFFFF"/>
        </w:rPr>
      </w:pPr>
      <w:r>
        <w:rPr>
          <w:rStyle w:val="25"/>
          <w:rFonts w:hint="eastAsia" w:ascii="仿宋_GB2312" w:eastAsia="仿宋_GB2312" w:cs="仿宋_GB2312"/>
          <w:b w:val="0"/>
          <w:bCs/>
          <w:sz w:val="32"/>
          <w:szCs w:val="32"/>
          <w:shd w:val="clear" w:color="auto" w:fill="FFFFFF"/>
        </w:rPr>
        <w:t>（3）、完成了每天认真开展本单位的日常工作及严格管理、监督好政务服务大厅窗口各单位的工作开展，</w:t>
      </w:r>
      <w:r>
        <w:rPr>
          <w:rStyle w:val="25"/>
          <w:rFonts w:hint="eastAsia" w:ascii="仿宋_GB2312" w:eastAsia="仿宋_GB2312" w:cs="仿宋_GB2312"/>
          <w:b w:val="0"/>
          <w:bCs/>
          <w:sz w:val="32"/>
          <w:szCs w:val="32"/>
          <w:shd w:val="clear" w:color="auto" w:fill="FFFFFF"/>
          <w:lang w:eastAsia="zh-CN"/>
        </w:rPr>
        <w:t>高质量地完成</w:t>
      </w:r>
      <w:r>
        <w:rPr>
          <w:rStyle w:val="25"/>
          <w:rFonts w:hint="eastAsia" w:ascii="仿宋_GB2312" w:eastAsia="仿宋_GB2312" w:cs="仿宋_GB2312"/>
          <w:b w:val="0"/>
          <w:bCs/>
          <w:sz w:val="32"/>
          <w:szCs w:val="32"/>
          <w:shd w:val="clear" w:color="auto" w:fill="FFFFFF"/>
        </w:rPr>
        <w:t>业务办理工作</w:t>
      </w:r>
    </w:p>
    <w:p>
      <w:pPr>
        <w:pStyle w:val="24"/>
        <w:widowControl/>
        <w:spacing w:beforeAutospacing="0"/>
        <w:rPr>
          <w:rFonts w:hint="default" w:ascii="仿宋_GB2312" w:eastAsia="仿宋_GB2312" w:cs="仿宋_GB2312"/>
          <w:bCs/>
          <w:sz w:val="32"/>
          <w:szCs w:val="32"/>
          <w:shd w:val="clear" w:color="auto" w:fill="FFFFFF"/>
        </w:rPr>
      </w:pPr>
      <w:r>
        <w:rPr>
          <w:rStyle w:val="25"/>
          <w:rFonts w:hint="eastAsia" w:ascii="仿宋_GB2312" w:eastAsia="仿宋_GB2312" w:cs="仿宋_GB2312"/>
          <w:b w:val="0"/>
          <w:bCs/>
          <w:sz w:val="32"/>
          <w:szCs w:val="32"/>
          <w:shd w:val="clear" w:color="auto" w:fill="FFFFFF"/>
        </w:rPr>
        <w:t>（4）、完成了为人民群众办事提供方便，解决为民服务最后一公里的问题</w:t>
      </w:r>
    </w:p>
    <w:p>
      <w:pPr>
        <w:pStyle w:val="24"/>
        <w:widowControl/>
        <w:spacing w:beforeAutospacing="0"/>
        <w:rPr>
          <w:rFonts w:hint="default" w:ascii="仿宋_GB2312" w:hAnsi="Times New Roman" w:eastAsia="仿宋_GB2312" w:cs="仿宋_GB2312"/>
          <w:bCs/>
          <w:sz w:val="32"/>
          <w:szCs w:val="32"/>
          <w:shd w:val="clear" w:color="auto" w:fill="FFFFFF"/>
        </w:rPr>
      </w:pPr>
      <w:r>
        <w:rPr>
          <w:rStyle w:val="33"/>
          <w:rFonts w:hint="eastAsia" w:ascii="仿宋_GB2312" w:eastAsia="仿宋_GB2312" w:cs="仿宋_GB2312"/>
          <w:bCs/>
          <w:sz w:val="32"/>
          <w:szCs w:val="32"/>
          <w:shd w:val="clear" w:color="auto" w:fill="FFFFFF"/>
        </w:rPr>
        <w:t>（5）、完成了严格按照政府采购制度，保质保量完成全县政府采购工作</w:t>
      </w:r>
    </w:p>
    <w:p>
      <w:pPr>
        <w:pStyle w:val="24"/>
        <w:widowControl/>
        <w:spacing w:beforeAutospacing="0"/>
        <w:rPr>
          <w:rFonts w:hint="default" w:ascii="仿宋_GB2312" w:eastAsia="仿宋_GB2312" w:cs="仿宋_GB2312"/>
          <w:bCs/>
          <w:sz w:val="32"/>
          <w:szCs w:val="32"/>
          <w:shd w:val="clear" w:color="auto" w:fill="FFFFFF"/>
        </w:rPr>
      </w:pPr>
      <w:r>
        <w:rPr>
          <w:rStyle w:val="33"/>
          <w:rFonts w:hint="eastAsia" w:ascii="仿宋_GB2312" w:eastAsia="仿宋_GB2312" w:cs="仿宋_GB2312"/>
          <w:bCs/>
          <w:sz w:val="32"/>
          <w:szCs w:val="32"/>
          <w:shd w:val="clear" w:color="auto" w:fill="FFFFFF"/>
        </w:rPr>
        <w:t>（6）、完成了为全县政府采购提供服务</w:t>
      </w:r>
    </w:p>
    <w:p>
      <w:pPr>
        <w:widowControl/>
        <w:adjustRightInd w:val="0"/>
        <w:snapToGrid w:val="0"/>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333333"/>
          <w:kern w:val="0"/>
          <w:sz w:val="32"/>
          <w:szCs w:val="32"/>
        </w:rPr>
        <w:t>按照要求向金川县财政局按时报送自评报告，</w:t>
      </w:r>
      <w:r>
        <w:rPr>
          <w:rFonts w:hint="eastAsia" w:ascii="仿宋_GB2312" w:hAnsi="仿宋_GB2312" w:eastAsia="仿宋_GB2312" w:cs="仿宋_GB2312"/>
          <w:color w:val="000000"/>
          <w:sz w:val="32"/>
          <w:szCs w:val="32"/>
        </w:rPr>
        <w:t>财政资金支出主要用于保障本部门机构正常运转、更好完成各项日常工作，</w:t>
      </w:r>
      <w:r>
        <w:rPr>
          <w:rFonts w:hint="eastAsia" w:ascii="仿宋_GB2312" w:hAnsi="仿宋_GB2312" w:eastAsia="仿宋_GB2312" w:cs="仿宋_GB2312"/>
          <w:color w:val="333333"/>
          <w:kern w:val="0"/>
          <w:sz w:val="32"/>
          <w:szCs w:val="32"/>
        </w:rPr>
        <w:t>社会群众对行政审批局的工作总体较满意。</w:t>
      </w:r>
    </w:p>
    <w:p>
      <w:pPr>
        <w:spacing w:line="520" w:lineRule="exact"/>
        <w:ind w:firstLine="640" w:firstLineChars="200"/>
        <w:rPr>
          <w:rFonts w:ascii="仿宋_GB2312" w:hAns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经全面综合评价，我单位预算支出绩效自评得分96</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hAnsi="仿宋_GB2312" w:eastAsia="仿宋_GB2312" w:cs="仿宋_GB2312"/>
          <w:sz w:val="32"/>
          <w:szCs w:val="32"/>
        </w:rPr>
        <w:t>无不良记录及违规违纪行为，预算收、支和决算收、支情况相符。</w:t>
      </w:r>
    </w:p>
    <w:p>
      <w:pPr>
        <w:spacing w:line="580" w:lineRule="exact"/>
        <w:ind w:firstLine="643" w:firstLineChars="200"/>
        <w:rPr>
          <w:rFonts w:hint="eastAsia" w:ascii="仿宋" w:eastAsia="仿宋" w:cs="楷体_GB2312"/>
          <w:b/>
          <w:bCs/>
          <w:sz w:val="32"/>
          <w:szCs w:val="32"/>
          <w:lang w:eastAsia="zh-CN"/>
        </w:rPr>
      </w:pPr>
      <w:r>
        <w:rPr>
          <w:rFonts w:hint="eastAsia" w:ascii="仿宋" w:eastAsia="仿宋" w:cs="楷体_GB2312"/>
          <w:b/>
          <w:bCs/>
          <w:sz w:val="32"/>
          <w:szCs w:val="32"/>
        </w:rPr>
        <w:t>项目绩效目标完成情况。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无</w:t>
      </w:r>
    </w:p>
    <w:p>
      <w:pPr>
        <w:numPr>
          <w:ilvl w:val="0"/>
          <w:numId w:val="6"/>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《行政审批局2021年部门预算整体支出绩效评价报告》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7"/>
          <w:rFonts w:ascii="黑体" w:eastAsia="黑体"/>
        </w:rPr>
      </w:pPr>
      <w:bookmarkStart w:id="50" w:name="_Toc15396612"/>
      <w:bookmarkStart w:id="51" w:name="_Toc15377221"/>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20年金川县行政审批局机关运行经费支出1.42万元，比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hAnsi="仿宋_GB2312" w:eastAsia="仿宋_GB2312" w:cs="仿宋_GB2312"/>
          <w:sz w:val="32"/>
        </w:rPr>
        <w:t>下降49.73</w:t>
      </w:r>
      <w:r>
        <w:rPr>
          <w:rFonts w:hint="eastAsia" w:ascii="仿宋_GB2312" w:eastAsia="仿宋_GB2312"/>
          <w:color w:val="000000"/>
          <w:sz w:val="32"/>
          <w:szCs w:val="32"/>
        </w:rPr>
        <w:t>万元，</w:t>
      </w:r>
      <w:r>
        <w:rPr>
          <w:rFonts w:hint="eastAsia" w:ascii="仿宋_GB2312" w:hAnsi="仿宋_GB2312" w:eastAsia="仿宋_GB2312" w:cs="仿宋_GB2312"/>
          <w:sz w:val="32"/>
        </w:rPr>
        <w:t>下降79.22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hAnsi="仿宋_GB2312" w:eastAsia="仿宋_GB2312" w:cs="仿宋_GB2312"/>
          <w:sz w:val="32"/>
        </w:rPr>
        <w:t>主要用于办公耗材、用品、工作人员下乡补助费用、局机关维修改造费用、工作人员下乡产生的租车费用。该支出与之前年度下降幅度较大的主要原因是今年多数为财政存量资金以及事业单位的公用经费未纳入</w:t>
      </w:r>
      <w:r>
        <w:rPr>
          <w:rFonts w:hint="eastAsia" w:ascii="仿宋_GB2312" w:eastAsia="仿宋_GB2312"/>
          <w:color w:val="000000"/>
          <w:sz w:val="32"/>
          <w:szCs w:val="32"/>
        </w:rPr>
        <w:t>机关运行经费。</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w:t>
      </w:r>
      <w:r>
        <w:rPr>
          <w:rFonts w:hint="eastAsia" w:ascii="仿宋_GB2312" w:eastAsia="仿宋_GB2312"/>
          <w:b/>
          <w:color w:val="000000"/>
          <w:sz w:val="32"/>
          <w:szCs w:val="32"/>
        </w:rPr>
        <w:t xml:space="preserve">   </w:t>
      </w: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7"/>
        </w:numPr>
        <w:spacing w:line="600" w:lineRule="exact"/>
        <w:ind w:firstLine="660" w:firstLineChars="150"/>
        <w:jc w:val="center"/>
        <w:outlineLvl w:val="0"/>
        <w:rPr>
          <w:rStyle w:val="16"/>
          <w:rFonts w:ascii="黑体" w:eastAsia="黑体"/>
          <w:b w:val="0"/>
        </w:rPr>
      </w:pPr>
      <w:bookmarkStart w:id="55" w:name="_Toc15377225"/>
      <w:bookmarkStart w:id="56" w:name="_Toc15396613"/>
    </w:p>
    <w:p>
      <w:pPr>
        <w:tabs>
          <w:tab w:val="left" w:pos="0"/>
        </w:tabs>
        <w:spacing w:line="600" w:lineRule="exact"/>
        <w:ind w:firstLine="3534" w:firstLineChars="800"/>
        <w:outlineLvl w:val="0"/>
        <w:rPr>
          <w:rStyle w:val="16"/>
          <w:rFonts w:ascii="黑体" w:eastAsia="黑体"/>
          <w:b w:val="0"/>
        </w:rPr>
      </w:pPr>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一般公共服务（类）政府办公厅（室）及相关机构事务（款）其他政府办公厅（室）及相关机构事务（项）：</w:t>
      </w:r>
      <w:r>
        <w:rPr>
          <w:rFonts w:hint="eastAsia" w:ascii="仿宋_GB2312" w:eastAsia="仿宋_GB2312"/>
          <w:color w:val="000000"/>
          <w:sz w:val="32"/>
          <w:szCs w:val="32"/>
        </w:rPr>
        <w:t>指反映除上述项目以外</w:t>
      </w:r>
      <w:r>
        <w:rPr>
          <w:rFonts w:hint="eastAsia" w:ascii="仿宋_GB2312" w:eastAsia="仿宋_GB2312" w:cs="仿宋"/>
          <w:color w:val="000000"/>
          <w:kern w:val="0"/>
          <w:sz w:val="32"/>
          <w:szCs w:val="32"/>
        </w:rPr>
        <w:t>其他政府办公厅（室）及相关机构事务</w:t>
      </w:r>
      <w:r>
        <w:rPr>
          <w:rFonts w:hint="eastAsia" w:ascii="仿宋_GB2312" w:eastAsia="仿宋_GB2312"/>
          <w:color w:val="000000"/>
          <w:sz w:val="32"/>
          <w:szCs w:val="32"/>
        </w:rPr>
        <w:t>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bookmarkStart w:id="72" w:name="_GoBack"/>
      <w:bookmarkEnd w:id="72"/>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费、邮电费、差旅费、维修（护）费、劳务费、水费、电费、取暖费、公务接待费及其他交通费用等。</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2"/>
        <w:rPr>
          <w:rFonts w:ascii="黑体" w:eastAsia="黑体"/>
          <w:color w:val="000000"/>
          <w:sz w:val="44"/>
          <w:szCs w:val="44"/>
        </w:rPr>
      </w:pPr>
    </w:p>
    <w:p>
      <w:pPr>
        <w:pStyle w:val="2"/>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16"/>
          <w:rFonts w:ascii="仿宋" w:eastAsia="仿宋"/>
          <w:b w:val="0"/>
          <w:bCs w:val="0"/>
          <w:sz w:val="32"/>
          <w:szCs w:val="32"/>
        </w:rPr>
      </w:pPr>
      <w:bookmarkStart w:id="59" w:name="_Toc15396615"/>
      <w:r>
        <w:rPr>
          <w:rStyle w:val="16"/>
          <w:rFonts w:hint="eastAsia" w:ascii="仿宋" w:eastAsia="仿宋"/>
          <w:b w:val="0"/>
          <w:bCs w:val="0"/>
          <w:sz w:val="32"/>
          <w:szCs w:val="32"/>
        </w:rPr>
        <w:t>附件1</w:t>
      </w:r>
      <w:bookmarkEnd w:id="59"/>
    </w:p>
    <w:p>
      <w:pPr>
        <w:numPr>
          <w:ilvl w:val="0"/>
          <w:numId w:val="7"/>
        </w:numPr>
        <w:spacing w:line="600" w:lineRule="exact"/>
        <w:ind w:firstLine="660" w:firstLineChars="150"/>
        <w:jc w:val="center"/>
        <w:outlineLvl w:val="0"/>
        <w:rPr>
          <w:rStyle w:val="16"/>
          <w:rFonts w:ascii="黑体" w:eastAsia="黑体"/>
          <w:b w:val="0"/>
        </w:rPr>
      </w:pPr>
      <w:r>
        <w:rPr>
          <w:rStyle w:val="16"/>
          <w:rFonts w:hint="eastAsia" w:ascii="黑体" w:eastAsia="黑体"/>
          <w:b w:val="0"/>
        </w:rPr>
        <w:t>附件</w:t>
      </w:r>
      <w:bookmarkEnd w:id="57"/>
    </w:p>
    <w:p>
      <w:pPr>
        <w:outlineLvl w:val="0"/>
        <w:rPr>
          <w:rStyle w:val="16"/>
          <w:rFonts w:ascii="黑体" w:eastAsia="黑体"/>
          <w:b w:val="0"/>
        </w:rPr>
      </w:pPr>
    </w:p>
    <w:bookmarkEnd w:id="58"/>
    <w:p>
      <w:pPr>
        <w:widowControl/>
        <w:shd w:val="clear" w:color="auto" w:fill="FFFFFF"/>
        <w:spacing w:after="450" w:line="440" w:lineRule="exact"/>
        <w:jc w:val="center"/>
        <w:outlineLvl w:val="0"/>
        <w:rPr>
          <w:rFonts w:ascii="微软雅黑" w:hAnsi="微软雅黑" w:eastAsia="微软雅黑" w:cs="宋体"/>
          <w:b/>
          <w:bCs/>
          <w:color w:val="333333"/>
          <w:kern w:val="36"/>
          <w:sz w:val="44"/>
          <w:szCs w:val="44"/>
        </w:rPr>
      </w:pPr>
      <w:bookmarkStart w:id="60" w:name="_Toc15396618"/>
      <w:bookmarkStart w:id="61" w:name="_Toc15396619"/>
      <w:r>
        <w:rPr>
          <w:rFonts w:hint="eastAsia" w:ascii="微软雅黑" w:hAnsi="微软雅黑" w:eastAsia="微软雅黑" w:cs="宋体"/>
          <w:b/>
          <w:bCs/>
          <w:color w:val="333333"/>
          <w:kern w:val="36"/>
          <w:sz w:val="44"/>
          <w:szCs w:val="44"/>
        </w:rPr>
        <w:t>金川县行政审批局</w:t>
      </w:r>
    </w:p>
    <w:p>
      <w:pPr>
        <w:widowControl/>
        <w:shd w:val="clear" w:color="auto" w:fill="FFFFFF"/>
        <w:spacing w:after="450" w:line="440" w:lineRule="exact"/>
        <w:jc w:val="center"/>
        <w:outlineLvl w:val="0"/>
        <w:rPr>
          <w:rFonts w:ascii="微软雅黑" w:hAnsi="微软雅黑" w:eastAsia="微软雅黑" w:cs="宋体"/>
          <w:b/>
          <w:bCs/>
          <w:color w:val="333333"/>
          <w:kern w:val="36"/>
          <w:sz w:val="44"/>
          <w:szCs w:val="44"/>
        </w:rPr>
      </w:pPr>
      <w:r>
        <w:rPr>
          <w:rFonts w:hint="eastAsia" w:ascii="微软雅黑" w:hAnsi="微软雅黑" w:eastAsia="微软雅黑" w:cs="宋体"/>
          <w:b/>
          <w:bCs/>
          <w:color w:val="333333"/>
          <w:kern w:val="36"/>
          <w:sz w:val="44"/>
          <w:szCs w:val="44"/>
        </w:rPr>
        <w:t>2020年度部门整体支出绩效评价报告</w:t>
      </w:r>
    </w:p>
    <w:p>
      <w:pPr>
        <w:widowControl/>
        <w:spacing w:line="4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（报告范围包括机关和下属单位）</w:t>
      </w:r>
    </w:p>
    <w:p>
      <w:pPr>
        <w:widowControl/>
        <w:spacing w:before="150" w:after="120" w:line="520" w:lineRule="exact"/>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金川县财政局：</w:t>
      </w:r>
    </w:p>
    <w:p>
      <w:pPr>
        <w:widowControl/>
        <w:spacing w:before="150" w:after="120" w:line="520" w:lineRule="exact"/>
        <w:ind w:firstLine="640" w:firstLineChars="200"/>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按照金川县财政局关于转发《财政厅关于开展2021年部门、政策和项目支出绩效评价工作的通知》(金财〔2021〕23号)的文件精神，现对我单位2020年全年的财政支出实施的整体绩效进行自评，评价情况报告如下。</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val="zh-CN"/>
        </w:rPr>
        <w:t>部门（单位）概况</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（一）机构组成。</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根据中共金川县委 金川县人民政府关于印发《金川县机构改革方案》的通知（金委发〔2019〕4号）文件精神，成立了金川县行政审批局。</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pPr>
        <w:widowControl/>
        <w:spacing w:line="520" w:lineRule="exact"/>
        <w:ind w:firstLine="480" w:firstLineChars="15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本部门属一级预算，其中内设机构</w:t>
      </w:r>
      <w:r>
        <w:rPr>
          <w:rFonts w:hint="eastAsia" w:ascii="仿宋_GB2312" w:hAnsi="仿宋_GB2312" w:eastAsia="仿宋_GB2312" w:cs="仿宋_GB2312"/>
          <w:kern w:val="0"/>
          <w:sz w:val="32"/>
          <w:szCs w:val="32"/>
          <w:u w:val="single"/>
        </w:rPr>
        <w:t xml:space="preserve"> 1</w:t>
      </w:r>
      <w:r>
        <w:rPr>
          <w:rFonts w:hint="eastAsia" w:ascii="仿宋_GB2312" w:hAnsi="仿宋_GB2312" w:eastAsia="仿宋_GB2312" w:cs="仿宋_GB2312"/>
          <w:kern w:val="0"/>
          <w:sz w:val="32"/>
          <w:szCs w:val="32"/>
        </w:rPr>
        <w:t>个，下属事业单位</w:t>
      </w:r>
      <w:r>
        <w:rPr>
          <w:rFonts w:hint="eastAsia" w:ascii="仿宋_GB2312" w:hAnsi="仿宋_GB2312" w:eastAsia="仿宋_GB2312" w:cs="仿宋_GB2312"/>
          <w:kern w:val="0"/>
          <w:sz w:val="32"/>
          <w:szCs w:val="32"/>
          <w:u w:val="single"/>
        </w:rPr>
        <w:t xml:space="preserve">1 </w:t>
      </w:r>
      <w:r>
        <w:rPr>
          <w:rFonts w:hint="eastAsia" w:ascii="仿宋_GB2312" w:hAnsi="仿宋_GB2312" w:eastAsia="仿宋_GB2312" w:cs="仿宋_GB2312"/>
          <w:kern w:val="0"/>
          <w:sz w:val="32"/>
          <w:szCs w:val="32"/>
        </w:rPr>
        <w:t>个。</w:t>
      </w:r>
    </w:p>
    <w:p>
      <w:pPr>
        <w:widowControl/>
        <w:spacing w:line="520" w:lineRule="exact"/>
        <w:ind w:firstLine="480" w:firstLineChars="150"/>
        <w:jc w:val="left"/>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1.综合股</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主要职责：</w:t>
      </w:r>
      <w:r>
        <w:rPr>
          <w:rFonts w:hint="eastAsia" w:ascii="仿宋_GB2312" w:hAnsi="仿宋_GB2312" w:eastAsia="仿宋_GB2312" w:cs="仿宋_GB2312"/>
          <w:kern w:val="0"/>
          <w:sz w:val="32"/>
          <w:szCs w:val="32"/>
        </w:rPr>
        <w:t>负责文电、会务、档案管理、财务管理、资产管理、后勤服务等机关日常工作。承担本单位保密、安全、信访、绩效管理、内部规章制度建设等工作。负责综合性材料和重要文稿的起草工作。承担机关党建和党风廉政建设等方面工作。负责本单位重大突发事件应急综合管理和维稳等工作。负责本单位人事及机构编制管理工作。负责本单位的干部培训教育、群团和离退休人员工作。组织办理人大代表建议、政协委员提案工作。负责深化行政审批制度改革、“放管服”改革等方面政策法规的宣传、推动和实施工作。负责本单位依法行政工作的监督检查。负责处理本单位涉及行政审批方面的法律事务等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规范全县行政审批行为，建立和完善相应工作机制。负责指导乡（镇）行政审批服务机构的工作，指导投资项目、市场准入、建设工程、交通水利、文教卫生、社会事务、涉农事务等方面的行政审批事项，及时通报行政审批等事项的实施情况。承担协调、指导公安、民族宗教、生态环境、应急管理和驻县中直、省直部门的行政审批工作，指导各乡（镇）的行政审批工作。负责县本级行政权力清单和责任清单的动态调整工作。负责拟定全县政务服务制度、办法和标准并组织实施，指导全县政务服务工作，推进政务服务体系建设，监督进驻和退出县政务服务工作平台的政务服务事项。牵头编制政务服务效能工作通报，组织开展政务服务工作的调查研究、评估分析。负责受理全县政务服务行为投诉，会同、协调相关部门按规定处理。负责全县政务服务绩效考评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拟定全县公共资源交易的制度、办法和标准并组织实施，推进公共资源交易体系建设。负责公共资源交易主体信用体系建设，编制公共资源交易目录，组织开展公共资源交易管理服务的调查研究、评估分析。负责受理违反公共资源交易规定的行为投诉，并会同、协调相关部门按规定进行处理。负责全县公共资源交易绩效考评工作。完成局领导交办的其他工作。</w:t>
      </w:r>
    </w:p>
    <w:p>
      <w:pPr>
        <w:widowControl/>
        <w:adjustRightInd w:val="0"/>
        <w:snapToGrid w:val="0"/>
        <w:spacing w:line="560" w:lineRule="exact"/>
        <w:ind w:firstLine="720"/>
        <w:jc w:val="left"/>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zh-CN"/>
        </w:rPr>
        <w:t>2．</w:t>
      </w:r>
      <w:r>
        <w:rPr>
          <w:rFonts w:hint="eastAsia" w:ascii="仿宋_GB2312" w:hAnsi="仿宋_GB2312" w:eastAsia="仿宋_GB2312" w:cs="仿宋_GB2312"/>
          <w:kern w:val="0"/>
          <w:sz w:val="32"/>
          <w:szCs w:val="32"/>
        </w:rPr>
        <w:t>下属事业单位（金川县政务服务和</w:t>
      </w:r>
      <w:r>
        <w:rPr>
          <w:rFonts w:hint="eastAsia" w:ascii="仿宋_GB2312" w:hAnsi="仿宋_GB2312" w:eastAsia="仿宋_GB2312" w:cs="仿宋_GB2312"/>
          <w:bCs/>
          <w:color w:val="000000"/>
          <w:sz w:val="32"/>
          <w:szCs w:val="32"/>
        </w:rPr>
        <w:t>公共资源交易中心</w:t>
      </w:r>
      <w:r>
        <w:rPr>
          <w:rFonts w:hint="eastAsia" w:ascii="仿宋_GB2312" w:hAnsi="仿宋_GB2312" w:eastAsia="仿宋_GB2312" w:cs="仿宋_GB2312"/>
          <w:kern w:val="0"/>
          <w:sz w:val="32"/>
          <w:szCs w:val="32"/>
        </w:rPr>
        <w:t>）</w:t>
      </w:r>
    </w:p>
    <w:p>
      <w:pPr>
        <w:pStyle w:val="6"/>
        <w:adjustRightInd w:val="0"/>
        <w:snapToGrid w:val="0"/>
        <w:spacing w:before="93" w:line="600" w:lineRule="exact"/>
        <w:ind w:firstLine="640" w:firstLineChars="200"/>
        <w:rPr>
          <w:rFonts w:hAnsi="仿宋_GB2312" w:cs="仿宋_GB2312"/>
          <w:bCs/>
          <w:color w:val="000000"/>
          <w:sz w:val="32"/>
          <w:szCs w:val="32"/>
        </w:rPr>
      </w:pPr>
      <w:r>
        <w:rPr>
          <w:rFonts w:hint="eastAsia" w:hAnsi="仿宋_GB2312" w:cs="仿宋_GB2312"/>
          <w:color w:val="333333"/>
          <w:sz w:val="32"/>
          <w:szCs w:val="32"/>
        </w:rPr>
        <w:t>主要职责：</w:t>
      </w:r>
      <w:r>
        <w:rPr>
          <w:rFonts w:hint="eastAsia" w:hAnsi="仿宋_GB2312" w:cs="仿宋_GB2312"/>
          <w:bCs/>
          <w:color w:val="000000"/>
          <w:sz w:val="32"/>
          <w:szCs w:val="32"/>
        </w:rPr>
        <w:t>提高政府采购资金使用效率，规范政府投资工程建设项目比选活动和国有产权交易、维护国家利益和当事人的合法利益，促进廉政建设。</w:t>
      </w:r>
    </w:p>
    <w:p>
      <w:pPr>
        <w:pStyle w:val="6"/>
        <w:adjustRightInd w:val="0"/>
        <w:snapToGrid w:val="0"/>
        <w:spacing w:before="93" w:line="600" w:lineRule="exact"/>
        <w:ind w:firstLine="640" w:firstLineChars="200"/>
        <w:rPr>
          <w:rFonts w:hAnsi="仿宋_GB2312" w:cs="仿宋_GB2312"/>
          <w:sz w:val="32"/>
          <w:szCs w:val="32"/>
        </w:rPr>
      </w:pPr>
      <w:r>
        <w:rPr>
          <w:rFonts w:hint="eastAsia" w:hAnsi="仿宋_GB2312" w:cs="仿宋_GB2312"/>
          <w:sz w:val="32"/>
          <w:szCs w:val="32"/>
        </w:rPr>
        <w:t>依法接受政府采购业务代理范围的政府采购项目；在政府投资工程建设项目招标阶段，行使招标职责；接受委托国有产权交易，负责组织开展土地使用产权和矿业权招拍挂交易活动。</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pPr>
        <w:widowControl/>
        <w:shd w:val="clear" w:color="auto" w:fill="FFFFFF"/>
        <w:spacing w:after="150" w:line="520" w:lineRule="exact"/>
        <w:ind w:firstLine="777" w:firstLineChars="243"/>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行政审批局：总编制</w:t>
      </w:r>
      <w:r>
        <w:rPr>
          <w:rFonts w:hint="eastAsia" w:ascii="仿宋_GB2312" w:hAnsi="仿宋_GB2312" w:eastAsia="仿宋_GB2312" w:cs="仿宋_GB2312"/>
          <w:kern w:val="0"/>
          <w:sz w:val="32"/>
          <w:szCs w:val="32"/>
          <w:u w:val="single"/>
        </w:rPr>
        <w:t>9</w:t>
      </w:r>
      <w:r>
        <w:rPr>
          <w:rFonts w:hint="eastAsia" w:ascii="仿宋_GB2312" w:hAnsi="仿宋_GB2312" w:eastAsia="仿宋_GB2312" w:cs="仿宋_GB2312"/>
          <w:kern w:val="0"/>
          <w:sz w:val="32"/>
          <w:szCs w:val="32"/>
        </w:rPr>
        <w:t>名,其中:行政编制</w:t>
      </w:r>
      <w:r>
        <w:rPr>
          <w:rFonts w:hint="eastAsia" w:ascii="仿宋_GB2312" w:hAnsi="仿宋_GB2312" w:eastAsia="仿宋_GB2312" w:cs="仿宋_GB2312"/>
          <w:kern w:val="0"/>
          <w:sz w:val="32"/>
          <w:szCs w:val="32"/>
          <w:u w:val="single"/>
        </w:rPr>
        <w:t xml:space="preserve">5 </w:t>
      </w:r>
      <w:r>
        <w:rPr>
          <w:rFonts w:hint="eastAsia" w:ascii="仿宋_GB2312" w:hAnsi="仿宋_GB2312" w:eastAsia="仿宋_GB2312" w:cs="仿宋_GB2312"/>
          <w:kern w:val="0"/>
          <w:sz w:val="32"/>
          <w:szCs w:val="32"/>
        </w:rPr>
        <w:t>名,参照公务员法管理的事业编制</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名，其他事业编制</w:t>
      </w:r>
      <w:r>
        <w:rPr>
          <w:rFonts w:hint="eastAsia" w:ascii="仿宋_GB2312" w:hAnsi="仿宋_GB2312" w:eastAsia="仿宋_GB2312" w:cs="仿宋_GB2312"/>
          <w:kern w:val="0"/>
          <w:sz w:val="32"/>
          <w:szCs w:val="32"/>
          <w:u w:val="single"/>
        </w:rPr>
        <w:t>4</w:t>
      </w:r>
      <w:r>
        <w:rPr>
          <w:rFonts w:hint="eastAsia" w:ascii="仿宋_GB2312" w:hAnsi="仿宋_GB2312" w:eastAsia="仿宋_GB2312" w:cs="仿宋_GB2312"/>
          <w:kern w:val="0"/>
          <w:sz w:val="32"/>
          <w:szCs w:val="32"/>
        </w:rPr>
        <w:t>名。在职人员总数</w:t>
      </w:r>
      <w:r>
        <w:rPr>
          <w:rFonts w:hint="eastAsia" w:ascii="仿宋_GB2312" w:hAnsi="仿宋_GB2312" w:eastAsia="仿宋_GB2312" w:cs="仿宋_GB2312"/>
          <w:kern w:val="0"/>
          <w:sz w:val="32"/>
          <w:szCs w:val="32"/>
          <w:u w:val="single"/>
        </w:rPr>
        <w:t xml:space="preserve"> 8</w:t>
      </w:r>
      <w:r>
        <w:rPr>
          <w:rFonts w:hint="eastAsia" w:ascii="仿宋_GB2312" w:hAnsi="仿宋_GB2312" w:eastAsia="仿宋_GB2312" w:cs="仿宋_GB2312"/>
          <w:kern w:val="0"/>
          <w:sz w:val="32"/>
          <w:szCs w:val="32"/>
        </w:rPr>
        <w:t>名，其中：行政人员</w:t>
      </w:r>
      <w:r>
        <w:rPr>
          <w:rFonts w:hint="eastAsia" w:ascii="仿宋_GB2312" w:hAnsi="仿宋_GB2312" w:eastAsia="仿宋_GB2312" w:cs="仿宋_GB2312"/>
          <w:kern w:val="0"/>
          <w:sz w:val="32"/>
          <w:szCs w:val="32"/>
          <w:u w:val="single"/>
        </w:rPr>
        <w:t xml:space="preserve"> 5</w:t>
      </w:r>
      <w:r>
        <w:rPr>
          <w:rFonts w:hint="eastAsia" w:ascii="仿宋_GB2312" w:hAnsi="仿宋_GB2312" w:eastAsia="仿宋_GB2312" w:cs="仿宋_GB2312"/>
          <w:kern w:val="0"/>
          <w:sz w:val="32"/>
          <w:szCs w:val="32"/>
        </w:rPr>
        <w:t>名，参照公务员法管理的事业人员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名，其他事业人员</w:t>
      </w:r>
      <w:r>
        <w:rPr>
          <w:rFonts w:hint="eastAsia" w:ascii="仿宋_GB2312" w:hAnsi="仿宋_GB2312" w:eastAsia="仿宋_GB2312" w:cs="仿宋_GB2312"/>
          <w:kern w:val="0"/>
          <w:sz w:val="32"/>
          <w:szCs w:val="32"/>
          <w:u w:val="single"/>
        </w:rPr>
        <w:t xml:space="preserve">  3</w:t>
      </w:r>
      <w:r>
        <w:rPr>
          <w:rFonts w:hint="eastAsia" w:ascii="仿宋_GB2312" w:hAnsi="仿宋_GB2312" w:eastAsia="仿宋_GB2312" w:cs="仿宋_GB2312"/>
          <w:kern w:val="0"/>
          <w:sz w:val="32"/>
          <w:szCs w:val="32"/>
        </w:rPr>
        <w:t>名；</w:t>
      </w:r>
    </w:p>
    <w:p>
      <w:pPr>
        <w:widowControl/>
        <w:shd w:val="clear" w:color="auto" w:fill="FFFFFF"/>
        <w:spacing w:after="150" w:line="520" w:lineRule="exact"/>
        <w:ind w:firstLine="777" w:firstLineChars="243"/>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金川县政务服务和</w:t>
      </w:r>
      <w:r>
        <w:rPr>
          <w:rFonts w:hint="eastAsia" w:ascii="仿宋_GB2312" w:hAnsi="仿宋_GB2312" w:eastAsia="仿宋_GB2312" w:cs="仿宋_GB2312"/>
          <w:bCs/>
          <w:color w:val="000000"/>
          <w:sz w:val="32"/>
          <w:szCs w:val="32"/>
        </w:rPr>
        <w:t>公共资源交易中心：</w:t>
      </w:r>
      <w:r>
        <w:rPr>
          <w:rFonts w:hint="eastAsia" w:ascii="仿宋_GB2312" w:hAnsi="仿宋_GB2312" w:eastAsia="仿宋_GB2312" w:cs="仿宋_GB2312"/>
          <w:kern w:val="0"/>
          <w:sz w:val="32"/>
          <w:szCs w:val="32"/>
        </w:rPr>
        <w:t>总编制</w:t>
      </w:r>
      <w:r>
        <w:rPr>
          <w:rFonts w:hint="eastAsia" w:ascii="仿宋_GB2312" w:hAnsi="仿宋_GB2312" w:eastAsia="仿宋_GB2312" w:cs="仿宋_GB2312"/>
          <w:kern w:val="0"/>
          <w:sz w:val="32"/>
          <w:szCs w:val="32"/>
          <w:u w:val="single"/>
        </w:rPr>
        <w:t>4</w:t>
      </w:r>
      <w:r>
        <w:rPr>
          <w:rFonts w:hint="eastAsia" w:ascii="仿宋_GB2312" w:hAnsi="仿宋_GB2312" w:eastAsia="仿宋_GB2312" w:cs="仿宋_GB2312"/>
          <w:kern w:val="0"/>
          <w:sz w:val="32"/>
          <w:szCs w:val="32"/>
        </w:rPr>
        <w:t>名,其中:行政编制</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名,参照公务员法管理的事业编制</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名，其他事业编制</w:t>
      </w:r>
      <w:r>
        <w:rPr>
          <w:rFonts w:hint="eastAsia" w:ascii="仿宋_GB2312" w:hAnsi="仿宋_GB2312" w:eastAsia="仿宋_GB2312" w:cs="仿宋_GB2312"/>
          <w:kern w:val="0"/>
          <w:sz w:val="32"/>
          <w:szCs w:val="32"/>
          <w:u w:val="single"/>
        </w:rPr>
        <w:t>4</w:t>
      </w:r>
      <w:r>
        <w:rPr>
          <w:rFonts w:hint="eastAsia" w:ascii="仿宋_GB2312" w:hAnsi="仿宋_GB2312" w:eastAsia="仿宋_GB2312" w:cs="仿宋_GB2312"/>
          <w:kern w:val="0"/>
          <w:sz w:val="32"/>
          <w:szCs w:val="32"/>
        </w:rPr>
        <w:t>名。在职人员总数</w:t>
      </w:r>
      <w:r>
        <w:rPr>
          <w:rFonts w:hint="eastAsia" w:ascii="仿宋_GB2312" w:hAnsi="仿宋_GB2312" w:eastAsia="仿宋_GB2312" w:cs="仿宋_GB2312"/>
          <w:kern w:val="0"/>
          <w:sz w:val="32"/>
          <w:szCs w:val="32"/>
          <w:u w:val="single"/>
        </w:rPr>
        <w:t xml:space="preserve"> 4</w:t>
      </w:r>
      <w:r>
        <w:rPr>
          <w:rFonts w:hint="eastAsia" w:ascii="仿宋_GB2312" w:hAnsi="仿宋_GB2312" w:eastAsia="仿宋_GB2312" w:cs="仿宋_GB2312"/>
          <w:kern w:val="0"/>
          <w:sz w:val="32"/>
          <w:szCs w:val="32"/>
        </w:rPr>
        <w:t>名，其中：行政人员</w:t>
      </w:r>
      <w:r>
        <w:rPr>
          <w:rFonts w:hint="eastAsia" w:ascii="仿宋_GB2312" w:hAnsi="仿宋_GB2312" w:eastAsia="仿宋_GB2312" w:cs="仿宋_GB2312"/>
          <w:kern w:val="0"/>
          <w:sz w:val="32"/>
          <w:szCs w:val="32"/>
          <w:u w:val="single"/>
        </w:rPr>
        <w:t xml:space="preserve"> 0</w:t>
      </w:r>
      <w:r>
        <w:rPr>
          <w:rFonts w:hint="eastAsia" w:ascii="仿宋_GB2312" w:hAnsi="仿宋_GB2312" w:eastAsia="仿宋_GB2312" w:cs="仿宋_GB2312"/>
          <w:kern w:val="0"/>
          <w:sz w:val="32"/>
          <w:szCs w:val="32"/>
        </w:rPr>
        <w:t>名，参照公务员法管理的事业人员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名，其他事业人员</w:t>
      </w:r>
      <w:r>
        <w:rPr>
          <w:rFonts w:hint="eastAsia" w:ascii="仿宋_GB2312" w:hAnsi="仿宋_GB2312" w:eastAsia="仿宋_GB2312" w:cs="仿宋_GB2312"/>
          <w:kern w:val="0"/>
          <w:sz w:val="32"/>
          <w:szCs w:val="32"/>
          <w:u w:val="single"/>
        </w:rPr>
        <w:t xml:space="preserve"> 4</w:t>
      </w:r>
      <w:r>
        <w:rPr>
          <w:rFonts w:hint="eastAsia" w:ascii="仿宋_GB2312" w:hAnsi="仿宋_GB2312" w:eastAsia="仿宋_GB2312" w:cs="仿宋_GB2312"/>
          <w:kern w:val="0"/>
          <w:sz w:val="32"/>
          <w:szCs w:val="32"/>
        </w:rPr>
        <w:t>名；</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二、部门财政资金收支情况</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pPr>
        <w:widowControl/>
        <w:adjustRightInd w:val="0"/>
        <w:snapToGrid w:val="0"/>
        <w:spacing w:line="52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333333"/>
          <w:kern w:val="0"/>
          <w:sz w:val="32"/>
          <w:szCs w:val="32"/>
        </w:rPr>
        <w:t>2020年金川县行政审批局收入</w:t>
      </w:r>
      <w:r>
        <w:rPr>
          <w:rFonts w:hint="eastAsia" w:ascii="仿宋_GB2312" w:hAnsi="仿宋_GB2312" w:eastAsia="仿宋_GB2312" w:cs="仿宋_GB2312"/>
          <w:color w:val="000000"/>
          <w:kern w:val="0"/>
          <w:sz w:val="32"/>
          <w:szCs w:val="32"/>
          <w:lang w:val="zh-CN"/>
        </w:rPr>
        <w:t>合计</w:t>
      </w:r>
      <w:r>
        <w:rPr>
          <w:rFonts w:hint="eastAsia" w:ascii="仿宋_GB2312" w:hAnsi="仿宋_GB2312" w:eastAsia="仿宋_GB2312" w:cs="仿宋_GB2312"/>
          <w:color w:val="000000"/>
          <w:sz w:val="32"/>
          <w:szCs w:val="32"/>
        </w:rPr>
        <w:t>254.52</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上年结转0万元，</w:t>
      </w:r>
      <w:r>
        <w:rPr>
          <w:rFonts w:hint="eastAsia" w:ascii="仿宋_GB2312" w:hAnsi="仿宋_GB2312" w:eastAsia="仿宋_GB2312" w:cs="仿宋_GB2312"/>
          <w:color w:val="000000"/>
          <w:kern w:val="0"/>
          <w:sz w:val="32"/>
          <w:szCs w:val="32"/>
          <w:lang w:val="zh-CN"/>
        </w:rPr>
        <w:t>其中：财政拨款收入</w:t>
      </w:r>
      <w:r>
        <w:rPr>
          <w:rFonts w:hint="eastAsia" w:ascii="仿宋_GB2312" w:hAnsi="仿宋_GB2312" w:eastAsia="仿宋_GB2312" w:cs="仿宋_GB2312"/>
          <w:color w:val="000000"/>
          <w:sz w:val="32"/>
          <w:szCs w:val="32"/>
        </w:rPr>
        <w:t>254.52</w:t>
      </w:r>
      <w:r>
        <w:rPr>
          <w:rFonts w:hint="eastAsia" w:ascii="仿宋_GB2312" w:hAnsi="仿宋_GB2312" w:eastAsia="仿宋_GB2312" w:cs="仿宋_GB2312"/>
          <w:color w:val="000000"/>
          <w:kern w:val="0"/>
          <w:sz w:val="32"/>
          <w:szCs w:val="32"/>
          <w:lang w:val="zh-CN"/>
        </w:rPr>
        <w:t xml:space="preserve">万元。   </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widowControl/>
        <w:adjustRightInd w:val="0"/>
        <w:snapToGrid w:val="0"/>
        <w:spacing w:line="52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1、金川县行政审批局2020年一般公共预算财政拨款支出</w:t>
      </w:r>
      <w:r>
        <w:rPr>
          <w:rFonts w:hint="eastAsia" w:ascii="仿宋_GB2312" w:hAnsi="仿宋_GB2312" w:eastAsia="仿宋_GB2312" w:cs="仿宋_GB2312"/>
          <w:color w:val="000000"/>
          <w:sz w:val="32"/>
          <w:szCs w:val="32"/>
        </w:rPr>
        <w:t>254.52</w:t>
      </w:r>
      <w:r>
        <w:rPr>
          <w:rFonts w:hint="eastAsia" w:ascii="仿宋_GB2312" w:hAnsi="仿宋_GB2312" w:eastAsia="仿宋_GB2312" w:cs="仿宋_GB2312"/>
          <w:color w:val="000000"/>
          <w:kern w:val="0"/>
          <w:sz w:val="32"/>
          <w:szCs w:val="32"/>
        </w:rPr>
        <w:t>万元，其中：</w:t>
      </w:r>
    </w:p>
    <w:p>
      <w:pPr>
        <w:widowControl/>
        <w:adjustRightInd w:val="0"/>
        <w:snapToGrid w:val="0"/>
        <w:spacing w:line="520" w:lineRule="exact"/>
        <w:ind w:firstLine="72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人员经费</w:t>
      </w:r>
      <w:r>
        <w:rPr>
          <w:rFonts w:hint="eastAsia" w:ascii="仿宋_GB2312" w:hAnsi="仿宋_GB2312" w:eastAsia="仿宋_GB2312" w:cs="仿宋_GB2312"/>
          <w:kern w:val="0"/>
          <w:sz w:val="32"/>
          <w:szCs w:val="32"/>
          <w:shd w:val="clear" w:color="auto" w:fill="FFFFFF"/>
        </w:rPr>
        <w:t>222.45</w:t>
      </w:r>
      <w:r>
        <w:rPr>
          <w:rFonts w:hint="eastAsia" w:ascii="仿宋_GB2312" w:hAnsi="仿宋_GB2312" w:eastAsia="仿宋_GB2312" w:cs="仿宋_GB2312"/>
          <w:color w:val="000000"/>
          <w:kern w:val="0"/>
          <w:sz w:val="32"/>
          <w:szCs w:val="32"/>
        </w:rPr>
        <w:t>万元，主要包括：基本工资53.22万元、津贴补贴47.10万元、奖金5.73万元、绩效工资24.76万元、</w:t>
      </w:r>
      <w:r>
        <w:rPr>
          <w:rFonts w:hint="eastAsia" w:ascii="仿宋_GB2312" w:hAnsi="仿宋_GB2312" w:eastAsia="仿宋_GB2312" w:cs="仿宋_GB2312"/>
          <w:color w:val="000000"/>
          <w:sz w:val="32"/>
          <w:szCs w:val="32"/>
        </w:rPr>
        <w:t>职工基本医疗保险缴费9.69万元、</w:t>
      </w:r>
      <w:r>
        <w:rPr>
          <w:rFonts w:hint="eastAsia" w:ascii="仿宋_GB2312" w:hAnsi="仿宋_GB2312" w:eastAsia="仿宋_GB2312" w:cs="仿宋_GB2312"/>
          <w:color w:val="000000"/>
          <w:kern w:val="0"/>
          <w:sz w:val="32"/>
          <w:szCs w:val="32"/>
        </w:rPr>
        <w:t>机关事业单位基本养老保险缴费20.00万元、</w:t>
      </w:r>
      <w:r>
        <w:rPr>
          <w:rFonts w:hint="eastAsia" w:ascii="仿宋_GB2312" w:hAnsi="仿宋_GB2312" w:eastAsia="仿宋_GB2312" w:cs="仿宋_GB2312"/>
          <w:color w:val="000000"/>
          <w:sz w:val="32"/>
          <w:szCs w:val="32"/>
        </w:rPr>
        <w:t>公务员医疗补助2.45万元、</w:t>
      </w:r>
      <w:r>
        <w:rPr>
          <w:rFonts w:hint="eastAsia" w:ascii="仿宋_GB2312" w:hAnsi="仿宋_GB2312" w:eastAsia="仿宋_GB2312" w:cs="仿宋_GB2312"/>
          <w:color w:val="000000"/>
          <w:kern w:val="0"/>
          <w:sz w:val="32"/>
          <w:szCs w:val="32"/>
        </w:rPr>
        <w:t>职业年金缴费10.05元、其他社会保障缴费1.81万元、奖励金27.22万元、住房公积金20.42万元。</w:t>
      </w:r>
    </w:p>
    <w:p>
      <w:pPr>
        <w:widowControl/>
        <w:adjustRightInd w:val="0"/>
        <w:snapToGrid w:val="0"/>
        <w:spacing w:line="520" w:lineRule="exac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rPr>
        <w:t>　　公用经费</w:t>
      </w:r>
      <w:r>
        <w:rPr>
          <w:rFonts w:hint="eastAsia" w:ascii="仿宋_GB2312" w:hAnsi="仿宋_GB2312" w:eastAsia="仿宋_GB2312" w:cs="仿宋_GB2312"/>
          <w:bCs/>
          <w:sz w:val="32"/>
          <w:szCs w:val="32"/>
        </w:rPr>
        <w:t>11.72</w:t>
      </w:r>
      <w:r>
        <w:rPr>
          <w:rFonts w:hint="eastAsia" w:ascii="仿宋_GB2312" w:hAnsi="仿宋_GB2312" w:eastAsia="仿宋_GB2312" w:cs="仿宋_GB2312"/>
          <w:color w:val="000000"/>
          <w:kern w:val="0"/>
          <w:sz w:val="32"/>
          <w:szCs w:val="32"/>
        </w:rPr>
        <w:t>万元，主要包括：办公费3.29万元、水费0.7万元、电费0.5万元、邮电费3.0万元、取暖费0.04万元、差旅费2.5万元、维修（护）费0.2万元、会议费0万元、公务接待费0.19万元、劳务费0.8万元、</w:t>
      </w:r>
      <w:r>
        <w:rPr>
          <w:rFonts w:hint="eastAsia" w:ascii="仿宋_GB2312" w:hAnsi="仿宋_GB2312" w:eastAsia="仿宋_GB2312" w:cs="仿宋_GB2312"/>
          <w:color w:val="000000"/>
          <w:sz w:val="32"/>
          <w:szCs w:val="32"/>
        </w:rPr>
        <w:t>其他交通费0.5万元。</w:t>
      </w:r>
    </w:p>
    <w:p>
      <w:pPr>
        <w:widowControl/>
        <w:numPr>
          <w:ilvl w:val="0"/>
          <w:numId w:val="8"/>
        </w:numPr>
        <w:adjustRightInd w:val="0"/>
        <w:snapToGrid w:val="0"/>
        <w:spacing w:line="52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金川县行政审批局2020年一般公共预算财政拨款项目支出</w:t>
      </w:r>
      <w:r>
        <w:rPr>
          <w:rFonts w:hint="eastAsia" w:ascii="仿宋_GB2312" w:hAnsi="仿宋_GB2312" w:eastAsia="仿宋_GB2312" w:cs="仿宋_GB2312"/>
          <w:color w:val="000000"/>
          <w:sz w:val="32"/>
          <w:szCs w:val="32"/>
        </w:rPr>
        <w:t>20.35</w:t>
      </w:r>
      <w:r>
        <w:rPr>
          <w:rFonts w:hint="eastAsia" w:ascii="仿宋_GB2312" w:hAnsi="仿宋_GB2312" w:eastAsia="仿宋_GB2312" w:cs="仿宋_GB2312"/>
          <w:color w:val="000000"/>
          <w:kern w:val="0"/>
          <w:sz w:val="32"/>
          <w:szCs w:val="32"/>
        </w:rPr>
        <w:t>万元，其中：</w:t>
      </w:r>
    </w:p>
    <w:p>
      <w:pPr>
        <w:widowControl/>
        <w:adjustRightInd w:val="0"/>
        <w:snapToGrid w:val="0"/>
        <w:spacing w:line="520" w:lineRule="exact"/>
        <w:ind w:firstLine="642"/>
        <w:jc w:val="left"/>
        <w:rPr>
          <w:rFonts w:ascii="仿宋_GB2312" w:hAnsi="仿宋_GB2312" w:eastAsia="仿宋_GB2312" w:cs="仿宋_GB2312"/>
          <w:bCs/>
          <w:color w:val="000000"/>
          <w:sz w:val="32"/>
          <w:szCs w:val="32"/>
        </w:rPr>
      </w:pPr>
      <w:r>
        <w:rPr>
          <w:rFonts w:hint="eastAsia" w:ascii="仿宋_GB2312" w:hAnsi="仿宋_GB2312" w:eastAsia="仿宋_GB2312" w:cs="仿宋_GB2312"/>
          <w:color w:val="000000"/>
          <w:kern w:val="0"/>
          <w:sz w:val="32"/>
          <w:szCs w:val="32"/>
        </w:rPr>
        <w:t>人员经费</w:t>
      </w:r>
      <w:r>
        <w:rPr>
          <w:rFonts w:hint="eastAsia" w:ascii="仿宋_GB2312" w:hAnsi="仿宋_GB2312" w:eastAsia="仿宋_GB2312" w:cs="仿宋_GB2312"/>
          <w:kern w:val="0"/>
          <w:sz w:val="32"/>
          <w:szCs w:val="32"/>
          <w:shd w:val="clear" w:color="auto" w:fill="FFFFFF"/>
        </w:rPr>
        <w:t>0.65</w:t>
      </w:r>
      <w:r>
        <w:rPr>
          <w:rFonts w:hint="eastAsia" w:ascii="仿宋_GB2312" w:hAnsi="仿宋_GB2312" w:eastAsia="仿宋_GB2312" w:cs="仿宋_GB2312"/>
          <w:color w:val="000000"/>
          <w:kern w:val="0"/>
          <w:sz w:val="32"/>
          <w:szCs w:val="32"/>
        </w:rPr>
        <w:t>万元，主要包括：生活补助0.65万元</w:t>
      </w:r>
    </w:p>
    <w:p>
      <w:pPr>
        <w:widowControl/>
        <w:adjustRightInd w:val="0"/>
        <w:snapToGrid w:val="0"/>
        <w:spacing w:line="520" w:lineRule="exact"/>
        <w:ind w:firstLine="642"/>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公用经费19.70万元，主要包括：</w:t>
      </w:r>
      <w:r>
        <w:rPr>
          <w:rFonts w:hint="eastAsia" w:ascii="仿宋_GB2312" w:hAnsi="仿宋_GB2312" w:eastAsia="仿宋_GB2312" w:cs="仿宋_GB2312"/>
          <w:bCs/>
          <w:color w:val="000000"/>
          <w:kern w:val="0"/>
          <w:sz w:val="32"/>
          <w:szCs w:val="32"/>
        </w:rPr>
        <w:t>办</w:t>
      </w:r>
      <w:r>
        <w:rPr>
          <w:rFonts w:hint="eastAsia" w:ascii="仿宋_GB2312" w:hAnsi="仿宋_GB2312" w:eastAsia="仿宋_GB2312" w:cs="仿宋_GB2312"/>
          <w:color w:val="000000"/>
          <w:kern w:val="0"/>
          <w:sz w:val="32"/>
          <w:szCs w:val="32"/>
        </w:rPr>
        <w:t>公费5.5万元、邮电费3.2万元、差旅费2万元、维修费7.4万元、劳务费0.8万元、其他交通费用0.8万元。</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三、部门财政支出管理情况</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pPr>
        <w:widowControl/>
        <w:shd w:val="clear" w:color="auto" w:fill="FFFFFF"/>
        <w:spacing w:after="150" w:line="520" w:lineRule="exact"/>
        <w:ind w:firstLine="617" w:firstLineChars="19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按时编制、提交并上报了2020年及2020年</w:t>
      </w:r>
      <w:r>
        <w:rPr>
          <w:rFonts w:hint="eastAsia" w:ascii="仿宋_GB2312" w:hAnsi="仿宋_GB2312" w:eastAsia="仿宋_GB2312" w:cs="仿宋_GB2312"/>
          <w:color w:val="000000"/>
          <w:kern w:val="0"/>
          <w:sz w:val="32"/>
          <w:szCs w:val="32"/>
        </w:rPr>
        <w:t>金川县行政审批局</w:t>
      </w:r>
      <w:r>
        <w:rPr>
          <w:rFonts w:hint="eastAsia" w:ascii="仿宋_GB2312" w:hAnsi="仿宋_GB2312" w:eastAsia="仿宋_GB2312" w:cs="仿宋_GB2312"/>
          <w:color w:val="333333"/>
          <w:kern w:val="0"/>
          <w:sz w:val="32"/>
          <w:szCs w:val="32"/>
        </w:rPr>
        <w:t>部门预算 “二上二下”预算支出明细表。</w:t>
      </w:r>
    </w:p>
    <w:p>
      <w:pPr>
        <w:widowControl/>
        <w:shd w:val="clear" w:color="auto" w:fill="FFFFFF"/>
        <w:spacing w:after="150" w:line="520" w:lineRule="exact"/>
        <w:ind w:firstLine="617" w:firstLineChars="19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2020年我单位在职人员为12人，公用经费标准为行政人员每人12000元／年、事业人员每人9600元／年， 2020年度预算数为157.22万元，年度预算编制项目分类准确，各项支出资金具体到明细科目。</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widowControl/>
        <w:shd w:val="clear" w:color="auto" w:fill="FFFFFF"/>
        <w:spacing w:after="150" w:line="520" w:lineRule="exact"/>
        <w:ind w:firstLine="774" w:firstLineChars="242"/>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2020年度预算数为157.22万元，编制了2020-2022年中期规划表，预算执行数</w:t>
      </w:r>
      <w:r>
        <w:rPr>
          <w:rFonts w:hint="eastAsia" w:ascii="仿宋_GB2312" w:hAnsi="仿宋_GB2312" w:eastAsia="仿宋_GB2312" w:cs="仿宋_GB2312"/>
          <w:color w:val="000000"/>
          <w:kern w:val="0"/>
          <w:sz w:val="32"/>
          <w:szCs w:val="32"/>
        </w:rPr>
        <w:t>254.52万元</w:t>
      </w:r>
      <w:r>
        <w:rPr>
          <w:rFonts w:hint="eastAsia" w:ascii="仿宋_GB2312" w:hAnsi="仿宋_GB2312" w:eastAsia="仿宋_GB2312" w:cs="仿宋_GB2312"/>
          <w:color w:val="333333"/>
          <w:kern w:val="0"/>
          <w:sz w:val="32"/>
          <w:szCs w:val="32"/>
        </w:rPr>
        <w:t>，超预算97.30万元，预算执行率161.90%。预算总体执行情况为超预算执行，原因是以前年度的年初待安排资金未纳入2020年预算，从而出现2020年预算数较2020年还少，我局今年又向县人民政府打报告拨付2次运转和维修资金63.67万元，从而造成超预算。</w:t>
      </w:r>
    </w:p>
    <w:p>
      <w:pPr>
        <w:widowControl/>
        <w:shd w:val="clear" w:color="auto" w:fill="FFFFFF"/>
        <w:spacing w:after="150" w:line="520" w:lineRule="exact"/>
        <w:ind w:firstLine="457" w:firstLineChars="14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节能降耗： 2020年电费0.5万元比2019年同期电费略有减少。</w:t>
      </w:r>
    </w:p>
    <w:p>
      <w:pPr>
        <w:widowControl/>
        <w:shd w:val="clear" w:color="auto" w:fill="FFFFFF"/>
        <w:spacing w:after="150" w:line="520" w:lineRule="exact"/>
        <w:ind w:firstLine="457" w:firstLineChars="14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三公经费：我单位2020年三公经费预算为0.19万元，比2020年增加0万元。</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（三）综合管理情况。</w:t>
      </w:r>
    </w:p>
    <w:p>
      <w:pPr>
        <w:widowControl/>
        <w:shd w:val="clear" w:color="auto" w:fill="FFFFFF"/>
        <w:spacing w:after="150" w:line="520" w:lineRule="exact"/>
        <w:ind w:firstLine="777" w:firstLineChars="24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1.基础管理情况</w:t>
      </w:r>
    </w:p>
    <w:p>
      <w:pPr>
        <w:widowControl/>
        <w:shd w:val="clear" w:color="auto" w:fill="FFFFFF"/>
        <w:spacing w:after="150" w:line="520" w:lineRule="exact"/>
        <w:ind w:firstLine="457" w:firstLineChars="14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我局制定了《金川县行政审批局内部控制管理制度》、《固定资产管理制度及办法》、《行政审批局关于内部控制体系建设的实施方案》、《行政审批局内部控制领导小组的方案》，制定的各项制度得到较好执行。</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2.政府债务情况</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2020年度行政审批局政府债务合计0万元。</w:t>
      </w:r>
    </w:p>
    <w:p>
      <w:pPr>
        <w:widowControl/>
        <w:shd w:val="clear" w:color="auto" w:fill="FFFFFF"/>
        <w:spacing w:after="150" w:line="520" w:lineRule="exact"/>
        <w:ind w:firstLine="160" w:firstLineChars="5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3.非税收入执收情况</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2020年度行政审批局非税收入合计0元，上缴财政0万元。</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4.政府采购实施计划</w:t>
      </w:r>
    </w:p>
    <w:p>
      <w:pPr>
        <w:widowControl/>
        <w:shd w:val="clear" w:color="auto" w:fill="FFFFFF"/>
        <w:spacing w:after="150" w:line="520" w:lineRule="exact"/>
        <w:ind w:firstLine="617" w:firstLineChars="19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行政审批局2020年未制定年度政府采购计划。</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5.资产管理情况</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行政审批局已将国有资产纳入资产信息系统管理，并落实专人负责管理维护系统，如有资产变动将及时把资产变动情况录入系统。</w:t>
      </w:r>
    </w:p>
    <w:p>
      <w:pPr>
        <w:widowControl/>
        <w:shd w:val="clear" w:color="auto" w:fill="FFFFFF"/>
        <w:spacing w:after="150" w:line="520" w:lineRule="exact"/>
        <w:ind w:firstLine="617" w:firstLineChars="19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管理系统上固定资产金额为84.78万元，会计账上金额为84.78万元，系统金额与会计账目金额一致。</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6.信息公开情况</w:t>
      </w:r>
    </w:p>
    <w:p>
      <w:pPr>
        <w:widowControl/>
        <w:shd w:val="clear" w:color="auto" w:fill="FFFFFF"/>
        <w:spacing w:after="150" w:line="520" w:lineRule="exact"/>
        <w:ind w:firstLine="3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2020年的预、决算编制说明、“三公”经费预、决算情况；2020年的预算编制说明、“三公”经费预算情况已在政府网上公开。</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（四）整体绩效。</w:t>
      </w:r>
    </w:p>
    <w:p>
      <w:pPr>
        <w:widowControl/>
        <w:adjustRightInd w:val="0"/>
        <w:snapToGrid w:val="0"/>
        <w:spacing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333333"/>
          <w:kern w:val="0"/>
          <w:sz w:val="32"/>
          <w:szCs w:val="32"/>
        </w:rPr>
        <w:t>行政审批局对本部门实施了整体支出绩效评价 ，按照要求向金川县财政局按时报送自评报告，</w:t>
      </w:r>
      <w:r>
        <w:rPr>
          <w:rFonts w:hint="eastAsia" w:ascii="仿宋_GB2312" w:hAnsi="仿宋_GB2312" w:eastAsia="仿宋_GB2312" w:cs="仿宋_GB2312"/>
          <w:color w:val="000000"/>
          <w:sz w:val="32"/>
          <w:szCs w:val="32"/>
        </w:rPr>
        <w:t>财政资金支出主要用于保障本部门机构正常运转、更好完成各项日常工作，</w:t>
      </w:r>
      <w:r>
        <w:rPr>
          <w:rFonts w:hint="eastAsia" w:ascii="仿宋_GB2312" w:hAnsi="仿宋_GB2312" w:eastAsia="仿宋_GB2312" w:cs="仿宋_GB2312"/>
          <w:color w:val="333333"/>
          <w:kern w:val="0"/>
          <w:sz w:val="32"/>
          <w:szCs w:val="32"/>
        </w:rPr>
        <w:t>社会群众对行政审批局的工作总体较满意。</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四、评价结论及建议</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（一）评价结论。</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rPr>
        <w:t>  编制了绩效评价及接受了财政监督，</w:t>
      </w:r>
      <w:r>
        <w:rPr>
          <w:rFonts w:hint="eastAsia" w:ascii="仿宋_GB2312" w:hAnsi="仿宋_GB2312" w:eastAsia="仿宋_GB2312" w:cs="仿宋_GB2312"/>
          <w:sz w:val="32"/>
          <w:szCs w:val="32"/>
        </w:rPr>
        <w:t>部门预算执行情况良好，自评得分96分，无不良记录及违规违纪行为，预算收、支和决算收、支情况相符。</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（二）存在问题。</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1、技术力量相当欠缺和薄弱。</w:t>
      </w:r>
      <w:r>
        <w:rPr>
          <w:rFonts w:hint="eastAsia" w:ascii="仿宋_GB2312" w:hAnsi="仿宋_GB2312" w:eastAsia="仿宋_GB2312" w:cs="仿宋_GB2312"/>
          <w:sz w:val="32"/>
          <w:szCs w:val="32"/>
        </w:rPr>
        <w:t>由于机改后，职能职责增加，业务工作增多，现有人员</w:t>
      </w:r>
      <w:r>
        <w:rPr>
          <w:rFonts w:hint="eastAsia" w:ascii="仿宋_GB2312" w:hAnsi="仿宋_GB2312" w:eastAsia="仿宋_GB2312" w:cs="仿宋_GB2312"/>
          <w:bCs/>
          <w:sz w:val="32"/>
          <w:szCs w:val="32"/>
        </w:rPr>
        <w:t>技术力量</w:t>
      </w:r>
      <w:r>
        <w:rPr>
          <w:rFonts w:hint="eastAsia" w:ascii="仿宋_GB2312" w:hAnsi="仿宋_GB2312" w:eastAsia="仿宋_GB2312" w:cs="仿宋_GB2312"/>
          <w:sz w:val="32"/>
          <w:szCs w:val="32"/>
        </w:rPr>
        <w:t>还达不到“放管服”改革、“一体化政务平台”运行、乡镇便民中心业务指导等工作的需要，特别是网络技术力量紧缺，推动“放管服”改革“心有余而力不足”，更加谈不上一些政务应用程序和自助终端的研发。</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2、“互联网+政务服务”推广应用成效不明显。</w:t>
      </w:r>
      <w:r>
        <w:rPr>
          <w:rFonts w:hint="eastAsia" w:ascii="仿宋_GB2312" w:hAnsi="仿宋_GB2312" w:eastAsia="仿宋_GB2312" w:cs="仿宋_GB2312"/>
          <w:sz w:val="32"/>
          <w:szCs w:val="32"/>
        </w:rPr>
        <w:t>目前大数据尚未建成，各行业、各系统各自拥有系统网，数据无法共享，向一体化政务服务平台推送成效不理想，导致在审批过程中还得按老办法，便民服务网点硬件建设现代化手段滞后。</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（三）改进建议。</w:t>
      </w:r>
    </w:p>
    <w:p>
      <w:pPr>
        <w:widowControl/>
        <w:shd w:val="clear" w:color="auto" w:fill="FFFFFF"/>
        <w:spacing w:after="150" w:line="520" w:lineRule="exact"/>
        <w:ind w:firstLine="777" w:firstLineChars="243"/>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增加</w:t>
      </w:r>
      <w:r>
        <w:rPr>
          <w:rFonts w:hint="eastAsia" w:ascii="仿宋_GB2312" w:hAnsi="仿宋_GB2312" w:eastAsia="仿宋_GB2312" w:cs="仿宋_GB2312"/>
          <w:bCs/>
          <w:sz w:val="32"/>
          <w:szCs w:val="32"/>
        </w:rPr>
        <w:t>人员编制，引进技术人才，扩大技术力量，</w:t>
      </w:r>
      <w:r>
        <w:rPr>
          <w:rFonts w:hint="eastAsia" w:ascii="仿宋_GB2312" w:hAnsi="仿宋_GB2312" w:eastAsia="仿宋_GB2312" w:cs="仿宋_GB2312"/>
          <w:color w:val="333333"/>
          <w:kern w:val="0"/>
          <w:sz w:val="32"/>
          <w:szCs w:val="32"/>
        </w:rPr>
        <w:t>解决“互联网+政务服务”方面专业技术人才，运用新技术提升政务服务水平。</w:t>
      </w:r>
    </w:p>
    <w:p>
      <w:pPr>
        <w:widowControl/>
        <w:adjustRightInd w:val="0"/>
        <w:snapToGrid w:val="0"/>
        <w:spacing w:line="480" w:lineRule="exact"/>
        <w:ind w:firstLine="720"/>
        <w:jc w:val="left"/>
        <w:rPr>
          <w:rFonts w:ascii="黑体" w:hAnsi="黑体" w:eastAsia="黑体"/>
          <w:sz w:val="30"/>
          <w:szCs w:val="30"/>
        </w:rPr>
      </w:pPr>
    </w:p>
    <w:p>
      <w:pPr>
        <w:rPr>
          <w:rFonts w:ascii="黑体" w:hAnsi="黑体" w:eastAsia="黑体"/>
          <w:sz w:val="30"/>
          <w:szCs w:val="30"/>
        </w:rPr>
      </w:pPr>
    </w:p>
    <w:p>
      <w:pPr>
        <w:rPr>
          <w:rFonts w:ascii="黑体" w:hAnsi="黑体" w:eastAsia="黑体"/>
          <w:sz w:val="30"/>
          <w:szCs w:val="30"/>
        </w:rPr>
      </w:pPr>
    </w:p>
    <w:p>
      <w:pPr>
        <w:rPr>
          <w:rFonts w:ascii="黑体" w:hAnsi="黑体" w:eastAsia="黑体"/>
          <w:sz w:val="30"/>
          <w:szCs w:val="30"/>
        </w:rPr>
      </w:pPr>
    </w:p>
    <w:p>
      <w:pPr>
        <w:spacing w:line="600" w:lineRule="exact"/>
        <w:outlineLvl w:val="0"/>
        <w:rPr>
          <w:rFonts w:ascii="黑体" w:eastAsia="黑体"/>
          <w:color w:val="000000"/>
          <w:sz w:val="44"/>
          <w:szCs w:val="44"/>
        </w:rPr>
      </w:pPr>
    </w:p>
    <w:p>
      <w:pPr>
        <w:spacing w:line="600" w:lineRule="exact"/>
        <w:jc w:val="center"/>
        <w:outlineLvl w:val="0"/>
        <w:rPr>
          <w:rStyle w:val="16"/>
          <w:rFonts w:ascii="黑体" w:eastAsia="黑体"/>
          <w:b w:val="0"/>
        </w:rPr>
      </w:pPr>
      <w:r>
        <w:rPr>
          <w:rFonts w:hint="eastAsia" w:ascii="黑体" w:eastAsia="黑体"/>
          <w:color w:val="000000"/>
          <w:sz w:val="44"/>
          <w:szCs w:val="44"/>
        </w:rPr>
        <w:t>第</w:t>
      </w:r>
      <w:r>
        <w:rPr>
          <w:rStyle w:val="16"/>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7"/>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7"/>
          <w:rFonts w:hint="eastAsia" w:ascii="仿宋" w:eastAsia="仿宋"/>
          <w:b w:val="0"/>
          <w:bCs w:val="0"/>
        </w:rPr>
        <w:t>入总表</w:t>
      </w:r>
      <w:bookmarkEnd w:id="62"/>
    </w:p>
    <w:p>
      <w:pPr>
        <w:pStyle w:val="4"/>
        <w:rPr>
          <w:rFonts w:ascii="仿宋" w:eastAsia="仿宋"/>
          <w:color w:val="000000"/>
        </w:rPr>
      </w:pPr>
      <w:bookmarkStart w:id="63" w:name="_Toc15396621"/>
      <w:r>
        <w:rPr>
          <w:rStyle w:val="17"/>
          <w:rFonts w:hint="eastAsia" w:ascii="仿宋" w:eastAsia="仿宋"/>
          <w:b w:val="0"/>
          <w:bCs w:val="0"/>
        </w:rPr>
        <w:t>三、</w:t>
      </w:r>
      <w:r>
        <w:rPr>
          <w:rFonts w:hint="eastAsia" w:ascii="仿宋" w:eastAsia="仿宋"/>
          <w:b w:val="0"/>
          <w:color w:val="000000"/>
        </w:rPr>
        <w:t>支</w:t>
      </w:r>
      <w:r>
        <w:rPr>
          <w:rStyle w:val="17"/>
          <w:rFonts w:hint="eastAsia" w:ascii="仿宋" w:eastAsia="仿宋"/>
          <w:b w:val="0"/>
          <w:bCs w:val="0"/>
        </w:rPr>
        <w:t>出总表</w:t>
      </w:r>
      <w:bookmarkEnd w:id="63"/>
    </w:p>
    <w:p>
      <w:pPr>
        <w:pStyle w:val="4"/>
        <w:rPr>
          <w:rFonts w:ascii="仿宋" w:eastAsia="仿宋"/>
          <w:b w:val="0"/>
          <w:color w:val="000000"/>
        </w:rPr>
      </w:pPr>
      <w:bookmarkStart w:id="64" w:name="_Toc15396622"/>
      <w:r>
        <w:rPr>
          <w:rStyle w:val="17"/>
          <w:rFonts w:hint="eastAsia" w:ascii="仿宋" w:eastAsia="仿宋"/>
          <w:b w:val="0"/>
          <w:bCs w:val="0"/>
        </w:rPr>
        <w:t>四、</w:t>
      </w:r>
      <w:r>
        <w:rPr>
          <w:rFonts w:hint="eastAsia" w:ascii="仿宋" w:eastAsia="仿宋"/>
          <w:b w:val="0"/>
          <w:color w:val="000000"/>
        </w:rPr>
        <w:t>财</w:t>
      </w:r>
      <w:r>
        <w:rPr>
          <w:rStyle w:val="17"/>
          <w:rFonts w:hint="eastAsia" w:ascii="仿宋" w:eastAsia="仿宋"/>
          <w:b w:val="0"/>
          <w:bCs w:val="0"/>
        </w:rPr>
        <w:t>政拨款收入支出决算总表</w:t>
      </w:r>
      <w:bookmarkEnd w:id="64"/>
    </w:p>
    <w:p>
      <w:pPr>
        <w:pStyle w:val="4"/>
        <w:rPr>
          <w:rFonts w:ascii="仿宋" w:eastAsia="仿宋"/>
          <w:color w:val="000000"/>
        </w:rPr>
      </w:pPr>
      <w:bookmarkStart w:id="65" w:name="_Toc15396624"/>
      <w:r>
        <w:rPr>
          <w:rStyle w:val="17"/>
          <w:rFonts w:hint="eastAsia" w:ascii="仿宋" w:eastAsia="仿宋"/>
          <w:b w:val="0"/>
          <w:bCs w:val="0"/>
        </w:rPr>
        <w:t>五、</w:t>
      </w:r>
      <w:r>
        <w:rPr>
          <w:rFonts w:hint="eastAsia" w:ascii="仿宋" w:eastAsia="仿宋"/>
          <w:b w:val="0"/>
          <w:color w:val="000000"/>
        </w:rPr>
        <w:t>一</w:t>
      </w:r>
      <w:r>
        <w:rPr>
          <w:rStyle w:val="17"/>
          <w:rFonts w:hint="eastAsia" w:ascii="仿宋" w:eastAsia="仿宋"/>
          <w:b w:val="0"/>
          <w:bCs w:val="0"/>
        </w:rPr>
        <w:t>般公共预算财政拨款支出决算表</w:t>
      </w:r>
      <w:bookmarkEnd w:id="65"/>
    </w:p>
    <w:p>
      <w:pPr>
        <w:pStyle w:val="4"/>
        <w:rPr>
          <w:rFonts w:ascii="仿宋" w:eastAsia="仿宋"/>
          <w:color w:val="000000"/>
        </w:rPr>
      </w:pPr>
      <w:bookmarkStart w:id="66" w:name="_Toc15396625"/>
      <w:r>
        <w:rPr>
          <w:rStyle w:val="17"/>
          <w:rFonts w:hint="eastAsia" w:ascii="仿宋" w:eastAsia="仿宋"/>
          <w:b w:val="0"/>
          <w:bCs w:val="0"/>
        </w:rPr>
        <w:t>六、</w:t>
      </w:r>
      <w:r>
        <w:rPr>
          <w:rFonts w:hint="eastAsia" w:ascii="仿宋" w:eastAsia="仿宋"/>
          <w:b w:val="0"/>
          <w:color w:val="000000"/>
        </w:rPr>
        <w:t>一</w:t>
      </w:r>
      <w:r>
        <w:rPr>
          <w:rStyle w:val="17"/>
          <w:rFonts w:hint="eastAsia" w:ascii="仿宋" w:eastAsia="仿宋"/>
          <w:b w:val="0"/>
          <w:bCs w:val="0"/>
        </w:rPr>
        <w:t>般公共预算财政拨款支出决算明细表</w:t>
      </w:r>
      <w:bookmarkEnd w:id="66"/>
    </w:p>
    <w:p>
      <w:pPr>
        <w:pStyle w:val="4"/>
        <w:rPr>
          <w:rFonts w:ascii="仿宋" w:eastAsia="仿宋"/>
          <w:color w:val="000000"/>
        </w:rPr>
      </w:pPr>
      <w:bookmarkStart w:id="67" w:name="_Toc15396626"/>
      <w:r>
        <w:rPr>
          <w:rStyle w:val="17"/>
          <w:rFonts w:hint="eastAsia" w:ascii="仿宋" w:eastAsia="仿宋"/>
          <w:b w:val="0"/>
          <w:bCs w:val="0"/>
        </w:rPr>
        <w:t>七、</w:t>
      </w:r>
      <w:r>
        <w:rPr>
          <w:rFonts w:hint="eastAsia" w:ascii="仿宋" w:eastAsia="仿宋"/>
          <w:b w:val="0"/>
          <w:color w:val="000000"/>
        </w:rPr>
        <w:t>一</w:t>
      </w:r>
      <w:r>
        <w:rPr>
          <w:rStyle w:val="17"/>
          <w:rFonts w:hint="eastAsia" w:ascii="仿宋" w:eastAsia="仿宋"/>
          <w:b w:val="0"/>
          <w:bCs w:val="0"/>
        </w:rPr>
        <w:t>般公共预算财政拨款基本支出决算表</w:t>
      </w:r>
      <w:bookmarkEnd w:id="67"/>
    </w:p>
    <w:p>
      <w:pPr>
        <w:pStyle w:val="4"/>
        <w:rPr>
          <w:rFonts w:ascii="仿宋" w:eastAsia="仿宋"/>
          <w:color w:val="000000"/>
        </w:rPr>
      </w:pPr>
      <w:bookmarkStart w:id="68" w:name="_Toc15396627"/>
      <w:r>
        <w:rPr>
          <w:rStyle w:val="17"/>
          <w:rFonts w:hint="eastAsia" w:ascii="仿宋" w:eastAsia="仿宋"/>
          <w:b w:val="0"/>
          <w:bCs w:val="0"/>
        </w:rPr>
        <w:t>八、</w:t>
      </w:r>
      <w:r>
        <w:rPr>
          <w:rFonts w:hint="eastAsia" w:ascii="仿宋" w:eastAsia="仿宋"/>
          <w:b w:val="0"/>
          <w:color w:val="000000"/>
        </w:rPr>
        <w:t>一</w:t>
      </w:r>
      <w:r>
        <w:rPr>
          <w:rStyle w:val="17"/>
          <w:rFonts w:hint="eastAsia" w:ascii="仿宋" w:eastAsia="仿宋"/>
          <w:b w:val="0"/>
          <w:bCs w:val="0"/>
        </w:rPr>
        <w:t>般公共预算财政拨款项目支出决算表</w:t>
      </w:r>
      <w:bookmarkEnd w:id="68"/>
    </w:p>
    <w:p>
      <w:pPr>
        <w:pStyle w:val="4"/>
        <w:rPr>
          <w:rFonts w:ascii="仿宋" w:eastAsia="仿宋"/>
          <w:color w:val="000000"/>
        </w:rPr>
      </w:pPr>
      <w:bookmarkStart w:id="69" w:name="_Toc15396628"/>
      <w:r>
        <w:rPr>
          <w:rStyle w:val="17"/>
          <w:rFonts w:hint="eastAsia" w:ascii="仿宋" w:eastAsia="仿宋"/>
          <w:b w:val="0"/>
          <w:bCs w:val="0"/>
        </w:rPr>
        <w:t>九、</w:t>
      </w:r>
      <w:r>
        <w:rPr>
          <w:rFonts w:hint="eastAsia" w:ascii="仿宋" w:eastAsia="仿宋"/>
          <w:b w:val="0"/>
          <w:color w:val="000000"/>
        </w:rPr>
        <w:t>一</w:t>
      </w:r>
      <w:r>
        <w:rPr>
          <w:rStyle w:val="17"/>
          <w:rFonts w:hint="eastAsia" w:ascii="仿宋" w:eastAsia="仿宋"/>
          <w:b w:val="0"/>
          <w:bCs w:val="0"/>
        </w:rPr>
        <w:t>般公共预算财政拨款“三公”经费支出决算表</w:t>
      </w:r>
      <w:bookmarkEnd w:id="69"/>
    </w:p>
    <w:p>
      <w:pPr>
        <w:pStyle w:val="4"/>
        <w:rPr>
          <w:rFonts w:ascii="仿宋" w:eastAsia="仿宋"/>
          <w:b w:val="0"/>
          <w:color w:val="000000"/>
        </w:rPr>
      </w:pPr>
      <w:bookmarkStart w:id="70" w:name="_Toc15396629"/>
      <w:r>
        <w:rPr>
          <w:rStyle w:val="17"/>
          <w:rFonts w:hint="eastAsia" w:ascii="仿宋" w:eastAsia="仿宋"/>
          <w:b w:val="0"/>
          <w:bCs w:val="0"/>
        </w:rPr>
        <w:t>十、</w:t>
      </w:r>
      <w:bookmarkEnd w:id="70"/>
      <w:bookmarkStart w:id="71" w:name="_Toc15396630"/>
      <w:r>
        <w:rPr>
          <w:rFonts w:hint="eastAsia" w:ascii="仿宋" w:eastAsia="仿宋"/>
          <w:b w:val="0"/>
          <w:color w:val="000000"/>
        </w:rPr>
        <w:t>封面代码</w:t>
      </w:r>
    </w:p>
    <w:bookmarkEnd w:id="71"/>
    <w:p>
      <w:pPr>
        <w:pStyle w:val="4"/>
        <w:rPr>
          <w:rFonts w:ascii="仿宋" w:eastAsia="仿宋"/>
          <w:color w:val="000000"/>
        </w:rPr>
      </w:pPr>
    </w:p>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49" o:spid="_x0000_s2049"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50" o:spid="_x0000_s2050"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path/>
          <v:fill on="f" focussize="0,0"/>
          <v:stroke on="f" weight="0.5pt"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48437"/>
    <w:multiLevelType w:val="singleLevel"/>
    <w:tmpl w:val="83948437"/>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5362767B"/>
    <w:multiLevelType w:val="singleLevel"/>
    <w:tmpl w:val="5362767B"/>
    <w:lvl w:ilvl="0" w:tentative="0">
      <w:start w:val="1"/>
      <w:numFmt w:val="decimal"/>
      <w:lvlText w:val="%1."/>
      <w:lvlJc w:val="left"/>
      <w:pPr>
        <w:tabs>
          <w:tab w:val="left" w:pos="312"/>
        </w:tabs>
      </w:pPr>
    </w:lvl>
  </w:abstractNum>
  <w:abstractNum w:abstractNumId="7">
    <w:nsid w:val="561F10B3"/>
    <w:multiLevelType w:val="multilevel"/>
    <w:tmpl w:val="561F10B3"/>
    <w:lvl w:ilvl="0" w:tentative="0">
      <w:start w:val="1"/>
      <w:numFmt w:val="chineseCounting"/>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7"/>
  </w:num>
  <w:num w:numId="2">
    <w:abstractNumId w:val="4"/>
  </w:num>
  <w:num w:numId="3">
    <w:abstractNumId w:val="6"/>
  </w:num>
  <w:num w:numId="4">
    <w:abstractNumId w:val="1"/>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rsids>
    <w:rsidRoot w:val="00681D23"/>
    <w:rsid w:val="000947B8"/>
    <w:rsid w:val="001C013F"/>
    <w:rsid w:val="0039561A"/>
    <w:rsid w:val="005D2E21"/>
    <w:rsid w:val="00681D23"/>
    <w:rsid w:val="0098018D"/>
    <w:rsid w:val="00CF27B3"/>
    <w:rsid w:val="00DA06E3"/>
    <w:rsid w:val="01B1652B"/>
    <w:rsid w:val="083E5CFF"/>
    <w:rsid w:val="281C7C45"/>
    <w:rsid w:val="288248DE"/>
    <w:rsid w:val="2D3E5BEE"/>
    <w:rsid w:val="2F49303C"/>
    <w:rsid w:val="369849B8"/>
    <w:rsid w:val="37647C20"/>
    <w:rsid w:val="3F795328"/>
    <w:rsid w:val="408537D9"/>
    <w:rsid w:val="45551AAF"/>
    <w:rsid w:val="4A7E02CC"/>
    <w:rsid w:val="6247424F"/>
    <w:rsid w:val="69800A70"/>
    <w:rsid w:val="6C296740"/>
    <w:rsid w:val="71093616"/>
    <w:rsid w:val="74596E7F"/>
    <w:rsid w:val="779A7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7"/>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3"/>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4"/>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普通(网站) Char"/>
    <w:basedOn w:val="1"/>
    <w:uiPriority w:val="0"/>
    <w:pPr>
      <w:spacing w:beforeAutospacing="1" w:afterAutospacing="1"/>
      <w:jc w:val="left"/>
    </w:pPr>
    <w:rPr>
      <w:rFonts w:hint="eastAsia" w:ascii="宋体" w:hAnsi="宋体"/>
      <w:kern w:val="0"/>
      <w:sz w:val="24"/>
    </w:rPr>
  </w:style>
  <w:style w:type="character" w:customStyle="1" w:styleId="25">
    <w:name w:val="15"/>
    <w:basedOn w:val="13"/>
    <w:qFormat/>
    <w:uiPriority w:val="0"/>
    <w:rPr>
      <w:rFonts w:hint="default" w:ascii="Times New Roman" w:hAnsi="Times New Roman" w:cs="Times New Roman"/>
      <w:b/>
    </w:rPr>
  </w:style>
  <w:style w:type="paragraph" w:customStyle="1" w:styleId="26">
    <w:name w:val="UserStyle_16"/>
    <w:basedOn w:val="1"/>
    <w:qFormat/>
    <w:uiPriority w:val="0"/>
    <w:pPr>
      <w:widowControl/>
      <w:spacing w:line="480" w:lineRule="atLeast"/>
      <w:textAlignment w:val="baseline"/>
    </w:pPr>
    <w:rPr>
      <w:rFonts w:ascii="Arial" w:hAnsi="Arial"/>
      <w:kern w:val="0"/>
      <w:szCs w:val="21"/>
    </w:rPr>
  </w:style>
  <w:style w:type="character" w:customStyle="1" w:styleId="27">
    <w:name w:val="19"/>
    <w:basedOn w:val="13"/>
    <w:qFormat/>
    <w:uiPriority w:val="0"/>
    <w:rPr>
      <w:rFonts w:hint="default" w:ascii="Calibri" w:hAnsi="Calibri" w:eastAsia="宋体" w:cs="Times New Roman"/>
      <w:kern w:val="2"/>
      <w:sz w:val="21"/>
      <w:szCs w:val="21"/>
    </w:rPr>
  </w:style>
  <w:style w:type="character" w:customStyle="1" w:styleId="28">
    <w:name w:val="18"/>
    <w:basedOn w:val="13"/>
    <w:qFormat/>
    <w:uiPriority w:val="0"/>
    <w:rPr>
      <w:rFonts w:hint="default" w:ascii="Times New Roman" w:hAnsi="Times New Roman" w:cs="Times New Roman"/>
      <w:kern w:val="2"/>
      <w:sz w:val="21"/>
      <w:szCs w:val="21"/>
    </w:rPr>
  </w:style>
  <w:style w:type="character" w:customStyle="1" w:styleId="29">
    <w:name w:val="20"/>
    <w:basedOn w:val="13"/>
    <w:qFormat/>
    <w:uiPriority w:val="0"/>
    <w:rPr>
      <w:rFonts w:hint="default" w:ascii="Times New Roman" w:hAnsi="Times New Roman" w:cs="Times New Roman"/>
    </w:rPr>
  </w:style>
  <w:style w:type="paragraph" w:customStyle="1" w:styleId="30">
    <w:name w:val="UserStyle_15"/>
    <w:basedOn w:val="1"/>
    <w:qFormat/>
    <w:uiPriority w:val="0"/>
    <w:pPr>
      <w:widowControl/>
      <w:spacing w:line="480" w:lineRule="atLeast"/>
      <w:textAlignment w:val="baseline"/>
    </w:pPr>
    <w:rPr>
      <w:rFonts w:ascii="Arial" w:hAnsi="Arial"/>
      <w:kern w:val="0"/>
      <w:szCs w:val="21"/>
    </w:rPr>
  </w:style>
  <w:style w:type="paragraph" w:customStyle="1" w:styleId="31">
    <w:name w:val="文档正文"/>
    <w:basedOn w:val="1"/>
    <w:qFormat/>
    <w:uiPriority w:val="0"/>
    <w:pPr>
      <w:adjustRightInd w:val="0"/>
      <w:spacing w:line="480" w:lineRule="atLeast"/>
      <w:jc w:val="left"/>
      <w:textAlignment w:val="baseline"/>
    </w:pPr>
    <w:rPr>
      <w:rFonts w:ascii="Arial" w:hAnsi="Arial"/>
      <w:kern w:val="0"/>
      <w:sz w:val="24"/>
    </w:rPr>
  </w:style>
  <w:style w:type="character" w:customStyle="1" w:styleId="32">
    <w:name w:val="16"/>
    <w:basedOn w:val="13"/>
    <w:uiPriority w:val="0"/>
    <w:rPr>
      <w:rFonts w:hint="default" w:ascii="Times New Roman" w:hAnsi="Times New Roman" w:cs="Times New Roman"/>
      <w:b/>
    </w:rPr>
  </w:style>
  <w:style w:type="character" w:customStyle="1" w:styleId="33">
    <w:name w:val="17"/>
    <w:basedOn w:val="13"/>
    <w:qFormat/>
    <w:uiPriority w:val="0"/>
    <w:rPr>
      <w:rFonts w:hint="default" w:ascii="Times New Roman" w:hAnsi="Times New Roman"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Desktop\&#21407;&#26700;&#38754;&#25991;&#20214;\&#25152;&#26377;&#26700;&#38754;&#26448;&#26009;\&#20915;&#31639;&#22270;&#34920;\Book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Desktop\&#21407;&#26700;&#38754;&#25991;&#20214;\&#25152;&#26377;&#26700;&#38754;&#26448;&#26009;\&#20915;&#31639;&#22270;&#34920;\Book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Desktop\&#21407;&#26700;&#38754;&#25991;&#20214;\&#25152;&#26377;&#26700;&#38754;&#26448;&#26009;\&#20915;&#31639;&#22270;&#34920;\Book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Desktop\&#21407;&#26700;&#38754;&#25991;&#20214;\&#25152;&#26377;&#26700;&#38754;&#26448;&#26009;\&#20915;&#31639;&#22270;&#34920;\Book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I:\Desktop\&#21407;&#26700;&#38754;&#25991;&#20214;\&#25152;&#26377;&#26700;&#38754;&#26448;&#26009;\&#20915;&#31639;&#22270;&#34920;\Book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I:\Desktop\&#21407;&#26700;&#38754;&#25991;&#20214;\&#25152;&#26377;&#26700;&#38754;&#26448;&#26009;\&#20915;&#31639;&#22270;&#34920;\Book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I:\Desktop\&#21407;&#26700;&#38754;&#25991;&#20214;\&#25152;&#26377;&#26700;&#38754;&#26448;&#26009;\&#20915;&#31639;&#22270;&#34920;\Book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[Book1.xls]Sheet1!$C$24:$C$25</c:f>
              <c:strCache>
                <c:ptCount val="1"/>
                <c:pt idx="0">
                  <c:v>收、支决算结构图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[Book1.xls]Sheet1!$B$26:$B$29</c:f>
              <c:strCache>
                <c:ptCount val="4"/>
                <c:pt idx="0">
                  <c:v>2019年总收入</c:v>
                </c:pt>
                <c:pt idx="1">
                  <c:v>2019年总支出</c:v>
                </c:pt>
                <c:pt idx="2">
                  <c:v>2020年总收入</c:v>
                </c:pt>
                <c:pt idx="3">
                  <c:v>2020年总支出</c:v>
                </c:pt>
              </c:strCache>
            </c:strRef>
          </c:cat>
          <c:val>
            <c:numRef>
              <c:f>[Book1.xls]Sheet1!$C$26:$C$29</c:f>
              <c:numCache>
                <c:formatCode>General</c:formatCode>
                <c:ptCount val="4"/>
                <c:pt idx="0">
                  <c:v>214.64</c:v>
                </c:pt>
                <c:pt idx="1">
                  <c:v>214.64</c:v>
                </c:pt>
                <c:pt idx="2">
                  <c:v>254.52</c:v>
                </c:pt>
                <c:pt idx="3">
                  <c:v>254.52</c:v>
                </c:pt>
              </c:numCache>
            </c:numRef>
          </c:val>
        </c:ser>
        <c:dLbls>
          <c:showLegendKey val="0"/>
          <c:showVal val="1"/>
          <c:showCatName val="0"/>
          <c:showSerName val="0"/>
          <c:showPercent val="0"/>
          <c:showBubbleSize val="0"/>
        </c:dLbls>
        <c:gapWidth val="219"/>
        <c:overlap val="-27"/>
        <c:axId val="151587072"/>
        <c:axId val="151593344"/>
      </c:barChart>
      <c:catAx>
        <c:axId val="151587072"/>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593344"/>
        <c:crosses val="autoZero"/>
        <c:auto val="0"/>
        <c:lblAlgn val="ctr"/>
        <c:lblOffset val="100"/>
        <c:noMultiLvlLbl val="0"/>
      </c:catAx>
      <c:valAx>
        <c:axId val="15159334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out"/>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587072"/>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noFill/>
                <a:latin typeface="+mn-lt"/>
                <a:ea typeface="+mn-ea"/>
                <a:cs typeface="+mn-cs"/>
              </a:defRPr>
            </a:pPr>
          </a:p>
        </c:txPr>
      </c:legendEntry>
      <c:layout>
        <c:manualLayout>
          <c:xMode val="edge"/>
          <c:yMode val="edge"/>
          <c:x val="0.539840974454408"/>
          <c:y val="0.352009147337471"/>
        </c:manualLayout>
      </c:layout>
      <c:overlay val="0"/>
      <c:spPr>
        <a:noFill/>
        <a:ln>
          <a:noFill/>
        </a:ln>
        <a:effectLst/>
      </c:spPr>
      <c:txPr>
        <a:bodyPr rot="0" spcFirstLastPara="0" vertOverflow="ellipsis" vert="horz" wrap="square" anchor="ctr" anchorCtr="1"/>
        <a:lstStyle/>
        <a:p>
          <a:pPr>
            <a:defRPr lang="zh-CN" sz="900" b="0" i="0" u="none" strike="noStrike" kern="1200" baseline="0">
              <a:no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[Book1.xls]Sheet1!$B$33</c:f>
              <c:strCache>
                <c:ptCount val="1"/>
                <c:pt idx="0">
                  <c:v>一般公共预算财政拨款收入</c:v>
                </c:pt>
              </c:strCache>
            </c:strRef>
          </c:tx>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[Book1.xls]Sheet1!$C$31:$C$32</c:f>
              <c:strCache>
                <c:ptCount val="2"/>
                <c:pt idx="1">
                  <c:v>单位：万元</c:v>
                </c:pt>
              </c:strCache>
            </c:strRef>
          </c:cat>
          <c:val>
            <c:numRef>
              <c:f>[Book1.xls]Sheet1!$C$33</c:f>
              <c:numCache>
                <c:formatCode>General</c:formatCode>
                <c:ptCount val="1"/>
                <c:pt idx="0">
                  <c:v>254.52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[Book1.xls]Sheet1!$C$37:$C$38</c:f>
              <c:strCache>
                <c:ptCount val="1"/>
                <c:pt idx="0">
                  <c:v>支出决算结构图 单位：万元</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[Book1.xls]Sheet1!$B$39:$B$40</c:f>
              <c:strCache>
                <c:ptCount val="2"/>
                <c:pt idx="0">
                  <c:v>基本支出</c:v>
                </c:pt>
                <c:pt idx="1">
                  <c:v>项目支出</c:v>
                </c:pt>
              </c:strCache>
            </c:strRef>
          </c:cat>
          <c:val>
            <c:numRef>
              <c:f>[Book1.xls]Sheet1!$C$39:$C$40</c:f>
              <c:numCache>
                <c:formatCode>General</c:formatCode>
                <c:ptCount val="2"/>
                <c:pt idx="0">
                  <c:v>234.17</c:v>
                </c:pt>
                <c:pt idx="1">
                  <c:v>20.35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[Book1.xls]Sheet1!$C$43:$C$44</c:f>
              <c:strCache>
                <c:ptCount val="1"/>
                <c:pt idx="0">
                  <c:v>财政拨款收、支决算总计变动情况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[Book1.xls]Sheet1!$B$45:$B$48</c:f>
              <c:strCache>
                <c:ptCount val="4"/>
                <c:pt idx="0">
                  <c:v>2019年一般公共预算财政拨款收入</c:v>
                </c:pt>
                <c:pt idx="1">
                  <c:v>2019年一般公共预算财政拨款支出</c:v>
                </c:pt>
                <c:pt idx="2">
                  <c:v>2020年一般公共预算财政拨款收入</c:v>
                </c:pt>
                <c:pt idx="3">
                  <c:v>2020年一般公共预算财政拨款支出</c:v>
                </c:pt>
              </c:strCache>
            </c:strRef>
          </c:cat>
          <c:val>
            <c:numRef>
              <c:f>[Book1.xls]Sheet1!$C$45:$C$48</c:f>
              <c:numCache>
                <c:formatCode>General</c:formatCode>
                <c:ptCount val="4"/>
                <c:pt idx="0">
                  <c:v>191.22</c:v>
                </c:pt>
                <c:pt idx="1">
                  <c:v>214.64</c:v>
                </c:pt>
                <c:pt idx="2">
                  <c:v>254.52</c:v>
                </c:pt>
                <c:pt idx="3">
                  <c:v>254.52</c:v>
                </c:pt>
              </c:numCache>
            </c:numRef>
          </c:val>
        </c:ser>
        <c:dLbls>
          <c:showLegendKey val="0"/>
          <c:showVal val="1"/>
          <c:showCatName val="0"/>
          <c:showSerName val="0"/>
          <c:showPercent val="0"/>
          <c:showBubbleSize val="0"/>
        </c:dLbls>
        <c:gapWidth val="219"/>
        <c:overlap val="-27"/>
        <c:axId val="152005248"/>
        <c:axId val="152027520"/>
      </c:barChart>
      <c:catAx>
        <c:axId val="15200524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2027520"/>
        <c:crosses val="autoZero"/>
        <c:auto val="1"/>
        <c:lblAlgn val="ctr"/>
        <c:lblOffset val="100"/>
        <c:noMultiLvlLbl val="0"/>
      </c:catAx>
      <c:valAx>
        <c:axId val="1520275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200524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48055555555556"/>
          <c:y val="0.251680185399768"/>
          <c:w val="0.894638888888889"/>
          <c:h val="0.632769409038239"/>
        </c:manualLayout>
      </c:layout>
      <c:barChart>
        <c:barDir val="col"/>
        <c:grouping val="clustered"/>
        <c:varyColors val="0"/>
        <c:ser>
          <c:idx val="0"/>
          <c:order val="0"/>
          <c:tx>
            <c:strRef>
              <c:f>[Book1.xls]Sheet1!$C$59:$C$60</c:f>
              <c:strCache>
                <c:ptCount val="1"/>
                <c:pt idx="0">
                  <c:v>一般公共预算财政拨款支出决算变动情况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[Book1.xls]Sheet1!$B$61:$B$62</c:f>
              <c:strCache>
                <c:ptCount val="2"/>
                <c:pt idx="0">
                  <c:v>2019年一般公共预算财政拨款支出</c:v>
                </c:pt>
                <c:pt idx="1">
                  <c:v>2020年一般公共预算财政拨款支出</c:v>
                </c:pt>
              </c:strCache>
            </c:strRef>
          </c:cat>
          <c:val>
            <c:numRef>
              <c:f>[Book1.xls]Sheet1!$C$61:$C$62</c:f>
              <c:numCache>
                <c:formatCode>General</c:formatCode>
                <c:ptCount val="2"/>
                <c:pt idx="0">
                  <c:v>214.64</c:v>
                </c:pt>
                <c:pt idx="1">
                  <c:v>254.52</c:v>
                </c:pt>
              </c:numCache>
            </c:numRef>
          </c:val>
        </c:ser>
        <c:dLbls>
          <c:showLegendKey val="0"/>
          <c:showVal val="1"/>
          <c:showCatName val="0"/>
          <c:showSerName val="0"/>
          <c:showPercent val="0"/>
          <c:showBubbleSize val="0"/>
        </c:dLbls>
        <c:gapWidth val="219"/>
        <c:overlap val="-27"/>
        <c:axId val="151662976"/>
        <c:axId val="151664512"/>
      </c:barChart>
      <c:catAx>
        <c:axId val="1516629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664512"/>
        <c:crosses val="autoZero"/>
        <c:auto val="1"/>
        <c:lblAlgn val="ctr"/>
        <c:lblOffset val="100"/>
        <c:noMultiLvlLbl val="0"/>
      </c:catAx>
      <c:valAx>
        <c:axId val="1516645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66297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1921921921922"/>
          <c:y val="0.0319148936170213"/>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[Book1.xls]Sheet1!$C$69:$C$70</c:f>
              <c:strCache>
                <c:ptCount val="1"/>
                <c:pt idx="0">
                  <c:v>一般公共预算财政拨款支出决算结构情况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[Book1.xls]Sheet1!$B$71:$B$74</c:f>
              <c:strCache>
                <c:ptCount val="4"/>
                <c:pt idx="0">
                  <c:v>一般公共服务</c:v>
                </c:pt>
                <c:pt idx="1">
                  <c:v>社会保障和就业</c:v>
                </c:pt>
                <c:pt idx="2">
                  <c:v>卫生健康支出</c:v>
                </c:pt>
                <c:pt idx="3">
                  <c:v>住房保障支出</c:v>
                </c:pt>
              </c:strCache>
            </c:strRef>
          </c:cat>
          <c:val>
            <c:numRef>
              <c:f>[Book1.xls]Sheet1!$C$71:$C$74</c:f>
              <c:numCache>
                <c:formatCode>General</c:formatCode>
                <c:ptCount val="4"/>
                <c:pt idx="0">
                  <c:v>191.15</c:v>
                </c:pt>
                <c:pt idx="1">
                  <c:v>30.05</c:v>
                </c:pt>
                <c:pt idx="2">
                  <c:v>12.9</c:v>
                </c:pt>
                <c:pt idx="3">
                  <c:v>20.41</c:v>
                </c:pt>
              </c:numCache>
            </c:numRef>
          </c:val>
        </c:ser>
        <c:dLbls>
          <c:showLegendKey val="0"/>
          <c:showVal val="1"/>
          <c:showCatName val="0"/>
          <c:showSerName val="0"/>
          <c:showPercent val="0"/>
          <c:showBubbleSize val="0"/>
        </c:dLbls>
        <c:gapWidth val="219"/>
        <c:overlap val="-27"/>
        <c:axId val="151680896"/>
        <c:axId val="152055808"/>
      </c:barChart>
      <c:catAx>
        <c:axId val="151680896"/>
        <c:scaling>
          <c:orientation val="minMax"/>
        </c:scaling>
        <c:delete val="0"/>
        <c:axPos val="b"/>
        <c:title>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2055808"/>
        <c:crosses val="autoZero"/>
        <c:auto val="1"/>
        <c:lblAlgn val="ctr"/>
        <c:lblOffset val="100"/>
        <c:noMultiLvlLbl val="0"/>
      </c:catAx>
      <c:valAx>
        <c:axId val="152055808"/>
        <c:scaling>
          <c:orientation val="minMax"/>
        </c:scaling>
        <c:delete val="0"/>
        <c:axPos val="l"/>
        <c:majorGridlines>
          <c:spPr>
            <a:ln w="9525" cap="flat" cmpd="sng" algn="ctr">
              <a:solidFill>
                <a:schemeClr val="tx1">
                  <a:lumMod val="15000"/>
                  <a:lumOff val="85000"/>
                </a:schemeClr>
              </a:solidFill>
              <a:prstDash val="solid"/>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68089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[Book1.xls]Sheet1!$C$78:$C$79</c:f>
              <c:strCache>
                <c:ptCount val="1"/>
                <c:pt idx="0">
                  <c:v>“三公”经费财政拨款支出 单位：万元</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1"/>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[Book1.xls]Sheet1!$B$80:$B$82</c:f>
              <c:strCache>
                <c:ptCount val="3"/>
                <c:pt idx="0">
                  <c:v>因公出国（境）支出</c:v>
                </c:pt>
                <c:pt idx="1">
                  <c:v>公务用车购置及运行维护费支出</c:v>
                </c:pt>
                <c:pt idx="2">
                  <c:v>公务接待费支出</c:v>
                </c:pt>
              </c:strCache>
            </c:strRef>
          </c:cat>
          <c:val>
            <c:numRef>
              <c:f>[Book1.xls]Sheet1!$C$80:$C$82</c:f>
              <c:numCache>
                <c:formatCode>General</c:formatCode>
                <c:ptCount val="3"/>
                <c:pt idx="0">
                  <c:v>0</c:v>
                </c:pt>
                <c:pt idx="1">
                  <c:v>0</c:v>
                </c:pt>
                <c:pt idx="2">
                  <c:v>0.19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1886</Words>
  <Characters>10751</Characters>
  <Lines>89</Lines>
  <Paragraphs>25</Paragraphs>
  <TotalTime>42</TotalTime>
  <ScaleCrop>false</ScaleCrop>
  <LinksUpToDate>false</LinksUpToDate>
  <CharactersWithSpaces>12612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2021-09-15T08:53:00Z</cp:lastPrinted>
  <dcterms:modified xsi:type="dcterms:W3CDTF">2021-09-30T03:10:54Z</dcterms:modified>
  <dc:title>四川省***</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