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0C31D">
      <w:pPr>
        <w:widowControl/>
        <w:snapToGrid/>
        <w:spacing w:beforeAutospacing="0" w:after="60" w:afterAutospacing="0" w:line="240" w:lineRule="auto"/>
        <w:ind w:left="0" w:leftChars="0" w:right="0" w:rightChars="0" w:firstLine="0" w:firstLineChars="0"/>
        <w:jc w:val="center"/>
        <w:rPr>
          <w:rFonts w:hint="eastAsia" w:ascii="Times New Roman" w:eastAsia="黑体"/>
          <w:b w:val="0"/>
          <w:color w:val="auto"/>
          <w:kern w:val="0"/>
          <w:sz w:val="44"/>
          <w:szCs w:val="44"/>
          <w:lang w:val="en-US" w:eastAsia="zh-CN" w:bidi="ar-SA"/>
        </w:rPr>
      </w:pPr>
      <w:r>
        <w:rPr>
          <w:rFonts w:hint="eastAsia" w:ascii="Times New Roman" w:eastAsia="黑体"/>
          <w:b w:val="0"/>
          <w:color w:val="auto"/>
          <w:kern w:val="0"/>
          <w:sz w:val="44"/>
          <w:szCs w:val="44"/>
          <w:lang w:val="en-US" w:eastAsia="zh-CN" w:bidi="ar-SA"/>
        </w:rPr>
        <w:t>金川县残疾人联合会2025年</w:t>
      </w:r>
    </w:p>
    <w:p w14:paraId="53D3563C">
      <w:pPr>
        <w:widowControl/>
        <w:snapToGrid/>
        <w:spacing w:beforeAutospacing="0" w:after="60" w:afterAutospacing="0" w:line="240" w:lineRule="auto"/>
        <w:ind w:left="0" w:leftChars="0" w:right="0" w:rightChars="0" w:firstLine="0" w:firstLineChars="0"/>
        <w:jc w:val="center"/>
        <w:rPr>
          <w:rFonts w:hint="eastAsia" w:ascii="Times New Roman" w:eastAsia="黑体"/>
          <w:b w:val="0"/>
          <w:color w:val="auto"/>
          <w:kern w:val="0"/>
          <w:sz w:val="44"/>
          <w:szCs w:val="44"/>
          <w:lang w:val="en-US" w:eastAsia="zh-CN" w:bidi="ar-SA"/>
        </w:rPr>
      </w:pPr>
      <w:r>
        <w:rPr>
          <w:rFonts w:hint="eastAsia" w:ascii="Times New Roman" w:eastAsia="黑体"/>
          <w:b w:val="0"/>
          <w:color w:val="auto"/>
          <w:kern w:val="0"/>
          <w:sz w:val="44"/>
          <w:szCs w:val="44"/>
          <w:lang w:val="en-US" w:eastAsia="zh-CN" w:bidi="ar-SA"/>
        </w:rPr>
        <w:t>部门预算编制说明</w:t>
      </w:r>
    </w:p>
    <w:p w14:paraId="3A1A7215">
      <w:pPr>
        <w:snapToGrid/>
        <w:spacing w:before="312" w:beforeLines="100" w:beforeAutospacing="0" w:after="156" w:afterLines="50" w:afterAutospacing="0" w:line="360" w:lineRule="auto"/>
        <w:ind w:left="0" w:leftChars="0" w:right="0" w:rightChars="0" w:firstLine="0" w:firstLineChars="0"/>
        <w:jc w:val="left"/>
        <w:outlineLvl w:val="0"/>
        <w:rPr>
          <w:rFonts w:hint="eastAsia" w:ascii="Times New Roman" w:eastAsia="宋体"/>
          <w:b/>
          <w:color w:val="auto"/>
          <w:sz w:val="32"/>
          <w:szCs w:val="32"/>
          <w:lang w:val="en-US" w:eastAsia="en-US"/>
        </w:rPr>
      </w:pPr>
      <w:r>
        <w:rPr>
          <w:rFonts w:hint="eastAsia" w:ascii="Times New Roman" w:eastAsia="宋体"/>
          <w:b/>
          <w:color w:val="auto"/>
          <w:sz w:val="32"/>
          <w:szCs w:val="32"/>
          <w:lang w:val="en-US" w:eastAsia="en-US"/>
        </w:rPr>
        <w:t>一、基本职能及主要工作</w:t>
      </w:r>
    </w:p>
    <w:p w14:paraId="0422AADD">
      <w:pPr>
        <w:spacing w:line="560" w:lineRule="exact"/>
        <w:rPr>
          <w:rFonts w:hint="eastAsia" w:ascii="方正楷体_GBK" w:eastAsia="方正楷体_GBK"/>
          <w:b/>
          <w:bCs/>
          <w:color w:val="auto"/>
          <w:sz w:val="32"/>
          <w:szCs w:val="32"/>
          <w:lang w:val="en-US" w:eastAsia="zh-CN"/>
        </w:rPr>
      </w:pPr>
      <w:r>
        <w:rPr>
          <w:rFonts w:hint="eastAsia" w:ascii="方正楷体_GBK" w:eastAsia="方正楷体_GBK"/>
          <w:b/>
          <w:bCs/>
          <w:color w:val="auto"/>
          <w:sz w:val="32"/>
          <w:szCs w:val="32"/>
          <w:lang w:val="en-US" w:eastAsia="zh-CN"/>
        </w:rPr>
        <w:t>（一）残联职能简介</w:t>
      </w:r>
    </w:p>
    <w:p w14:paraId="3F5EA259">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 xml:space="preserve">1、宣传、贯彻有关残疾人事业的法律法规、规章和政策； </w:t>
      </w:r>
    </w:p>
    <w:p w14:paraId="0FAF361C">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 xml:space="preserve">2、沟通残疾人与政府之间的联系，宣传残疾人事业，动员社会理解、尊重、关心、帮助残疾人； </w:t>
      </w:r>
    </w:p>
    <w:p w14:paraId="60ABAAC8">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 xml:space="preserve">3、承担同级人民政府委托的工作，发展残疾人事业； </w:t>
      </w:r>
    </w:p>
    <w:p w14:paraId="66A07824">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 xml:space="preserve">4、指导、管理本地区各类残疾人群众组织，推进残疾人工作； </w:t>
      </w:r>
    </w:p>
    <w:p w14:paraId="1A3C1F2A">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5、办理审核发放残疾证；</w:t>
      </w:r>
    </w:p>
    <w:p w14:paraId="6A2C8E45">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6、维护残疾人的合法权益，处理残疾人生活和工作中遇到的困难，保障残疾人平等地充分参与社会生活，共享社会物质文化成果。</w:t>
      </w:r>
    </w:p>
    <w:p w14:paraId="485A4316">
      <w:pPr>
        <w:spacing w:line="560" w:lineRule="exact"/>
        <w:rPr>
          <w:rFonts w:hint="default" w:ascii="方正楷体_GBK" w:eastAsia="方正楷体_GBK"/>
          <w:b/>
          <w:bCs/>
          <w:color w:val="auto"/>
          <w:sz w:val="32"/>
          <w:szCs w:val="32"/>
          <w:lang w:val="en-US" w:eastAsia="en-US"/>
        </w:rPr>
      </w:pPr>
      <w:r>
        <w:rPr>
          <w:rFonts w:hint="eastAsia" w:ascii="方正楷体_GBK" w:eastAsia="方正楷体_GBK"/>
          <w:b/>
          <w:bCs/>
          <w:color w:val="auto"/>
          <w:sz w:val="32"/>
          <w:szCs w:val="32"/>
          <w:lang w:val="en-US" w:eastAsia="en-US"/>
        </w:rPr>
        <w:t>（二）</w:t>
      </w:r>
      <w:r>
        <w:rPr>
          <w:rFonts w:hint="default" w:ascii="方正楷体_GBK" w:eastAsia="方正楷体_GBK"/>
          <w:b/>
          <w:bCs/>
          <w:color w:val="auto"/>
          <w:sz w:val="32"/>
          <w:szCs w:val="32"/>
          <w:lang w:val="en-US" w:eastAsia="en-US"/>
        </w:rPr>
        <w:t>2025</w:t>
      </w:r>
      <w:r>
        <w:rPr>
          <w:rFonts w:hint="eastAsia" w:ascii="方正楷体_GBK" w:eastAsia="方正楷体_GBK"/>
          <w:b/>
          <w:bCs/>
          <w:color w:val="auto"/>
          <w:sz w:val="32"/>
          <w:szCs w:val="32"/>
          <w:lang w:val="en-US" w:eastAsia="en-US"/>
        </w:rPr>
        <w:t>年重点工作</w:t>
      </w:r>
    </w:p>
    <w:p w14:paraId="48E0EB2D">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一是根据县委、县政府关于2025年全县工作的总体部署，负责基层残疾人组织建设；</w:t>
      </w:r>
    </w:p>
    <w:p w14:paraId="26F72E52">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二是审核办理残疾证；</w:t>
      </w:r>
    </w:p>
    <w:p w14:paraId="3406390F">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三是发放残疾人各项生活补贴，提高残疾人生活现状；</w:t>
      </w:r>
    </w:p>
    <w:p w14:paraId="448CF369">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四是扶持残疾人就业创业，拓展残疾人就业渠道；</w:t>
      </w:r>
    </w:p>
    <w:p w14:paraId="2E00B603">
      <w:pPr>
        <w:spacing w:line="560" w:lineRule="exact"/>
        <w:rPr>
          <w:rFonts w:hint="eastAsia" w:eastAsia="方正仿宋_GBK"/>
          <w:color w:val="auto"/>
          <w:sz w:val="32"/>
          <w:szCs w:val="32"/>
          <w:lang w:val="en-US" w:eastAsia="zh-CN"/>
        </w:rPr>
      </w:pPr>
      <w:r>
        <w:rPr>
          <w:rFonts w:hint="eastAsia" w:eastAsia="方正仿宋_GBK"/>
          <w:color w:val="auto"/>
          <w:sz w:val="32"/>
          <w:szCs w:val="32"/>
          <w:lang w:val="en-US" w:eastAsia="zh-CN"/>
        </w:rPr>
        <w:t>五是推进残疾人量服工作；六是承办县政府交办的其他事项。</w:t>
      </w:r>
    </w:p>
    <w:p w14:paraId="62D9CAF5">
      <w:pPr>
        <w:snapToGrid/>
        <w:spacing w:before="312" w:beforeLines="100" w:beforeAutospacing="0" w:after="156" w:afterLines="50" w:afterAutospacing="0" w:line="360" w:lineRule="auto"/>
        <w:ind w:left="0" w:leftChars="0" w:right="0" w:rightChars="0" w:firstLine="0" w:firstLineChars="0"/>
        <w:jc w:val="left"/>
        <w:outlineLvl w:val="0"/>
        <w:rPr>
          <w:rFonts w:hint="default" w:ascii="Times New Roman" w:eastAsia="宋体"/>
          <w:b/>
          <w:color w:val="auto"/>
          <w:sz w:val="32"/>
          <w:szCs w:val="32"/>
          <w:lang w:val="en-US" w:eastAsia="en-US"/>
        </w:rPr>
      </w:pPr>
      <w:r>
        <w:rPr>
          <w:rFonts w:hint="eastAsia" w:ascii="Times New Roman" w:eastAsia="宋体"/>
          <w:b/>
          <w:color w:val="auto"/>
          <w:sz w:val="32"/>
          <w:szCs w:val="32"/>
          <w:lang w:val="en-US" w:eastAsia="en-US"/>
        </w:rPr>
        <w:t>二、部门预算单位构成</w:t>
      </w:r>
    </w:p>
    <w:p w14:paraId="718A4F19">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 xml:space="preserve">2025年残疾人联合会编制单位机构数为2个其中金川县残疾人联合会为行政参公单位下设事业单位1个为金川县残疾人康复中心，财政供养人员编制为6 名，其中行政编制 2名，（其中参照公务员法管理人员编制2 人，）行政工勤编制0 名，事业编制4 名；2025年实际财政供养人员 6人，较上年无变动（不含退休人员），其中：行政2 人，行政工勤 0人，事业 4人。 </w:t>
      </w:r>
    </w:p>
    <w:p w14:paraId="14259856">
      <w:pPr>
        <w:snapToGrid/>
        <w:spacing w:before="312" w:beforeLines="100" w:beforeAutospacing="0" w:after="156" w:afterLines="50" w:afterAutospacing="0" w:line="360" w:lineRule="auto"/>
        <w:ind w:left="0" w:leftChars="0" w:right="0" w:rightChars="0" w:firstLine="0" w:firstLineChars="0"/>
        <w:jc w:val="left"/>
        <w:outlineLvl w:val="0"/>
        <w:rPr>
          <w:rFonts w:hint="eastAsia" w:ascii="Times New Roman" w:eastAsia="宋体"/>
          <w:b/>
          <w:color w:val="auto"/>
          <w:sz w:val="32"/>
          <w:szCs w:val="32"/>
          <w:lang w:val="en-US" w:eastAsia="en-US"/>
        </w:rPr>
      </w:pPr>
      <w:r>
        <w:rPr>
          <w:rFonts w:hint="eastAsia" w:ascii="Times New Roman" w:eastAsia="宋体"/>
          <w:b/>
          <w:color w:val="auto"/>
          <w:sz w:val="32"/>
          <w:szCs w:val="32"/>
          <w:lang w:val="en-US" w:eastAsia="en-US"/>
        </w:rPr>
        <w:t>三、收支预算情况说明</w:t>
      </w:r>
    </w:p>
    <w:p w14:paraId="64CE85C7">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按照综合预算的原则，残疾人联合会所有收入和支出均纳入部门预算管理。收入包括：一般公共预算拨款收入、上年结转；支出包括：一般公共服务支出、教育支出、社会保障和就业支出、医疗卫生与计划生育支出、住房保障支出。残疾人联合会2025年收支总预算195.64万元，比2024年收支预算总数增加25.37万元，主要是项目增加</w:t>
      </w:r>
      <w:r>
        <w:rPr>
          <w:rFonts w:hint="default" w:eastAsia="方正仿宋_GBK"/>
          <w:color w:val="auto"/>
          <w:sz w:val="32"/>
          <w:szCs w:val="32"/>
          <w:lang w:val="en-US" w:eastAsia="en-US"/>
        </w:rPr>
        <w:t>。</w:t>
      </w:r>
    </w:p>
    <w:p w14:paraId="0443AC62">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（一）收入预算情况</w:t>
      </w:r>
    </w:p>
    <w:p w14:paraId="5B5A342B">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残疾人联合会2025年收入预算195.64万元，其中：一般公共预算拨款收入195.64万元，占100%。</w:t>
      </w:r>
    </w:p>
    <w:p w14:paraId="2DB515D0">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（二）支出预算情况</w:t>
      </w:r>
    </w:p>
    <w:p w14:paraId="6DD30CA8">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残疾人联合会2025年支出预算195.64万元，其中：基本支出134.29万元，占68.64%；项目支出61.35万元，占31.36%。</w:t>
      </w:r>
      <w:r>
        <w:rPr>
          <w:rFonts w:hint="default" w:eastAsia="方正仿宋_GBK"/>
          <w:color w:val="auto"/>
          <w:sz w:val="32"/>
          <w:szCs w:val="32"/>
          <w:lang w:val="en-US" w:eastAsia="en-US"/>
        </w:rPr>
        <w:t>　　　</w:t>
      </w:r>
      <w:r>
        <w:rPr>
          <w:rFonts w:hint="eastAsia" w:eastAsia="方正仿宋_GBK"/>
          <w:color w:val="auto"/>
          <w:sz w:val="32"/>
          <w:szCs w:val="32"/>
          <w:lang w:val="en-US" w:eastAsia="en-US"/>
        </w:rPr>
        <w:t>四、财政拨款收支预算情况说明</w:t>
      </w:r>
    </w:p>
    <w:p w14:paraId="313470D8">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残疾人联合会2025年收支总预算195.64万元，比2024年收支预算总数增加25.37万元，主要是项目增加。</w:t>
      </w:r>
    </w:p>
    <w:p w14:paraId="1DF9DF04">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收入包括：本年一般公共预算拨款收入195.64万元，支出包括：社会保障和就业支出177.07万元、</w:t>
      </w:r>
      <w:r>
        <w:rPr>
          <w:rFonts w:hint="default" w:eastAsia="方正仿宋_GBK"/>
          <w:color w:val="auto"/>
          <w:sz w:val="32"/>
          <w:szCs w:val="32"/>
          <w:lang w:val="en-US" w:eastAsia="en-US"/>
        </w:rPr>
        <w:t>医疗卫生与计划生育</w:t>
      </w:r>
      <w:r>
        <w:rPr>
          <w:rFonts w:hint="eastAsia" w:eastAsia="方正仿宋_GBK"/>
          <w:color w:val="auto"/>
          <w:sz w:val="32"/>
          <w:szCs w:val="32"/>
          <w:lang w:val="en-US" w:eastAsia="zh-CN"/>
        </w:rPr>
        <w:t>支出7.68万元、住房保障支出10.89万元。</w:t>
      </w:r>
    </w:p>
    <w:p w14:paraId="734599A0">
      <w:pPr>
        <w:snapToGrid/>
        <w:spacing w:before="312" w:beforeLines="100" w:beforeAutospacing="0" w:after="156" w:afterLines="50" w:afterAutospacing="0" w:line="360" w:lineRule="auto"/>
        <w:ind w:left="0" w:leftChars="0" w:right="0" w:rightChars="0" w:firstLine="0" w:firstLineChars="0"/>
        <w:jc w:val="left"/>
        <w:outlineLvl w:val="0"/>
        <w:rPr>
          <w:rFonts w:hint="default" w:ascii="Times New Roman" w:eastAsia="宋体"/>
          <w:b/>
          <w:color w:val="auto"/>
          <w:sz w:val="32"/>
          <w:szCs w:val="32"/>
          <w:lang w:val="en-US" w:eastAsia="en-US"/>
        </w:rPr>
      </w:pPr>
      <w:r>
        <w:rPr>
          <w:rFonts w:hint="eastAsia" w:ascii="Times New Roman" w:eastAsia="宋体"/>
          <w:b/>
          <w:color w:val="auto"/>
          <w:sz w:val="32"/>
          <w:szCs w:val="32"/>
          <w:lang w:val="en-US" w:eastAsia="en-US"/>
        </w:rPr>
        <w:t>五、一般公共预算当年拨款情况说明</w:t>
      </w:r>
    </w:p>
    <w:p w14:paraId="474081F4">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（一）一般公共预算当年拨款规模变化情况</w:t>
      </w:r>
    </w:p>
    <w:p w14:paraId="00D8D5AB">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残疾人联合会2025年一般公共预算当年拨款195.64万元，比2024年预算数增加25.37万元，主要是因为项目增加。</w:t>
      </w:r>
    </w:p>
    <w:p w14:paraId="1D41D254">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（二）一般公共预算当年拨款结构情况</w:t>
      </w:r>
    </w:p>
    <w:p w14:paraId="0C418C03">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社会保障和就业支出177.07万元，占90.51%；医疗卫生与计划生育支出7.68万元，占3.93%；住房保障支出10.89万元，占5.56%。</w:t>
      </w:r>
    </w:p>
    <w:p w14:paraId="0F8E0141">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（三）一般公共预算当年拨款具体使用情况</w:t>
      </w:r>
    </w:p>
    <w:p w14:paraId="78DA189E">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1.208社会保障和就业（类）05行政事业单位离退休（款）05机关事业单位基本养老保险费（项）：日常人员经费13.07万元，主要用于：残疾人联合会人员及残疾人康复中心人员基本养老保险支出。</w:t>
      </w:r>
    </w:p>
    <w:p w14:paraId="0E47CE8C">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2.208社会保障和就业（类）05行政事业单位离退休（类）06机关事业单位职业年金缴费支出（项）：日常人员经费6.53万元，主要用于：残疾人联合会及残疾人康复中心人员职业年金缴费支出。</w:t>
      </w:r>
    </w:p>
    <w:p w14:paraId="42124140">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3.208社会保障和就业（类）11残疾人事业（款）01行政运行（项）： 日常人员经费31.45万元，主要用于：残疾人联合会人员工资福利和残保金支出。公用经费8.47万元，主要用于：残疾人联合会及残疾人康复中心机构正常运行、开展日常工作的基本支出。</w:t>
      </w:r>
    </w:p>
    <w:p w14:paraId="0C8D0019">
      <w:pPr>
        <w:spacing w:line="560" w:lineRule="exact"/>
        <w:ind w:firstLine="640" w:firstLineChars="200"/>
        <w:rPr>
          <w:rFonts w:hint="default" w:eastAsia="方正仿宋_GBK"/>
          <w:color w:val="auto"/>
          <w:sz w:val="32"/>
          <w:szCs w:val="32"/>
          <w:lang w:val="en-US" w:eastAsia="zh-CN"/>
        </w:rPr>
      </w:pPr>
      <w:r>
        <w:rPr>
          <w:rFonts w:hint="eastAsia" w:eastAsia="方正仿宋_GBK"/>
          <w:color w:val="auto"/>
          <w:sz w:val="32"/>
          <w:szCs w:val="32"/>
          <w:lang w:val="en-US" w:eastAsia="zh-CN"/>
        </w:rPr>
        <w:t>4.208社会保障和就业（类）11残疾人事业（款）03机关服务（项）：日常人员经费50.58万元，主要用于：残疾人康复中心人员工资福利和残保金支出。公用经费5.54万元，主要用于：残疾人联合会及残疾人康复中心机构正常运行、开展日常工作的基本支出。</w:t>
      </w:r>
    </w:p>
    <w:p w14:paraId="4E585A4D">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5.208社会保障和就业（类）11残疾人事业（款）05残疾人就业和扶贫（项）：日常人员经费0万元，专项经费18万元，主要用于残疾人居家灵活就业及创业就业补助。</w:t>
      </w:r>
    </w:p>
    <w:p w14:paraId="50659731">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6.208社会保障和就业（类）11残疾人事业（款）99其他残疾人事业支出（项）：日常人员经费0万元，专项经费43.35其中14.78万元，主要用于村（社）残疾人联系员误工补助，5.28万元用于村（社）残协建设。4.06万元用于残疾学生助学工程，19.22万元用于为重度残疾人代缴城乡居民基本医疗保险。</w:t>
      </w:r>
    </w:p>
    <w:p w14:paraId="064C77E2">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7.210医疗卫生与计划生育（类）11行政事业单位医疗（款）01行政单位医疗（项）：医疗保障费用2.42万元，主要用于：残疾人联合会人员单位医疗保险缴费支出。</w:t>
      </w:r>
    </w:p>
    <w:p w14:paraId="071E8459">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8.210医疗卫生与计划生育（类）11行政事业单位医疗（款）02事业单位医疗（项）：职工基本医疗保障费用3.93万元，主要用于：残疾人康复中心人员单位医疗保险缴费支出。</w:t>
      </w:r>
    </w:p>
    <w:p w14:paraId="0D1AD78E">
      <w:pPr>
        <w:spacing w:line="560" w:lineRule="exact"/>
        <w:ind w:firstLine="640" w:firstLineChars="200"/>
        <w:rPr>
          <w:rFonts w:hint="default" w:eastAsia="方正仿宋_GBK"/>
          <w:color w:val="auto"/>
          <w:sz w:val="32"/>
          <w:szCs w:val="32"/>
          <w:lang w:val="en-US" w:eastAsia="zh-CN"/>
        </w:rPr>
      </w:pPr>
      <w:r>
        <w:rPr>
          <w:rFonts w:hint="eastAsia" w:eastAsia="方正仿宋_GBK"/>
          <w:color w:val="auto"/>
          <w:sz w:val="32"/>
          <w:szCs w:val="32"/>
          <w:lang w:val="en-US" w:eastAsia="zh-CN"/>
        </w:rPr>
        <w:t>9.210医疗卫生与计划生育（类）11行政事业单位医疗（款）03公务员医疗补助（项）：公务员医疗补助费用0.44万元，主要用于：残疾人联合会人员公务员医疗补助支出。</w:t>
      </w:r>
    </w:p>
    <w:p w14:paraId="00BC4F39">
      <w:pPr>
        <w:spacing w:line="560" w:lineRule="exact"/>
        <w:ind w:firstLine="640" w:firstLineChars="200"/>
        <w:rPr>
          <w:rFonts w:hint="default" w:eastAsia="方正仿宋_GBK"/>
          <w:color w:val="auto"/>
          <w:sz w:val="32"/>
          <w:szCs w:val="32"/>
          <w:lang w:val="en-US" w:eastAsia="zh-CN"/>
        </w:rPr>
      </w:pPr>
      <w:r>
        <w:rPr>
          <w:rFonts w:hint="eastAsia" w:eastAsia="方正仿宋_GBK"/>
          <w:color w:val="auto"/>
          <w:sz w:val="32"/>
          <w:szCs w:val="32"/>
          <w:lang w:val="en-US" w:eastAsia="zh-CN"/>
        </w:rPr>
        <w:t>10.210医疗卫生与计划生育（类）11行政事业单位医疗（款）99其他行政事业单位医疗支出（项）：公务员医疗补助费用0.88万元，主要用于：残疾人联合会人员公务员医疗补助支出。</w:t>
      </w:r>
    </w:p>
    <w:p w14:paraId="29738981">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11.221住房保障支出（类）02住房改革支出（款）01住房公积金（项）：住房公积金10.89万元，主要用于：残疾人联合会及残疾人康复中心工作人员住房公积金缴费支出。</w:t>
      </w:r>
    </w:p>
    <w:p w14:paraId="5B6F3800">
      <w:pPr>
        <w:snapToGrid/>
        <w:spacing w:before="312" w:beforeLines="100" w:beforeAutospacing="0" w:after="156" w:afterLines="50" w:afterAutospacing="0" w:line="360" w:lineRule="auto"/>
        <w:ind w:left="0" w:leftChars="0" w:right="0" w:rightChars="0" w:firstLine="0" w:firstLineChars="0"/>
        <w:jc w:val="left"/>
        <w:outlineLvl w:val="0"/>
        <w:rPr>
          <w:rFonts w:hint="default" w:ascii="Times New Roman" w:eastAsia="宋体"/>
          <w:b/>
          <w:color w:val="auto"/>
          <w:sz w:val="32"/>
          <w:szCs w:val="32"/>
          <w:lang w:val="en-US" w:eastAsia="en-US"/>
        </w:rPr>
      </w:pPr>
      <w:r>
        <w:rPr>
          <w:rFonts w:hint="eastAsia" w:ascii="Times New Roman" w:eastAsia="宋体"/>
          <w:b/>
          <w:color w:val="auto"/>
          <w:sz w:val="32"/>
          <w:szCs w:val="32"/>
          <w:lang w:val="en-US" w:eastAsia="en-US"/>
        </w:rPr>
        <w:t>六、一般公共预算基本支出情况说明</w:t>
      </w:r>
    </w:p>
    <w:p w14:paraId="607FEF37">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金川县残疾人联合会2025年一般公共预算财政拨款基本支出134.29万元，其中：</w:t>
      </w:r>
    </w:p>
    <w:p w14:paraId="1B57FF35">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人员经费 120.28万元，主要包括：基本工资、津贴补贴、奖金、绩效工资、机关事业单位基本养老保险缴费、职业年金缴费、其他社会保障缴费等支出。</w:t>
      </w:r>
    </w:p>
    <w:p w14:paraId="46247D55">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公用经费14.01万元，主要包括：办公费、电费、邮电费、差旅费、维修（护）费、劳务费、</w:t>
      </w:r>
      <w:r>
        <w:rPr>
          <w:rFonts w:hint="default" w:eastAsia="方正仿宋_GBK"/>
          <w:color w:val="auto"/>
          <w:sz w:val="32"/>
          <w:szCs w:val="32"/>
          <w:lang w:val="en-US" w:eastAsia="en-US"/>
        </w:rPr>
        <w:t>福利费</w:t>
      </w:r>
      <w:r>
        <w:rPr>
          <w:rFonts w:hint="eastAsia" w:eastAsia="方正仿宋_GBK"/>
          <w:color w:val="auto"/>
          <w:sz w:val="32"/>
          <w:szCs w:val="32"/>
          <w:lang w:val="en-US" w:eastAsia="zh-CN"/>
        </w:rPr>
        <w:t>、公务用车运行维护费等支出。</w:t>
      </w:r>
    </w:p>
    <w:p w14:paraId="153780A2">
      <w:pPr>
        <w:snapToGrid/>
        <w:spacing w:before="312" w:beforeLines="100" w:beforeAutospacing="0" w:after="156" w:afterLines="50" w:afterAutospacing="0" w:line="360" w:lineRule="auto"/>
        <w:ind w:left="0" w:leftChars="0" w:right="0" w:rightChars="0" w:firstLine="0" w:firstLineChars="0"/>
        <w:jc w:val="left"/>
        <w:outlineLvl w:val="0"/>
        <w:rPr>
          <w:rFonts w:hint="default" w:ascii="Times New Roman" w:eastAsia="宋体"/>
          <w:b/>
          <w:color w:val="auto"/>
          <w:sz w:val="32"/>
          <w:szCs w:val="32"/>
          <w:lang w:val="en-US" w:eastAsia="en-US"/>
        </w:rPr>
      </w:pPr>
      <w:r>
        <w:rPr>
          <w:rFonts w:hint="eastAsia" w:ascii="Times New Roman" w:eastAsia="宋体"/>
          <w:b/>
          <w:color w:val="auto"/>
          <w:sz w:val="32"/>
          <w:szCs w:val="32"/>
          <w:lang w:val="en-US" w:eastAsia="en-US"/>
        </w:rPr>
        <w:t>七、“三公”经费财政拨款预算安排情况说明</w:t>
      </w:r>
    </w:p>
    <w:p w14:paraId="491BC49C">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zh-CN"/>
        </w:rPr>
        <w:t>金川县残疾人联合会2025年“三公”经费财政拨款预算数1.5万元，其中：因公出国（境）经费0万元，公务接待费0万元，公务用车购置及运行维护费1.5万元。</w:t>
      </w:r>
    </w:p>
    <w:p w14:paraId="4C9FCA9D">
      <w:pPr>
        <w:snapToGrid/>
        <w:spacing w:before="156" w:beforeLines="50" w:beforeAutospacing="0" w:afterAutospacing="0" w:line="360" w:lineRule="auto"/>
        <w:ind w:left="0" w:leftChars="0" w:right="0" w:rightChars="0" w:firstLine="0" w:firstLineChars="0"/>
        <w:jc w:val="left"/>
        <w:outlineLvl w:val="1"/>
        <w:rPr>
          <w:rFonts w:ascii="Times New Roman" w:eastAsia="宋体"/>
          <w:b/>
          <w:bCs/>
          <w:color w:val="auto"/>
          <w:sz w:val="30"/>
          <w:szCs w:val="32"/>
          <w:lang w:val="en-US" w:eastAsia="en-US"/>
        </w:rPr>
      </w:pPr>
      <w:r>
        <w:rPr>
          <w:rFonts w:hint="default" w:ascii="Times New Roman" w:eastAsia="宋体"/>
          <w:b/>
          <w:bCs/>
          <w:color w:val="auto"/>
          <w:sz w:val="30"/>
          <w:szCs w:val="32"/>
          <w:lang w:val="en-US" w:eastAsia="en-US"/>
        </w:rPr>
        <w:t>（一）因公出国（境）经费</w:t>
      </w:r>
      <w:r>
        <w:rPr>
          <w:rFonts w:ascii="Times New Roman" w:eastAsia="宋体"/>
          <w:b/>
          <w:bCs/>
          <w:color w:val="auto"/>
          <w:sz w:val="30"/>
          <w:szCs w:val="32"/>
          <w:lang w:val="en-US" w:eastAsia="en-US"/>
        </w:rPr>
        <w:t>与</w:t>
      </w:r>
      <w:r>
        <w:rPr>
          <w:rFonts w:hint="default" w:ascii="Times New Roman" w:eastAsia="宋体"/>
          <w:b/>
          <w:bCs/>
          <w:color w:val="auto"/>
          <w:sz w:val="30"/>
          <w:szCs w:val="32"/>
          <w:lang w:val="en-US" w:eastAsia="zh-CN"/>
        </w:rPr>
        <w:t>2024</w:t>
      </w:r>
      <w:r>
        <w:rPr>
          <w:rFonts w:hint="default" w:ascii="Times New Roman" w:eastAsia="宋体"/>
          <w:b/>
          <w:bCs/>
          <w:color w:val="auto"/>
          <w:sz w:val="30"/>
          <w:szCs w:val="32"/>
          <w:lang w:val="en-US" w:eastAsia="en-US"/>
        </w:rPr>
        <w:t>年预算</w:t>
      </w:r>
      <w:r>
        <w:rPr>
          <w:rFonts w:ascii="Times New Roman" w:eastAsia="宋体"/>
          <w:b/>
          <w:bCs/>
          <w:color w:val="auto"/>
          <w:sz w:val="30"/>
          <w:szCs w:val="32"/>
          <w:lang w:val="en-US" w:eastAsia="en-US"/>
        </w:rPr>
        <w:t>持平。</w:t>
      </w:r>
    </w:p>
    <w:p w14:paraId="6C075DDE">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en-US"/>
        </w:rPr>
        <w:t>无</w:t>
      </w:r>
    </w:p>
    <w:p w14:paraId="430CA19C">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bCs/>
          <w:color w:val="auto"/>
          <w:sz w:val="30"/>
          <w:szCs w:val="32"/>
          <w:lang w:val="en-US" w:eastAsia="en-US"/>
        </w:rPr>
      </w:pPr>
      <w:r>
        <w:rPr>
          <w:rFonts w:hint="default" w:ascii="Times New Roman" w:eastAsia="宋体"/>
          <w:b/>
          <w:bCs/>
          <w:color w:val="auto"/>
          <w:sz w:val="30"/>
          <w:szCs w:val="32"/>
          <w:lang w:val="en-US" w:eastAsia="en-US"/>
        </w:rPr>
        <w:t>（二）公务接待费较</w:t>
      </w:r>
      <w:r>
        <w:rPr>
          <w:rFonts w:hint="default" w:ascii="Times New Roman" w:eastAsia="宋体"/>
          <w:b/>
          <w:bCs/>
          <w:color w:val="auto"/>
          <w:sz w:val="30"/>
          <w:szCs w:val="32"/>
          <w:lang w:val="en-US" w:eastAsia="zh-CN"/>
        </w:rPr>
        <w:t>202</w:t>
      </w:r>
      <w:r>
        <w:rPr>
          <w:rFonts w:ascii="Times New Roman" w:eastAsia="宋体"/>
          <w:b/>
          <w:bCs/>
          <w:color w:val="auto"/>
          <w:sz w:val="30"/>
          <w:szCs w:val="32"/>
          <w:lang w:val="en-US" w:eastAsia="zh-CN"/>
        </w:rPr>
        <w:t>4</w:t>
      </w:r>
      <w:r>
        <w:rPr>
          <w:rFonts w:hint="default" w:ascii="Times New Roman" w:eastAsia="宋体"/>
          <w:b/>
          <w:bCs/>
          <w:color w:val="auto"/>
          <w:sz w:val="30"/>
          <w:szCs w:val="32"/>
          <w:lang w:val="en-US" w:eastAsia="en-US"/>
        </w:rPr>
        <w:t>年预算</w:t>
      </w:r>
      <w:r>
        <w:rPr>
          <w:rFonts w:ascii="Times New Roman" w:eastAsia="宋体"/>
          <w:b/>
          <w:bCs/>
          <w:color w:val="auto"/>
          <w:sz w:val="30"/>
          <w:szCs w:val="32"/>
          <w:lang w:val="en-US" w:eastAsia="en-US"/>
        </w:rPr>
        <w:t>持平</w:t>
      </w:r>
      <w:r>
        <w:rPr>
          <w:rFonts w:hint="default" w:ascii="Times New Roman" w:eastAsia="宋体"/>
          <w:b/>
          <w:bCs/>
          <w:color w:val="auto"/>
          <w:sz w:val="30"/>
          <w:szCs w:val="32"/>
          <w:lang w:val="en-US" w:eastAsia="en-US"/>
        </w:rPr>
        <w:t>。</w:t>
      </w:r>
    </w:p>
    <w:p w14:paraId="77E8E91C">
      <w:pPr>
        <w:spacing w:line="560" w:lineRule="exact"/>
        <w:ind w:firstLine="640" w:firstLineChars="200"/>
        <w:rPr>
          <w:rFonts w:hint="default" w:eastAsia="方正仿宋_GBK"/>
          <w:color w:val="auto"/>
          <w:sz w:val="32"/>
          <w:szCs w:val="32"/>
          <w:lang w:val="en-US" w:eastAsia="en-US"/>
        </w:rPr>
      </w:pPr>
      <w:r>
        <w:rPr>
          <w:rFonts w:hint="eastAsia" w:eastAsia="方正仿宋_GBK"/>
          <w:color w:val="auto"/>
          <w:sz w:val="32"/>
          <w:szCs w:val="32"/>
          <w:lang w:val="en-US" w:eastAsia="en-US"/>
        </w:rPr>
        <w:t>无</w:t>
      </w:r>
    </w:p>
    <w:p w14:paraId="4F8D8B53">
      <w:pPr>
        <w:snapToGrid/>
        <w:spacing w:before="156" w:beforeLines="50" w:beforeAutospacing="0" w:afterAutospacing="0" w:line="360" w:lineRule="auto"/>
        <w:ind w:left="0" w:leftChars="0" w:right="0" w:rightChars="0" w:firstLine="0" w:firstLineChars="0"/>
        <w:jc w:val="left"/>
        <w:outlineLvl w:val="1"/>
        <w:rPr>
          <w:rFonts w:ascii="Times New Roman" w:eastAsia="宋体"/>
          <w:b/>
          <w:bCs/>
          <w:color w:val="auto"/>
          <w:sz w:val="30"/>
          <w:szCs w:val="32"/>
          <w:lang w:val="en-US" w:eastAsia="en-US"/>
        </w:rPr>
      </w:pPr>
      <w:r>
        <w:rPr>
          <w:rFonts w:hint="default" w:ascii="Times New Roman" w:eastAsia="宋体"/>
          <w:b/>
          <w:bCs/>
          <w:color w:val="auto"/>
          <w:sz w:val="30"/>
          <w:szCs w:val="32"/>
          <w:lang w:val="en-US" w:eastAsia="en-US"/>
        </w:rPr>
        <w:t>（三）公务用车购置及运行维护费较</w:t>
      </w:r>
      <w:r>
        <w:rPr>
          <w:rFonts w:hint="default" w:ascii="Times New Roman" w:eastAsia="宋体"/>
          <w:b/>
          <w:bCs/>
          <w:color w:val="auto"/>
          <w:sz w:val="30"/>
          <w:szCs w:val="32"/>
          <w:lang w:val="en-US" w:eastAsia="zh-CN"/>
        </w:rPr>
        <w:t>202</w:t>
      </w:r>
      <w:r>
        <w:rPr>
          <w:rFonts w:ascii="Times New Roman" w:eastAsia="宋体"/>
          <w:b/>
          <w:bCs/>
          <w:color w:val="auto"/>
          <w:sz w:val="30"/>
          <w:szCs w:val="32"/>
          <w:lang w:val="en-US" w:eastAsia="zh-CN"/>
        </w:rPr>
        <w:t>4</w:t>
      </w:r>
      <w:r>
        <w:rPr>
          <w:rFonts w:hint="default" w:ascii="Times New Roman" w:eastAsia="宋体"/>
          <w:b/>
          <w:bCs/>
          <w:color w:val="auto"/>
          <w:sz w:val="30"/>
          <w:szCs w:val="32"/>
          <w:lang w:val="en-US" w:eastAsia="en-US"/>
        </w:rPr>
        <w:t>年预算</w:t>
      </w:r>
      <w:r>
        <w:rPr>
          <w:rFonts w:ascii="Times New Roman" w:eastAsia="宋体"/>
          <w:b/>
          <w:bCs/>
          <w:color w:val="auto"/>
          <w:sz w:val="30"/>
          <w:szCs w:val="32"/>
          <w:lang w:val="en-US" w:eastAsia="en-US"/>
        </w:rPr>
        <w:t>持平</w:t>
      </w:r>
      <w:r>
        <w:rPr>
          <w:rFonts w:hint="default" w:ascii="Times New Roman" w:eastAsia="宋体"/>
          <w:b/>
          <w:bCs/>
          <w:color w:val="auto"/>
          <w:sz w:val="30"/>
          <w:szCs w:val="32"/>
          <w:lang w:val="en-US" w:eastAsia="en-US"/>
        </w:rPr>
        <w:t>。</w:t>
      </w:r>
    </w:p>
    <w:p w14:paraId="72FD180F">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单位现有公务用车1辆，其中：越野车1辆，2024年未安排公务用车购置费。</w:t>
      </w:r>
    </w:p>
    <w:p w14:paraId="79D21C58">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2024年安排公务用车运行维护费1.5万元，用于公务用车燃油、过路（桥）、维修、保险等方面支出，主要保障机关量服工作检查、重度残疾人无障碍改造查看、创业就业查看等工作开展。</w:t>
      </w:r>
    </w:p>
    <w:p w14:paraId="40FA50A2">
      <w:pPr>
        <w:snapToGrid/>
        <w:spacing w:before="312" w:beforeLines="100" w:beforeAutospacing="0" w:after="156" w:afterLines="50" w:afterAutospacing="0" w:line="360" w:lineRule="auto"/>
        <w:ind w:left="0" w:leftChars="0" w:right="0" w:rightChars="0" w:firstLine="0" w:firstLineChars="0"/>
        <w:jc w:val="left"/>
        <w:outlineLvl w:val="0"/>
        <w:rPr>
          <w:rFonts w:hint="default" w:ascii="Times New Roman" w:eastAsia="宋体"/>
          <w:b/>
          <w:color w:val="auto"/>
          <w:sz w:val="32"/>
          <w:szCs w:val="32"/>
          <w:lang w:val="en-US" w:eastAsia="en-US"/>
        </w:rPr>
      </w:pPr>
      <w:r>
        <w:rPr>
          <w:rFonts w:hint="eastAsia" w:ascii="Times New Roman" w:eastAsia="宋体"/>
          <w:b/>
          <w:color w:val="auto"/>
          <w:sz w:val="32"/>
          <w:szCs w:val="32"/>
          <w:lang w:val="en-US" w:eastAsia="en-US"/>
        </w:rPr>
        <w:t>八、政府性基金预算支出情况说明</w:t>
      </w:r>
    </w:p>
    <w:p w14:paraId="377D3D0F">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残疾人联合会2025年没有使用政府性基金预算拨款安排的支出。</w:t>
      </w:r>
    </w:p>
    <w:p w14:paraId="29F3AD34">
      <w:pPr>
        <w:snapToGrid/>
        <w:spacing w:before="312" w:beforeLines="100" w:beforeAutospacing="0" w:after="156" w:afterLines="50" w:afterAutospacing="0" w:line="360" w:lineRule="auto"/>
        <w:ind w:left="0" w:leftChars="0" w:right="0" w:rightChars="0" w:firstLine="0" w:firstLineChars="0"/>
        <w:jc w:val="left"/>
        <w:outlineLvl w:val="0"/>
        <w:rPr>
          <w:rFonts w:hint="eastAsia" w:ascii="Times New Roman" w:eastAsia="宋体"/>
          <w:b/>
          <w:color w:val="auto"/>
          <w:sz w:val="32"/>
          <w:szCs w:val="32"/>
          <w:lang w:val="en-US" w:eastAsia="en-US"/>
        </w:rPr>
      </w:pPr>
      <w:r>
        <w:rPr>
          <w:rFonts w:hint="eastAsia" w:ascii="Times New Roman" w:eastAsia="宋体"/>
          <w:b/>
          <w:color w:val="auto"/>
          <w:sz w:val="32"/>
          <w:szCs w:val="32"/>
          <w:lang w:val="en-US" w:eastAsia="en-US"/>
        </w:rPr>
        <w:t>九、国有资本经营预算情况说明</w:t>
      </w:r>
    </w:p>
    <w:p w14:paraId="2B2987A0">
      <w:pPr>
        <w:spacing w:line="560" w:lineRule="exact"/>
        <w:ind w:firstLine="640" w:firstLineChars="200"/>
        <w:rPr>
          <w:rFonts w:hint="eastAsia" w:eastAsia="方正仿宋_GBK"/>
          <w:color w:val="auto"/>
          <w:sz w:val="32"/>
          <w:szCs w:val="32"/>
          <w:lang w:val="en-US" w:eastAsia="en-US"/>
        </w:rPr>
      </w:pPr>
      <w:r>
        <w:rPr>
          <w:rFonts w:hint="eastAsia" w:eastAsia="方正仿宋_GBK"/>
          <w:color w:val="auto"/>
          <w:sz w:val="32"/>
          <w:szCs w:val="32"/>
          <w:lang w:val="en-US" w:eastAsia="zh-CN"/>
        </w:rPr>
        <w:t>金川县残疾人联合会</w:t>
      </w:r>
      <w:r>
        <w:rPr>
          <w:rFonts w:hint="default" w:eastAsia="方正仿宋_GBK"/>
          <w:color w:val="auto"/>
          <w:sz w:val="32"/>
          <w:szCs w:val="32"/>
          <w:lang w:val="en-US" w:eastAsia="en-US"/>
        </w:rPr>
        <w:t>2025年没有使用</w:t>
      </w:r>
      <w:r>
        <w:rPr>
          <w:rFonts w:hint="eastAsia" w:eastAsia="方正仿宋_GBK"/>
          <w:color w:val="auto"/>
          <w:sz w:val="32"/>
          <w:szCs w:val="32"/>
          <w:lang w:val="en-US" w:eastAsia="en-US"/>
        </w:rPr>
        <w:t>国有资本经营预算</w:t>
      </w:r>
      <w:r>
        <w:rPr>
          <w:rFonts w:hint="default" w:eastAsia="方正仿宋_GBK"/>
          <w:color w:val="auto"/>
          <w:sz w:val="32"/>
          <w:szCs w:val="32"/>
          <w:lang w:val="en-US" w:eastAsia="en-US"/>
        </w:rPr>
        <w:t>拨款安排的支出。</w:t>
      </w:r>
    </w:p>
    <w:p w14:paraId="39632233">
      <w:pPr>
        <w:snapToGrid/>
        <w:spacing w:before="312" w:beforeLines="100" w:beforeAutospacing="0" w:after="156" w:afterLines="50" w:afterAutospacing="0" w:line="360" w:lineRule="auto"/>
        <w:ind w:left="0" w:leftChars="0" w:right="0" w:rightChars="0" w:firstLine="0" w:firstLineChars="0"/>
        <w:jc w:val="left"/>
        <w:outlineLvl w:val="0"/>
        <w:rPr>
          <w:rFonts w:hint="eastAsia" w:ascii="Times New Roman" w:eastAsia="宋体"/>
          <w:b/>
          <w:color w:val="auto"/>
          <w:sz w:val="32"/>
          <w:szCs w:val="32"/>
        </w:rPr>
      </w:pPr>
      <w:r>
        <w:rPr>
          <w:rFonts w:hint="eastAsia" w:ascii="Times New Roman" w:eastAsia="宋体"/>
          <w:b/>
          <w:color w:val="auto"/>
          <w:sz w:val="32"/>
          <w:szCs w:val="32"/>
          <w:lang w:val="en-US" w:eastAsia="en-US"/>
        </w:rPr>
        <w:t>十、其他重要事项的情况说明</w:t>
      </w:r>
    </w:p>
    <w:p w14:paraId="580645BF">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（一）机关运行经费情况</w:t>
      </w:r>
    </w:p>
    <w:p w14:paraId="0DF4FE18">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2024年，残疾人联合会机关运行经费财政拨款预算为14.01万元，比2024年预算增加4.02万元，增加40.2%。增加原因为人员公用经费标准调整，增加福利费。</w:t>
      </w:r>
    </w:p>
    <w:p w14:paraId="6AB42162">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（二）政府采购情况</w:t>
      </w:r>
    </w:p>
    <w:p w14:paraId="5E132902">
      <w:pPr>
        <w:spacing w:line="560" w:lineRule="exact"/>
        <w:ind w:firstLine="640" w:firstLineChars="200"/>
        <w:rPr>
          <w:rFonts w:hint="default" w:eastAsia="方正仿宋_GBK"/>
          <w:color w:val="auto"/>
          <w:sz w:val="32"/>
          <w:szCs w:val="32"/>
          <w:lang w:val="en-US" w:eastAsia="en-US"/>
        </w:rPr>
      </w:pPr>
      <w:r>
        <w:rPr>
          <w:rFonts w:hint="default" w:eastAsia="方正仿宋_GBK"/>
          <w:color w:val="auto"/>
          <w:sz w:val="32"/>
          <w:szCs w:val="32"/>
          <w:lang w:val="en-US" w:eastAsia="en-US"/>
        </w:rPr>
        <w:t>2025年，</w:t>
      </w:r>
      <w:r>
        <w:rPr>
          <w:rFonts w:hint="eastAsia" w:eastAsia="方正仿宋_GBK"/>
          <w:color w:val="auto"/>
          <w:sz w:val="32"/>
          <w:szCs w:val="32"/>
          <w:lang w:val="en-US" w:eastAsia="zh-CN"/>
        </w:rPr>
        <w:t>金川县残疾人联合会</w:t>
      </w:r>
      <w:r>
        <w:rPr>
          <w:rFonts w:hint="default" w:eastAsia="方正仿宋_GBK"/>
          <w:color w:val="auto"/>
          <w:sz w:val="32"/>
          <w:szCs w:val="32"/>
          <w:lang w:val="en-US" w:eastAsia="en-US"/>
        </w:rPr>
        <w:t>安排政府采购预算</w:t>
      </w:r>
      <w:r>
        <w:rPr>
          <w:rFonts w:hint="eastAsia" w:eastAsia="方正仿宋_GBK"/>
          <w:color w:val="auto"/>
          <w:sz w:val="32"/>
          <w:szCs w:val="32"/>
          <w:lang w:val="en-US" w:eastAsia="zh-CN"/>
        </w:rPr>
        <w:t>0</w:t>
      </w:r>
      <w:r>
        <w:rPr>
          <w:rFonts w:hint="default" w:eastAsia="方正仿宋_GBK"/>
          <w:color w:val="auto"/>
          <w:sz w:val="32"/>
          <w:szCs w:val="32"/>
          <w:lang w:val="en-US" w:eastAsia="en-US"/>
        </w:rPr>
        <w:t>万元。</w:t>
      </w:r>
    </w:p>
    <w:p w14:paraId="66F634A3">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（三）国有资产占有使用情况</w:t>
      </w:r>
    </w:p>
    <w:p w14:paraId="08207331">
      <w:pPr>
        <w:spacing w:line="560" w:lineRule="exact"/>
        <w:ind w:firstLine="640" w:firstLineChars="200"/>
        <w:rPr>
          <w:rFonts w:hint="default" w:eastAsia="方正仿宋_GBK"/>
          <w:color w:val="auto"/>
          <w:sz w:val="32"/>
          <w:szCs w:val="32"/>
          <w:lang w:val="en-US" w:eastAsia="en-US"/>
        </w:rPr>
      </w:pPr>
      <w:r>
        <w:rPr>
          <w:rFonts w:hint="default" w:eastAsia="方正仿宋_GBK"/>
          <w:color w:val="auto"/>
          <w:sz w:val="32"/>
          <w:szCs w:val="32"/>
          <w:lang w:val="en-US" w:eastAsia="en-US"/>
        </w:rPr>
        <w:t>截至</w:t>
      </w:r>
      <w:r>
        <w:rPr>
          <w:rFonts w:hint="default" w:eastAsia="方正仿宋_GBK"/>
          <w:color w:val="auto"/>
          <w:sz w:val="32"/>
          <w:szCs w:val="32"/>
          <w:lang w:val="en-US" w:eastAsia="zh-CN"/>
        </w:rPr>
        <w:t>202</w:t>
      </w:r>
      <w:r>
        <w:rPr>
          <w:rFonts w:hint="eastAsia" w:eastAsia="方正仿宋_GBK"/>
          <w:color w:val="auto"/>
          <w:sz w:val="32"/>
          <w:szCs w:val="32"/>
          <w:lang w:val="en-US" w:eastAsia="zh-CN"/>
        </w:rPr>
        <w:t>5</w:t>
      </w:r>
      <w:r>
        <w:rPr>
          <w:rFonts w:hint="default" w:eastAsia="方正仿宋_GBK"/>
          <w:color w:val="auto"/>
          <w:sz w:val="32"/>
          <w:szCs w:val="32"/>
          <w:lang w:val="en-US" w:eastAsia="en-US"/>
        </w:rPr>
        <w:t>年底，</w:t>
      </w:r>
      <w:r>
        <w:rPr>
          <w:rFonts w:hint="eastAsia" w:eastAsia="方正仿宋_GBK"/>
          <w:color w:val="auto"/>
          <w:sz w:val="32"/>
          <w:szCs w:val="32"/>
          <w:lang w:val="en-US" w:eastAsia="zh-CN"/>
        </w:rPr>
        <w:t>金川县残疾人联合会</w:t>
      </w:r>
      <w:r>
        <w:rPr>
          <w:rFonts w:hint="default" w:eastAsia="方正仿宋_GBK"/>
          <w:color w:val="auto"/>
          <w:sz w:val="32"/>
          <w:szCs w:val="32"/>
          <w:lang w:val="en-US" w:eastAsia="en-US"/>
        </w:rPr>
        <w:t>所属各预算单位共有车辆</w:t>
      </w:r>
      <w:r>
        <w:rPr>
          <w:rFonts w:hint="eastAsia" w:eastAsia="方正仿宋_GBK"/>
          <w:color w:val="auto"/>
          <w:sz w:val="32"/>
          <w:szCs w:val="32"/>
          <w:lang w:val="en-US" w:eastAsia="zh-CN"/>
        </w:rPr>
        <w:t>1</w:t>
      </w:r>
      <w:r>
        <w:rPr>
          <w:rFonts w:hint="default" w:eastAsia="方正仿宋_GBK"/>
          <w:color w:val="auto"/>
          <w:sz w:val="32"/>
          <w:szCs w:val="32"/>
          <w:lang w:val="en-US" w:eastAsia="en-US"/>
        </w:rPr>
        <w:t>辆，</w:t>
      </w:r>
      <w:r>
        <w:rPr>
          <w:rFonts w:hint="eastAsia" w:eastAsia="方正仿宋_GBK"/>
          <w:color w:val="auto"/>
          <w:sz w:val="32"/>
          <w:szCs w:val="32"/>
          <w:lang w:val="en-US" w:eastAsia="zh-CN"/>
        </w:rPr>
        <w:t>其中：一般公务用车 1辆；无单价50万元以上通用设备及单价100万元以上专用设备。</w:t>
      </w:r>
      <w:r>
        <w:rPr>
          <w:rFonts w:hint="default" w:eastAsia="方正仿宋_GBK"/>
          <w:color w:val="auto"/>
          <w:sz w:val="32"/>
          <w:szCs w:val="32"/>
          <w:lang w:val="en-US" w:eastAsia="en-US"/>
        </w:rPr>
        <w:t>2025年部门预算未安排购置车辆及大型设备。</w:t>
      </w:r>
    </w:p>
    <w:p w14:paraId="46114677">
      <w:pPr>
        <w:snapToGrid/>
        <w:spacing w:before="156" w:beforeLines="50" w:beforeAutospacing="0" w:afterAutospacing="0" w:line="360" w:lineRule="auto"/>
        <w:ind w:left="0" w:leftChars="0" w:right="0" w:rightChars="0" w:firstLine="0" w:firstLineChars="0"/>
        <w:jc w:val="left"/>
        <w:outlineLvl w:val="1"/>
        <w:rPr>
          <w:rFonts w:hint="default" w:ascii="Times New Roman" w:eastAsia="宋体"/>
          <w:b/>
          <w:color w:val="auto"/>
          <w:sz w:val="30"/>
          <w:szCs w:val="32"/>
          <w:lang w:val="en-US" w:eastAsia="en-US"/>
        </w:rPr>
      </w:pPr>
      <w:r>
        <w:rPr>
          <w:rFonts w:hint="eastAsia" w:ascii="Times New Roman" w:eastAsia="宋体"/>
          <w:b/>
          <w:bCs/>
          <w:color w:val="auto"/>
          <w:sz w:val="30"/>
          <w:szCs w:val="32"/>
          <w:lang w:val="en-US" w:eastAsia="en-US"/>
        </w:rPr>
        <w:t>（四）预算绩效情况</w:t>
      </w:r>
    </w:p>
    <w:p w14:paraId="2DD91E73">
      <w:pPr>
        <w:spacing w:line="560" w:lineRule="exact"/>
        <w:ind w:firstLine="640" w:firstLineChars="200"/>
        <w:rPr>
          <w:rFonts w:hint="default" w:eastAsia="方正仿宋_GBK"/>
          <w:color w:val="auto"/>
          <w:sz w:val="32"/>
          <w:szCs w:val="32"/>
          <w:lang w:val="en-US" w:eastAsia="en-US"/>
        </w:rPr>
      </w:pPr>
      <w:r>
        <w:rPr>
          <w:rFonts w:hint="default" w:eastAsia="方正仿宋_GBK"/>
          <w:color w:val="auto"/>
          <w:sz w:val="32"/>
          <w:szCs w:val="32"/>
          <w:lang w:val="en-US" w:eastAsia="en-US"/>
        </w:rPr>
        <w:t>2025年</w:t>
      </w:r>
      <w:r>
        <w:rPr>
          <w:rFonts w:hint="eastAsia" w:eastAsia="方正仿宋_GBK"/>
          <w:color w:val="auto"/>
          <w:sz w:val="32"/>
          <w:szCs w:val="32"/>
          <w:lang w:val="en-US" w:eastAsia="zh-CN"/>
        </w:rPr>
        <w:t>金川县残疾人联合会</w:t>
      </w:r>
      <w:r>
        <w:rPr>
          <w:rFonts w:hint="default" w:eastAsia="方正仿宋_GBK"/>
          <w:color w:val="auto"/>
          <w:sz w:val="32"/>
          <w:szCs w:val="32"/>
          <w:lang w:val="en-US" w:eastAsia="en-US"/>
        </w:rPr>
        <w:t>开展绩效目标管理的项目</w:t>
      </w:r>
      <w:r>
        <w:rPr>
          <w:rFonts w:hint="eastAsia" w:eastAsia="方正仿宋_GBK"/>
          <w:color w:val="auto"/>
          <w:sz w:val="32"/>
          <w:szCs w:val="32"/>
          <w:lang w:val="en-US" w:eastAsia="zh-CN"/>
        </w:rPr>
        <w:t>5</w:t>
      </w:r>
      <w:r>
        <w:rPr>
          <w:rFonts w:hint="default" w:eastAsia="方正仿宋_GBK"/>
          <w:color w:val="auto"/>
          <w:sz w:val="32"/>
          <w:szCs w:val="32"/>
          <w:lang w:val="en-US" w:eastAsia="en-US"/>
        </w:rPr>
        <w:t>个，涉及预算</w:t>
      </w:r>
      <w:r>
        <w:rPr>
          <w:rFonts w:hint="eastAsia" w:eastAsia="方正仿宋_GBK"/>
          <w:color w:val="auto"/>
          <w:sz w:val="32"/>
          <w:szCs w:val="32"/>
          <w:lang w:val="en-US" w:eastAsia="zh-CN"/>
        </w:rPr>
        <w:t>61.35</w:t>
      </w:r>
      <w:r>
        <w:rPr>
          <w:rFonts w:hint="default" w:eastAsia="方正仿宋_GBK"/>
          <w:color w:val="auto"/>
          <w:sz w:val="32"/>
          <w:szCs w:val="32"/>
          <w:lang w:val="en-US" w:eastAsia="en-US"/>
        </w:rPr>
        <w:t>万元，其中：</w:t>
      </w:r>
      <w:r>
        <w:rPr>
          <w:rFonts w:hint="eastAsia" w:eastAsia="方正仿宋_GBK"/>
          <w:color w:val="auto"/>
          <w:sz w:val="32"/>
          <w:szCs w:val="32"/>
          <w:lang w:val="en-US" w:eastAsia="zh-CN"/>
        </w:rPr>
        <w:t>部门项目</w:t>
      </w:r>
      <w:r>
        <w:rPr>
          <w:rFonts w:hint="default" w:eastAsia="方正仿宋_GBK"/>
          <w:color w:val="auto"/>
          <w:sz w:val="32"/>
          <w:szCs w:val="32"/>
          <w:lang w:val="en-US" w:eastAsia="en-US"/>
        </w:rPr>
        <w:t>5个。</w:t>
      </w:r>
    </w:p>
    <w:p w14:paraId="1EF384E9">
      <w:pPr>
        <w:snapToGrid/>
        <w:spacing w:before="312" w:beforeLines="100" w:beforeAutospacing="0" w:after="156" w:afterLines="50" w:afterAutospacing="0" w:line="360" w:lineRule="auto"/>
        <w:ind w:left="0" w:leftChars="0" w:right="0" w:rightChars="0" w:firstLine="0" w:firstLineChars="0"/>
        <w:jc w:val="left"/>
        <w:outlineLvl w:val="0"/>
        <w:rPr>
          <w:rFonts w:hint="default" w:ascii="Times New Roman" w:eastAsia="宋体"/>
          <w:b/>
          <w:color w:val="auto"/>
          <w:sz w:val="32"/>
          <w:szCs w:val="32"/>
          <w:lang w:val="en-US" w:eastAsia="en-US"/>
        </w:rPr>
      </w:pPr>
      <w:r>
        <w:rPr>
          <w:rFonts w:hint="eastAsia" w:ascii="Times New Roman" w:eastAsia="宋体"/>
          <w:b/>
          <w:color w:val="auto"/>
          <w:sz w:val="32"/>
          <w:szCs w:val="32"/>
          <w:lang w:val="en-US" w:eastAsia="en-US"/>
        </w:rPr>
        <w:t>十一、名词解释</w:t>
      </w:r>
    </w:p>
    <w:p w14:paraId="457E7BFE">
      <w:pPr>
        <w:spacing w:line="560" w:lineRule="exact"/>
        <w:ind w:firstLine="640" w:firstLineChars="200"/>
        <w:rPr>
          <w:rFonts w:hint="default" w:eastAsia="方正仿宋_GBK"/>
          <w:color w:val="auto"/>
          <w:sz w:val="32"/>
          <w:szCs w:val="32"/>
          <w:lang w:val="en-US" w:eastAsia="en-US"/>
        </w:rPr>
      </w:pPr>
      <w:r>
        <w:rPr>
          <w:rFonts w:hint="default" w:eastAsia="方正仿宋_GBK"/>
          <w:color w:val="auto"/>
          <w:sz w:val="32"/>
          <w:szCs w:val="32"/>
          <w:lang w:val="en-US" w:eastAsia="en-US"/>
        </w:rPr>
        <w:t>1.一般公共预算拨款收入：指省级财政当年拨付的资金。</w:t>
      </w:r>
    </w:p>
    <w:p w14:paraId="37FA7C4A">
      <w:pPr>
        <w:spacing w:line="560" w:lineRule="exact"/>
        <w:ind w:firstLine="640" w:firstLineChars="200"/>
        <w:rPr>
          <w:rFonts w:hint="default" w:eastAsia="方正仿宋_GBK"/>
          <w:color w:val="auto"/>
          <w:sz w:val="32"/>
          <w:szCs w:val="32"/>
          <w:lang w:val="en-US" w:eastAsia="en-US"/>
        </w:rPr>
      </w:pPr>
      <w:r>
        <w:rPr>
          <w:rFonts w:hint="default" w:eastAsia="方正仿宋_GBK"/>
          <w:color w:val="auto"/>
          <w:sz w:val="32"/>
          <w:szCs w:val="32"/>
          <w:lang w:val="en-US" w:eastAsia="en-US"/>
        </w:rPr>
        <w:t>2.上年结转：指以前年度尚未完成，结转到本年仍按原规定用途继续使用的资金。</w:t>
      </w:r>
    </w:p>
    <w:p w14:paraId="276F3AA2">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3.社会保障和就业（类）行政事业单位离退休（款）机关事业单位基本养老保险缴费支出（项）：指残疾人联合会及残疾人康复中心人员的养老保险缴费支出。</w:t>
      </w:r>
    </w:p>
    <w:p w14:paraId="013E12CB">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4.社会保障和就业（类）行政事业单位离退休（款）机关事业单位职业年金缴费支出（项）：指残疾人联合会及残疾人康复中心人员的职业年金缴费的支出。</w:t>
      </w:r>
    </w:p>
    <w:p w14:paraId="1D5A0DC9">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5.社会保障和就业（类）残疾人事业（款）行政运行（项）：指残疾人联合会人员工资福利残保金和公用经费的支出。</w:t>
      </w:r>
    </w:p>
    <w:p w14:paraId="4FDCA572">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6.社会保障和就业（类）残疾人事业（款）机关服务（项）：残疾人康复中心的人员工资福利和残保金支出。</w:t>
      </w:r>
    </w:p>
    <w:p w14:paraId="491824AB">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7.社会保障和就业（类）残疾人事业（款）残疾人就业和扶贫（项）：指残疾人联合会用于残疾人就业和扶贫等方面的支出。</w:t>
      </w:r>
    </w:p>
    <w:p w14:paraId="3451CE2E">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8.社会保障和就业（类）残疾人事业（款）其他残疾人事业支出（项）：指残疾人联合会用于残疾人事业方面的支出。</w:t>
      </w:r>
    </w:p>
    <w:p w14:paraId="63C5CEE2">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9.卫生健康支出（类）行政单位医疗（款）事业单位医疗（项）：指行政单位（包括实行公务员管理的事业单位）用于缴纳单位基本医疗保险支出。</w:t>
      </w:r>
    </w:p>
    <w:p w14:paraId="37B88E6A">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10.卫生健康支出（类）行政事业单位医疗（款）事业单位医疗（项）：指事业单位用于缴纳单位基本医疗保险支出。</w:t>
      </w:r>
    </w:p>
    <w:p w14:paraId="3CECAA08">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11.卫生健康支出（类）行政事业单位医疗（款）公务员医疗补助（项）：参公管理事业单位用于集中缴纳公务员医疗补助支出。</w:t>
      </w:r>
    </w:p>
    <w:p w14:paraId="70C1DF0A">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12.住房保障支出（类）住房改革支出（款）住房公积金（项）：指按照《住房公积金管理条例》的规定，由单位及其在职职工缴存的长期住房储金。</w:t>
      </w:r>
    </w:p>
    <w:p w14:paraId="2377E266">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13.基本支出：指为保证机构正常运转，完成日常工作任务而发生的人员支出和公用支出。</w:t>
      </w:r>
    </w:p>
    <w:p w14:paraId="1C5B4DE7">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14.项目支出：指在基本支出之外为完成特定行政任务和事业发展目标所发生的支出。</w:t>
      </w:r>
    </w:p>
    <w:p w14:paraId="31146F63">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15.“三公”经费：纳入金川县残疾人联合会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F14D6BE">
      <w:pPr>
        <w:spacing w:line="560" w:lineRule="exact"/>
        <w:ind w:firstLine="640" w:firstLineChars="200"/>
        <w:rPr>
          <w:rFonts w:hint="eastAsia" w:eastAsia="方正仿宋_GBK"/>
          <w:color w:val="auto"/>
          <w:sz w:val="32"/>
          <w:szCs w:val="32"/>
          <w:lang w:val="en-US" w:eastAsia="zh-CN"/>
        </w:rPr>
      </w:pPr>
      <w:r>
        <w:rPr>
          <w:rFonts w:hint="eastAsia" w:eastAsia="方正仿宋_GBK"/>
          <w:color w:val="auto"/>
          <w:sz w:val="32"/>
          <w:szCs w:val="32"/>
          <w:lang w:val="en-US" w:eastAsia="zh-CN"/>
        </w:rPr>
        <w:t>16.机关运行经费：为保障行政单位（包含参照公务员法管理的事业单位）运行用于购买货物和服务的各项资金。包括办公及办公费、水费、电费、印刷费、邮电费、差旅费、会议费等费用开支。</w:t>
      </w:r>
    </w:p>
    <w:p w14:paraId="3DAE6DFD">
      <w:pPr>
        <w:spacing w:line="560" w:lineRule="exact"/>
        <w:ind w:firstLine="640" w:firstLineChars="200"/>
        <w:rPr>
          <w:rFonts w:hint="default" w:eastAsia="方正仿宋_GBK"/>
          <w:color w:val="auto"/>
          <w:sz w:val="32"/>
          <w:szCs w:val="32"/>
          <w:lang w:val="en-US" w:eastAsia="en-US"/>
        </w:rPr>
      </w:pPr>
    </w:p>
    <w:p w14:paraId="7A7B28E3">
      <w:pPr>
        <w:spacing w:line="560" w:lineRule="exact"/>
        <w:ind w:firstLine="640" w:firstLineChars="200"/>
        <w:rPr>
          <w:rFonts w:hint="default" w:eastAsia="方正仿宋_GBK"/>
          <w:color w:val="auto"/>
          <w:sz w:val="32"/>
          <w:szCs w:val="32"/>
          <w:lang w:val="en-US" w:eastAsia="en-US"/>
        </w:rPr>
      </w:pPr>
      <w:r>
        <w:rPr>
          <w:rFonts w:hint="default" w:eastAsia="方正仿宋_GBK"/>
          <w:color w:val="auto"/>
          <w:sz w:val="32"/>
          <w:szCs w:val="32"/>
          <w:lang w:val="en-US" w:eastAsia="en-US"/>
        </w:rPr>
        <w:t>　　</w:t>
      </w:r>
      <w:bookmarkStart w:id="0" w:name="_GoBack"/>
      <w:bookmarkEnd w:id="0"/>
    </w:p>
    <w:p w14:paraId="47DAA0D8"/>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D822F38-32C1-48A4-913E-720ACE229E6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E93DAD43-C789-4379-BE1C-42BC29BEFBBA}"/>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FB80B63A-6439-4435-B477-82991A21193A}"/>
  </w:font>
  <w:font w:name="方正黑体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2000000000000000000"/>
    <w:charset w:val="86"/>
    <w:family w:val="script"/>
    <w:pitch w:val="default"/>
    <w:sig w:usb0="00000000" w:usb1="00000000" w:usb2="00082016" w:usb3="00000000" w:csb0="00040001" w:csb1="00000000"/>
    <w:embedRegular r:id="rId4" w:fontKey="{F8A644F8-4DE0-429B-9A61-12E84070FB8A}"/>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aturday Sans Regular">
    <w:panose1 w:val="02010600010101010101"/>
    <w:charset w:val="86"/>
    <w:family w:val="auto"/>
    <w:pitch w:val="default"/>
    <w:sig w:usb0="00000001" w:usb1="080E0000" w:usb2="00000000" w:usb3="00000000" w:csb0="00040000" w:csb1="00000000"/>
  </w:font>
  <w:font w:name="方正公文仿宋">
    <w:panose1 w:val="02000500000000000000"/>
    <w:charset w:val="86"/>
    <w:family w:val="auto"/>
    <w:pitch w:val="default"/>
    <w:sig w:usb0="A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 w:name="Calibri Light">
    <w:panose1 w:val="020F0302020204030204"/>
    <w:charset w:val="00"/>
    <w:family w:val="auto"/>
    <w:pitch w:val="default"/>
    <w:sig w:usb0="A00002EF" w:usb1="4000207B" w:usb2="00000000" w:usb3="00000000" w:csb0="2000019F" w:csb1="00000000"/>
  </w:font>
  <w:font w:name="新宋体">
    <w:panose1 w:val="02010609030101010101"/>
    <w:charset w:val="86"/>
    <w:family w:val="auto"/>
    <w:pitch w:val="default"/>
    <w:sig w:usb0="00000003" w:usb1="288F0000" w:usb2="00000006" w:usb3="00000000" w:csb0="00040001" w:csb1="00000000"/>
  </w:font>
  <w:font w:name="Meiryo">
    <w:panose1 w:val="020B0604030504040204"/>
    <w:charset w:val="80"/>
    <w:family w:val="auto"/>
    <w:pitch w:val="default"/>
    <w:sig w:usb0="E10102FF" w:usb1="EAC7FFFF" w:usb2="00010012" w:usb3="00000000" w:csb0="6002009F" w:csb1="DFD70000"/>
  </w:font>
  <w:font w:name="SimSun-ExtB">
    <w:panose1 w:val="02010609060101010101"/>
    <w:charset w:val="86"/>
    <w:family w:val="auto"/>
    <w:pitch w:val="default"/>
    <w:sig w:usb0="00000001" w:usb1="02000000" w:usb2="00000000" w:usb3="00000000" w:csb0="00040001" w:csb1="00000000"/>
  </w:font>
  <w:font w:name="Aparajita">
    <w:panose1 w:val="020B0604020202020204"/>
    <w:charset w:val="00"/>
    <w:family w:val="auto"/>
    <w:pitch w:val="default"/>
    <w:sig w:usb0="00008003" w:usb1="00000000" w:usb2="00000000" w:usb3="00000000" w:csb0="00000001" w:csb1="00000000"/>
  </w:font>
  <w:font w:name="方正大黑体_GBK">
    <w:altName w:val="方正大黑体_GBK"/>
    <w:panose1 w:val="02010600010101010101"/>
    <w:charset w:val="86"/>
    <w:family w:val="auto"/>
    <w:pitch w:val="default"/>
    <w:sig w:usb0="00000001" w:usb1="080E0000" w:usb2="00000000" w:usb3="00000000" w:csb0="40040001" w:csb1="C0D60000"/>
  </w:font>
  <w:font w:name="方正仿宋_GB18030">
    <w:panose1 w:val="02000000000000000000"/>
    <w:charset w:val="86"/>
    <w:family w:val="auto"/>
    <w:pitch w:val="default"/>
    <w:sig w:usb0="00000001" w:usb1="08000000" w:usb2="00000000" w:usb3="00000000" w:csb0="00040000" w:csb1="00000000"/>
  </w:font>
  <w:font w:name="BatangChe">
    <w:panose1 w:val="02030609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727AC3"/>
    <w:rsid w:val="30A12956"/>
    <w:rsid w:val="42AD2F3D"/>
    <w:rsid w:val="521D1FB9"/>
    <w:rsid w:val="565E0EBF"/>
    <w:rsid w:val="5B8228C3"/>
    <w:rsid w:val="74727AC3"/>
    <w:rsid w:val="7B253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3824</Words>
  <Characters>4199</Characters>
  <Lines>0</Lines>
  <Paragraphs>0</Paragraphs>
  <TotalTime>6</TotalTime>
  <ScaleCrop>false</ScaleCrop>
  <LinksUpToDate>false</LinksUpToDate>
  <CharactersWithSpaces>4332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2025-02-25T02:13:00Z</dcterms:created>
  <dc:creator>空月</dc:creator>
  <cp:lastModifiedBy>空月</cp:lastModifiedBy>
  <dcterms:modified xsi:type="dcterms:W3CDTF">2025-02-25T03:23:41Z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313FC99687B44F39B7AE45736DAC1098_13</vt:lpwstr>
  </property>
  <property fmtid="{D5CDD505-2E9C-101B-9397-08002B2CF9AE}" pid="4" name="KSOTemplateDocerSaveRecord">
    <vt:lpwstr>eyJoZGlkIjoiOGFjYTY2YjI4N2JkMjM1MjFlNDhmZmUyOGYwNDhlNGYiLCJ1c2VySWQiOiI0MTQxMzEzNzMifQ==</vt:lpwstr>
  </property>
</Properties>
</file>