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E421D">
      <w:pPr>
        <w:widowControl/>
        <w:spacing w:line="560" w:lineRule="exact"/>
        <w:ind w:firstLine="60"/>
        <w:jc w:val="center"/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eastAsia="zh-CN" w:bidi="ar-SA"/>
        </w:rPr>
      </w:pPr>
      <w:r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eastAsia="zh-CN" w:bidi="ar-SA"/>
        </w:rPr>
        <w:t>金川县残疾人联合会</w:t>
      </w:r>
    </w:p>
    <w:p w14:paraId="330F2F95">
      <w:pPr>
        <w:widowControl/>
        <w:spacing w:line="560" w:lineRule="exact"/>
        <w:ind w:firstLine="60"/>
        <w:jc w:val="center"/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eastAsia="zh-CN" w:bidi="ar-SA"/>
        </w:rPr>
      </w:pPr>
      <w:r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eastAsia="zh-CN" w:bidi="ar-SA"/>
        </w:rPr>
        <w:t>20</w:t>
      </w:r>
      <w:r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  <w:t>25</w:t>
      </w:r>
      <w:r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eastAsia="zh-CN" w:bidi="ar-SA"/>
        </w:rPr>
        <w:t>年“三公”经费预算情况说明</w:t>
      </w:r>
    </w:p>
    <w:p w14:paraId="36987A49">
      <w:pPr>
        <w:widowControl/>
        <w:spacing w:line="560" w:lineRule="exact"/>
        <w:ind w:firstLine="60"/>
        <w:jc w:val="center"/>
        <w:rPr>
          <w:rFonts w:hint="default" w:ascii="Times New Roman" w:hAnsi="Times New Roman" w:eastAsia="方正大标宋_GBK" w:cs="Times New Roman"/>
          <w:color w:val="333333"/>
          <w:kern w:val="0"/>
          <w:sz w:val="44"/>
          <w:szCs w:val="44"/>
          <w:lang w:bidi="ar-SA"/>
        </w:rPr>
      </w:pPr>
    </w:p>
    <w:p w14:paraId="48385CF3">
      <w:pPr>
        <w:widowControl/>
        <w:spacing w:line="560" w:lineRule="exact"/>
        <w:ind w:firstLine="60"/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</w:pP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val="en-US" w:eastAsia="zh-CN" w:bidi="ar-SA"/>
        </w:rPr>
        <w:t xml:space="preserve">   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金川县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残疾人联合会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财政拨款“三公”经费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202</w:t>
      </w:r>
      <w:r>
        <w:rPr>
          <w:rFonts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5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年预算情况如下：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　　</w:t>
      </w:r>
      <w:r>
        <w:rPr>
          <w:rFonts w:hint="eastAsia" w:ascii="方正黑体_GBK" w:eastAsia="方正黑体_GBK" w:cs="Times New Roman"/>
          <w:color w:val="333333"/>
          <w:kern w:val="0"/>
          <w:sz w:val="32"/>
          <w:szCs w:val="32"/>
          <w:lang w:bidi="ar-SA"/>
        </w:rPr>
        <w:t>一、因公出国（境）经费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　　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202</w:t>
      </w:r>
      <w:r>
        <w:rPr>
          <w:rFonts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5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年预算安排出国出境安排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万元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。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　　</w:t>
      </w:r>
      <w:r>
        <w:rPr>
          <w:rFonts w:hint="eastAsia" w:ascii="方正黑体_GBK" w:eastAsia="方正黑体_GBK" w:cs="Times New Roman"/>
          <w:color w:val="333333"/>
          <w:kern w:val="0"/>
          <w:sz w:val="32"/>
          <w:szCs w:val="32"/>
          <w:lang w:bidi="ar-SA"/>
        </w:rPr>
        <w:t>二、公务接待费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 xml:space="preserve">　  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2025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年预算公务接待费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万元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，较上年预算增长（下降）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万元，增长（下降）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%。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　　</w:t>
      </w:r>
      <w:r>
        <w:rPr>
          <w:rFonts w:hint="eastAsia" w:ascii="方正黑体_GBK" w:eastAsia="方正黑体_GBK" w:cs="Times New Roman"/>
          <w:color w:val="333333"/>
          <w:kern w:val="0"/>
          <w:sz w:val="32"/>
          <w:szCs w:val="32"/>
          <w:lang w:bidi="ar-SA"/>
        </w:rPr>
        <w:t>三、公务用车购置及运行维护费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　　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2025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年预算安排</w:t>
      </w:r>
      <w:r>
        <w:rPr>
          <w:rFonts w:hint="eastAsia" w:ascii="Times New Roman" w:hAnsi="Times New Roman" w:eastAsia="方正仿宋_GBK" w:cs="Times New Roman"/>
          <w:kern w:val="0"/>
          <w:sz w:val="36"/>
          <w:szCs w:val="36"/>
          <w:lang w:val="en-US" w:eastAsia="zh-CN" w:bidi="ar-SA"/>
        </w:rPr>
        <w:t>1.5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万元，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较上年预算增长（下降）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万元，增长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0万元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（下降）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%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。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　　单位共有公务用车</w:t>
      </w:r>
      <w:r>
        <w:rPr>
          <w:rFonts w:hint="eastAsia" w:ascii="Times New Roman" w:hAnsi="Times New Roman" w:eastAsia="方正仿宋_GBK" w:cs="Times New Roman"/>
          <w:kern w:val="0"/>
          <w:sz w:val="36"/>
          <w:szCs w:val="36"/>
          <w:lang w:val="en-US" w:eastAsia="zh-CN" w:bidi="ar-SA"/>
        </w:rPr>
        <w:t>1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辆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（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其中：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越野车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辆）。　　</w:t>
      </w:r>
    </w:p>
    <w:p w14:paraId="3AB7A917">
      <w:pPr>
        <w:widowControl/>
        <w:spacing w:line="560" w:lineRule="exact"/>
        <w:ind w:firstLine="60"/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　　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2025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年安排公务用车运行维护费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1.5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万元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，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用于</w:t>
      </w:r>
      <w:r>
        <w:rPr>
          <w:rFonts w:hint="eastAsia" w:ascii="Times New Roman" w:hAnsi="Times New Roman" w:eastAsia="方正仿宋_GBK" w:cs="Times New Roman"/>
          <w:kern w:val="0"/>
          <w:sz w:val="36"/>
          <w:szCs w:val="36"/>
          <w:lang w:val="en-US" w:eastAsia="zh-CN" w:bidi="ar-SA"/>
        </w:rPr>
        <w:t>1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辆公务用车燃油、维修、保险等方面支出。主要保障等工作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，较上年预算增长（下降）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万元，增长（下降）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 xml:space="preserve">% 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。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 xml:space="preserve">     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2025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年安排公务用车购置费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万元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。</w:t>
      </w:r>
    </w:p>
    <w:p w14:paraId="6215B88A">
      <w:pPr>
        <w:widowControl/>
        <w:spacing w:line="560" w:lineRule="exact"/>
        <w:ind w:firstLine="60"/>
        <w:jc w:val="center"/>
        <w:rPr>
          <w:rFonts w:hint="eastAsia" w:ascii="仿宋_GB2312" w:eastAsia="仿宋_GB2312" w:cs="仿宋_GB2312"/>
          <w:kern w:val="0"/>
          <w:sz w:val="32"/>
          <w:szCs w:val="32"/>
          <w:lang w:bidi="ar-SA"/>
        </w:rPr>
      </w:pPr>
    </w:p>
    <w:p w14:paraId="018FC345">
      <w:pPr>
        <w:widowControl/>
        <w:spacing w:line="560" w:lineRule="exact"/>
        <w:ind w:firstLine="60"/>
        <w:jc w:val="center"/>
        <w:rPr>
          <w:rFonts w:hint="eastAsia" w:ascii="仿宋_GB2312" w:eastAsia="仿宋_GB2312" w:cs="仿宋_GB2312"/>
          <w:kern w:val="0"/>
          <w:sz w:val="32"/>
          <w:szCs w:val="32"/>
          <w:lang w:bidi="ar-SA"/>
        </w:rPr>
      </w:pPr>
    </w:p>
    <w:p w14:paraId="794D8C25">
      <w:pPr>
        <w:widowControl/>
        <w:spacing w:line="560" w:lineRule="exact"/>
        <w:ind w:firstLine="60"/>
        <w:jc w:val="center"/>
        <w:rPr>
          <w:rFonts w:hint="eastAsia" w:ascii="仿宋_GB2312" w:eastAsia="仿宋_GB2312" w:cs="仿宋_GB2312"/>
          <w:kern w:val="0"/>
          <w:sz w:val="32"/>
          <w:szCs w:val="32"/>
          <w:lang w:bidi="ar-SA"/>
        </w:rPr>
      </w:pPr>
    </w:p>
    <w:p w14:paraId="623AACD8">
      <w:pPr>
        <w:widowControl/>
        <w:spacing w:line="560" w:lineRule="exact"/>
        <w:ind w:firstLine="60"/>
        <w:jc w:val="center"/>
        <w:rPr>
          <w:rFonts w:hint="eastAsia" w:ascii="仿宋_GB2312" w:eastAsia="仿宋_GB2312" w:cs="仿宋_GB2312"/>
          <w:kern w:val="0"/>
          <w:sz w:val="32"/>
          <w:szCs w:val="32"/>
          <w:lang w:bidi="ar-SA"/>
        </w:rPr>
      </w:pPr>
    </w:p>
    <w:p w14:paraId="5707D8FB">
      <w:pPr>
        <w:widowControl/>
        <w:spacing w:line="560" w:lineRule="exact"/>
        <w:ind w:firstLine="60"/>
        <w:jc w:val="center"/>
        <w:rPr>
          <w:rFonts w:hint="eastAsia" w:ascii="仿宋_GB2312" w:eastAsia="仿宋_GB2312" w:cs="仿宋_GB2312"/>
          <w:kern w:val="0"/>
          <w:sz w:val="32"/>
          <w:szCs w:val="32"/>
          <w:lang w:bidi="ar-SA"/>
        </w:rPr>
      </w:pPr>
    </w:p>
    <w:p w14:paraId="196C3D79">
      <w:pPr>
        <w:widowControl/>
        <w:spacing w:line="560" w:lineRule="exact"/>
        <w:ind w:firstLine="60"/>
        <w:jc w:val="center"/>
        <w:rPr>
          <w:rFonts w:hint="eastAsia" w:ascii="仿宋_GB2312" w:eastAsia="仿宋_GB2312" w:cs="仿宋_GB2312"/>
          <w:kern w:val="0"/>
          <w:sz w:val="32"/>
          <w:szCs w:val="32"/>
          <w:lang w:bidi="ar-SA"/>
        </w:rPr>
      </w:pPr>
    </w:p>
    <w:p w14:paraId="269AF363">
      <w:pPr>
        <w:widowControl/>
        <w:spacing w:line="560" w:lineRule="exact"/>
        <w:ind w:firstLine="60"/>
        <w:jc w:val="center"/>
        <w:rPr>
          <w:rFonts w:hint="default" w:ascii="Times New Roman" w:hAnsi="Times New Roman" w:eastAsia="方正小标宋_GBK" w:cs="Times New Roman"/>
          <w:color w:val="333333"/>
          <w:kern w:val="0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333333"/>
          <w:kern w:val="0"/>
          <w:sz w:val="36"/>
          <w:szCs w:val="36"/>
          <w:lang w:eastAsia="zh-CN" w:bidi="ar-SA"/>
        </w:rPr>
        <w:t>金川县</w:t>
      </w:r>
      <w:r>
        <w:rPr>
          <w:rFonts w:hint="eastAsia" w:ascii="Times New Roman" w:hAnsi="Times New Roman" w:eastAsia="方正小标宋_GBK" w:cs="Times New Roman"/>
          <w:color w:val="333333"/>
          <w:kern w:val="0"/>
          <w:sz w:val="36"/>
          <w:szCs w:val="36"/>
          <w:lang w:val="en-US" w:eastAsia="zh-CN" w:bidi="ar-SA"/>
        </w:rPr>
        <w:t>残疾人联合会</w:t>
      </w:r>
    </w:p>
    <w:p w14:paraId="42A9FC61">
      <w:pPr>
        <w:widowControl/>
        <w:spacing w:line="560" w:lineRule="exact"/>
        <w:ind w:firstLine="60"/>
        <w:jc w:val="center"/>
        <w:rPr>
          <w:rFonts w:hint="default" w:ascii="Times New Roman" w:hAnsi="Times New Roman" w:eastAsia="方正小标宋_GBK" w:cs="Times New Roman"/>
          <w:color w:val="333333"/>
          <w:kern w:val="0"/>
          <w:sz w:val="36"/>
          <w:szCs w:val="36"/>
          <w:lang w:bidi="ar-SA"/>
        </w:rPr>
      </w:pPr>
      <w:r>
        <w:rPr>
          <w:rFonts w:hint="default" w:ascii="Times New Roman" w:hAnsi="Times New Roman" w:eastAsia="方正小标宋_GBK" w:cs="Times New Roman"/>
          <w:color w:val="333333"/>
          <w:kern w:val="0"/>
          <w:sz w:val="36"/>
          <w:szCs w:val="36"/>
          <w:lang w:eastAsia="zh-CN" w:bidi="ar-SA"/>
        </w:rPr>
        <w:t>2025</w:t>
      </w:r>
      <w:r>
        <w:rPr>
          <w:rFonts w:hint="default" w:ascii="Times New Roman" w:hAnsi="Times New Roman" w:eastAsia="方正小标宋_GBK" w:cs="Times New Roman"/>
          <w:color w:val="333333"/>
          <w:kern w:val="0"/>
          <w:sz w:val="36"/>
          <w:szCs w:val="36"/>
          <w:lang w:bidi="ar-SA"/>
        </w:rPr>
        <w:t>年财政拨款“三公”经费预算情况表</w:t>
      </w:r>
    </w:p>
    <w:p w14:paraId="21222D03">
      <w:pPr>
        <w:widowControl/>
        <w:spacing w:line="560" w:lineRule="exact"/>
        <w:ind w:firstLine="60"/>
        <w:jc w:val="center"/>
        <w:rPr>
          <w:rFonts w:hint="eastAsia" w:ascii="方正小标宋简体" w:eastAsia="方正小标宋简体" w:cs="方正小标宋简体"/>
          <w:color w:val="333333"/>
          <w:kern w:val="0"/>
          <w:sz w:val="36"/>
          <w:szCs w:val="36"/>
          <w:lang w:bidi="ar-SA"/>
        </w:rPr>
      </w:pPr>
    </w:p>
    <w:p w14:paraId="2188A6A9">
      <w:pPr>
        <w:widowControl/>
        <w:spacing w:line="560" w:lineRule="exact"/>
        <w:ind w:firstLine="60"/>
        <w:jc w:val="center"/>
        <w:rPr>
          <w:rFonts w:hint="eastAsia" w:ascii="仿宋_GB2312" w:eastAsia="仿宋_GB2312" w:cs="仿宋_GB2312"/>
          <w:color w:val="333333"/>
          <w:kern w:val="0"/>
          <w:sz w:val="32"/>
          <w:szCs w:val="32"/>
          <w:lang w:bidi="ar-SA"/>
        </w:rPr>
      </w:pP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bidi="ar-SA"/>
        </w:rPr>
        <w:t xml:space="preserve">                                         单位：万元</w:t>
      </w:r>
      <w:bookmarkStart w:id="0" w:name="_GoBack"/>
      <w:bookmarkEnd w:id="0"/>
    </w:p>
    <w:tbl>
      <w:tblPr>
        <w:tblStyle w:val="3"/>
        <w:tblW w:w="0" w:type="auto"/>
        <w:tblCellSpacing w:w="7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98"/>
        <w:gridCol w:w="3858"/>
      </w:tblGrid>
      <w:tr w14:paraId="534946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61268BC">
            <w:pPr>
              <w:widowControl/>
              <w:spacing w:line="560" w:lineRule="exact"/>
              <w:jc w:val="left"/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　　　　　项       目</w:t>
            </w:r>
          </w:p>
        </w:tc>
        <w:tc>
          <w:tcPr>
            <w:tcW w:w="38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5834271">
            <w:pPr>
              <w:widowControl/>
              <w:spacing w:line="560" w:lineRule="exact"/>
              <w:jc w:val="center"/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eastAsia="zh-CN" w:bidi="ar-SA"/>
              </w:rPr>
              <w:t>2025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年预算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br w:type="textWrapping"/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　　　　　　（万元）</w:t>
            </w:r>
          </w:p>
        </w:tc>
      </w:tr>
      <w:tr w14:paraId="4576EF7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1165577">
            <w:pPr>
              <w:widowControl/>
              <w:spacing w:line="560" w:lineRule="exact"/>
              <w:jc w:val="left"/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因公出国（境）经费</w:t>
            </w:r>
          </w:p>
        </w:tc>
        <w:tc>
          <w:tcPr>
            <w:tcW w:w="38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DDDD552">
            <w:pPr>
              <w:widowControl/>
              <w:spacing w:line="560" w:lineRule="exact"/>
              <w:jc w:val="center"/>
              <w:rPr>
                <w:rFonts w:hint="default" w:ascii="仿宋_GB2312" w:eastAsia="仿宋_GB2312" w:cs="仿宋_GB2312"/>
                <w:kern w:val="0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0</w:t>
            </w:r>
          </w:p>
        </w:tc>
      </w:tr>
      <w:tr w14:paraId="3CDBAB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6A5AC39">
            <w:pPr>
              <w:widowControl/>
              <w:spacing w:line="560" w:lineRule="exact"/>
              <w:jc w:val="left"/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公务接待费</w:t>
            </w:r>
          </w:p>
        </w:tc>
        <w:tc>
          <w:tcPr>
            <w:tcW w:w="38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4191397">
            <w:pPr>
              <w:widowControl/>
              <w:spacing w:line="560" w:lineRule="exact"/>
              <w:jc w:val="center"/>
              <w:rPr>
                <w:rFonts w:hint="eastAsia" w:ascii="仿宋_GB2312" w:eastAsia="仿宋_GB2312" w:cs="仿宋_GB2312"/>
                <w:kern w:val="0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0</w:t>
            </w:r>
          </w:p>
        </w:tc>
      </w:tr>
      <w:tr w14:paraId="44E28CC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212FD9F">
            <w:pPr>
              <w:widowControl/>
              <w:spacing w:line="560" w:lineRule="exact"/>
              <w:jc w:val="left"/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公务用车购置及运行维护费</w:t>
            </w:r>
          </w:p>
        </w:tc>
        <w:tc>
          <w:tcPr>
            <w:tcW w:w="38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7AF37D7">
            <w:pPr>
              <w:widowControl/>
              <w:spacing w:line="560" w:lineRule="exact"/>
              <w:jc w:val="center"/>
              <w:rPr>
                <w:rFonts w:hint="default" w:asci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1.5</w:t>
            </w:r>
          </w:p>
        </w:tc>
      </w:tr>
      <w:tr w14:paraId="7A4FB6C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B766769">
            <w:pPr>
              <w:widowControl/>
              <w:spacing w:line="560" w:lineRule="exact"/>
              <w:jc w:val="left"/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　　其中：购置经费</w:t>
            </w:r>
          </w:p>
        </w:tc>
        <w:tc>
          <w:tcPr>
            <w:tcW w:w="38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58F5A5F">
            <w:pPr>
              <w:widowControl/>
              <w:spacing w:line="560" w:lineRule="exact"/>
              <w:jc w:val="center"/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0</w:t>
            </w:r>
          </w:p>
        </w:tc>
      </w:tr>
      <w:tr w14:paraId="135B9A7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FE8EEA5">
            <w:pPr>
              <w:widowControl/>
              <w:spacing w:line="560" w:lineRule="exact"/>
              <w:jc w:val="left"/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　　　　　运行维护费</w:t>
            </w:r>
          </w:p>
        </w:tc>
        <w:tc>
          <w:tcPr>
            <w:tcW w:w="38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4CC04B8">
            <w:pPr>
              <w:widowControl/>
              <w:spacing w:line="560" w:lineRule="exact"/>
              <w:jc w:val="center"/>
              <w:rPr>
                <w:rFonts w:hint="eastAsia" w:ascii="仿宋_GB2312" w:eastAsia="仿宋_GB2312" w:cs="仿宋_GB2312"/>
                <w:kern w:val="0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1.5</w:t>
            </w:r>
          </w:p>
        </w:tc>
      </w:tr>
    </w:tbl>
    <w:p w14:paraId="57988B10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45145BE5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58D53062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46ABF8A6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07F191B8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52285707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7DE8B61B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091DEF0B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7B6AD658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0BB63812">
      <w:pPr>
        <w:spacing w:line="560" w:lineRule="exact"/>
        <w:rPr>
          <w:rFonts w:hint="eastAsia" w:ascii="仿宋_GB2312" w:eastAsia="仿宋_GB2312" w:cs="仿宋_GB2312"/>
          <w:color w:val="333333"/>
          <w:kern w:val="0"/>
          <w:sz w:val="32"/>
          <w:szCs w:val="32"/>
          <w:lang w:bidi="ar-SA"/>
        </w:rPr>
      </w:pPr>
    </w:p>
    <w:p w14:paraId="27C8DB5C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36C4B9FC-5384-4D5A-B280-72DD6EC3E600}"/>
  </w:font>
  <w:font w:name="方正大标宋_GBK">
    <w:altName w:val="宋体"/>
    <w:panose1 w:val="02000000000000000000"/>
    <w:charset w:val="86"/>
    <w:family w:val="script"/>
    <w:pitch w:val="default"/>
    <w:sig w:usb0="00000000" w:usb1="00000000" w:usb2="00000000" w:usb3="00000000" w:csb0="00040001" w:csb1="00000000"/>
    <w:embedRegular r:id="rId2" w:fontKey="{B619B1B6-66DB-4AEB-B9EE-04F29EEBB6C5}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7222491-4BA6-4A22-B70F-90084F85E550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B55D0C3C-6626-42B9-9DD7-DCD0A1075B8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2AE15298-1214-45DF-9BE6-DFFE819C44AC}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  <w:embedRegular r:id="rId6" w:fontKey="{A1B82B57-8E5B-49D8-BE51-50BB5AC0AA45}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7" w:fontKey="{4D75D0E4-C825-4A07-977A-1BA204F0477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E3BA9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B33F7"/>
    <w:rsid w:val="325B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MT Extra" w:hAnsi="MT Extra" w:eastAsia="宋体" w:cs="MT Extra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2025-02-25T03:24:00Z</dcterms:created>
  <dc:creator>空月</dc:creator>
  <cp:lastModifiedBy>空月</cp:lastModifiedBy>
  <dcterms:modified xsi:type="dcterms:W3CDTF">2025-02-25T03:30:43Z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ABAC3BFC96614B17B1F473E3B1D873A5_11</vt:lpwstr>
  </property>
  <property fmtid="{D5CDD505-2E9C-101B-9397-08002B2CF9AE}" pid="4" name="KSOTemplateDocerSaveRecord">
    <vt:lpwstr>eyJoZGlkIjoiOGFjYTY2YjI4N2JkMjM1MjFlNDhmZmUyOGYwNDhlNGYiLCJ1c2VySWQiOiI0MTQxMzEzNzMifQ==</vt:lpwstr>
  </property>
</Properties>
</file>