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8775" w:type="dxa"/>
        <w:tblCellSpacing w:w="0" w:type="dxa"/>
        <w:tblInd w:w="0" w:type="dxa"/>
        <w:tblLayout w:type="fixed"/>
        <w:tblCellMar>
          <w:top w:w="0" w:type="dxa"/>
          <w:left w:w="0" w:type="dxa"/>
          <w:bottom w:w="0" w:type="dxa"/>
          <w:right w:w="0" w:type="dxa"/>
        </w:tblCellMar>
      </w:tblPr>
      <w:tblGrid>
        <w:gridCol w:w="8775"/>
      </w:tblGrid>
      <w:tr>
        <w:trPr>
          <w:tblCellSpacing w:w="0" w:type="dxa"/>
        </w:trPr>
        <w:tc>
          <w:tcPr>
            <w:tcW w:w="8775" w:type="dxa"/>
            <w:tcMar>
              <w:top w:w="150" w:type="dxa"/>
              <w:left w:w="75" w:type="dxa"/>
              <w:bottom w:w="0" w:type="dxa"/>
              <w:right w:w="0" w:type="dxa"/>
            </w:tcMar>
          </w:tcPr>
          <w:p>
            <w:pPr>
              <w:widowControl/>
              <w:numPr>
                <w:ilvl w:val="0"/>
                <w:numId w:val="0"/>
              </w:numPr>
              <w:spacing w:line="480" w:lineRule="atLeast"/>
              <w:jc w:val="center"/>
              <w:rPr>
                <w:rFonts w:hint="eastAsia" w:ascii="仿宋_GB2312" w:hAnsi="宋体" w:eastAsia="仿宋_GB2312" w:cs="宋体"/>
                <w:b/>
                <w:bCs/>
                <w:color w:val="333333"/>
                <w:kern w:val="0"/>
                <w:sz w:val="44"/>
                <w:szCs w:val="44"/>
                <w:lang w:val="en-US" w:eastAsia="zh-CN"/>
              </w:rPr>
            </w:pPr>
            <w:r>
              <w:rPr>
                <w:rFonts w:hint="eastAsia" w:ascii="仿宋_GB2312" w:hAnsi="宋体" w:eastAsia="仿宋_GB2312" w:cs="宋体"/>
                <w:b/>
                <w:bCs/>
                <w:color w:val="333333"/>
                <w:kern w:val="0"/>
                <w:sz w:val="44"/>
                <w:szCs w:val="44"/>
                <w:lang w:val="en-US" w:eastAsia="zh-CN"/>
              </w:rPr>
              <w:t>金川县残疾人联合会2023年</w:t>
            </w:r>
          </w:p>
          <w:p>
            <w:pPr>
              <w:widowControl/>
              <w:numPr>
                <w:ilvl w:val="0"/>
                <w:numId w:val="0"/>
              </w:numPr>
              <w:spacing w:line="480" w:lineRule="atLeast"/>
              <w:jc w:val="center"/>
              <w:rPr>
                <w:rFonts w:hint="eastAsia" w:ascii="仿宋_GB2312" w:hAnsi="宋体" w:eastAsia="仿宋_GB2312" w:cs="宋体"/>
                <w:b/>
                <w:bCs/>
                <w:color w:val="333333"/>
                <w:kern w:val="0"/>
                <w:sz w:val="44"/>
                <w:szCs w:val="44"/>
                <w:lang w:val="en-US" w:eastAsia="zh-CN"/>
              </w:rPr>
            </w:pPr>
            <w:r>
              <w:rPr>
                <w:rFonts w:hint="eastAsia" w:ascii="仿宋_GB2312" w:hAnsi="宋体" w:eastAsia="仿宋_GB2312" w:cs="宋体"/>
                <w:b/>
                <w:bCs/>
                <w:color w:val="333333"/>
                <w:kern w:val="0"/>
                <w:sz w:val="44"/>
                <w:szCs w:val="44"/>
                <w:lang w:val="en-US" w:eastAsia="zh-CN"/>
              </w:rPr>
              <w:t>部门预算编制说明</w:t>
            </w:r>
          </w:p>
          <w:p>
            <w:pPr>
              <w:widowControl/>
              <w:numPr>
                <w:ilvl w:val="0"/>
                <w:numId w:val="0"/>
              </w:numPr>
              <w:spacing w:line="480" w:lineRule="atLeast"/>
              <w:jc w:val="center"/>
              <w:rPr>
                <w:rFonts w:hint="eastAsia" w:ascii="仿宋_GB2312" w:hAnsi="宋体" w:eastAsia="仿宋_GB2312" w:cs="宋体"/>
                <w:b/>
                <w:bCs/>
                <w:color w:val="333333"/>
                <w:kern w:val="0"/>
                <w:sz w:val="44"/>
                <w:szCs w:val="44"/>
                <w:lang w:val="en-US" w:eastAsia="zh-CN"/>
              </w:rPr>
            </w:pPr>
          </w:p>
          <w:p>
            <w:pPr>
              <w:widowControl/>
              <w:numPr>
                <w:ilvl w:val="0"/>
                <w:numId w:val="0"/>
              </w:numPr>
              <w:spacing w:line="480" w:lineRule="atLeast"/>
              <w:rPr>
                <w:rFonts w:hint="eastAsia" w:ascii="仿宋_GB2312" w:hAnsi="宋体" w:eastAsia="仿宋_GB2312" w:cs="宋体"/>
                <w:b/>
                <w:bCs/>
                <w:color w:val="333333"/>
                <w:kern w:val="0"/>
                <w:sz w:val="36"/>
                <w:szCs w:val="36"/>
                <w:lang w:val="en-US" w:eastAsia="zh-CN"/>
              </w:rPr>
            </w:pPr>
            <w:r>
              <w:rPr>
                <w:rFonts w:hint="eastAsia" w:ascii="仿宋_GB2312" w:hAnsi="宋体" w:eastAsia="仿宋_GB2312" w:cs="宋体"/>
                <w:b/>
                <w:bCs/>
                <w:color w:val="333333"/>
                <w:kern w:val="0"/>
                <w:sz w:val="36"/>
                <w:szCs w:val="36"/>
                <w:lang w:val="en-US" w:eastAsia="zh-CN"/>
              </w:rPr>
              <w:t>一、基本职能及主要工作</w:t>
            </w:r>
          </w:p>
          <w:p>
            <w:pPr>
              <w:widowControl/>
              <w:numPr>
                <w:ilvl w:val="0"/>
                <w:numId w:val="0"/>
              </w:numPr>
              <w:spacing w:line="480" w:lineRule="atLeast"/>
              <w:rPr>
                <w:rFonts w:hint="eastAsia" w:ascii="仿宋_GB2312" w:hAnsi="宋体" w:eastAsia="仿宋_GB2312" w:cs="宋体"/>
                <w:b/>
                <w:bCs/>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　</w:t>
            </w:r>
            <w:r>
              <w:rPr>
                <w:rFonts w:hint="eastAsia" w:ascii="仿宋_GB2312" w:hAnsi="宋体" w:eastAsia="仿宋_GB2312" w:cs="宋体"/>
                <w:b/>
                <w:bCs/>
                <w:color w:val="333333"/>
                <w:kern w:val="0"/>
                <w:sz w:val="28"/>
                <w:szCs w:val="28"/>
                <w:lang w:val="en-US" w:eastAsia="zh-CN"/>
              </w:rPr>
              <w:t>　</w:t>
            </w:r>
            <w:r>
              <w:rPr>
                <w:rFonts w:hint="eastAsia" w:ascii="仿宋_GB2312" w:hAnsi="宋体" w:eastAsia="仿宋_GB2312" w:cs="宋体"/>
                <w:b/>
                <w:bCs/>
                <w:color w:val="333333"/>
                <w:kern w:val="0"/>
                <w:sz w:val="32"/>
                <w:szCs w:val="32"/>
                <w:lang w:val="en-US" w:eastAsia="zh-CN"/>
              </w:rPr>
              <w:t>　（一）残联职能简介。</w:t>
            </w:r>
          </w:p>
          <w:p>
            <w:pPr>
              <w:widowControl/>
              <w:numPr>
                <w:ilvl w:val="0"/>
                <w:numId w:val="0"/>
              </w:numPr>
              <w:spacing w:line="480" w:lineRule="atLeast"/>
              <w:ind w:firstLine="640" w:firstLineChars="2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 xml:space="preserve">1、宣传、贯彻有关残疾人事业的法律、法规、规章和政策； </w:t>
            </w:r>
          </w:p>
          <w:p>
            <w:pPr>
              <w:widowControl/>
              <w:numPr>
                <w:ilvl w:val="0"/>
                <w:numId w:val="0"/>
              </w:numPr>
              <w:spacing w:line="480" w:lineRule="atLeast"/>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 xml:space="preserve">　  2、沟通残疾人与政府之间的联系，宣传残疾人事业，动员社会理解、尊重、关心、帮助残疾人； </w:t>
            </w:r>
          </w:p>
          <w:p>
            <w:pPr>
              <w:widowControl/>
              <w:numPr>
                <w:ilvl w:val="0"/>
                <w:numId w:val="0"/>
              </w:numPr>
              <w:spacing w:line="480" w:lineRule="atLeast"/>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 xml:space="preserve">　　3、承担同级人民政府委托的工作，发展残疾人事业； </w:t>
            </w:r>
          </w:p>
          <w:p>
            <w:pPr>
              <w:widowControl/>
              <w:numPr>
                <w:ilvl w:val="0"/>
                <w:numId w:val="0"/>
              </w:numPr>
              <w:spacing w:line="480" w:lineRule="atLeast"/>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 xml:space="preserve">　　4、指导、管理本地区各类残疾人群众组织，推进残疾人工作； </w:t>
            </w:r>
          </w:p>
          <w:p>
            <w:pPr>
              <w:widowControl/>
              <w:numPr>
                <w:ilvl w:val="0"/>
                <w:numId w:val="0"/>
              </w:numPr>
              <w:spacing w:line="480" w:lineRule="atLeast"/>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　　5、办理审核发放残疾证；</w:t>
            </w:r>
          </w:p>
          <w:p>
            <w:pPr>
              <w:widowControl/>
              <w:numPr>
                <w:ilvl w:val="0"/>
                <w:numId w:val="0"/>
              </w:numPr>
              <w:spacing w:line="480" w:lineRule="atLeast"/>
              <w:ind w:firstLine="640" w:firstLineChars="2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6、维护残疾人的合法权益，处理残疾人生活和工作中遇到的困难，保障残疾人平等地充分参与社会生活，共享社会物质文化成果。</w:t>
            </w:r>
          </w:p>
          <w:p>
            <w:pPr>
              <w:widowControl/>
              <w:numPr>
                <w:ilvl w:val="0"/>
                <w:numId w:val="0"/>
              </w:numPr>
              <w:spacing w:line="480" w:lineRule="atLeast"/>
              <w:rPr>
                <w:rFonts w:hint="eastAsia" w:ascii="仿宋_GB2312" w:hAnsi="宋体" w:eastAsia="仿宋_GB2312" w:cs="宋体"/>
                <w:b/>
                <w:bCs/>
                <w:color w:val="333333"/>
                <w:kern w:val="0"/>
                <w:sz w:val="32"/>
                <w:szCs w:val="32"/>
                <w:lang w:val="en-US" w:eastAsia="zh-CN"/>
              </w:rPr>
            </w:pPr>
            <w:r>
              <w:rPr>
                <w:rFonts w:hint="eastAsia" w:ascii="仿宋_GB2312" w:hAnsi="宋体" w:eastAsia="仿宋_GB2312" w:cs="宋体"/>
                <w:color w:val="333333"/>
                <w:kern w:val="0"/>
                <w:sz w:val="28"/>
                <w:szCs w:val="28"/>
                <w:lang w:val="en-US" w:eastAsia="zh-CN"/>
              </w:rPr>
              <w:t>　</w:t>
            </w:r>
            <w:r>
              <w:rPr>
                <w:rFonts w:hint="eastAsia" w:ascii="仿宋_GB2312" w:hAnsi="宋体" w:eastAsia="仿宋_GB2312" w:cs="宋体"/>
                <w:color w:val="333333"/>
                <w:kern w:val="0"/>
                <w:sz w:val="32"/>
                <w:szCs w:val="32"/>
                <w:lang w:val="en-US" w:eastAsia="zh-CN"/>
              </w:rPr>
              <w:t xml:space="preserve">  </w:t>
            </w:r>
            <w:r>
              <w:rPr>
                <w:rFonts w:hint="eastAsia" w:ascii="仿宋_GB2312" w:hAnsi="宋体" w:eastAsia="仿宋_GB2312" w:cs="宋体"/>
                <w:b/>
                <w:bCs/>
                <w:color w:val="333333"/>
                <w:kern w:val="0"/>
                <w:sz w:val="32"/>
                <w:szCs w:val="32"/>
                <w:lang w:val="en-US" w:eastAsia="zh-CN"/>
              </w:rPr>
              <w:t>（二）残联2023年重点工作.</w:t>
            </w:r>
          </w:p>
          <w:p>
            <w:pPr>
              <w:widowControl/>
              <w:numPr>
                <w:ilvl w:val="0"/>
                <w:numId w:val="0"/>
              </w:numPr>
              <w:spacing w:line="480" w:lineRule="atLeast"/>
              <w:ind w:firstLine="640" w:firstLineChars="2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一是根据县委、县政府关于2023年全县工作的总体部署，负责基层残疾人组织建设；二是审核办理残疾证；三是发放残疾人各项生活补贴，提高残疾人生活现状；四是扶持残疾人就业创业，拓展残疾人就业渠道；五是推进残疾人开放量服工作；六是承办县政府交办的其他事项。</w:t>
            </w:r>
          </w:p>
          <w:p>
            <w:pPr>
              <w:widowControl/>
              <w:numPr>
                <w:ilvl w:val="0"/>
                <w:numId w:val="0"/>
              </w:numPr>
              <w:spacing w:line="480" w:lineRule="atLeast"/>
              <w:rPr>
                <w:rFonts w:hint="eastAsia" w:ascii="仿宋_GB2312" w:hAnsi="宋体" w:eastAsia="仿宋_GB2312" w:cs="宋体"/>
                <w:b/>
                <w:bCs/>
                <w:color w:val="333333"/>
                <w:kern w:val="0"/>
                <w:sz w:val="36"/>
                <w:szCs w:val="36"/>
                <w:lang w:val="en-US" w:eastAsia="zh-CN"/>
              </w:rPr>
            </w:pPr>
            <w:r>
              <w:rPr>
                <w:rFonts w:hint="eastAsia" w:ascii="仿宋_GB2312" w:hAnsi="宋体" w:eastAsia="仿宋_GB2312" w:cs="宋体"/>
                <w:b/>
                <w:bCs/>
                <w:color w:val="333333"/>
                <w:kern w:val="0"/>
                <w:sz w:val="36"/>
                <w:szCs w:val="36"/>
                <w:lang w:val="en-US" w:eastAsia="zh-CN"/>
              </w:rPr>
              <w:t>二、部门预算单位构成</w:t>
            </w:r>
          </w:p>
          <w:p>
            <w:pPr>
              <w:rPr>
                <w:rFonts w:hint="eastAsia" w:ascii="仿宋_GB2312" w:hAnsi="仿宋_GB2312" w:eastAsia="仿宋_GB2312" w:cs="仿宋_GB2312"/>
                <w:color w:val="FF0000"/>
                <w:sz w:val="32"/>
                <w:szCs w:val="32"/>
                <w:lang w:val="en-US"/>
              </w:rPr>
            </w:pPr>
            <w:r>
              <w:rPr>
                <w:rFonts w:hint="eastAsia" w:ascii="仿宋_GB2312" w:hAnsi="宋体" w:eastAsia="仿宋_GB2312" w:cs="宋体"/>
                <w:b/>
                <w:bCs/>
                <w:color w:val="333333"/>
                <w:kern w:val="0"/>
                <w:sz w:val="28"/>
                <w:szCs w:val="28"/>
                <w:lang w:val="en-US" w:eastAsia="zh-CN"/>
              </w:rPr>
              <w:t xml:space="preserve">　 </w:t>
            </w:r>
            <w:r>
              <w:rPr>
                <w:rFonts w:hint="eastAsia" w:ascii="仿宋_GB2312" w:hAnsi="宋体" w:eastAsia="仿宋_GB2312" w:cs="宋体"/>
                <w:b/>
                <w:bCs/>
                <w:color w:val="333333"/>
                <w:kern w:val="0"/>
                <w:sz w:val="32"/>
                <w:szCs w:val="32"/>
                <w:lang w:val="en-US" w:eastAsia="zh-CN"/>
              </w:rPr>
              <w:t xml:space="preserve"> </w:t>
            </w:r>
            <w:r>
              <w:rPr>
                <w:rFonts w:hint="eastAsia" w:ascii="仿宋_GB2312" w:hAnsi="宋体" w:eastAsia="仿宋_GB2312" w:cs="宋体"/>
                <w:color w:val="333333"/>
                <w:kern w:val="0"/>
                <w:sz w:val="32"/>
                <w:szCs w:val="32"/>
                <w:lang w:val="en-US" w:eastAsia="zh-CN"/>
              </w:rPr>
              <w:t>2023年残疾人联合会下属二级预算单位2个，其中参照公务员法管理的事业单位1个，事业单位1个。主要包括：金川县残疾人联合会、金川县残疾人康复中心。财政供养人员编制为7 名，其中参照公务员法管理人员编制3人，行政工勤编制0 名，事业编制4 名，较上年增加 0人（不含退休人员）。</w:t>
            </w:r>
          </w:p>
          <w:p>
            <w:pPr>
              <w:widowControl/>
              <w:numPr>
                <w:ilvl w:val="0"/>
                <w:numId w:val="0"/>
              </w:numPr>
              <w:spacing w:line="480" w:lineRule="atLeast"/>
              <w:rPr>
                <w:rFonts w:hint="eastAsia" w:ascii="仿宋_GB2312" w:hAnsi="宋体" w:eastAsia="仿宋_GB2312" w:cs="宋体"/>
                <w:color w:val="333333"/>
                <w:kern w:val="0"/>
                <w:sz w:val="32"/>
                <w:szCs w:val="32"/>
                <w:lang w:val="en-US" w:eastAsia="zh-CN"/>
              </w:rPr>
            </w:pPr>
          </w:p>
          <w:p>
            <w:pPr>
              <w:widowControl/>
              <w:numPr>
                <w:ilvl w:val="0"/>
                <w:numId w:val="0"/>
              </w:numPr>
              <w:spacing w:line="480" w:lineRule="atLeast"/>
              <w:rPr>
                <w:rFonts w:hint="eastAsia" w:ascii="仿宋_GB2312" w:hAnsi="宋体" w:eastAsia="仿宋_GB2312" w:cs="宋体"/>
                <w:b/>
                <w:bCs/>
                <w:color w:val="333333"/>
                <w:kern w:val="0"/>
                <w:sz w:val="36"/>
                <w:szCs w:val="36"/>
                <w:lang w:val="en-US" w:eastAsia="zh-CN"/>
              </w:rPr>
            </w:pPr>
            <w:r>
              <w:rPr>
                <w:rFonts w:hint="eastAsia" w:ascii="仿宋_GB2312" w:hAnsi="宋体" w:eastAsia="仿宋_GB2312" w:cs="宋体"/>
                <w:b/>
                <w:bCs/>
                <w:color w:val="333333"/>
                <w:kern w:val="0"/>
                <w:sz w:val="36"/>
                <w:szCs w:val="36"/>
                <w:lang w:val="en-US" w:eastAsia="zh-CN"/>
              </w:rPr>
              <w:t>三、收支预算情况说明</w:t>
            </w:r>
          </w:p>
          <w:p>
            <w:pPr>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28"/>
                <w:szCs w:val="28"/>
                <w:lang w:val="en-US" w:eastAsia="zh-CN"/>
              </w:rPr>
              <w:t>　　</w:t>
            </w:r>
            <w:r>
              <w:rPr>
                <w:rFonts w:hint="eastAsia" w:ascii="仿宋_GB2312" w:hAnsi="宋体" w:eastAsia="仿宋_GB2312" w:cs="宋体"/>
                <w:color w:val="333333"/>
                <w:kern w:val="0"/>
                <w:sz w:val="32"/>
                <w:szCs w:val="32"/>
                <w:lang w:val="en-US" w:eastAsia="zh-CN"/>
              </w:rPr>
              <w:t>按照综合预算的原则，残疾人联合会所有收入和支出均纳入部门预算管理。收入包括：一般公共预算拨款收入、上年结转；支出包括：一般公共服务支出、教育支出、社会保障和就业支出、医疗卫生与计划生育支出、住房保障支出。残疾人联合会2023年收支总预算187.28万元,比2022年收支预算总数增加52.12万元，主要是部门实施养老保险制度后，增加养老保险和职业年金支出,及工资调整人员经费增加，增加了残疾学生助学项目和残疾人村（社）建设项目。</w:t>
            </w:r>
          </w:p>
          <w:p>
            <w:pPr>
              <w:widowControl/>
              <w:numPr>
                <w:ilvl w:val="0"/>
                <w:numId w:val="0"/>
              </w:numPr>
              <w:spacing w:line="480" w:lineRule="atLeast"/>
              <w:rPr>
                <w:rFonts w:hint="eastAsia" w:ascii="仿宋_GB2312" w:hAnsi="宋体" w:eastAsia="仿宋_GB2312" w:cs="宋体"/>
                <w:b/>
                <w:bCs/>
                <w:color w:val="333333"/>
                <w:kern w:val="0"/>
                <w:sz w:val="32"/>
                <w:szCs w:val="32"/>
                <w:lang w:val="en-US" w:eastAsia="zh-CN"/>
              </w:rPr>
            </w:pPr>
            <w:r>
              <w:rPr>
                <w:rFonts w:hint="eastAsia" w:ascii="仿宋_GB2312" w:hAnsi="宋体" w:eastAsia="仿宋_GB2312" w:cs="宋体"/>
                <w:color w:val="333333"/>
                <w:kern w:val="0"/>
                <w:sz w:val="28"/>
                <w:szCs w:val="28"/>
                <w:lang w:val="en-US" w:eastAsia="zh-CN"/>
              </w:rPr>
              <w:t>　</w:t>
            </w:r>
            <w:r>
              <w:rPr>
                <w:rFonts w:hint="eastAsia" w:ascii="仿宋_GB2312" w:hAnsi="宋体" w:eastAsia="仿宋_GB2312" w:cs="宋体"/>
                <w:b/>
                <w:bCs/>
                <w:color w:val="333333"/>
                <w:kern w:val="0"/>
                <w:sz w:val="28"/>
                <w:szCs w:val="28"/>
                <w:lang w:val="en-US" w:eastAsia="zh-CN"/>
              </w:rPr>
              <w:t>　</w:t>
            </w:r>
            <w:r>
              <w:rPr>
                <w:rFonts w:hint="eastAsia" w:ascii="仿宋_GB2312" w:hAnsi="宋体" w:eastAsia="仿宋_GB2312" w:cs="宋体"/>
                <w:b/>
                <w:bCs/>
                <w:color w:val="333333"/>
                <w:kern w:val="0"/>
                <w:sz w:val="32"/>
                <w:szCs w:val="32"/>
                <w:lang w:val="en-US" w:eastAsia="zh-CN"/>
              </w:rPr>
              <w:t>（一）收入预算情况。</w:t>
            </w:r>
          </w:p>
          <w:p>
            <w:pPr>
              <w:widowControl/>
              <w:numPr>
                <w:ilvl w:val="0"/>
                <w:numId w:val="0"/>
              </w:numPr>
              <w:spacing w:line="480" w:lineRule="atLeast"/>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28"/>
                <w:szCs w:val="28"/>
                <w:lang w:val="en-US" w:eastAsia="zh-CN"/>
              </w:rPr>
              <w:t>　　</w:t>
            </w:r>
            <w:r>
              <w:rPr>
                <w:rFonts w:hint="eastAsia" w:ascii="仿宋_GB2312" w:hAnsi="宋体" w:eastAsia="仿宋_GB2312" w:cs="宋体"/>
                <w:color w:val="333333"/>
                <w:kern w:val="0"/>
                <w:sz w:val="32"/>
                <w:szCs w:val="32"/>
                <w:lang w:val="en-US" w:eastAsia="zh-CN"/>
              </w:rPr>
              <w:t>残疾人联合会2023年收入预算187.28万元，其中：一般公共预算拨款收入187.28万元，占100%。</w:t>
            </w:r>
          </w:p>
          <w:p>
            <w:pPr>
              <w:widowControl/>
              <w:numPr>
                <w:ilvl w:val="0"/>
                <w:numId w:val="0"/>
              </w:numPr>
              <w:spacing w:line="480" w:lineRule="atLeast"/>
              <w:rPr>
                <w:rFonts w:hint="eastAsia" w:ascii="仿宋_GB2312" w:hAnsi="宋体" w:eastAsia="仿宋_GB2312" w:cs="宋体"/>
                <w:b/>
                <w:bCs/>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　　</w:t>
            </w:r>
            <w:r>
              <w:rPr>
                <w:rFonts w:hint="eastAsia" w:ascii="仿宋_GB2312" w:hAnsi="宋体" w:eastAsia="仿宋_GB2312" w:cs="宋体"/>
                <w:b/>
                <w:bCs/>
                <w:color w:val="333333"/>
                <w:kern w:val="0"/>
                <w:sz w:val="32"/>
                <w:szCs w:val="32"/>
                <w:lang w:val="en-US" w:eastAsia="zh-CN"/>
              </w:rPr>
              <w:t>（二）支出预算情况。</w:t>
            </w:r>
          </w:p>
          <w:p>
            <w:pPr>
              <w:widowControl/>
              <w:numPr>
                <w:ilvl w:val="0"/>
                <w:numId w:val="0"/>
              </w:numPr>
              <w:spacing w:line="480" w:lineRule="atLeast"/>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　　残疾人联合会2023年支出预算187.28万元，其中：基本支出135.55万元，占72.38%；项目支出41.91万元，占22.38%。</w:t>
            </w:r>
          </w:p>
          <w:p>
            <w:pPr>
              <w:widowControl/>
              <w:numPr>
                <w:ilvl w:val="0"/>
                <w:numId w:val="0"/>
              </w:numPr>
              <w:spacing w:line="480" w:lineRule="atLeast"/>
              <w:rPr>
                <w:rFonts w:hint="eastAsia" w:ascii="仿宋_GB2312" w:hAnsi="宋体" w:eastAsia="仿宋_GB2312" w:cs="宋体"/>
                <w:b/>
                <w:bCs/>
                <w:color w:val="333333"/>
                <w:kern w:val="0"/>
                <w:sz w:val="36"/>
                <w:szCs w:val="36"/>
                <w:lang w:val="en-US" w:eastAsia="zh-CN"/>
              </w:rPr>
            </w:pPr>
            <w:r>
              <w:rPr>
                <w:rFonts w:hint="eastAsia" w:ascii="仿宋_GB2312" w:hAnsi="宋体" w:eastAsia="仿宋_GB2312" w:cs="宋体"/>
                <w:b/>
                <w:bCs/>
                <w:color w:val="333333"/>
                <w:kern w:val="0"/>
                <w:sz w:val="36"/>
                <w:szCs w:val="36"/>
                <w:lang w:val="en-US" w:eastAsia="zh-CN"/>
              </w:rPr>
              <w:t>四、财政拨款收支预算情况说明</w:t>
            </w:r>
          </w:p>
          <w:p>
            <w:pPr>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28"/>
                <w:szCs w:val="28"/>
                <w:lang w:val="en-US" w:eastAsia="zh-CN"/>
              </w:rPr>
              <w:t xml:space="preserve">　　 </w:t>
            </w:r>
            <w:r>
              <w:rPr>
                <w:rFonts w:hint="eastAsia" w:ascii="仿宋_GB2312" w:hAnsi="宋体" w:eastAsia="仿宋_GB2312" w:cs="宋体"/>
                <w:color w:val="333333"/>
                <w:kern w:val="0"/>
                <w:sz w:val="32"/>
                <w:szCs w:val="32"/>
                <w:lang w:val="en-US" w:eastAsia="zh-CN"/>
              </w:rPr>
              <w:t>残疾人联合会2023年收支总预算187.28万元,比2022年收支预算总数增加52.12万元，主要是部门实施养老保险制度后，增加养老保险和职业年金支出,及工资调整人员经费增加，增加了残疾学生助学项目和残疾人村（社）建设项目。</w:t>
            </w:r>
          </w:p>
          <w:p>
            <w:pPr>
              <w:widowControl/>
              <w:numPr>
                <w:ilvl w:val="0"/>
                <w:numId w:val="0"/>
              </w:numPr>
              <w:spacing w:line="480" w:lineRule="atLeast"/>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　  收入包括：本年一般公共预算拨款收入187.28元，支出包括：社会保障和就业支出166.88万元、医疗卫生与计划生育支出8.33万元、住房保障支出12.07万元。</w:t>
            </w:r>
          </w:p>
          <w:p>
            <w:pPr>
              <w:widowControl/>
              <w:numPr>
                <w:ilvl w:val="0"/>
                <w:numId w:val="0"/>
              </w:numPr>
              <w:spacing w:line="480" w:lineRule="atLeast"/>
              <w:rPr>
                <w:rFonts w:hint="eastAsia" w:ascii="仿宋_GB2312" w:hAnsi="宋体" w:eastAsia="仿宋_GB2312" w:cs="宋体"/>
                <w:b/>
                <w:bCs/>
                <w:color w:val="333333"/>
                <w:kern w:val="0"/>
                <w:sz w:val="36"/>
                <w:szCs w:val="36"/>
                <w:lang w:val="en-US" w:eastAsia="zh-CN"/>
              </w:rPr>
            </w:pPr>
            <w:r>
              <w:rPr>
                <w:rFonts w:hint="eastAsia" w:ascii="仿宋_GB2312" w:hAnsi="宋体" w:eastAsia="仿宋_GB2312" w:cs="宋体"/>
                <w:b/>
                <w:bCs/>
                <w:color w:val="333333"/>
                <w:kern w:val="0"/>
                <w:sz w:val="36"/>
                <w:szCs w:val="36"/>
                <w:lang w:val="en-US" w:eastAsia="zh-CN"/>
              </w:rPr>
              <w:t>五、一般公共预算当年拨款情况说明</w:t>
            </w:r>
          </w:p>
          <w:p>
            <w:pPr>
              <w:widowControl/>
              <w:numPr>
                <w:ilvl w:val="0"/>
                <w:numId w:val="0"/>
              </w:numPr>
              <w:spacing w:line="480" w:lineRule="atLeast"/>
              <w:rPr>
                <w:rFonts w:hint="eastAsia" w:ascii="仿宋_GB2312" w:hAnsi="宋体" w:eastAsia="仿宋_GB2312" w:cs="宋体"/>
                <w:b/>
                <w:bCs/>
                <w:color w:val="333333"/>
                <w:kern w:val="0"/>
                <w:sz w:val="32"/>
                <w:szCs w:val="32"/>
                <w:lang w:val="en-US" w:eastAsia="zh-CN"/>
              </w:rPr>
            </w:pPr>
            <w:r>
              <w:rPr>
                <w:rFonts w:hint="eastAsia" w:ascii="仿宋_GB2312" w:hAnsi="宋体" w:eastAsia="仿宋_GB2312" w:cs="宋体"/>
                <w:color w:val="333333"/>
                <w:kern w:val="0"/>
                <w:sz w:val="28"/>
                <w:szCs w:val="28"/>
                <w:lang w:val="en-US" w:eastAsia="zh-CN"/>
              </w:rPr>
              <w:t>　</w:t>
            </w:r>
            <w:r>
              <w:rPr>
                <w:rFonts w:hint="eastAsia" w:ascii="仿宋_GB2312" w:hAnsi="宋体" w:eastAsia="仿宋_GB2312" w:cs="宋体"/>
                <w:b/>
                <w:bCs/>
                <w:color w:val="333333"/>
                <w:kern w:val="0"/>
                <w:sz w:val="28"/>
                <w:szCs w:val="28"/>
                <w:lang w:val="en-US" w:eastAsia="zh-CN"/>
              </w:rPr>
              <w:t>　</w:t>
            </w:r>
            <w:r>
              <w:rPr>
                <w:rFonts w:hint="eastAsia" w:ascii="仿宋_GB2312" w:hAnsi="宋体" w:eastAsia="仿宋_GB2312" w:cs="宋体"/>
                <w:b/>
                <w:bCs/>
                <w:color w:val="333333"/>
                <w:kern w:val="0"/>
                <w:sz w:val="32"/>
                <w:szCs w:val="32"/>
                <w:lang w:val="en-US" w:eastAsia="zh-CN"/>
              </w:rPr>
              <w:t>（一）一般公共预算当年拨款规模变化情况。</w:t>
            </w:r>
          </w:p>
          <w:p>
            <w:pPr>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　 残疾人联合会2023年一般公共预算当年拨款187.28万元，比2023年预算数增加了52.12万元，主要是部门实施养老保险制度后，增加养老保险和职业年金支出,及工资调整人员经费增加，增加了残疾学生助学项目和残疾人村（社）建设项目。</w:t>
            </w:r>
          </w:p>
          <w:p>
            <w:pPr>
              <w:widowControl/>
              <w:numPr>
                <w:ilvl w:val="0"/>
                <w:numId w:val="0"/>
              </w:numPr>
              <w:spacing w:line="480" w:lineRule="atLeast"/>
              <w:rPr>
                <w:rFonts w:hint="eastAsia" w:ascii="仿宋_GB2312" w:hAnsi="宋体" w:eastAsia="仿宋_GB2312" w:cs="宋体"/>
                <w:b/>
                <w:bCs/>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　</w:t>
            </w:r>
            <w:r>
              <w:rPr>
                <w:rFonts w:hint="eastAsia" w:ascii="仿宋_GB2312" w:hAnsi="宋体" w:eastAsia="仿宋_GB2312" w:cs="宋体"/>
                <w:b/>
                <w:bCs/>
                <w:color w:val="333333"/>
                <w:kern w:val="0"/>
                <w:sz w:val="32"/>
                <w:szCs w:val="32"/>
                <w:lang w:val="en-US" w:eastAsia="zh-CN"/>
              </w:rPr>
              <w:t>　（二）一般公共预算当年拨款结构情况。</w:t>
            </w:r>
          </w:p>
          <w:p>
            <w:pPr>
              <w:widowControl/>
              <w:numPr>
                <w:ilvl w:val="0"/>
                <w:numId w:val="0"/>
              </w:numPr>
              <w:spacing w:line="480" w:lineRule="atLeast"/>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　　社会保障和就业支出166.88万元，占89.1%；医疗卫生与计划生育支出8.33万元，占4.45%；住房保障支出12.07万元，占6.45%。</w:t>
            </w:r>
          </w:p>
          <w:p>
            <w:pPr>
              <w:widowControl/>
              <w:numPr>
                <w:ilvl w:val="0"/>
                <w:numId w:val="0"/>
              </w:numPr>
              <w:spacing w:line="480" w:lineRule="atLeast"/>
              <w:ind w:firstLine="643" w:firstLineChars="200"/>
              <w:rPr>
                <w:rFonts w:hint="eastAsia" w:ascii="仿宋_GB2312" w:hAnsi="宋体" w:eastAsia="仿宋_GB2312" w:cs="宋体"/>
                <w:b/>
                <w:bCs/>
                <w:color w:val="333333"/>
                <w:kern w:val="0"/>
                <w:sz w:val="32"/>
                <w:szCs w:val="32"/>
                <w:lang w:val="en-US" w:eastAsia="zh-CN"/>
              </w:rPr>
            </w:pPr>
            <w:r>
              <w:rPr>
                <w:rFonts w:hint="eastAsia" w:ascii="仿宋_GB2312" w:hAnsi="宋体" w:eastAsia="仿宋_GB2312" w:cs="宋体"/>
                <w:b/>
                <w:bCs/>
                <w:color w:val="333333"/>
                <w:kern w:val="0"/>
                <w:sz w:val="32"/>
                <w:szCs w:val="32"/>
                <w:lang w:val="en-US" w:eastAsia="zh-CN"/>
              </w:rPr>
              <w:t>（三）一般公共预算当年拨款具体使用情况。</w:t>
            </w:r>
          </w:p>
          <w:p>
            <w:pPr>
              <w:widowControl/>
              <w:numPr>
                <w:ilvl w:val="0"/>
                <w:numId w:val="0"/>
              </w:numPr>
              <w:spacing w:line="480" w:lineRule="atLeast"/>
              <w:ind w:firstLine="640" w:firstLineChars="2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1.208社会保障和就业(类）05行政事业单位离退休（款）05机关事业单位基本养老保险费（项）：日常人员经费14.6万元，主要用于：残疾人联合会人及残疾人康复中心人员基本养老保险支出。</w:t>
            </w:r>
          </w:p>
          <w:p>
            <w:pPr>
              <w:widowControl/>
              <w:numPr>
                <w:ilvl w:val="0"/>
                <w:numId w:val="0"/>
              </w:numPr>
              <w:spacing w:line="480" w:lineRule="atLeast"/>
              <w:ind w:firstLine="640" w:firstLineChars="2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2.208社会保障和就业(类）05行政事业单位离退休（类）06机关事业单位职业年金缴费支出（项）：日常人员经费7.3万元，主要用于：残疾人联合会及残疾人康复中心人员人员职业年金缴费支出。</w:t>
            </w:r>
          </w:p>
          <w:p>
            <w:pPr>
              <w:widowControl/>
              <w:numPr>
                <w:ilvl w:val="0"/>
                <w:numId w:val="0"/>
              </w:numPr>
              <w:spacing w:line="480" w:lineRule="atLeast"/>
              <w:ind w:firstLine="640" w:firstLineChars="2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3.208社会保障和就业(类）11残疾人事业（款）01行政运行（项）: 50.96万元，日常人员经费44.23万元，主要用于：残疾人联合会人员工资福利和残保金支出。公用经费6.73万元，主要用于：残疾人联合会机构正常运行、开展日常工作的基本支出。</w:t>
            </w:r>
          </w:p>
          <w:p>
            <w:pPr>
              <w:widowControl/>
              <w:numPr>
                <w:ilvl w:val="0"/>
                <w:numId w:val="0"/>
              </w:numPr>
              <w:spacing w:line="480" w:lineRule="atLeast"/>
              <w:ind w:firstLine="640" w:firstLineChars="2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4.208社会保障和就业(类）11残疾人事业（款）03机关服务（项）:52.09日常人员经费49万元，主要用于：残疾人康复中心人员工资福利和残保金支出。公用经费3.09万元，主要用于：残疾人联合会机构正常运行、开展日常工作的基本支出。</w:t>
            </w:r>
          </w:p>
          <w:p>
            <w:pPr>
              <w:widowControl/>
              <w:numPr>
                <w:ilvl w:val="0"/>
                <w:numId w:val="0"/>
              </w:numPr>
              <w:spacing w:line="480" w:lineRule="atLeast"/>
              <w:ind w:firstLine="640" w:firstLineChars="2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5.208社会保障和就业(类）11残疾人事业（款）05残疾人就业和扶贫（项）:日常人员经费0万元，专项经费18万元，主要用于残疾人居家灵活就业及创业就业补助。</w:t>
            </w:r>
          </w:p>
          <w:p>
            <w:pPr>
              <w:widowControl/>
              <w:numPr>
                <w:ilvl w:val="0"/>
                <w:numId w:val="0"/>
              </w:numPr>
              <w:spacing w:line="480" w:lineRule="atLeast"/>
              <w:ind w:firstLine="640" w:firstLineChars="2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6.208社会保障和就业(类）11残疾人事业（款）99其他残疾人事业支出（项）:日常人员经费0万元，专项经费23.91万元，主要用于村（社）残疾人联系员误工补助14.78万元，残疾人村（社）残协建设5.28万元，残疾学生助学工程3.85万元。</w:t>
            </w:r>
          </w:p>
          <w:p>
            <w:pPr>
              <w:widowControl/>
              <w:numPr>
                <w:ilvl w:val="0"/>
                <w:numId w:val="0"/>
              </w:numPr>
              <w:spacing w:line="480" w:lineRule="atLeast"/>
              <w:ind w:firstLine="640" w:firstLineChars="2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7.210医疗卫生与计划生育（类）11行政事业单位医疗（款）01行政单位医疗（项）:医疗保障费用3.32万元，主要用于：残疾人联合会人员单位医疗保险缴费支出。</w:t>
            </w:r>
          </w:p>
          <w:p>
            <w:pPr>
              <w:widowControl/>
              <w:numPr>
                <w:ilvl w:val="0"/>
                <w:numId w:val="0"/>
              </w:numPr>
              <w:spacing w:line="480" w:lineRule="atLeast"/>
              <w:ind w:firstLine="640" w:firstLineChars="2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8.210医疗卫生与计划生育（类）11行政事业单位医疗（款）02事业单位医疗（项）:医疗保障费用3.72万元，主要用于：残疾人康复中心医疗保险缴费支出。</w:t>
            </w:r>
          </w:p>
          <w:p>
            <w:pPr>
              <w:widowControl/>
              <w:numPr>
                <w:ilvl w:val="0"/>
                <w:numId w:val="0"/>
              </w:numPr>
              <w:spacing w:line="480" w:lineRule="atLeast"/>
              <w:ind w:firstLine="640" w:firstLineChars="2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9.210医疗卫生与计划生育（类）11行政事业单位医疗（款）03公务员医疗补助（项）:医疗保障费用1.28万元，主要用于：残疾人联合会、残疾人康复中心人员公务员医疗保险缴费支出。</w:t>
            </w:r>
          </w:p>
          <w:p>
            <w:pPr>
              <w:widowControl/>
              <w:numPr>
                <w:ilvl w:val="0"/>
                <w:numId w:val="0"/>
              </w:numPr>
              <w:spacing w:line="480" w:lineRule="atLeast"/>
              <w:ind w:firstLine="640" w:firstLineChars="2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10.221住房保障支出（类）02住房改革支出（款）01住房公积金（项）：住房公积金12.07万元，主要用于：残疾人联合会、残疾人康复中心工作人员住房公积金缴费支出。</w:t>
            </w:r>
          </w:p>
          <w:p>
            <w:pPr>
              <w:widowControl/>
              <w:numPr>
                <w:ilvl w:val="0"/>
                <w:numId w:val="0"/>
              </w:numPr>
              <w:spacing w:line="480" w:lineRule="atLeast"/>
              <w:rPr>
                <w:rFonts w:hint="eastAsia" w:ascii="仿宋_GB2312" w:hAnsi="宋体" w:eastAsia="仿宋_GB2312" w:cs="宋体"/>
                <w:b/>
                <w:bCs/>
                <w:color w:val="333333"/>
                <w:kern w:val="0"/>
                <w:sz w:val="36"/>
                <w:szCs w:val="36"/>
                <w:lang w:val="en-US" w:eastAsia="zh-CN"/>
              </w:rPr>
            </w:pPr>
            <w:r>
              <w:rPr>
                <w:rFonts w:hint="eastAsia" w:ascii="仿宋_GB2312" w:hAnsi="宋体" w:eastAsia="仿宋_GB2312" w:cs="宋体"/>
                <w:b/>
                <w:bCs/>
                <w:color w:val="333333"/>
                <w:kern w:val="0"/>
                <w:sz w:val="36"/>
                <w:szCs w:val="36"/>
                <w:lang w:val="en-US" w:eastAsia="zh-CN"/>
              </w:rPr>
              <w:t>六、一般公共预算基本支出情况说明</w:t>
            </w:r>
          </w:p>
          <w:p>
            <w:pPr>
              <w:widowControl/>
              <w:numPr>
                <w:ilvl w:val="0"/>
                <w:numId w:val="0"/>
              </w:numPr>
              <w:spacing w:line="480" w:lineRule="atLeast"/>
              <w:ind w:firstLine="640" w:firstLineChars="2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金川县残疾人联合会2023年一般公共预算财政拨款基本支出145.37 万元，其中：</w:t>
            </w:r>
          </w:p>
          <w:p>
            <w:pPr>
              <w:widowControl/>
              <w:numPr>
                <w:ilvl w:val="0"/>
                <w:numId w:val="0"/>
              </w:numPr>
              <w:spacing w:line="480" w:lineRule="atLeast"/>
              <w:ind w:firstLine="640" w:firstLineChars="2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人员经费135.55万元，主要包括：基本工资、津贴补贴、奖金、绩效工资、机关事业单位基本养老保险缴费、职业年金缴费、其他社会保障缴费等支出。</w:t>
            </w:r>
          </w:p>
          <w:p>
            <w:pPr>
              <w:widowControl/>
              <w:numPr>
                <w:ilvl w:val="0"/>
                <w:numId w:val="0"/>
              </w:numPr>
              <w:spacing w:line="480" w:lineRule="atLeast"/>
              <w:ind w:firstLine="640" w:firstLineChars="2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公用经费9.82万元，主要包括：办公费、电费、邮电费、印刷费、差旅费、维修（护）费、劳务费、公务用车运行维护费等支出。</w:t>
            </w:r>
          </w:p>
          <w:p>
            <w:pPr>
              <w:widowControl/>
              <w:numPr>
                <w:ilvl w:val="0"/>
                <w:numId w:val="0"/>
              </w:numPr>
              <w:spacing w:line="480" w:lineRule="atLeast"/>
              <w:ind w:firstLine="723" w:firstLineChars="200"/>
              <w:rPr>
                <w:rFonts w:hint="eastAsia" w:ascii="仿宋_GB2312" w:hAnsi="宋体" w:eastAsia="仿宋_GB2312" w:cs="宋体"/>
                <w:b/>
                <w:bCs/>
                <w:color w:val="333333"/>
                <w:kern w:val="0"/>
                <w:sz w:val="36"/>
                <w:szCs w:val="36"/>
                <w:lang w:val="en-US" w:eastAsia="zh-CN"/>
              </w:rPr>
            </w:pPr>
            <w:r>
              <w:rPr>
                <w:rFonts w:hint="eastAsia" w:ascii="仿宋_GB2312" w:hAnsi="宋体" w:eastAsia="仿宋_GB2312" w:cs="宋体"/>
                <w:b/>
                <w:bCs/>
                <w:color w:val="333333"/>
                <w:kern w:val="0"/>
                <w:sz w:val="36"/>
                <w:szCs w:val="36"/>
                <w:lang w:val="en-US" w:eastAsia="zh-CN"/>
              </w:rPr>
              <w:t>七、“三公”经费财政拨款预算安排情况说明</w:t>
            </w:r>
          </w:p>
          <w:p>
            <w:pPr>
              <w:widowControl/>
              <w:numPr>
                <w:ilvl w:val="0"/>
                <w:numId w:val="0"/>
              </w:numPr>
              <w:spacing w:line="480" w:lineRule="atLeast"/>
              <w:ind w:firstLine="560" w:firstLineChars="2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28"/>
                <w:szCs w:val="28"/>
                <w:lang w:val="en-US" w:eastAsia="zh-CN"/>
              </w:rPr>
              <w:t>　　</w:t>
            </w:r>
            <w:r>
              <w:rPr>
                <w:rFonts w:hint="eastAsia" w:ascii="仿宋_GB2312" w:hAnsi="宋体" w:eastAsia="仿宋_GB2312" w:cs="宋体"/>
                <w:color w:val="333333"/>
                <w:kern w:val="0"/>
                <w:sz w:val="32"/>
                <w:szCs w:val="32"/>
                <w:lang w:val="en-US" w:eastAsia="zh-CN"/>
              </w:rPr>
              <w:t>金川县残疾人联合会2023年“三公”经费财政拨款预算数1.5万元，其中：因公出国（境）经费0万元，公务接待费0万元，公务用车购置及运行维护费1.5万元。</w:t>
            </w:r>
          </w:p>
          <w:p>
            <w:pPr>
              <w:widowControl/>
              <w:numPr>
                <w:ilvl w:val="0"/>
                <w:numId w:val="0"/>
              </w:numPr>
              <w:spacing w:line="480" w:lineRule="atLeast"/>
              <w:ind w:firstLine="643" w:firstLineChars="200"/>
              <w:rPr>
                <w:rFonts w:hint="eastAsia" w:ascii="仿宋_GB2312" w:hAnsi="宋体" w:eastAsia="仿宋_GB2312" w:cs="宋体"/>
                <w:b/>
                <w:bCs/>
                <w:color w:val="333333"/>
                <w:kern w:val="0"/>
                <w:sz w:val="32"/>
                <w:szCs w:val="32"/>
                <w:lang w:val="en-US" w:eastAsia="zh-CN"/>
              </w:rPr>
            </w:pPr>
            <w:r>
              <w:rPr>
                <w:rFonts w:hint="eastAsia" w:ascii="仿宋_GB2312" w:hAnsi="宋体" w:eastAsia="仿宋_GB2312" w:cs="宋体"/>
                <w:b/>
                <w:bCs/>
                <w:color w:val="333333"/>
                <w:kern w:val="0"/>
                <w:sz w:val="32"/>
                <w:szCs w:val="32"/>
                <w:lang w:val="en-US" w:eastAsia="zh-CN"/>
              </w:rPr>
              <w:t>（一）因公出国（境）经费无与2022年预算持平。</w:t>
            </w:r>
          </w:p>
          <w:p>
            <w:pPr>
              <w:widowControl/>
              <w:numPr>
                <w:ilvl w:val="0"/>
                <w:numId w:val="0"/>
              </w:numPr>
              <w:spacing w:line="480" w:lineRule="atLeast"/>
              <w:ind w:firstLine="643" w:firstLineChars="200"/>
              <w:rPr>
                <w:rFonts w:hint="eastAsia" w:ascii="仿宋_GB2312" w:hAnsi="宋体" w:eastAsia="仿宋_GB2312" w:cs="宋体"/>
                <w:b/>
                <w:bCs/>
                <w:color w:val="333333"/>
                <w:kern w:val="0"/>
                <w:sz w:val="32"/>
                <w:szCs w:val="32"/>
                <w:lang w:val="en-US" w:eastAsia="zh-CN"/>
              </w:rPr>
            </w:pPr>
            <w:r>
              <w:rPr>
                <w:rFonts w:hint="eastAsia" w:ascii="仿宋_GB2312" w:hAnsi="宋体" w:eastAsia="仿宋_GB2312" w:cs="宋体"/>
                <w:b/>
                <w:bCs/>
                <w:color w:val="333333"/>
                <w:kern w:val="0"/>
                <w:sz w:val="32"/>
                <w:szCs w:val="32"/>
                <w:lang w:val="en-US" w:eastAsia="zh-CN"/>
              </w:rPr>
              <w:t>（二）公务接待费无较2022年预算持平。</w:t>
            </w:r>
          </w:p>
          <w:p>
            <w:pPr>
              <w:widowControl/>
              <w:numPr>
                <w:ilvl w:val="0"/>
                <w:numId w:val="0"/>
              </w:numPr>
              <w:spacing w:line="480" w:lineRule="atLeast"/>
              <w:ind w:firstLine="960" w:firstLineChars="3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2023年公务接待费计划用于执行公务、考察调研、检查指导等公务活动开支的交通费、住宿费、用餐费等。</w:t>
            </w:r>
          </w:p>
          <w:p>
            <w:pPr>
              <w:widowControl/>
              <w:numPr>
                <w:ilvl w:val="0"/>
                <w:numId w:val="0"/>
              </w:numPr>
              <w:spacing w:line="480" w:lineRule="atLeast"/>
              <w:ind w:firstLine="643" w:firstLineChars="2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b/>
                <w:bCs/>
                <w:color w:val="333333"/>
                <w:kern w:val="0"/>
                <w:sz w:val="32"/>
                <w:szCs w:val="32"/>
                <w:lang w:val="en-US" w:eastAsia="zh-CN"/>
              </w:rPr>
              <w:t>（三）公务用车购置及运行维护费与2022年预算持平。</w:t>
            </w:r>
            <w:r>
              <w:rPr>
                <w:rFonts w:hint="eastAsia" w:ascii="仿宋_GB2312" w:hAnsi="宋体" w:eastAsia="仿宋_GB2312" w:cs="宋体"/>
                <w:color w:val="333333"/>
                <w:kern w:val="0"/>
                <w:sz w:val="32"/>
                <w:szCs w:val="32"/>
                <w:lang w:val="en-US" w:eastAsia="zh-CN"/>
              </w:rPr>
              <w:t>　</w:t>
            </w:r>
          </w:p>
          <w:p>
            <w:pPr>
              <w:widowControl/>
              <w:numPr>
                <w:ilvl w:val="0"/>
                <w:numId w:val="0"/>
              </w:numPr>
              <w:spacing w:line="480" w:lineRule="atLeast"/>
              <w:ind w:firstLine="640" w:firstLineChars="2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单位现有公务用车1辆，其中：越野车1辆，2023年未安排公务用车购置费。</w:t>
            </w:r>
          </w:p>
          <w:p>
            <w:pPr>
              <w:widowControl/>
              <w:numPr>
                <w:ilvl w:val="0"/>
                <w:numId w:val="0"/>
              </w:numPr>
              <w:spacing w:line="480" w:lineRule="atLeast"/>
              <w:ind w:firstLine="640" w:firstLineChars="2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2023年安排公务用车运行维护费1.5万元，用于公务用车燃油、过路（桥）、维修、保险等方面支出，主要保障机关量服工作检查、重度残疾人无障碍改造查看、创业就业查看等工作开展。</w:t>
            </w:r>
          </w:p>
          <w:p>
            <w:pPr>
              <w:widowControl/>
              <w:numPr>
                <w:ilvl w:val="0"/>
                <w:numId w:val="0"/>
              </w:numPr>
              <w:spacing w:line="480" w:lineRule="atLeast"/>
              <w:ind w:firstLine="723" w:firstLineChars="200"/>
              <w:rPr>
                <w:rFonts w:hint="eastAsia" w:ascii="仿宋_GB2312" w:hAnsi="宋体" w:eastAsia="仿宋_GB2312" w:cs="宋体"/>
                <w:b/>
                <w:bCs/>
                <w:color w:val="333333"/>
                <w:kern w:val="0"/>
                <w:sz w:val="36"/>
                <w:szCs w:val="36"/>
                <w:lang w:val="en-US" w:eastAsia="zh-CN"/>
              </w:rPr>
            </w:pPr>
            <w:r>
              <w:rPr>
                <w:rFonts w:hint="eastAsia" w:ascii="仿宋_GB2312" w:hAnsi="宋体" w:eastAsia="仿宋_GB2312" w:cs="宋体"/>
                <w:b/>
                <w:bCs/>
                <w:color w:val="333333"/>
                <w:kern w:val="0"/>
                <w:sz w:val="36"/>
                <w:szCs w:val="36"/>
                <w:lang w:val="en-US" w:eastAsia="zh-CN"/>
              </w:rPr>
              <w:t>八、政府性基金预算支出情况说明</w:t>
            </w:r>
          </w:p>
          <w:p>
            <w:pPr>
              <w:widowControl/>
              <w:numPr>
                <w:ilvl w:val="0"/>
                <w:numId w:val="0"/>
              </w:numPr>
              <w:spacing w:line="480" w:lineRule="atLeast"/>
              <w:ind w:firstLine="560" w:firstLineChars="2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28"/>
                <w:szCs w:val="28"/>
                <w:lang w:val="en-US" w:eastAsia="zh-CN"/>
              </w:rPr>
              <w:t>　</w:t>
            </w:r>
            <w:r>
              <w:rPr>
                <w:rFonts w:hint="eastAsia" w:ascii="仿宋_GB2312" w:hAnsi="宋体" w:eastAsia="仿宋_GB2312" w:cs="宋体"/>
                <w:color w:val="333333"/>
                <w:kern w:val="0"/>
                <w:sz w:val="32"/>
                <w:szCs w:val="32"/>
                <w:lang w:val="en-US" w:eastAsia="zh-CN"/>
              </w:rPr>
              <w:t>残疾人联合会2023年没有使用政府性基金预算拨款安排的支出。</w:t>
            </w:r>
          </w:p>
          <w:p>
            <w:pPr>
              <w:widowControl/>
              <w:numPr>
                <w:ilvl w:val="0"/>
                <w:numId w:val="0"/>
              </w:numPr>
              <w:spacing w:line="480" w:lineRule="atLeast"/>
              <w:ind w:firstLine="723" w:firstLineChars="200"/>
              <w:rPr>
                <w:rFonts w:hint="eastAsia" w:ascii="仿宋_GB2312" w:hAnsi="宋体" w:eastAsia="仿宋_GB2312" w:cs="宋体"/>
                <w:b/>
                <w:bCs/>
                <w:color w:val="333333"/>
                <w:kern w:val="0"/>
                <w:sz w:val="36"/>
                <w:szCs w:val="36"/>
                <w:lang w:val="en-US" w:eastAsia="zh-CN"/>
              </w:rPr>
            </w:pPr>
            <w:r>
              <w:rPr>
                <w:rFonts w:hint="eastAsia" w:ascii="仿宋_GB2312" w:hAnsi="宋体" w:eastAsia="仿宋_GB2312" w:cs="宋体"/>
                <w:b/>
                <w:bCs/>
                <w:color w:val="333333"/>
                <w:kern w:val="0"/>
                <w:sz w:val="36"/>
                <w:szCs w:val="36"/>
                <w:lang w:val="en-US" w:eastAsia="zh-CN"/>
              </w:rPr>
              <w:t>九、国有资本经营预算支出情况说明</w:t>
            </w:r>
          </w:p>
          <w:p>
            <w:pPr>
              <w:widowControl/>
              <w:numPr>
                <w:ilvl w:val="0"/>
                <w:numId w:val="0"/>
              </w:numPr>
              <w:spacing w:line="480" w:lineRule="atLeast"/>
              <w:ind w:firstLine="560" w:firstLineChars="2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28"/>
                <w:szCs w:val="28"/>
                <w:lang w:val="en-US" w:eastAsia="zh-CN"/>
              </w:rPr>
              <w:t>　</w:t>
            </w:r>
            <w:bookmarkStart w:id="0" w:name="_GoBack"/>
            <w:bookmarkEnd w:id="0"/>
            <w:r>
              <w:rPr>
                <w:rFonts w:hint="eastAsia" w:ascii="仿宋_GB2312" w:hAnsi="宋体" w:eastAsia="仿宋_GB2312" w:cs="宋体"/>
                <w:color w:val="333333"/>
                <w:kern w:val="0"/>
                <w:sz w:val="32"/>
                <w:szCs w:val="32"/>
                <w:lang w:val="en-US" w:eastAsia="zh-CN"/>
              </w:rPr>
              <w:t>残疾人联合会2023年没有使用国有资本经营预算拨款安排的支出。</w:t>
            </w:r>
          </w:p>
          <w:p>
            <w:pPr>
              <w:widowControl/>
              <w:numPr>
                <w:ilvl w:val="0"/>
                <w:numId w:val="0"/>
              </w:numPr>
              <w:spacing w:line="480" w:lineRule="atLeast"/>
              <w:ind w:firstLine="723" w:firstLineChars="200"/>
              <w:rPr>
                <w:rFonts w:hint="eastAsia" w:ascii="仿宋_GB2312" w:hAnsi="宋体" w:eastAsia="仿宋_GB2312" w:cs="宋体"/>
                <w:b/>
                <w:bCs/>
                <w:color w:val="333333"/>
                <w:kern w:val="0"/>
                <w:sz w:val="36"/>
                <w:szCs w:val="36"/>
                <w:lang w:val="en-US" w:eastAsia="zh-CN"/>
              </w:rPr>
            </w:pPr>
            <w:r>
              <w:rPr>
                <w:rFonts w:hint="eastAsia" w:ascii="仿宋_GB2312" w:hAnsi="宋体" w:eastAsia="仿宋_GB2312" w:cs="宋体"/>
                <w:b/>
                <w:bCs/>
                <w:color w:val="333333"/>
                <w:kern w:val="0"/>
                <w:sz w:val="36"/>
                <w:szCs w:val="36"/>
                <w:lang w:val="en-US" w:eastAsia="zh-CN"/>
              </w:rPr>
              <w:t>十、其他重要事项的情况说明</w:t>
            </w:r>
          </w:p>
          <w:p>
            <w:pPr>
              <w:widowControl/>
              <w:numPr>
                <w:ilvl w:val="0"/>
                <w:numId w:val="0"/>
              </w:numPr>
              <w:spacing w:line="480" w:lineRule="atLeast"/>
              <w:ind w:firstLine="560" w:firstLineChars="200"/>
              <w:rPr>
                <w:rFonts w:hint="eastAsia" w:ascii="仿宋_GB2312" w:hAnsi="宋体" w:eastAsia="仿宋_GB2312" w:cs="宋体"/>
                <w:b/>
                <w:bCs/>
                <w:color w:val="333333"/>
                <w:kern w:val="0"/>
                <w:sz w:val="32"/>
                <w:szCs w:val="32"/>
                <w:lang w:val="en-US" w:eastAsia="zh-CN"/>
              </w:rPr>
            </w:pPr>
            <w:r>
              <w:rPr>
                <w:rFonts w:hint="eastAsia" w:ascii="仿宋_GB2312" w:hAnsi="宋体" w:eastAsia="仿宋_GB2312" w:cs="宋体"/>
                <w:color w:val="333333"/>
                <w:kern w:val="0"/>
                <w:sz w:val="28"/>
                <w:szCs w:val="28"/>
                <w:lang w:val="en-US" w:eastAsia="zh-CN"/>
              </w:rPr>
              <w:t>　</w:t>
            </w:r>
            <w:r>
              <w:rPr>
                <w:rFonts w:hint="eastAsia" w:ascii="仿宋_GB2312" w:hAnsi="宋体" w:eastAsia="仿宋_GB2312" w:cs="宋体"/>
                <w:b/>
                <w:bCs/>
                <w:color w:val="333333"/>
                <w:kern w:val="0"/>
                <w:sz w:val="32"/>
                <w:szCs w:val="32"/>
                <w:lang w:val="en-US" w:eastAsia="zh-CN"/>
              </w:rPr>
              <w:t>（一）机关运行经费。</w:t>
            </w:r>
          </w:p>
          <w:p>
            <w:pPr>
              <w:widowControl/>
              <w:numPr>
                <w:ilvl w:val="0"/>
                <w:numId w:val="0"/>
              </w:numPr>
              <w:spacing w:line="480" w:lineRule="atLeast"/>
              <w:ind w:firstLine="640" w:firstLineChars="2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2022年，残疾人联合会机关运行经费财政拨款预算为9.82万元，比2022年预算减少0.46万元，下降4.68%。下降原因为残疾人保证金增加公用经费减少。</w:t>
            </w:r>
          </w:p>
          <w:p>
            <w:pPr>
              <w:widowControl/>
              <w:numPr>
                <w:ilvl w:val="0"/>
                <w:numId w:val="0"/>
              </w:numPr>
              <w:spacing w:line="480" w:lineRule="atLeast"/>
              <w:ind w:firstLine="643" w:firstLineChars="200"/>
              <w:rPr>
                <w:rFonts w:hint="eastAsia" w:ascii="仿宋_GB2312" w:hAnsi="宋体" w:eastAsia="仿宋_GB2312" w:cs="宋体"/>
                <w:b/>
                <w:bCs/>
                <w:color w:val="333333"/>
                <w:kern w:val="0"/>
                <w:sz w:val="32"/>
                <w:szCs w:val="32"/>
                <w:lang w:val="en-US" w:eastAsia="zh-CN"/>
              </w:rPr>
            </w:pPr>
            <w:r>
              <w:rPr>
                <w:rFonts w:hint="eastAsia" w:ascii="仿宋_GB2312" w:hAnsi="宋体" w:eastAsia="仿宋_GB2312" w:cs="宋体"/>
                <w:b/>
                <w:bCs/>
                <w:color w:val="333333"/>
                <w:kern w:val="0"/>
                <w:sz w:val="32"/>
                <w:szCs w:val="32"/>
                <w:lang w:val="en-US" w:eastAsia="zh-CN"/>
              </w:rPr>
              <w:t>（二）政府采购情况。</w:t>
            </w:r>
          </w:p>
          <w:p>
            <w:pPr>
              <w:widowControl/>
              <w:numPr>
                <w:ilvl w:val="0"/>
                <w:numId w:val="0"/>
              </w:numPr>
              <w:spacing w:line="480" w:lineRule="atLeast"/>
              <w:ind w:firstLine="640" w:firstLineChars="2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2023年，残联安排政府采购预算0万元。</w:t>
            </w:r>
          </w:p>
          <w:p>
            <w:pPr>
              <w:widowControl/>
              <w:numPr>
                <w:ilvl w:val="0"/>
                <w:numId w:val="0"/>
              </w:numPr>
              <w:spacing w:line="480" w:lineRule="atLeast"/>
              <w:ind w:firstLine="643" w:firstLineChars="200"/>
              <w:rPr>
                <w:rFonts w:hint="eastAsia" w:ascii="仿宋_GB2312" w:hAnsi="宋体" w:eastAsia="仿宋_GB2312" w:cs="宋体"/>
                <w:b/>
                <w:bCs/>
                <w:color w:val="333333"/>
                <w:kern w:val="0"/>
                <w:sz w:val="32"/>
                <w:szCs w:val="32"/>
                <w:lang w:val="en-US" w:eastAsia="zh-CN"/>
              </w:rPr>
            </w:pPr>
            <w:r>
              <w:rPr>
                <w:rFonts w:hint="eastAsia" w:ascii="仿宋_GB2312" w:hAnsi="宋体" w:eastAsia="仿宋_GB2312" w:cs="宋体"/>
                <w:b/>
                <w:bCs/>
                <w:color w:val="333333"/>
                <w:kern w:val="0"/>
                <w:sz w:val="32"/>
                <w:szCs w:val="32"/>
                <w:lang w:val="en-US" w:eastAsia="zh-CN"/>
              </w:rPr>
              <w:t>（三）国有资产占有使用情况。</w:t>
            </w:r>
          </w:p>
          <w:p>
            <w:pPr>
              <w:widowControl/>
              <w:numPr>
                <w:ilvl w:val="0"/>
                <w:numId w:val="0"/>
              </w:numPr>
              <w:spacing w:line="480" w:lineRule="atLeast"/>
              <w:ind w:firstLine="640" w:firstLineChars="2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截至2023年，金县残疾人联合会有公务用车1 辆，其中：一般公务用车 1辆；无单价50万元以上通用设备及单价100万元以上专用设备。</w:t>
            </w:r>
          </w:p>
          <w:p>
            <w:pPr>
              <w:widowControl/>
              <w:numPr>
                <w:ilvl w:val="0"/>
                <w:numId w:val="0"/>
              </w:numPr>
              <w:spacing w:line="480" w:lineRule="atLeast"/>
              <w:rPr>
                <w:rFonts w:hint="eastAsia" w:ascii="仿宋_GB2312" w:hAnsi="宋体" w:eastAsia="仿宋_GB2312" w:cs="宋体"/>
                <w:b/>
                <w:bCs/>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　</w:t>
            </w:r>
            <w:r>
              <w:rPr>
                <w:rFonts w:hint="eastAsia" w:ascii="仿宋_GB2312" w:hAnsi="宋体" w:eastAsia="仿宋_GB2312" w:cs="宋体"/>
                <w:b/>
                <w:bCs/>
                <w:color w:val="333333"/>
                <w:kern w:val="0"/>
                <w:sz w:val="32"/>
                <w:szCs w:val="32"/>
                <w:lang w:val="en-US" w:eastAsia="zh-CN"/>
              </w:rPr>
              <w:t>　（四）绩效目标设置情况</w:t>
            </w:r>
          </w:p>
          <w:p>
            <w:pPr>
              <w:widowControl/>
              <w:numPr>
                <w:ilvl w:val="0"/>
                <w:numId w:val="0"/>
              </w:numPr>
              <w:spacing w:line="480" w:lineRule="atLeast"/>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　　　绩效目标是预算编制的前提和基础，按照“费随事定”的原则，2022年残疾人联合会按要求编制了部门整体绩效目标及专用项目绩效目标,从项目完成、项目效益、满意度等方面设置了绩效指标，综合反映项目预期完成的数量、成本、时效、质量，预期达到的社会效益、经济效益、生态效益、可持续影响以及服务对象满意度等情况。</w:t>
            </w:r>
          </w:p>
          <w:p>
            <w:pPr>
              <w:widowControl/>
              <w:numPr>
                <w:ilvl w:val="0"/>
                <w:numId w:val="0"/>
              </w:numPr>
              <w:spacing w:line="480" w:lineRule="atLeast"/>
              <w:ind w:firstLine="723" w:firstLineChars="2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b/>
                <w:bCs/>
                <w:color w:val="333333"/>
                <w:kern w:val="0"/>
                <w:sz w:val="36"/>
                <w:szCs w:val="36"/>
                <w:lang w:val="en-US" w:eastAsia="zh-CN"/>
              </w:rPr>
              <w:t>十一、名词解释</w:t>
            </w:r>
          </w:p>
          <w:p>
            <w:pPr>
              <w:widowControl/>
              <w:numPr>
                <w:ilvl w:val="0"/>
                <w:numId w:val="0"/>
              </w:numPr>
              <w:spacing w:line="480" w:lineRule="atLeast"/>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 xml:space="preserve">  1.一般公共预算拨款收入：指财政当年拨付的资金。</w:t>
            </w:r>
          </w:p>
          <w:p>
            <w:pPr>
              <w:widowControl/>
              <w:numPr>
                <w:ilvl w:val="0"/>
                <w:numId w:val="0"/>
              </w:numPr>
              <w:spacing w:line="480" w:lineRule="atLeast"/>
              <w:ind w:firstLine="320" w:firstLineChars="1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2.上年结转：指以前年度尚未完成，结转到本年仍按原规定用途继续使用的资金。</w:t>
            </w:r>
          </w:p>
          <w:p>
            <w:pPr>
              <w:widowControl/>
              <w:numPr>
                <w:ilvl w:val="0"/>
                <w:numId w:val="0"/>
              </w:numPr>
              <w:spacing w:line="480" w:lineRule="atLeast"/>
              <w:ind w:firstLine="320" w:firstLineChars="1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3.社会保障和就业（类）行政事业单位离退休（款）机关事业单位基本养老保险缴费支出（项）：指残疾人联合会及残疾人康复中心人员的养老保险缴费支出。</w:t>
            </w:r>
          </w:p>
          <w:p>
            <w:pPr>
              <w:widowControl/>
              <w:numPr>
                <w:ilvl w:val="0"/>
                <w:numId w:val="0"/>
              </w:numPr>
              <w:spacing w:line="480" w:lineRule="atLeast"/>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　4.社会保障和就业（类）行政事业单位离退休（款）机关事业单位职业年金缴费支出（项）：指残疾人联合会及残疾人康复中心人员的职业年金缴费的支出。</w:t>
            </w:r>
          </w:p>
          <w:p>
            <w:pPr>
              <w:widowControl/>
              <w:numPr>
                <w:ilvl w:val="0"/>
                <w:numId w:val="0"/>
              </w:numPr>
              <w:spacing w:line="480" w:lineRule="atLeast"/>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 xml:space="preserve">　5.社会保障和就业（类）残疾人事业（款）行政运行（项）：指残疾人联合会人员工资福利残保金和公用经费的支出。 　　   </w:t>
            </w:r>
          </w:p>
          <w:p>
            <w:pPr>
              <w:widowControl/>
              <w:numPr>
                <w:ilvl w:val="0"/>
                <w:numId w:val="0"/>
              </w:numPr>
              <w:spacing w:line="480" w:lineRule="atLeast"/>
              <w:ind w:firstLine="320" w:firstLineChars="1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6.社会保障和就业（类）残疾人事业（款）机关服务（项）：残疾人康复中心的人员工资福利和残保金支出。</w:t>
            </w:r>
          </w:p>
          <w:p>
            <w:pPr>
              <w:widowControl/>
              <w:numPr>
                <w:ilvl w:val="0"/>
                <w:numId w:val="0"/>
              </w:numPr>
              <w:spacing w:line="480" w:lineRule="atLeast"/>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　7.社会保障和就业（类）残疾人事业（款）残疾人就业和扶贫（项）：指残疾人联合会用于残疾人就业和扶贫等方面的支出。</w:t>
            </w:r>
          </w:p>
          <w:p>
            <w:pPr>
              <w:widowControl/>
              <w:numPr>
                <w:ilvl w:val="0"/>
                <w:numId w:val="0"/>
              </w:numPr>
              <w:spacing w:line="480" w:lineRule="atLeast"/>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　8.社会保障和就业（类）残疾人事业（款）其他残疾人事业支出（项）：指残疾人联合会用于残疾人事业方面的支出。</w:t>
            </w:r>
          </w:p>
          <w:p>
            <w:pPr>
              <w:widowControl/>
              <w:numPr>
                <w:ilvl w:val="0"/>
                <w:numId w:val="0"/>
              </w:numPr>
              <w:spacing w:line="480" w:lineRule="atLeast"/>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　9.卫生健康支出（类）行政单位医疗（款）事业单位医疗（项）：指行政单位（包括实行公务员管理的事业单位）用于缴纳单位基本医疗保险支出。</w:t>
            </w:r>
          </w:p>
          <w:p>
            <w:pPr>
              <w:widowControl/>
              <w:numPr>
                <w:ilvl w:val="0"/>
                <w:numId w:val="0"/>
              </w:numPr>
              <w:spacing w:line="480" w:lineRule="atLeast"/>
              <w:ind w:firstLine="320" w:firstLineChars="1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10.卫生健康支出（类）行政事业单位医疗（款）事业单位医疗（项）：指事业单位用于缴纳单位基本医疗保险支出。</w:t>
            </w:r>
          </w:p>
          <w:p>
            <w:pPr>
              <w:widowControl/>
              <w:numPr>
                <w:ilvl w:val="0"/>
                <w:numId w:val="0"/>
              </w:numPr>
              <w:spacing w:line="480" w:lineRule="atLeast"/>
              <w:ind w:firstLine="320" w:firstLineChars="1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11.卫生健康支出（类）行政事业单位医疗（款）公务员医疗补助（项）：参公管理事业单位用于集中缴纳公务员医疗补助支出。</w:t>
            </w:r>
          </w:p>
          <w:p>
            <w:pPr>
              <w:widowControl/>
              <w:numPr>
                <w:ilvl w:val="0"/>
                <w:numId w:val="0"/>
              </w:numPr>
              <w:spacing w:line="480" w:lineRule="atLeast"/>
              <w:ind w:firstLine="320" w:firstLineChars="1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12.住房保障支出（类）住房改革支出（款）住房公积金（项）：指按照《住房公积金管理条例》的规定，由单位及其在职职工缴存的长期住房储金。</w:t>
            </w:r>
          </w:p>
          <w:p>
            <w:pPr>
              <w:widowControl/>
              <w:numPr>
                <w:ilvl w:val="0"/>
                <w:numId w:val="0"/>
              </w:numPr>
              <w:spacing w:line="480" w:lineRule="atLeast"/>
              <w:ind w:firstLine="320" w:firstLineChars="1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13.基本支出：指为保证机构正常运转，完成日常工作任务而发生的人员支出和公用支出。</w:t>
            </w:r>
          </w:p>
          <w:p>
            <w:pPr>
              <w:widowControl/>
              <w:numPr>
                <w:ilvl w:val="0"/>
                <w:numId w:val="0"/>
              </w:numPr>
              <w:spacing w:line="480" w:lineRule="atLeast"/>
              <w:ind w:firstLine="320" w:firstLineChars="1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14.项目支出：指在基本支出之外为完成特定行政任务和事业发展目标所发生的支出。</w:t>
            </w:r>
          </w:p>
          <w:p>
            <w:pPr>
              <w:widowControl/>
              <w:numPr>
                <w:ilvl w:val="0"/>
                <w:numId w:val="0"/>
              </w:numPr>
              <w:spacing w:line="480" w:lineRule="atLeast"/>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　15.“三公”经费：纳入金川县残疾人联合会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widowControl/>
              <w:numPr>
                <w:ilvl w:val="0"/>
                <w:numId w:val="0"/>
              </w:numPr>
              <w:spacing w:line="480" w:lineRule="atLeast"/>
              <w:ind w:firstLine="320" w:firstLineChars="1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16.机关运行经费：为保障行政单位（包含参照公务员法管理的事业单位）运行用于购买货物和服务的各项资金。包括办公及办公费、水费、电费、印刷费、邮电费、差旅费、会议费等费用开支。</w:t>
            </w:r>
          </w:p>
          <w:p>
            <w:pPr>
              <w:widowControl/>
              <w:numPr>
                <w:ilvl w:val="0"/>
                <w:numId w:val="0"/>
              </w:numPr>
              <w:spacing w:line="480" w:lineRule="atLeast"/>
              <w:ind w:firstLine="640" w:firstLineChars="200"/>
              <w:rPr>
                <w:rFonts w:hint="eastAsia" w:ascii="仿宋_GB2312" w:hAnsi="宋体" w:eastAsia="仿宋_GB2312" w:cs="宋体"/>
                <w:color w:val="333333"/>
                <w:kern w:val="0"/>
                <w:sz w:val="32"/>
                <w:szCs w:val="32"/>
                <w:lang w:val="en-US" w:eastAsia="zh-CN"/>
              </w:rPr>
            </w:pPr>
          </w:p>
          <w:p>
            <w:pPr>
              <w:widowControl/>
              <w:numPr>
                <w:ilvl w:val="0"/>
                <w:numId w:val="0"/>
              </w:numPr>
              <w:spacing w:line="480" w:lineRule="atLeast"/>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　　　　　</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FjYTY2YjI4N2JkMjM1MjFlNDhmZmUyOGYwNDhlNGYifQ=="/>
  </w:docVars>
  <w:rsids>
    <w:rsidRoot w:val="31C40EC7"/>
    <w:rsid w:val="128C39FD"/>
    <w:rsid w:val="132D4308"/>
    <w:rsid w:val="1E1C7453"/>
    <w:rsid w:val="27787DF0"/>
    <w:rsid w:val="31C40EC7"/>
    <w:rsid w:val="3A0574FA"/>
    <w:rsid w:val="3A5E3418"/>
    <w:rsid w:val="402E49DD"/>
    <w:rsid w:val="412779A2"/>
    <w:rsid w:val="432F47B6"/>
    <w:rsid w:val="48EB621C"/>
    <w:rsid w:val="4C743CFE"/>
    <w:rsid w:val="50F9524E"/>
    <w:rsid w:val="65F159B1"/>
    <w:rsid w:val="670915D3"/>
    <w:rsid w:val="7DB008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3974</Words>
  <Characters>4329</Characters>
  <Lines>0</Lines>
  <Paragraphs>0</Paragraphs>
  <TotalTime>5</TotalTime>
  <ScaleCrop>false</ScaleCrop>
  <LinksUpToDate>false</LinksUpToDate>
  <CharactersWithSpaces>4425</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2023-02-07T06:57:00Z</dcterms:created>
  <dc:creator>空月</dc:creator>
  <cp:lastModifiedBy>空月</cp:lastModifiedBy>
  <dcterms:modified xsi:type="dcterms:W3CDTF">2023-02-08T03:36:56Z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D692903F7DFE4C8BBFEC13668CE3E953</vt:lpwstr>
  </property>
</Properties>
</file>