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  <w:t>金川县残疾人联合会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/>
          <w:bCs w:val="0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="726" w:firstLineChars="227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金川县残疾人联合会财政拨款“三公”经费20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年预算安排出国出境安排0万元。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 0万元，较上年预算增长（下降）0万元，增长（下降）0% 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万元，较上年预算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%，原因为：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下乡及出差减少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辆（其中：越野车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万元，用于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辆公务用车燃油、维修、保险等方面支出。主要保障等工作，较上年预算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%，原因为：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下乡及出差减少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金川县残疾人联合会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1.5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1.5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010"/>
        </w:tabs>
        <w:spacing w:line="240" w:lineRule="atLeas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000E0"/>
    <w:rsid w:val="047A6C8E"/>
    <w:rsid w:val="25723A60"/>
    <w:rsid w:val="37C04489"/>
    <w:rsid w:val="514000E0"/>
    <w:rsid w:val="655C70C7"/>
    <w:rsid w:val="75B8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2021-12-02T04:00:00Z</dcterms:created>
  <dc:creator>空月</dc:creator>
  <cp:lastModifiedBy>空月</cp:lastModifiedBy>
  <dcterms:modified xsi:type="dcterms:W3CDTF">2022-03-04T09:48:26Z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5BD291AD880B4A05A531B7C17543162E</vt:lpwstr>
  </property>
</Properties>
</file>