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widowControl/>
        <w:numPr>
          <w:ilvl w:val="0"/>
          <w:numId w:val="1"/>
        </w:numPr>
        <w:spacing w:line="480" w:lineRule="atLeast"/>
        <w:ind w:left="640" w:leftChars="0" w:hanging="640" w:firstLineChars="0"/>
        <w:jc w:val="both"/>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bCs/>
          <w:sz w:val="32"/>
          <w:szCs w:val="32"/>
        </w:rPr>
        <w:t>基本职能及主要工作</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1</w:t>
      </w:r>
    </w:p>
    <w:p>
      <w:pPr>
        <w:widowControl/>
        <w:numPr>
          <w:ilvl w:val="0"/>
          <w:numId w:val="0"/>
        </w:numPr>
        <w:spacing w:line="480" w:lineRule="atLeast"/>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rPr>
        <w:t>一</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rPr>
        <w:t>职能简介</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2022年重点工作</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部门概况</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2</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收支预算情况说明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2</w:t>
      </w:r>
    </w:p>
    <w:p>
      <w:pPr>
        <w:widowControl/>
        <w:numPr>
          <w:ilvl w:val="0"/>
          <w:numId w:val="0"/>
        </w:numPr>
        <w:spacing w:line="480" w:lineRule="atLeast"/>
        <w:ind w:left="638" w:leftChars="304" w:firstLine="0" w:firstLineChars="0"/>
        <w:jc w:val="both"/>
        <w:rPr>
          <w:rFonts w:hint="eastAsia" w:ascii="仿宋_GB2312" w:hAnsi="仿宋_GB2312" w:eastAsia="仿宋_GB2312" w:cs="仿宋_GB2312"/>
          <w:b/>
          <w:bCs/>
          <w:color w:val="333333"/>
          <w:kern w:val="0"/>
          <w:sz w:val="32"/>
          <w:szCs w:val="32"/>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收入预算情况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支出预算情况</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财政拨款收支预算情况说明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3</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一般公共预算当年拨款情况说明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4</w:t>
      </w:r>
    </w:p>
    <w:p>
      <w:pPr>
        <w:widowControl/>
        <w:numPr>
          <w:ilvl w:val="0"/>
          <w:numId w:val="0"/>
        </w:numPr>
        <w:spacing w:line="480" w:lineRule="atLeast"/>
        <w:ind w:left="638" w:leftChars="304" w:firstLine="0" w:firstLineChars="0"/>
        <w:jc w:val="both"/>
        <w:rPr>
          <w:rFonts w:hint="eastAsia" w:ascii="仿宋_GB2312" w:hAnsi="仿宋_GB2312" w:eastAsia="仿宋_GB2312" w:cs="仿宋_GB2312"/>
          <w:b/>
          <w:bCs/>
          <w:color w:val="333333"/>
          <w:kern w:val="0"/>
          <w:sz w:val="32"/>
          <w:szCs w:val="32"/>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一般公共预算当年拨款具体使用情况</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一般公共预算基本支出情况说明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5</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“三公”经费</w:t>
      </w:r>
      <w:r>
        <w:rPr>
          <w:rFonts w:hint="eastAsia" w:ascii="方正小标宋简体" w:hAnsi="方正小标宋简体" w:eastAsia="方正小标宋简体" w:cs="方正小标宋简体"/>
          <w:b/>
          <w:bCs/>
          <w:sz w:val="32"/>
          <w:szCs w:val="32"/>
          <w:highlight w:val="none"/>
          <w:lang w:eastAsia="zh-CN"/>
        </w:rPr>
        <w:t>财政拨款</w:t>
      </w:r>
      <w:r>
        <w:rPr>
          <w:rFonts w:hint="eastAsia" w:ascii="方正小标宋简体" w:hAnsi="方正小标宋简体" w:eastAsia="方正小标宋简体" w:cs="方正小标宋简体"/>
          <w:b/>
          <w:bCs/>
          <w:sz w:val="32"/>
          <w:szCs w:val="32"/>
        </w:rPr>
        <w:t>预算安排情况说明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6</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政府性基金预算支出情况说明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6</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其他重要事项的情况说明</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6</w:t>
      </w:r>
    </w:p>
    <w:p>
      <w:pPr>
        <w:widowControl/>
        <w:numPr>
          <w:ilvl w:val="0"/>
          <w:numId w:val="1"/>
        </w:numPr>
        <w:spacing w:line="480" w:lineRule="atLeast"/>
        <w:ind w:left="640" w:leftChars="0" w:hanging="640" w:firstLineChars="0"/>
        <w:jc w:val="both"/>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 xml:space="preserve"> 名词解释</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9</w:t>
      </w:r>
    </w:p>
    <w:p>
      <w:pPr>
        <w:widowControl/>
        <w:numPr>
          <w:ilvl w:val="0"/>
          <w:numId w:val="0"/>
        </w:numPr>
        <w:spacing w:line="480" w:lineRule="atLeast"/>
        <w:ind w:leftChars="0"/>
        <w:jc w:val="both"/>
        <w:rPr>
          <w:rFonts w:hint="eastAsia" w:ascii="方正小标宋简体" w:hAnsi="方正小标宋简体" w:eastAsia="方正小标宋简体" w:cs="方正小标宋简体"/>
          <w:b/>
          <w:bCs/>
          <w:sz w:val="32"/>
          <w:szCs w:val="32"/>
          <w:lang w:val="en-US" w:eastAsia="zh-CN"/>
        </w:rPr>
      </w:pPr>
      <w:r>
        <w:rPr>
          <w:rFonts w:hint="eastAsia" w:ascii="仿宋_GB2312" w:hAnsi="宋体" w:eastAsia="仿宋_GB2312" w:cs="宋体"/>
          <w:b/>
          <w:bCs/>
          <w:color w:val="333333"/>
          <w:kern w:val="0"/>
          <w:sz w:val="36"/>
          <w:szCs w:val="36"/>
          <w:lang w:val="en-US" w:eastAsia="zh-CN"/>
        </w:rPr>
        <w:br w:type="textWrapping"/>
      </w:r>
    </w:p>
    <w:p>
      <w:pPr>
        <w:widowControl/>
        <w:spacing w:line="480" w:lineRule="atLeast"/>
        <w:jc w:val="center"/>
        <w:rPr>
          <w:rFonts w:hint="eastAsia" w:ascii="仿宋_GB2312" w:hAnsi="宋体" w:eastAsia="仿宋_GB2312" w:cs="宋体"/>
          <w:b/>
          <w:bCs/>
          <w:color w:val="333333"/>
          <w:kern w:val="0"/>
          <w:sz w:val="44"/>
          <w:szCs w:val="44"/>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tbl>
      <w:tblPr>
        <w:tblStyle w:val="5"/>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rHeight w:val="13945" w:hRule="atLeast"/>
          <w:tblCellSpacing w:w="0" w:type="dxa"/>
          <w:jc w:val="center"/>
        </w:trPr>
        <w:tc>
          <w:tcPr>
            <w:tcW w:w="8775" w:type="dxa"/>
            <w:tcMar>
              <w:top w:w="150" w:type="dxa"/>
              <w:left w:w="75" w:type="dxa"/>
              <w:bottom w:w="0" w:type="dxa"/>
              <w:right w:w="0" w:type="dxa"/>
            </w:tcMar>
          </w:tcPr>
          <w:p>
            <w:pPr>
              <w:widowControl/>
              <w:numPr>
                <w:ilvl w:val="0"/>
                <w:numId w:val="0"/>
              </w:numPr>
              <w:spacing w:line="480" w:lineRule="atLeast"/>
              <w:jc w:val="center"/>
              <w:rPr>
                <w:rFonts w:hint="eastAsia" w:ascii="仿宋_GB2312" w:hAnsi="宋体" w:eastAsia="仿宋_GB2312" w:cs="宋体"/>
                <w:b/>
                <w:bCs/>
                <w:color w:val="333333"/>
                <w:kern w:val="0"/>
                <w:sz w:val="44"/>
                <w:szCs w:val="44"/>
                <w:lang w:val="en-US" w:eastAsia="zh-CN"/>
              </w:rPr>
            </w:pPr>
            <w:r>
              <w:rPr>
                <w:rFonts w:hint="eastAsia" w:ascii="仿宋_GB2312" w:hAnsi="宋体" w:eastAsia="仿宋_GB2312" w:cs="宋体"/>
                <w:b/>
                <w:bCs/>
                <w:color w:val="333333"/>
                <w:kern w:val="0"/>
                <w:sz w:val="44"/>
                <w:szCs w:val="44"/>
                <w:lang w:val="en-US" w:eastAsia="zh-CN"/>
              </w:rPr>
              <w:t>金川县残疾人联合会2022年</w:t>
            </w:r>
          </w:p>
          <w:p>
            <w:pPr>
              <w:widowControl/>
              <w:numPr>
                <w:ilvl w:val="0"/>
                <w:numId w:val="0"/>
              </w:numPr>
              <w:spacing w:line="480" w:lineRule="atLeast"/>
              <w:jc w:val="center"/>
              <w:rPr>
                <w:rFonts w:hint="eastAsia" w:ascii="仿宋_GB2312" w:hAnsi="宋体" w:eastAsia="仿宋_GB2312" w:cs="宋体"/>
                <w:b/>
                <w:bCs/>
                <w:color w:val="333333"/>
                <w:kern w:val="0"/>
                <w:sz w:val="44"/>
                <w:szCs w:val="44"/>
                <w:lang w:val="en-US" w:eastAsia="zh-CN"/>
              </w:rPr>
            </w:pPr>
            <w:r>
              <w:rPr>
                <w:rFonts w:hint="eastAsia" w:ascii="仿宋_GB2312" w:hAnsi="宋体" w:eastAsia="仿宋_GB2312" w:cs="宋体"/>
                <w:b/>
                <w:bCs/>
                <w:color w:val="333333"/>
                <w:kern w:val="0"/>
                <w:sz w:val="44"/>
                <w:szCs w:val="44"/>
                <w:lang w:val="en-US" w:eastAsia="zh-CN"/>
              </w:rPr>
              <w:t>部门预算编制说明</w:t>
            </w:r>
          </w:p>
          <w:p>
            <w:pPr>
              <w:widowControl/>
              <w:numPr>
                <w:ilvl w:val="0"/>
                <w:numId w:val="0"/>
              </w:numPr>
              <w:spacing w:line="480" w:lineRule="atLeast"/>
              <w:jc w:val="center"/>
              <w:rPr>
                <w:rFonts w:hint="eastAsia" w:ascii="仿宋_GB2312" w:hAnsi="宋体" w:eastAsia="仿宋_GB2312" w:cs="宋体"/>
                <w:b/>
                <w:bCs/>
                <w:color w:val="333333"/>
                <w:kern w:val="0"/>
                <w:sz w:val="44"/>
                <w:szCs w:val="44"/>
                <w:lang w:val="en-US" w:eastAsia="zh-CN"/>
              </w:rPr>
            </w:pPr>
          </w:p>
          <w:p>
            <w:pPr>
              <w:widowControl/>
              <w:numPr>
                <w:ilvl w:val="0"/>
                <w:numId w:val="0"/>
              </w:numPr>
              <w:spacing w:line="480" w:lineRule="atLeast"/>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b/>
                <w:bCs/>
                <w:color w:val="333333"/>
                <w:kern w:val="0"/>
                <w:sz w:val="36"/>
                <w:szCs w:val="36"/>
                <w:lang w:val="en-US" w:eastAsia="zh-CN"/>
              </w:rPr>
              <w:t>一、基本职能及主要工作</w:t>
            </w:r>
            <w:r>
              <w:rPr>
                <w:rFonts w:hint="eastAsia" w:ascii="仿宋_GB2312" w:hAnsi="宋体" w:eastAsia="仿宋_GB2312" w:cs="宋体"/>
                <w:color w:val="333333"/>
                <w:kern w:val="0"/>
                <w:sz w:val="36"/>
                <w:szCs w:val="36"/>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　（一）残联职能简介。</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1、宣传、贯彻有关残疾人事业的法律、法规、规章和政策； </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2、沟通残疾人与政府之间的联系，宣传残疾人事业，动员社会理解、尊重、关心、帮助残疾人； </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xml:space="preserve">　　3、承担同级人民政府委托的工作，发展残疾人事业； </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xml:space="preserve">　　4、指导、管理本地区各类残疾人群众组织，推进残疾人工作； </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5、办理审核发放残疾证；</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6、维护残疾人的合法权益，处理残疾人生活和工作中遇到的困难，保障残疾人平等地充分参与社会生活，共享社会物质文化成果。</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 xml:space="preserve">  </w:t>
            </w:r>
            <w:r>
              <w:rPr>
                <w:rFonts w:hint="eastAsia" w:ascii="仿宋_GB2312" w:hAnsi="宋体" w:eastAsia="仿宋_GB2312" w:cs="宋体"/>
                <w:b/>
                <w:bCs/>
                <w:color w:val="333333"/>
                <w:kern w:val="0"/>
                <w:sz w:val="32"/>
                <w:szCs w:val="32"/>
                <w:lang w:val="en-US" w:eastAsia="zh-CN"/>
              </w:rPr>
              <w:t>（二）残联2022年重点工作.</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是根据县委、县政府关于2022年全县工作的总体部署，负责基层残疾人组织建设；二是审核办理残疾证；三是发放残疾人各项生活补贴，提高残疾人生活现状；四是扶持残疾人就业创业，拓展残疾人就业渠道；五是推进残疾人开放量服工作；六是承办县政府交办的其他事项。</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p>
          <w:p>
            <w:pPr>
              <w:widowControl/>
              <w:numPr>
                <w:ilvl w:val="0"/>
                <w:numId w:val="2"/>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部门概况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b/>
                <w:bCs/>
                <w:color w:val="333333"/>
                <w:kern w:val="0"/>
                <w:sz w:val="28"/>
                <w:szCs w:val="28"/>
                <w:lang w:val="en-US" w:eastAsia="zh-CN"/>
              </w:rPr>
              <w:t xml:space="preserve">　 </w:t>
            </w:r>
            <w:r>
              <w:rPr>
                <w:rFonts w:hint="eastAsia" w:ascii="仿宋_GB2312" w:hAnsi="宋体" w:eastAsia="仿宋_GB2312" w:cs="宋体"/>
                <w:b/>
                <w:bCs/>
                <w:color w:val="333333"/>
                <w:kern w:val="0"/>
                <w:sz w:val="32"/>
                <w:szCs w:val="32"/>
                <w:lang w:val="en-US" w:eastAsia="zh-CN"/>
              </w:rPr>
              <w:t xml:space="preserve"> </w:t>
            </w:r>
            <w:r>
              <w:rPr>
                <w:rFonts w:hint="eastAsia" w:ascii="仿宋_GB2312" w:hAnsi="宋体" w:eastAsia="仿宋_GB2312" w:cs="宋体"/>
                <w:color w:val="333333"/>
                <w:kern w:val="0"/>
                <w:sz w:val="32"/>
                <w:szCs w:val="32"/>
                <w:lang w:val="en-US" w:eastAsia="zh-CN"/>
              </w:rPr>
              <w:t xml:space="preserve">2022年残疾人联合会编制单位机构数为2个其中金川县残疾人联合会为行政参公单位下设事业单位1个为金川县残疾人康复中心，财政供养人员编制为7 名，其中行政编制 3名，（其中参照公务员法管理人员编制3 人，）行政工勤编制0 名，事业编制4 名；2022年实际财政供养人员 7人，较上年增加 0人（不含退休人员），其中：行政3 人，行政工勤 0人，事业 4人。 </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b/>
                <w:bCs/>
                <w:color w:val="333333"/>
                <w:kern w:val="0"/>
                <w:sz w:val="36"/>
                <w:szCs w:val="36"/>
                <w:lang w:val="en-US" w:eastAsia="zh-CN"/>
              </w:rPr>
              <w:t>三、收支预算情况说明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按照综合预算的原则，残疾人联合会所有收入和支出均纳入部门预算管理。收入包括：一般公共预算拨款收入、上年结转；支出包括：一般公共服务支出、教育支出、社会保障和就业支出、医疗卫生与计划生育支出、住房保障支出。残疾人联合会2022年收支总预算135.16万元</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比2021年收支预算总数减少14.28万元，主要是因为项目减少。</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（一）收入预算情况。</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残疾人联合会2022年收入预算135.16万元，其中：一般公共预算拨款收入135.16万元，占100%。</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（二）支出预算情况。</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残疾人联合会2022年支出预算135.16万元，其中：基本支出102.38万元，占75.74%；项目支出32.78万元，占24.26%。</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b/>
                <w:bCs/>
                <w:color w:val="333333"/>
                <w:kern w:val="0"/>
                <w:sz w:val="36"/>
                <w:szCs w:val="36"/>
                <w:lang w:val="en-US" w:eastAsia="zh-CN"/>
              </w:rPr>
              <w:t>四、财政拨款收支预算情况说明</w:t>
            </w:r>
            <w:r>
              <w:rPr>
                <w:rFonts w:hint="eastAsia" w:ascii="仿宋_GB2312" w:hAnsi="宋体" w:eastAsia="仿宋_GB2312" w:cs="宋体"/>
                <w:b/>
                <w:bCs/>
                <w:color w:val="333333"/>
                <w:kern w:val="0"/>
                <w:sz w:val="36"/>
                <w:szCs w:val="36"/>
                <w:lang w:val="en-US" w:eastAsia="zh-CN"/>
              </w:rPr>
              <w:br w:type="textWrapping"/>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32"/>
                <w:szCs w:val="32"/>
                <w:lang w:val="en-US" w:eastAsia="zh-CN"/>
              </w:rPr>
              <w:t>残疾人联合会2022年收支总预算135.16万元</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比2021年收支预算总数减少14.28万元，主要是项目减少。</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收入包括：本年一般公共预算拨款收入135.16万元，支出包括：社会保障和就业支出121.98万元、医疗卫生与计划生育支出5.69万元、住房保障支出7.49万元。</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b/>
                <w:bCs/>
                <w:color w:val="333333"/>
                <w:kern w:val="0"/>
                <w:sz w:val="36"/>
                <w:szCs w:val="36"/>
                <w:lang w:val="en-US" w:eastAsia="zh-CN"/>
              </w:rPr>
              <w:t>五、一般公共预算当年拨款情况说明</w:t>
            </w:r>
            <w:r>
              <w:rPr>
                <w:rFonts w:hint="eastAsia" w:ascii="仿宋_GB2312" w:hAnsi="宋体" w:eastAsia="仿宋_GB2312" w:cs="宋体"/>
                <w:b/>
                <w:bCs/>
                <w:color w:val="333333"/>
                <w:kern w:val="0"/>
                <w:sz w:val="36"/>
                <w:szCs w:val="36"/>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（一）一般公共预算当年拨款规模变化情况。</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残疾人联合会2022年一般公共预算当年拨款135.16万元，比2022年预算数减少14.28万元，主要是因为主要是项目减少。</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　（二）一般公共预算当年拨款结构情况。</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社会保障和就业支出121.98万元，占90.25%；医疗卫生与计划生育支出5.69万元，占4.21%；住房保障支出7.49万元，占5.54%。</w:t>
            </w:r>
          </w:p>
          <w:p>
            <w:pPr>
              <w:widowControl/>
              <w:numPr>
                <w:ilvl w:val="0"/>
                <w:numId w:val="0"/>
              </w:numPr>
              <w:spacing w:line="480" w:lineRule="atLeast"/>
              <w:ind w:firstLine="643"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（三）一般公共预算当年拨款具体使用情况。</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1.208社会保障和就业</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类）05行政事业单位离退休（款）05机关事业单位基本养老保险费（项）：日常人员经费9.99万元，主要用于：残疾人联合会人及残疾人康复中心人员基本养老保险支出。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2.208社会保障和就业</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类）05行政事业单位离退休（类）06机关事业单位职业年金缴费支出（项）：日常人员经费4.96万元，主要用于：残疾人联合会及残疾人康复中心</w:t>
            </w:r>
            <w:r>
              <w:rPr>
                <w:rFonts w:hint="eastAsia" w:ascii="仿宋_GB2312" w:hAnsi="宋体" w:eastAsia="仿宋_GB2312" w:cs="宋体"/>
                <w:color w:val="333333"/>
                <w:kern w:val="0"/>
                <w:sz w:val="32"/>
                <w:szCs w:val="32"/>
                <w:highlight w:val="none"/>
                <w:lang w:val="en-US" w:eastAsia="zh-CN"/>
              </w:rPr>
              <w:t>人员</w:t>
            </w:r>
            <w:r>
              <w:rPr>
                <w:rFonts w:hint="eastAsia" w:ascii="仿宋_GB2312" w:hAnsi="宋体" w:eastAsia="仿宋_GB2312" w:cs="宋体"/>
                <w:color w:val="333333"/>
                <w:kern w:val="0"/>
                <w:sz w:val="32"/>
                <w:szCs w:val="32"/>
                <w:lang w:val="en-US" w:eastAsia="zh-CN"/>
              </w:rPr>
              <w:t>职业年金缴费支出。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3.208社会保障和就业</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类）11残疾人事业（款）01行政运行（项）: 日常人员经费30.66万元，主要用于：残疾人联合会人员工资福利和残保金支出。公用经费10.28万元，主要用于：残疾人联合会及残疾人康复中心机构正常运行、开展日常工作的基本支出。</w:t>
            </w:r>
          </w:p>
          <w:p>
            <w:pPr>
              <w:widowControl/>
              <w:numPr>
                <w:ilvl w:val="0"/>
                <w:numId w:val="0"/>
              </w:numPr>
              <w:spacing w:line="480" w:lineRule="atLeast"/>
              <w:ind w:firstLine="640" w:firstLineChars="200"/>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4.208社会保障和就业</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类）11残疾人事业（款）03机关服务（项）</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日常人员经费33.27万元，主要用于：残疾人康复中心人员工资福利和残保金支出。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5.208社会保障和就业</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类）11残疾人事业（款）05残疾人就业和扶贫（项）</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日常人员经费0万元，专项经费18万元，主要用于残疾人居家灵活就业及创业就业补助。</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6.208社会保障和就业</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类）11残疾人事业（款）99其他残疾人事业支出（项）</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日常人员经费0万元，专项经费14.78万元，主要用于村（社）残疾人联系员误工补助。</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7.210医疗卫生与计划生育（类）11行政事业单位医疗（款）01行政单位医疗（项）</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医疗保障费用4.4万元，主要用于：残疾人联合会人员单位医疗保险缴费支出。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8.210医疗卫生与计划生育（类）11行政事业单位医疗（款）03公务员医疗补助（项）</w:t>
            </w:r>
            <w:bookmarkStart w:id="0" w:name="_GoBack"/>
            <w:bookmarkEnd w:id="0"/>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医疗保障费用1.3万元，主要用于：残疾人联合会人员公务员医疗保险缴费支出。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9.221住房保障支出（类）02住房改革支出（款）01住房公积金（项）：住房公积金7.5万元，主要用于：残疾人联合会工作人员住房公积金缴费支出。</w:t>
            </w: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六、一般公共预算基本支出情况说明</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金川县残疾人联合会2022年一般公共预算财政拨款基本支出102.38 万元，其中：</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人员经费92.1 万元，主要包括：基本工资、津贴补贴、奖金、绩效工资、机关事业单位基本养老保险缴费、职业年金缴费、其他社会保障缴费等支出。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公用经费10.28万元，主要包括：办公费、电费、邮电费、印刷费、差旅费、维修（护）费、劳务费、公务用车运行维护费等支出。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b/>
                <w:bCs/>
                <w:color w:val="333333"/>
                <w:kern w:val="0"/>
                <w:sz w:val="36"/>
                <w:szCs w:val="36"/>
                <w:lang w:val="en-US" w:eastAsia="zh-CN"/>
              </w:rPr>
              <w:t>七、“三公”经费财政拨款预算安排情况说明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金川县残疾人联合会22年“三公”经费财政拨款预算数1.5万元，其中：因公出国（境）经费0万元，公务接待费0万元，公务用车购置及运行维护费1.5万元。</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（一）因公出国（境）经费无与2021年预算持平。</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（二）公务接待费无较2021年预算持平。</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2022年公务接待费计划用于执行公务、考察调研、检查指导等公务活动开支的交通费、住宿费、用餐费等。</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（三）公务用车购置及运行维护费与2021年预算下降25%</w:t>
            </w:r>
            <w:r>
              <w:rPr>
                <w:rFonts w:hint="eastAsia" w:ascii="仿宋_GB2312" w:hAnsi="宋体" w:eastAsia="仿宋_GB2312" w:cs="宋体"/>
                <w:color w:val="333333"/>
                <w:kern w:val="0"/>
                <w:sz w:val="32"/>
                <w:szCs w:val="32"/>
                <w:lang w:val="en-US" w:eastAsia="zh-CN"/>
              </w:rPr>
              <w:t>　　</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单位现有公务用车1辆，其中：越野车1辆，2022年未安排公务用车购置费。</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2022年安排公务用车运行维护费1.5万元，用于公务用车燃油、过路（桥）、维修、保险等方面支出，主要保障机关量服工作检查、重度残疾人无障碍改造查看、创业就业查看等工作开展。</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b/>
                <w:bCs/>
                <w:color w:val="333333"/>
                <w:kern w:val="0"/>
                <w:sz w:val="36"/>
                <w:szCs w:val="36"/>
                <w:lang w:val="en-US" w:eastAsia="zh-CN"/>
              </w:rPr>
              <w:t>八、政府性基金预算支出情况说明</w:t>
            </w:r>
            <w:r>
              <w:rPr>
                <w:rFonts w:hint="eastAsia" w:ascii="仿宋_GB2312" w:hAnsi="宋体" w:eastAsia="仿宋_GB2312" w:cs="宋体"/>
                <w:b/>
                <w:bCs/>
                <w:color w:val="333333"/>
                <w:kern w:val="0"/>
                <w:sz w:val="36"/>
                <w:szCs w:val="36"/>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　残疾人联合会2022年没有使用政府性基金预算拨款安排的支出。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b/>
                <w:bCs/>
                <w:color w:val="333333"/>
                <w:kern w:val="0"/>
                <w:sz w:val="36"/>
                <w:szCs w:val="36"/>
                <w:lang w:val="en-US" w:eastAsia="zh-CN"/>
              </w:rPr>
              <w:t>九、其他重要事项的情况说明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（一）机关运行经费。</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2022年，残疾人联合会机关运行经费财政拨款预算为10.28万元，比2021年预算减少0.38万元，下降3.7%。下降原因为残疾人保证金增加公用经费减少。</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（二）政府采购情况。</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2022年，残联安排政府采购预算0万元。</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　（三）国有资产占有使用情况。</w:t>
            </w:r>
            <w:r>
              <w:rPr>
                <w:rFonts w:hint="eastAsia" w:ascii="仿宋_GB2312" w:hAnsi="宋体" w:eastAsia="仿宋_GB2312" w:cs="宋体"/>
                <w:b/>
                <w:bCs/>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截至2022年，金县残疾人联合会有公务用车1 辆，其中：一般公务用车 1辆；无单价50万元以上通用设备及单价100万元以上专用设备。</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　（四）绩效目标设置情况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绩效目标是预算编制的前提和基础，按照“费随事定”的原则，2022年残疾人联合会按要求编制了部门整体绩效目标及专用项目绩效目标</w:t>
            </w:r>
            <w:r>
              <w:rPr>
                <w:rFonts w:hint="eastAsia" w:ascii="仿宋_GB2312" w:hAnsi="宋体" w:eastAsia="仿宋_GB2312" w:cs="宋体"/>
                <w:color w:val="333333"/>
                <w:kern w:val="0"/>
                <w:sz w:val="32"/>
                <w:szCs w:val="32"/>
                <w:highlight w:val="none"/>
                <w:lang w:val="en-US" w:eastAsia="zh-CN"/>
              </w:rPr>
              <w:t>，</w:t>
            </w:r>
            <w:r>
              <w:rPr>
                <w:rFonts w:hint="eastAsia" w:ascii="仿宋_GB2312" w:hAnsi="宋体" w:eastAsia="仿宋_GB2312" w:cs="宋体"/>
                <w:color w:val="333333"/>
                <w:kern w:val="0"/>
                <w:sz w:val="32"/>
                <w:szCs w:val="32"/>
                <w:lang w:val="en-US" w:eastAsia="zh-CN"/>
              </w:rPr>
              <w:t>从项目完成、项目效益、满意度等方面设置了绩效指标，综合反映项目预期完成的数量、成本、时效、质量，预期达到的社会效益、经济效益、生态效益、可持续影响以及服务对象满意度等情况。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b/>
                <w:bCs/>
                <w:color w:val="333333"/>
                <w:kern w:val="0"/>
                <w:sz w:val="36"/>
                <w:szCs w:val="36"/>
                <w:lang w:val="en-US" w:eastAsia="zh-CN"/>
              </w:rPr>
              <w:t>十、名词解释</w:t>
            </w:r>
            <w:r>
              <w:rPr>
                <w:rFonts w:hint="eastAsia" w:ascii="仿宋_GB2312" w:hAnsi="宋体" w:eastAsia="仿宋_GB2312" w:cs="宋体"/>
                <w:b/>
                <w:bCs/>
                <w:color w:val="333333"/>
                <w:kern w:val="0"/>
                <w:sz w:val="36"/>
                <w:szCs w:val="36"/>
                <w:lang w:val="en-US" w:eastAsia="zh-CN"/>
              </w:rPr>
              <w:br w:type="textWrapping"/>
            </w:r>
            <w:r>
              <w:rPr>
                <w:rFonts w:hint="eastAsia" w:ascii="仿宋_GB2312" w:hAnsi="宋体" w:eastAsia="仿宋_GB2312" w:cs="宋体"/>
                <w:color w:val="333333"/>
                <w:kern w:val="0"/>
                <w:sz w:val="36"/>
                <w:szCs w:val="36"/>
                <w:lang w:val="en-US" w:eastAsia="zh-CN"/>
              </w:rPr>
              <w:t>　</w:t>
            </w:r>
            <w:r>
              <w:rPr>
                <w:rFonts w:hint="eastAsia" w:ascii="仿宋_GB2312" w:hAnsi="宋体" w:eastAsia="仿宋_GB2312" w:cs="宋体"/>
                <w:color w:val="333333"/>
                <w:kern w:val="0"/>
                <w:sz w:val="32"/>
                <w:szCs w:val="32"/>
                <w:lang w:val="en-US" w:eastAsia="zh-CN"/>
              </w:rPr>
              <w:t xml:space="preserve">  1.一般公共预算拨款收入：指财政当年拨付的资金。</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2.上年结转：指以前年度尚未完成，结转到本年仍按原规定用途继续使用的资金。</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3.社会保障和就业（类）行政事业单位离退休（款）机关事业单位基本养老保险缴费支出（项）：指残疾人联合会及残疾人康复中心人员的养老保险缴费支出。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4.社会保障和就业（类）行政事业单位离退休（款）机关事业单位职业年金缴费支出（项）：指残疾人联合会及残疾人康复中心人员的职业年金缴费的支出。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5.社会保障和就业（类）残疾人事业（款）行政运行（项）：指残疾人联合会人员工资福利残保金和公用经费的支出。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6.社会保障和就业（类）残疾人事业（款）机关服务（项）：残疾人康复中心的人员工资福利和残保金支出。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7.社会保障和就业（类）残疾人事业（款）残疾人就业和扶贫（项）：指残疾人联合会用于残疾人就业和扶贫等方面的支出。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8.社会保障和就业（类）残疾人事业（款）其他残疾人事业支出（项）：指残疾人联合会用于残疾人事业方面的支出。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9.卫生健康支出（类）行政单位医疗（款）事业单位医疗（项）：指行政单位（包括实行公务员管理的事业单位）用于缴纳单位基本医疗保险支出。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32"/>
                <w:szCs w:val="32"/>
                <w:lang w:val="en-US" w:eastAsia="zh-CN"/>
              </w:rPr>
              <w:t>10.卫生健康支出（类）行政事业单位医疗（款）事业单位医疗（项）：指事业单位用于缴纳单位基本医疗保险支出。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11.卫生健康支出（类）行政事业单位医疗（款）公务员医疗补助（项）：参公管理事业单位用于集中缴纳公务员医疗补助支出。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12.住房保障支出（类）住房改革支出（款）住房公积金（项）：指按照《住房公积金管理条例》的规定，由单位及其在职职工缴存的长期住房储金。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13.基本支出：指为保证机构正常运转，完成日常工作任务而发生的人员支出和公用支出。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14.项目支出：指在基本支出之外为完成特定行政任务和事业发展目标所发生的支出。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15.“三公”经费：纳入金川县残疾人联合会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t>　　16.机关运行经费：为保障行政单位（包含参照公务员法管理的事业单位）运行用于购买货物和服务的各项资金。包括办公及办公费、水费、电费、印刷费、邮电费、差旅费、会议费等费用开支。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32"/>
                <w:szCs w:val="32"/>
                <w:lang w:val="en-US" w:eastAsia="zh-CN"/>
              </w:rPr>
              <w:br w:type="textWrapping"/>
            </w:r>
            <w:r>
              <w:rPr>
                <w:rFonts w:hint="eastAsia" w:ascii="仿宋_GB2312" w:hAnsi="宋体" w:eastAsia="仿宋_GB2312" w:cs="宋体"/>
                <w:color w:val="333333"/>
                <w:kern w:val="0"/>
                <w:sz w:val="28"/>
                <w:szCs w:val="28"/>
                <w:lang w:val="en-US" w:eastAsia="zh-CN"/>
              </w:rPr>
              <w:t>　　　　　</w:t>
            </w:r>
          </w:p>
        </w:tc>
      </w:tr>
    </w:tbl>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9186D"/>
    <w:multiLevelType w:val="singleLevel"/>
    <w:tmpl w:val="2AA9186D"/>
    <w:lvl w:ilvl="0" w:tentative="0">
      <w:start w:val="1"/>
      <w:numFmt w:val="chineseCounting"/>
      <w:suff w:val="nothing"/>
      <w:lvlText w:val="%1、"/>
      <w:lvlJc w:val="left"/>
      <w:pPr>
        <w:ind w:left="0"/>
      </w:pPr>
      <w:rPr>
        <w:rFonts w:hint="eastAsia" w:ascii="方正小标宋简体" w:hAnsi="方正小标宋简体" w:eastAsia="方正小标宋简体" w:cs="方正小标宋简体"/>
        <w:b/>
        <w:bCs/>
      </w:rPr>
    </w:lvl>
  </w:abstractNum>
  <w:abstractNum w:abstractNumId="1">
    <w:nsid w:val="3B43E834"/>
    <w:multiLevelType w:val="singleLevel"/>
    <w:tmpl w:val="3B43E83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1589B"/>
    <w:rsid w:val="1D8A7D94"/>
    <w:rsid w:val="20665E37"/>
    <w:rsid w:val="310B0001"/>
    <w:rsid w:val="40F167F2"/>
    <w:rsid w:val="46A444D0"/>
    <w:rsid w:val="5721589B"/>
    <w:rsid w:val="5841509C"/>
    <w:rsid w:val="594211BC"/>
    <w:rsid w:val="68777F8E"/>
    <w:rsid w:val="6C2D22E6"/>
    <w:rsid w:val="70E92D79"/>
    <w:rsid w:val="714A26A7"/>
    <w:rsid w:val="720A29A5"/>
    <w:rsid w:val="7A22044B"/>
    <w:rsid w:val="7D0D01B6"/>
    <w:rsid w:val="7E261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2022-03-04T09:27:00Z</dcterms:created>
  <dc:creator>空月</dc:creator>
  <cp:lastModifiedBy>素『蝶』</cp:lastModifiedBy>
  <cp:lastPrinted>2022-03-07T03:42:00Z</cp:lastPrinted>
  <dcterms:modified xsi:type="dcterms:W3CDTF">2022-03-30T06:21:38Z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494796F4DCFF41198990031BEB69E0CA</vt:lpwstr>
  </property>
</Properties>
</file>