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15396597"/>
      <w:bookmarkStart w:id="4" w:name="_Toc15396475"/>
      <w:bookmarkStart w:id="5" w:name="_Toc15377425"/>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96476"/>
      <w:bookmarkStart w:id="8" w:name="_Toc15378442"/>
      <w:bookmarkStart w:id="9" w:name="_Toc15377194"/>
      <w:bookmarkStart w:id="10" w:name="_Toc15396598"/>
      <w:r>
        <w:rPr>
          <w:rFonts w:hint="eastAsia" w:ascii="方正小标宋简体" w:eastAsia="方正小标宋简体"/>
          <w:color w:val="000000"/>
          <w:sz w:val="72"/>
          <w:szCs w:val="72"/>
        </w:rPr>
        <w:t>阿坝州</w:t>
      </w:r>
      <w:bookmarkEnd w:id="0"/>
      <w:bookmarkStart w:id="11" w:name="_Toc15306268"/>
      <w:r>
        <w:rPr>
          <w:rFonts w:hint="eastAsia" w:ascii="方正小标宋简体" w:eastAsia="方正小标宋简体"/>
          <w:color w:val="000000"/>
          <w:sz w:val="72"/>
          <w:szCs w:val="72"/>
        </w:rPr>
        <w:t>金川县残疾人联合会部门决算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1"/>
        <w:ind w:left="420"/>
        <w:rPr>
          <w:rFonts w:ascii="仿宋" w:eastAsia="仿宋"/>
          <w:sz w:val="28"/>
          <w:szCs w:val="28"/>
        </w:rPr>
      </w:pPr>
      <w:r>
        <w:rPr>
          <w:rStyle w:val="16"/>
          <w:rFonts w:hint="eastAsia" w:ascii="仿宋" w:eastAsia="仿宋"/>
          <w:bCs/>
          <w:sz w:val="28"/>
          <w:szCs w:val="28"/>
        </w:rPr>
        <w:t>十、预算绩效情况说明..................................15</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8</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8</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3"/>
        <w:spacing w:before="0" w:after="0" w:line="240" w:lineRule="auto"/>
        <w:ind w:left="640" w:hanging="640" w:hangingChars="200"/>
        <w:rPr>
          <w:rStyle w:val="18"/>
          <w:rFonts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color w:val="333333"/>
          <w:sz w:val="32"/>
        </w:rPr>
        <w:t>　　</w:t>
      </w:r>
      <w:r>
        <w:rPr>
          <w:rFonts w:ascii="仿宋_GB2312" w:hAnsi="仿宋" w:eastAsia="仿宋_GB2312"/>
          <w:kern w:val="2"/>
          <w:sz w:val="32"/>
        </w:rPr>
        <w:t>依据《中国残疾人联合会章程》规定，残联的主要任务是：代表残疾人利益，反映残疾人需求，维护残疾人权益，开展有益活动，为残疾人办实事。具体为以下几个方面：</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1、 准确调查、掌握残疾人的状况和需求，建档立卡。</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2、 核发“中华人民共和国残疾人证”。</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3、 密切联系残疾人，听取意见，反映要求，排忧解难。</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4、宣传、贯彻残疾人保障法和有关残疾人事业的法规，维护残疾人的合法权益。</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5、团结教育残疾人，遵守法律，履行义务，乐观进取，自尊、自信、自强、自立。</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6、 宣传残疾人事业，沟通政府与残疾人的联系，动员社会理解、尊重、关心、帮助 残疾人。</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7、 协助政府研究、制定、实施残疾人事业的法规、政策和计划，优惠残疾人的措施 ，发展和管理残疾人事业。</w:t>
      </w:r>
    </w:p>
    <w:p>
      <w:pPr>
        <w:pStyle w:val="12"/>
        <w:shd w:val="clear" w:color="auto" w:fill="FFFFFF"/>
        <w:spacing w:line="435" w:lineRule="atLeast"/>
        <w:rPr>
          <w:rFonts w:hint="default" w:ascii="仿宋_GB2312" w:hAnsi="仿宋" w:eastAsia="仿宋_GB2312"/>
          <w:kern w:val="2"/>
          <w:sz w:val="32"/>
        </w:rPr>
      </w:pPr>
      <w:r>
        <w:rPr>
          <w:rFonts w:ascii="仿宋_GB2312" w:hAnsi="仿宋" w:eastAsia="仿宋_GB2312"/>
          <w:kern w:val="2"/>
          <w:sz w:val="32"/>
        </w:rPr>
        <w:t>　　8、开展残疾人康复、教育、劳动就业、社会保障、文化、体育等工作，促进残疾人 “平等·参与·共享”。</w:t>
      </w:r>
    </w:p>
    <w:p>
      <w:pPr>
        <w:tabs>
          <w:tab w:val="left" w:pos="0"/>
        </w:tabs>
        <w:snapToGrid w:val="0"/>
        <w:spacing w:line="360" w:lineRule="auto"/>
        <w:ind w:firstLine="640" w:firstLineChars="200"/>
        <w:rPr>
          <w:rFonts w:ascii="仿宋_GB2312" w:hAnsi="仿宋" w:eastAsia="仿宋_GB2312"/>
          <w:sz w:val="32"/>
        </w:rPr>
      </w:pPr>
      <w:r>
        <w:rPr>
          <w:rFonts w:hint="eastAsia" w:ascii="仿宋_GB2312" w:hAnsi="仿宋" w:eastAsia="仿宋_GB2312"/>
          <w:sz w:val="32"/>
        </w:rPr>
        <w:t>9、承办县委、县政府交办的</w:t>
      </w:r>
      <w:r>
        <w:rPr>
          <w:rFonts w:hint="eastAsia" w:ascii="仿宋_GB2312" w:hAnsi="仿宋" w:eastAsia="仿宋_GB2312"/>
          <w:sz w:val="32"/>
          <w:lang w:eastAsia="zh-CN"/>
        </w:rPr>
        <w:t>其他事项</w:t>
      </w:r>
      <w:r>
        <w:rPr>
          <w:rFonts w:hint="eastAsia" w:ascii="仿宋_GB2312" w:hAnsi="仿宋" w:eastAsia="仿宋_GB2312"/>
          <w:sz w:val="32"/>
        </w:rPr>
        <w:t>。</w:t>
      </w:r>
      <w:bookmarkEnd w:id="16"/>
      <w:bookmarkEnd w:id="17"/>
      <w:bookmarkStart w:id="18" w:name="_Toc15377199"/>
      <w:bookmarkStart w:id="19" w:name="_Toc15378446"/>
    </w:p>
    <w:p>
      <w:pPr>
        <w:tabs>
          <w:tab w:val="left" w:pos="0"/>
        </w:tabs>
        <w:snapToGrid w:val="0"/>
        <w:spacing w:line="360" w:lineRule="auto"/>
        <w:rPr>
          <w:rFonts w:ascii="楷体" w:eastAsia="楷体" w:cs="楷体"/>
          <w:bCs/>
          <w:color w:val="000000"/>
          <w:sz w:val="32"/>
          <w:szCs w:val="32"/>
        </w:rPr>
      </w:pPr>
      <w:r>
        <w:rPr>
          <w:rFonts w:hint="eastAsia" w:ascii="楷体" w:eastAsia="楷体" w:cs="楷体"/>
          <w:bCs/>
          <w:color w:val="000000"/>
          <w:sz w:val="32"/>
          <w:szCs w:val="32"/>
        </w:rPr>
        <w:t>（二）2020年重点工作完成情况</w:t>
      </w:r>
      <w:bookmarkEnd w:id="18"/>
      <w:bookmarkEnd w:id="19"/>
    </w:p>
    <w:p>
      <w:pPr>
        <w:snapToGrid w:val="0"/>
        <w:spacing w:line="360" w:lineRule="auto"/>
        <w:ind w:firstLine="630"/>
        <w:rPr>
          <w:rFonts w:ascii="仿宋_GB2312" w:hAnsi="仿宋" w:eastAsia="仿宋_GB2312"/>
          <w:sz w:val="32"/>
        </w:rPr>
      </w:pPr>
      <w:bookmarkStart w:id="20" w:name="_Toc15396601"/>
      <w:bookmarkStart w:id="21" w:name="_Toc15377200"/>
      <w:r>
        <w:rPr>
          <w:rFonts w:hint="eastAsia" w:ascii="仿宋_GB2312" w:hAnsi="仿宋" w:eastAsia="仿宋_GB2312"/>
          <w:sz w:val="32"/>
        </w:rPr>
        <w:t xml:space="preserve">1、宣传、贯彻有关残疾人事业的法律、法规、规章和政策；沟通残疾人与政府之间的联系，宣传残疾人事业，动员社会理解、尊重、关心、帮助残疾人；指导、管理本地区各类残疾人群众组织，推进残疾人工作；办理审核发放残疾证；根据上级残联及县委县政府要求结合我县残疾人实际情况，进一步深化“量服”工作，落实“量服”提质扩而要求，全面推行“智慧量服”，推动我县残疾人工作上新台阶；维护残疾人的合法权益，处理残疾人生活和工作中遇到的困难，保障残疾人平等地充分参与社会生活，共享社会物质文化成果。　  </w:t>
      </w:r>
    </w:p>
    <w:p>
      <w:pPr>
        <w:snapToGrid w:val="0"/>
        <w:spacing w:line="360" w:lineRule="auto"/>
        <w:ind w:firstLine="630"/>
        <w:rPr>
          <w:rFonts w:ascii="仿宋_GB2312" w:hAnsi="仿宋" w:eastAsia="仿宋_GB2312"/>
          <w:sz w:val="32"/>
        </w:rPr>
      </w:pPr>
      <w:r>
        <w:rPr>
          <w:rFonts w:hint="eastAsia" w:ascii="仿宋_GB2312" w:hAnsi="仿宋" w:eastAsia="仿宋_GB2312"/>
          <w:sz w:val="32"/>
        </w:rPr>
        <w:t>2、发放残疾人人创业就业及居家灵活就业补助资金,提高残疾人就业率；</w:t>
      </w:r>
    </w:p>
    <w:p>
      <w:pPr>
        <w:snapToGrid w:val="0"/>
        <w:spacing w:line="360" w:lineRule="auto"/>
        <w:ind w:firstLine="630"/>
        <w:rPr>
          <w:rFonts w:ascii="仿宋_GB2312" w:hAnsi="仿宋" w:eastAsia="仿宋_GB2312"/>
          <w:sz w:val="32"/>
        </w:rPr>
      </w:pPr>
      <w:r>
        <w:rPr>
          <w:rFonts w:hint="eastAsia" w:ascii="仿宋_GB2312" w:hAnsi="仿宋" w:eastAsia="仿宋_GB2312"/>
          <w:sz w:val="32"/>
        </w:rPr>
        <w:t>3、发放贫困残疾人生活护理补贴,我县持有第二代残疾人证四川户籍残疾人中的建档立卡扶贫对象，共计229人,使其年收入达到国家贫困线标准改善残疾人发展状况具有重大意义。</w:t>
      </w:r>
    </w:p>
    <w:p>
      <w:pPr>
        <w:snapToGrid w:val="0"/>
        <w:spacing w:line="360" w:lineRule="auto"/>
        <w:ind w:firstLine="630"/>
        <w:rPr>
          <w:rFonts w:ascii="仿宋_GB2312" w:hAnsi="仿宋" w:eastAsia="仿宋_GB2312"/>
          <w:sz w:val="32"/>
        </w:rPr>
      </w:pPr>
      <w:r>
        <w:rPr>
          <w:rFonts w:hint="eastAsia" w:ascii="仿宋_GB2312" w:hAnsi="仿宋" w:eastAsia="仿宋_GB2312"/>
          <w:sz w:val="32"/>
        </w:rPr>
        <w:t>4、发放残疾人居家托养金，让残疾人居家有保障。</w:t>
      </w:r>
    </w:p>
    <w:p>
      <w:pPr>
        <w:snapToGrid w:val="0"/>
        <w:spacing w:line="360" w:lineRule="auto"/>
        <w:ind w:firstLine="630"/>
        <w:rPr>
          <w:rFonts w:ascii="仿宋_GB2312" w:hAnsi="仿宋" w:eastAsia="仿宋_GB2312"/>
          <w:sz w:val="32"/>
        </w:rPr>
      </w:pPr>
      <w:r>
        <w:rPr>
          <w:rFonts w:hint="eastAsia" w:ascii="仿宋_GB2312" w:hAnsi="仿宋" w:eastAsia="仿宋_GB2312"/>
          <w:sz w:val="32"/>
        </w:rPr>
        <w:t>5、继续推进村（社）残疾人联络员工作，密切联络残疾人，掌握残疾人的动态。</w:t>
      </w:r>
    </w:p>
    <w:p>
      <w:pPr>
        <w:spacing w:line="578" w:lineRule="exact"/>
        <w:ind w:firstLine="640" w:firstLineChars="200"/>
        <w:rPr>
          <w:rStyle w:val="18"/>
          <w:b w:val="0"/>
          <w:bCs w:val="0"/>
        </w:rPr>
      </w:pPr>
      <w:r>
        <w:rPr>
          <w:rStyle w:val="18"/>
          <w:rFonts w:hint="eastAsia" w:ascii="黑体" w:eastAsia="黑体"/>
          <w:b w:val="0"/>
          <w:bCs w:val="0"/>
        </w:rPr>
        <w:t>二、机构设置</w:t>
      </w:r>
      <w:bookmarkEnd w:id="20"/>
      <w:bookmarkEnd w:id="21"/>
    </w:p>
    <w:p>
      <w:pPr>
        <w:widowControl/>
        <w:ind w:firstLine="640" w:firstLineChars="200"/>
        <w:jc w:val="left"/>
        <w:rPr>
          <w:rFonts w:ascii="仿宋_GB2312" w:hAnsi="仿宋" w:eastAsia="仿宋_GB2312"/>
          <w:sz w:val="32"/>
        </w:rPr>
      </w:pPr>
      <w:r>
        <w:rPr>
          <w:rFonts w:hint="eastAsia" w:ascii="仿宋_GB2312" w:hAnsi="仿宋" w:eastAsia="仿宋_GB2312"/>
          <w:sz w:val="32"/>
        </w:rPr>
        <w:t>金川县残疾人联合会机构性质是群众团体2020年有1个机构金川县残疾人联合会</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统一核算机构为1个，独立编制机构1个，为参照公务员法管理的事业单位。</w:t>
      </w:r>
    </w:p>
    <w:p>
      <w:pPr>
        <w:pStyle w:val="2"/>
        <w:ind w:right="440"/>
        <w:jc w:val="right"/>
      </w:pPr>
      <w:bookmarkStart w:id="22" w:name="_Toc15377204"/>
      <w:bookmarkStart w:id="23" w:name="_Toc15396602"/>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1"/>
        </w:numPr>
        <w:ind w:left="0" w:firstLine="0" w:firstLineChars="0"/>
        <w:outlineLvl w:val="1"/>
        <w:rPr>
          <w:rStyle w:val="18"/>
          <w:rFonts w:ascii="黑体" w:eastAsia="黑体"/>
          <w:b w:val="0"/>
        </w:rPr>
      </w:pPr>
      <w:bookmarkStart w:id="24" w:name="_Toc15377205"/>
      <w:bookmarkStart w:id="25"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40" w:firstLineChars="200"/>
        <w:rPr>
          <w:rFonts w:ascii="仿宋_GB2312" w:eastAsia="仿宋_GB2312"/>
          <w:color w:val="000000"/>
          <w:spacing w:val="-2"/>
          <w:sz w:val="32"/>
          <w:szCs w:val="32"/>
        </w:rPr>
      </w:pPr>
      <w:r>
        <w:rPr>
          <w:rFonts w:hint="eastAsia" w:ascii="仿宋_GB2312" w:hAnsi="仿宋" w:eastAsia="仿宋_GB2312"/>
          <w:sz w:val="32"/>
        </w:rPr>
        <w:t>2020年总收入328.49万元，</w:t>
      </w:r>
      <w:r>
        <w:rPr>
          <w:rFonts w:hint="eastAsia" w:ascii="仿宋_GB2312" w:eastAsia="仿宋_GB2312"/>
          <w:color w:val="000000"/>
          <w:spacing w:val="-2"/>
          <w:sz w:val="32"/>
          <w:szCs w:val="32"/>
        </w:rPr>
        <w:t>较上年收入减少32.68万元减少</w:t>
      </w:r>
      <w:r>
        <w:rPr>
          <w:rFonts w:hint="eastAsia" w:ascii="仿宋_GB2312" w:hAnsi="仿宋" w:eastAsia="仿宋_GB2312"/>
          <w:sz w:val="32"/>
        </w:rPr>
        <w:t>9.05%</w:t>
      </w:r>
      <w:r>
        <w:rPr>
          <w:rFonts w:hint="eastAsia" w:ascii="仿宋_GB2312" w:eastAsia="仿宋_GB2312"/>
          <w:color w:val="000000"/>
          <w:spacing w:val="-2"/>
          <w:sz w:val="32"/>
          <w:szCs w:val="32"/>
        </w:rPr>
        <w:t>，减少的主要原因是</w:t>
      </w:r>
      <w:r>
        <w:rPr>
          <w:rFonts w:hint="eastAsia" w:ascii="仿宋_GB2312" w:eastAsia="仿宋_GB2312"/>
          <w:spacing w:val="-2"/>
          <w:sz w:val="32"/>
          <w:szCs w:val="32"/>
        </w:rPr>
        <w:t>2019年支出包含了上年结转项目，</w:t>
      </w:r>
      <w:r>
        <w:rPr>
          <w:rFonts w:hint="eastAsia" w:ascii="仿宋_GB2312" w:eastAsia="仿宋_GB2312"/>
          <w:color w:val="000000"/>
          <w:spacing w:val="-2"/>
          <w:sz w:val="32"/>
          <w:szCs w:val="32"/>
        </w:rPr>
        <w:t>2020年无上年结转项目。</w:t>
      </w:r>
    </w:p>
    <w:p>
      <w:pPr>
        <w:snapToGrid w:val="0"/>
        <w:spacing w:line="360" w:lineRule="auto"/>
        <w:ind w:firstLine="640" w:firstLineChars="200"/>
        <w:rPr>
          <w:rFonts w:ascii="仿宋" w:hAnsi="仿宋" w:eastAsia="仿宋"/>
          <w:sz w:val="32"/>
        </w:rPr>
      </w:pPr>
      <w:r>
        <w:rPr>
          <w:rFonts w:hint="eastAsia" w:ascii="仿宋_GB2312" w:hAnsi="仿宋" w:eastAsia="仿宋_GB2312"/>
          <w:sz w:val="32"/>
        </w:rPr>
        <w:t>2020年总支出292.69万元，较上年支出减少46.93万元减少13.81%，减少的主要原因一是2019年我会参加了第三届残疾人运动会追加了经费；二是因疫情原因培训和会议减少</w:t>
      </w:r>
      <w:r>
        <w:rPr>
          <w:rFonts w:hint="eastAsia" w:ascii="仿宋" w:hAnsi="仿宋" w:eastAsia="仿宋"/>
          <w:sz w:val="32"/>
        </w:rPr>
        <w:t>。</w:t>
      </w:r>
    </w:p>
    <w:p>
      <w:pPr>
        <w:spacing w:line="600" w:lineRule="exact"/>
        <w:ind w:firstLine="640" w:firstLineChars="200"/>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77206"/>
      <w:bookmarkStart w:id="27" w:name="_Toc15396604"/>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20年总收入328.49万元，其中：一般公共预算财政拨款收入319.65万元，占97.31</w:t>
      </w:r>
      <w:r>
        <w:rPr>
          <w:rFonts w:ascii="仿宋" w:eastAsia="仿宋"/>
          <w:color w:val="000000"/>
          <w:sz w:val="32"/>
          <w:szCs w:val="32"/>
        </w:rPr>
        <w:t>%</w:t>
      </w:r>
      <w:r>
        <w:rPr>
          <w:rFonts w:hint="eastAsia" w:ascii="仿宋" w:eastAsia="仿宋"/>
          <w:color w:val="000000"/>
          <w:sz w:val="32"/>
          <w:szCs w:val="32"/>
        </w:rPr>
        <w:t>；政府性基金预算财政拨款收入8.84万元，占2.69</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96605"/>
      <w:bookmarkStart w:id="29" w:name="_Toc15377207"/>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2020年本年总支出292.69万元，其中：基本支出</w:t>
      </w:r>
      <w:r>
        <w:rPr>
          <w:rFonts w:hint="eastAsia" w:ascii="仿宋_GB2312" w:hAnsi="仿宋" w:eastAsia="仿宋_GB2312"/>
          <w:sz w:val="32"/>
        </w:rPr>
        <w:t>87.67</w:t>
      </w:r>
      <w:r>
        <w:rPr>
          <w:rFonts w:hint="eastAsia" w:ascii="仿宋" w:eastAsia="仿宋"/>
          <w:color w:val="000000"/>
          <w:sz w:val="32"/>
          <w:szCs w:val="32"/>
        </w:rPr>
        <w:t>万元，占29.95%；项目支出205.03万元，占70.05%；上缴上级支出0万元，占0%；经营支出0万元，占0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2020年财政拨款收入328.49万元，一是：一般公共预算财政拨款2020年较2019年增加10.27万元，增加3%，增加的主要原因是下达的残疾人事业发展补助资金中项目增加。二是政府性基金2020年较2019年减少5.87万元减少39.93%，减少的主要原因是基金项目调整。</w:t>
      </w:r>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2020年总支出292.69万元，一是：一般公共预算财政拨款2020年支出285.4较上年支出减少42.57万元减少12.98%，减少的主要原因是2019年</w:t>
      </w:r>
      <w:r>
        <w:rPr>
          <w:rFonts w:hint="eastAsia" w:ascii="仿宋_GB2312" w:eastAsia="仿宋_GB2312"/>
          <w:spacing w:val="-2"/>
          <w:sz w:val="32"/>
          <w:szCs w:val="32"/>
        </w:rPr>
        <w:t>支出包含了上年结转</w:t>
      </w:r>
      <w:r>
        <w:rPr>
          <w:rFonts w:hint="eastAsia" w:ascii="仿宋" w:eastAsia="仿宋"/>
          <w:color w:val="000000"/>
          <w:sz w:val="32"/>
          <w:szCs w:val="32"/>
        </w:rPr>
        <w:t>一般公共预算财政拨款</w:t>
      </w:r>
      <w:r>
        <w:rPr>
          <w:rFonts w:hint="eastAsia" w:ascii="仿宋_GB2312" w:eastAsia="仿宋_GB2312"/>
          <w:spacing w:val="-2"/>
          <w:sz w:val="32"/>
          <w:szCs w:val="32"/>
        </w:rPr>
        <w:t>项目</w:t>
      </w:r>
      <w:r>
        <w:rPr>
          <w:rFonts w:hint="eastAsia" w:ascii="仿宋" w:eastAsia="仿宋"/>
          <w:color w:val="000000"/>
          <w:sz w:val="32"/>
          <w:szCs w:val="32"/>
        </w:rPr>
        <w:t>。二是：政府基金财政拨款2020年支出7.29万元，较上年支出减少4.36万元减少37.43%，减少的主要原因是2019年</w:t>
      </w:r>
      <w:r>
        <w:rPr>
          <w:rFonts w:hint="eastAsia" w:ascii="仿宋_GB2312" w:eastAsia="仿宋_GB2312"/>
          <w:spacing w:val="-2"/>
          <w:sz w:val="32"/>
          <w:szCs w:val="32"/>
        </w:rPr>
        <w:t>支出包含了上年</w:t>
      </w:r>
      <w:r>
        <w:rPr>
          <w:rFonts w:hint="eastAsia" w:ascii="仿宋" w:eastAsia="仿宋"/>
          <w:color w:val="000000"/>
          <w:sz w:val="32"/>
          <w:szCs w:val="32"/>
        </w:rPr>
        <w:t>政府基金财政拨款</w:t>
      </w:r>
      <w:r>
        <w:rPr>
          <w:rFonts w:hint="eastAsia" w:ascii="仿宋_GB2312" w:eastAsia="仿宋_GB2312"/>
          <w:spacing w:val="-2"/>
          <w:sz w:val="32"/>
          <w:szCs w:val="32"/>
        </w:rPr>
        <w:t>结转项目</w:t>
      </w:r>
      <w:r>
        <w:rPr>
          <w:rFonts w:hint="eastAsia" w:ascii="仿宋" w:eastAsia="仿宋"/>
          <w:color w:val="000000"/>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100965</wp:posOffset>
            </wp:positionH>
            <wp:positionV relativeFrom="paragraph">
              <wp:posOffset>222250</wp:posOffset>
            </wp:positionV>
            <wp:extent cx="5090160" cy="3635375"/>
            <wp:effectExtent l="4445" t="4445" r="10795" b="1778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一般公共预算财政拨款支出285.4万元，</w:t>
      </w:r>
      <w:r>
        <w:rPr>
          <w:rFonts w:hint="eastAsia" w:ascii="仿宋" w:eastAsia="仿宋"/>
          <w:color w:val="000000"/>
          <w:sz w:val="32"/>
          <w:szCs w:val="32"/>
        </w:rPr>
        <w:t>占本年总支出的97.51</w:t>
      </w:r>
      <w:r>
        <w:rPr>
          <w:rFonts w:ascii="仿宋" w:eastAsia="仿宋"/>
          <w:color w:val="000000"/>
          <w:sz w:val="32"/>
          <w:szCs w:val="32"/>
        </w:rPr>
        <w:t>%</w:t>
      </w:r>
      <w:r>
        <w:rPr>
          <w:rFonts w:hint="eastAsia" w:ascii="仿宋" w:eastAsia="仿宋"/>
          <w:color w:val="000000"/>
          <w:sz w:val="32"/>
          <w:szCs w:val="32"/>
        </w:rPr>
        <w:t>。与2019年相比，一般公共预算财政拨款</w:t>
      </w:r>
      <w:r>
        <w:rPr>
          <w:rFonts w:hint="eastAsia" w:ascii="仿宋_GB2312" w:eastAsia="仿宋_GB2312"/>
          <w:spacing w:val="-2"/>
          <w:sz w:val="32"/>
          <w:szCs w:val="32"/>
        </w:rPr>
        <w:t>支出减少42.57万元，减少12.98%。主要原因2019年一般公共预算财政拨款支出包含了上年结转项目支出。</w:t>
      </w:r>
    </w:p>
    <w:p>
      <w:pPr>
        <w:snapToGrid w:val="0"/>
        <w:spacing w:line="520" w:lineRule="exact"/>
        <w:ind w:firstLine="643" w:firstLineChars="200"/>
        <w:rPr>
          <w:rFonts w:ascii="仿宋" w:eastAsia="仿宋"/>
          <w:b/>
          <w:color w:val="000000"/>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20年一般公共预算财政拨款支出285.4万元，主要用于以下方面</w:t>
      </w:r>
      <w:r>
        <w:rPr>
          <w:rFonts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支出203.96万元，占71.46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4.08万元，占1.43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color w:val="000000"/>
          <w:sz w:val="32"/>
          <w:szCs w:val="32"/>
        </w:rPr>
        <w:t>13.72万元，占4.81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住房保障支出6.38</w:t>
      </w:r>
      <w:r>
        <w:rPr>
          <w:rFonts w:hint="eastAsia" w:ascii="仿宋" w:eastAsia="仿宋"/>
          <w:color w:val="000000"/>
          <w:sz w:val="32"/>
          <w:szCs w:val="32"/>
        </w:rPr>
        <w:t>万元，占2.24</w:t>
      </w:r>
      <w:r>
        <w:rPr>
          <w:rFonts w:ascii="仿宋" w:eastAsia="仿宋"/>
          <w:color w:val="000000"/>
          <w:sz w:val="32"/>
          <w:szCs w:val="32"/>
        </w:rPr>
        <w:t>%</w:t>
      </w:r>
      <w:r>
        <w:rPr>
          <w:rFonts w:hint="eastAsia" w:ascii="仿宋" w:eastAsia="仿宋"/>
          <w:b/>
          <w:color w:val="000000"/>
          <w:sz w:val="32"/>
          <w:szCs w:val="32"/>
        </w:rPr>
        <w:t>其他支出</w:t>
      </w:r>
      <w:r>
        <w:rPr>
          <w:rFonts w:hint="eastAsia" w:ascii="仿宋" w:eastAsia="仿宋"/>
          <w:color w:val="000000"/>
          <w:sz w:val="32"/>
          <w:szCs w:val="32"/>
        </w:rPr>
        <w:t>57.26万元，占20.06</w:t>
      </w:r>
      <w:r>
        <w:rPr>
          <w:rFonts w:ascii="仿宋" w:eastAsia="仿宋"/>
          <w:color w:val="000000"/>
          <w:sz w:val="32"/>
          <w:szCs w:val="32"/>
        </w:rPr>
        <w:t>%</w:t>
      </w:r>
      <w:r>
        <w:rPr>
          <w:rFonts w:hint="eastAsia" w:ascii="仿宋" w:eastAsia="仿宋"/>
          <w:color w:val="000000"/>
          <w:sz w:val="32"/>
          <w:szCs w:val="32"/>
        </w:rPr>
        <w:t>。</w:t>
      </w:r>
      <w:bookmarkStart w:id="36" w:name="_Toc15378460"/>
      <w:bookmarkStart w:id="37" w:name="_Toc15377213"/>
      <w:bookmarkStart w:id="38" w:name="_Toc15377444"/>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20" w:firstLineChars="2600"/>
        <w:outlineLvl w:val="2"/>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382270</wp:posOffset>
            </wp:positionH>
            <wp:positionV relativeFrom="paragraph">
              <wp:posOffset>336550</wp:posOffset>
            </wp:positionV>
            <wp:extent cx="4239260" cy="2658110"/>
            <wp:effectExtent l="4445" t="4445" r="23495" b="23495"/>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ind w:firstLine="640"/>
        <w:outlineLvl w:val="2"/>
        <w:rPr>
          <w:rStyle w:val="15"/>
          <w:rFonts w:ascii="仿宋" w:eastAsia="仿宋"/>
          <w:b w:val="0"/>
          <w:bCs/>
          <w:color w:val="000000"/>
          <w:sz w:val="32"/>
          <w:szCs w:val="32"/>
        </w:rPr>
      </w:pPr>
      <w:r>
        <w:rPr>
          <w:rFonts w:hint="eastAsia" w:ascii="仿宋" w:eastAsia="仿宋"/>
          <w:bCs/>
          <w:color w:val="000000"/>
          <w:sz w:val="32"/>
          <w:szCs w:val="32"/>
        </w:rPr>
        <w:t>2020年一般公共预算财政拨款预算数为319.65万元，支出决算数为285.4万元，完</w:t>
      </w:r>
      <w:r>
        <w:rPr>
          <w:rStyle w:val="15"/>
          <w:rFonts w:hint="eastAsia" w:ascii="仿宋" w:eastAsia="仿宋"/>
          <w:b w:val="0"/>
          <w:bCs/>
          <w:color w:val="000000"/>
          <w:sz w:val="32"/>
          <w:szCs w:val="32"/>
        </w:rPr>
        <w:t>成预算89.28</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outlineLvl w:val="2"/>
        <w:rPr>
          <w:rFonts w:ascii="仿宋" w:eastAsia="仿宋"/>
          <w:bCs/>
          <w:color w:val="FF0000"/>
          <w:sz w:val="32"/>
          <w:szCs w:val="32"/>
        </w:rPr>
      </w:pPr>
      <w:r>
        <w:rPr>
          <w:rStyle w:val="15"/>
          <w:rFonts w:hint="eastAsia" w:ascii="仿宋" w:eastAsia="仿宋"/>
          <w:b w:val="0"/>
          <w:bCs/>
          <w:color w:val="000000"/>
          <w:sz w:val="32"/>
          <w:szCs w:val="32"/>
        </w:rPr>
        <w:t>其中：</w:t>
      </w:r>
      <w:bookmarkEnd w:id="36"/>
      <w:bookmarkEnd w:id="37"/>
      <w:bookmarkEnd w:id="38"/>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1</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社会保障和就业（类）基本养老保险支出（款）机关事业单位基本养老保险缴费支出（项）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支出决算为6.92万元，完成预算100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2</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支出决算为3.72万元，完成预算100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3.社会保障和就业（类）残疾人事业（款）行政运行（项）:</w:t>
      </w:r>
      <w:r>
        <w:rPr>
          <w:rStyle w:val="15"/>
          <w:rFonts w:hint="eastAsia" w:ascii="仿宋" w:eastAsia="仿宋"/>
          <w:b w:val="0"/>
          <w:bCs/>
          <w:color w:val="000000"/>
          <w:sz w:val="32"/>
          <w:szCs w:val="32"/>
        </w:rPr>
        <w:t>支出66.76万元，完成预算100%。</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4.社会保障和就业（类）残疾人事业（款）残疾人就业和扶贫（项）:</w:t>
      </w:r>
      <w:r>
        <w:rPr>
          <w:rStyle w:val="15"/>
          <w:rFonts w:hint="eastAsia" w:ascii="仿宋" w:eastAsia="仿宋"/>
          <w:b w:val="0"/>
          <w:bCs/>
          <w:color w:val="000000"/>
          <w:sz w:val="32"/>
          <w:szCs w:val="32"/>
        </w:rPr>
        <w:t>支出39万元，完成预算100%。</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5.社会保障和就业（类）残疾人事业（款）其他残疾人事业支出（项）:</w:t>
      </w:r>
      <w:r>
        <w:rPr>
          <w:rStyle w:val="15"/>
          <w:rFonts w:hint="eastAsia" w:ascii="仿宋" w:eastAsia="仿宋"/>
          <w:b w:val="0"/>
          <w:bCs/>
          <w:color w:val="000000"/>
          <w:sz w:val="32"/>
          <w:szCs w:val="32"/>
        </w:rPr>
        <w:t>支出87.56万元，完成预算73.53%，剩余资金结转至下年使用。</w:t>
      </w:r>
    </w:p>
    <w:p>
      <w:pPr>
        <w:spacing w:line="600" w:lineRule="exact"/>
        <w:ind w:firstLine="643" w:firstLineChars="200"/>
        <w:rPr>
          <w:rStyle w:val="15"/>
          <w:rFonts w:ascii="仿宋" w:eastAsia="仿宋"/>
          <w:bCs/>
          <w:color w:val="000000"/>
          <w:sz w:val="32"/>
          <w:szCs w:val="32"/>
        </w:rPr>
      </w:pPr>
      <w:r>
        <w:rPr>
          <w:rStyle w:val="15"/>
          <w:rFonts w:hint="eastAsia" w:ascii="仿宋" w:eastAsia="仿宋"/>
          <w:bCs/>
          <w:color w:val="000000"/>
          <w:sz w:val="32"/>
          <w:szCs w:val="32"/>
        </w:rPr>
        <w:t>6.卫生健康支出（类）公共卫生（款）突发公共卫生事件应急处理（项）：</w:t>
      </w:r>
      <w:r>
        <w:rPr>
          <w:rStyle w:val="15"/>
          <w:rFonts w:hint="eastAsia" w:ascii="仿宋" w:eastAsia="仿宋"/>
          <w:b w:val="0"/>
          <w:bCs/>
          <w:color w:val="000000"/>
          <w:sz w:val="32"/>
          <w:szCs w:val="32"/>
        </w:rPr>
        <w:t>支出0.2万元，完成预算100%。</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7.行政事业单位医疗（款）行政单位医疗（项）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支出决算为3.03万元，完成预算100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8.卫生健康支出（类）行政事业单位医疗（款）公务员医疗补助（项）</w:t>
      </w:r>
      <w:r>
        <w:rPr>
          <w:rStyle w:val="15"/>
          <w:rFonts w:ascii="仿宋" w:eastAsia="仿宋"/>
          <w:bCs/>
          <w:color w:val="000000"/>
          <w:sz w:val="32"/>
          <w:szCs w:val="32"/>
        </w:rPr>
        <w:t>:</w:t>
      </w:r>
      <w:r>
        <w:rPr>
          <w:rStyle w:val="15"/>
          <w:rFonts w:hint="eastAsia" w:ascii="仿宋" w:eastAsia="仿宋"/>
          <w:b w:val="0"/>
          <w:bCs/>
          <w:color w:val="000000"/>
          <w:sz w:val="32"/>
          <w:szCs w:val="32"/>
        </w:rPr>
        <w:t>支出决算为0.85万元，完成预算100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9.农林水支出（类）扶贫（款）其他扶贫支出（项）：</w:t>
      </w:r>
      <w:r>
        <w:rPr>
          <w:rStyle w:val="15"/>
          <w:rFonts w:hint="eastAsia" w:ascii="仿宋" w:eastAsia="仿宋"/>
          <w:b w:val="0"/>
          <w:bCs/>
          <w:color w:val="000000"/>
          <w:sz w:val="32"/>
          <w:szCs w:val="32"/>
        </w:rPr>
        <w:t>支出13.72万元，100%，决算数等于预算数。</w:t>
      </w:r>
    </w:p>
    <w:p>
      <w:pPr>
        <w:spacing w:line="600" w:lineRule="exact"/>
        <w:ind w:firstLine="643" w:firstLineChars="200"/>
        <w:rPr>
          <w:rStyle w:val="15"/>
          <w:rFonts w:ascii="仿宋" w:eastAsia="仿宋"/>
          <w:b w:val="0"/>
          <w:bCs/>
          <w:color w:val="000000"/>
          <w:sz w:val="32"/>
          <w:szCs w:val="32"/>
        </w:rPr>
      </w:pPr>
      <w:bookmarkStart w:id="40" w:name="_Toc15377214"/>
      <w:bookmarkStart w:id="41" w:name="_Toc15396608"/>
      <w:r>
        <w:rPr>
          <w:rStyle w:val="15"/>
          <w:rFonts w:hint="eastAsia" w:ascii="仿宋" w:eastAsia="仿宋"/>
          <w:bCs/>
          <w:color w:val="000000"/>
          <w:sz w:val="32"/>
          <w:szCs w:val="32"/>
        </w:rPr>
        <w:t>10.住房保障（类）住房改革支出（款）住房公积金（项）：</w:t>
      </w:r>
      <w:r>
        <w:rPr>
          <w:rStyle w:val="15"/>
          <w:rFonts w:hint="eastAsia" w:ascii="仿宋" w:eastAsia="仿宋"/>
          <w:b w:val="0"/>
          <w:bCs/>
          <w:color w:val="000000"/>
          <w:sz w:val="32"/>
          <w:szCs w:val="32"/>
        </w:rPr>
        <w:t>支出决算为6.38万元，完成预算100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 。</w:t>
      </w:r>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11.其他支出（类）其他支出（款）其他支出（项）：</w:t>
      </w:r>
      <w:r>
        <w:rPr>
          <w:rStyle w:val="15"/>
          <w:rFonts w:hint="eastAsia" w:ascii="仿宋" w:eastAsia="仿宋"/>
          <w:b w:val="0"/>
          <w:bCs/>
          <w:color w:val="000000"/>
          <w:sz w:val="32"/>
          <w:szCs w:val="32"/>
        </w:rPr>
        <w:t>出决算为57.26万元，完成预算95.43%，剩余资金为质保金，结转至下年支付。</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_GB2312" w:hAnsi="仿宋" w:eastAsia="仿宋_GB2312"/>
          <w:sz w:val="32"/>
        </w:rPr>
      </w:pPr>
      <w:r>
        <w:rPr>
          <w:rFonts w:ascii="仿宋" w:eastAsia="仿宋"/>
          <w:color w:val="000000"/>
          <w:sz w:val="32"/>
          <w:szCs w:val="32"/>
        </w:rPr>
        <w:t>20</w:t>
      </w:r>
      <w:r>
        <w:rPr>
          <w:rFonts w:hint="eastAsia" w:ascii="仿宋" w:eastAsia="仿宋"/>
          <w:color w:val="000000"/>
          <w:sz w:val="32"/>
          <w:szCs w:val="32"/>
        </w:rPr>
        <w:t>20年一般公共预算财政拨款基本支出</w:t>
      </w:r>
      <w:r>
        <w:rPr>
          <w:rFonts w:hint="eastAsia" w:ascii="仿宋_GB2312" w:hAnsi="仿宋" w:eastAsia="仿宋_GB2312"/>
          <w:sz w:val="32"/>
        </w:rPr>
        <w:t>87.67万元</w:t>
      </w:r>
    </w:p>
    <w:p>
      <w:pPr>
        <w:spacing w:line="600" w:lineRule="exact"/>
        <w:ind w:firstLine="645"/>
        <w:rPr>
          <w:rFonts w:ascii="仿宋" w:eastAsia="仿宋"/>
          <w:color w:val="000000"/>
          <w:sz w:val="32"/>
          <w:szCs w:val="32"/>
        </w:rPr>
      </w:pPr>
      <w:r>
        <w:rPr>
          <w:rFonts w:hint="eastAsia" w:ascii="仿宋" w:eastAsia="仿宋"/>
          <w:color w:val="000000"/>
          <w:sz w:val="32"/>
          <w:szCs w:val="32"/>
        </w:rPr>
        <w:t>其中：</w:t>
      </w:r>
    </w:p>
    <w:p>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rPr>
        <w:t>人员经费79.75万元，主要包括：行政基本工资19.06万元、津贴补贴25.19万元、年终一次性奖金1.89万元，机关事业单位基本养老保险费6.92万元，机关事业单位职业年金3.72万元，职工基本医疗保险3.03万元，公务员医疗补助0.86万元。其他社会保障缴费0.78万元，住房保障6.38万元，奖励金11.91万元，</w:t>
      </w:r>
    </w:p>
    <w:p>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rPr>
        <w:t>公用经费7.92万元，其中办公费3.11万元、电费0.2万元、邮电费0.36万元、差旅费1.69万元、会议费0.56劳务费0.49万元、公务用车运行维护费1.51万元。</w:t>
      </w:r>
    </w:p>
    <w:p>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rPr>
        <w:t>项目支出205.02万元。残疾人居家灵活就业29万元，扶持残疾人发展生产10万元、残疾人联络员工资20.04万元、残疾人居家托养7.5万元、精神病服药补助0.2万、突发公共卫生事件应急处理0.2万、儿童康复3万元、燃油补贴1.75万元、残疾人辅助器具购置28.3万元、残疾人体育用品购置2.95万、残疾人评定补贴1.34万、残疾人扶贫对象生活费补贴43.47万元、浙江援建支出57.27万元。</w:t>
      </w:r>
    </w:p>
    <w:p>
      <w:pPr>
        <w:spacing w:line="600" w:lineRule="exact"/>
        <w:ind w:firstLine="640" w:firstLineChars="200"/>
        <w:outlineLvl w:val="1"/>
        <w:rPr>
          <w:rStyle w:val="18"/>
          <w:rFonts w:ascii="黑体" w:eastAsia="黑体"/>
          <w:b w:val="0"/>
        </w:rPr>
      </w:pPr>
      <w:bookmarkStart w:id="42" w:name="_Toc15377215"/>
      <w:bookmarkStart w:id="43" w:name="_Toc15396609"/>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rPr>
        <w:t>金川残疾人联合会2020年度“三公”经费支出决算为财政拨款2020年度预算安排的“三公经费”总额为1.51万元，支出为1.51万元。其中：因公出国（境）费支出0万元；公务用车购置及运行维护费支出决算为1.51万元，完成预算100%；公务接待费支出决算为0万元，2020年度“三公”经费支出决算数等于年初预算数，三公经费控制较好。</w:t>
      </w:r>
    </w:p>
    <w:p>
      <w:pPr>
        <w:snapToGrid w:val="0"/>
        <w:spacing w:line="520" w:lineRule="exact"/>
        <w:ind w:firstLine="640" w:firstLineChars="200"/>
        <w:rPr>
          <w:rFonts w:ascii="仿宋_GB2312" w:hAnsi="仿宋" w:eastAsia="仿宋_GB2312"/>
          <w:sz w:val="32"/>
        </w:rPr>
      </w:pPr>
      <w:r>
        <w:rPr>
          <w:rFonts w:hint="eastAsia" w:ascii="仿宋_GB2312" w:hAnsi="仿宋" w:eastAsia="仿宋_GB2312"/>
          <w:sz w:val="32"/>
        </w:rPr>
        <w:t>2020年度预算安排的“三公经费”总额为1.51万元。而2019年度本单位预算安排“三公经费”总额为1.13万元，本单位“三公经费”变动率＝（本年度“三公经费”预算数－上年度“三公经费”预算数）÷上年度“三公经费预算数”＝33.63 %。三公经费因车辆老化维修费增高。</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hint="eastAsia" w:ascii="仿宋" w:eastAsia="仿宋"/>
          <w:color w:val="000000"/>
          <w:sz w:val="32"/>
          <w:szCs w:val="32"/>
        </w:rPr>
        <w:t>2020年度“三公”经费财政拨款支出决算中，因公出国（境）费0万元；公务用车购置及运行维护费支出决算1.51万元，占100%；公务接待费支出决算0万元。具体情况如下：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374015</wp:posOffset>
            </wp:positionH>
            <wp:positionV relativeFrom="paragraph">
              <wp:posOffset>176530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2"/>
        </w:numPr>
        <w:spacing w:line="600" w:lineRule="exact"/>
        <w:ind w:firstLine="640"/>
        <w:rPr>
          <w:rFonts w:ascii="仿宋_GB2312" w:eastAsia="仿宋_GB2312"/>
          <w:b/>
          <w:color w:val="000000"/>
          <w:sz w:val="32"/>
          <w:szCs w:val="32"/>
        </w:rPr>
      </w:pPr>
      <w:bookmarkStart w:id="46" w:name="_Toc6049"/>
      <w:r>
        <w:rPr>
          <w:rFonts w:hint="eastAsia" w:ascii="仿宋_GB2312" w:eastAsia="仿宋_GB2312"/>
          <w:b/>
          <w:color w:val="000000"/>
          <w:sz w:val="32"/>
          <w:szCs w:val="32"/>
        </w:rPr>
        <w:t>因公出国（境）经费支出</w:t>
      </w:r>
      <w:bookmarkEnd w:id="46"/>
    </w:p>
    <w:p>
      <w:pPr>
        <w:spacing w:line="600" w:lineRule="exact"/>
        <w:ind w:firstLine="1280" w:firstLineChars="400"/>
        <w:rPr>
          <w:rFonts w:ascii="仿宋" w:eastAsia="仿宋"/>
          <w:color w:val="000000"/>
          <w:sz w:val="32"/>
          <w:szCs w:val="32"/>
        </w:rPr>
      </w:pPr>
      <w:r>
        <w:rPr>
          <w:rFonts w:hint="eastAsia" w:ascii="仿宋" w:eastAsia="仿宋"/>
          <w:color w:val="000000"/>
          <w:sz w:val="32"/>
          <w:szCs w:val="32"/>
        </w:rPr>
        <w:t>2020年因公出国（境）费0万元。</w:t>
      </w:r>
    </w:p>
    <w:p>
      <w:pPr>
        <w:numPr>
          <w:ilvl w:val="0"/>
          <w:numId w:val="2"/>
        </w:numPr>
        <w:spacing w:line="600" w:lineRule="exact"/>
        <w:ind w:firstLine="640"/>
        <w:rPr>
          <w:rFonts w:ascii="仿宋_GB2312" w:eastAsia="仿宋_GB2312"/>
          <w:b/>
          <w:color w:val="000000"/>
          <w:sz w:val="32"/>
          <w:szCs w:val="32"/>
        </w:rPr>
      </w:pPr>
      <w:bookmarkStart w:id="47" w:name="_Toc22919"/>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bookmarkEnd w:id="47"/>
    </w:p>
    <w:p>
      <w:pPr>
        <w:spacing w:line="600" w:lineRule="exact"/>
        <w:ind w:firstLine="640"/>
        <w:rPr>
          <w:rFonts w:ascii="仿宋" w:eastAsia="仿宋"/>
          <w:color w:val="000000"/>
          <w:sz w:val="32"/>
          <w:szCs w:val="32"/>
        </w:rPr>
      </w:pPr>
      <w:r>
        <w:rPr>
          <w:rFonts w:hint="eastAsia" w:ascii="仿宋" w:eastAsia="仿宋"/>
          <w:color w:val="000000"/>
          <w:sz w:val="32"/>
          <w:szCs w:val="32"/>
        </w:rPr>
        <w:t>2020年公务用车购置及运行维护费1.51万元。</w:t>
      </w:r>
    </w:p>
    <w:p>
      <w:pPr>
        <w:autoSpaceDE w:val="0"/>
        <w:autoSpaceDN w:val="0"/>
        <w:adjustRightInd w:val="0"/>
        <w:spacing w:line="600" w:lineRule="exact"/>
        <w:ind w:firstLine="1280" w:firstLineChars="4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日，有车辆1辆，其中：部级领导干部用车0辆、主要领导干部用车0辆、机要通信用车0辆、应急保障用车1辆、执法执勤用车0辆、特种专业技术用车0辆、离退休干部用车0辆、其他用车0辆；</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1.51万元。</w:t>
      </w:r>
      <w:r>
        <w:rPr>
          <w:rFonts w:hint="eastAsia" w:ascii="仿宋_GB2312" w:eastAsia="仿宋_GB2312"/>
          <w:color w:val="000000"/>
          <w:sz w:val="32"/>
          <w:szCs w:val="32"/>
        </w:rPr>
        <w:t>主要用我单位所需的公务用车燃料费、维修费、过路过桥费、保险费等支出。</w:t>
      </w:r>
    </w:p>
    <w:p>
      <w:pPr>
        <w:numPr>
          <w:ilvl w:val="0"/>
          <w:numId w:val="2"/>
        </w:numPr>
        <w:spacing w:line="600" w:lineRule="exact"/>
        <w:rPr>
          <w:rFonts w:ascii="仿宋_GB2312" w:eastAsia="仿宋_GB2312"/>
          <w:b/>
          <w:color w:val="000000"/>
          <w:sz w:val="32"/>
          <w:szCs w:val="32"/>
        </w:rPr>
      </w:pPr>
      <w:bookmarkStart w:id="48" w:name="_Toc8007"/>
      <w:r>
        <w:rPr>
          <w:rFonts w:hint="eastAsia" w:ascii="仿宋_GB2312" w:eastAsia="仿宋_GB2312"/>
          <w:b/>
          <w:color w:val="000000"/>
          <w:sz w:val="32"/>
          <w:szCs w:val="32"/>
        </w:rPr>
        <w:t>公务接待费支出</w:t>
      </w:r>
      <w:bookmarkEnd w:id="48"/>
    </w:p>
    <w:p>
      <w:pPr>
        <w:spacing w:line="600" w:lineRule="exact"/>
        <w:ind w:left="-2" w:firstLine="640" w:firstLineChars="200"/>
        <w:rPr>
          <w:rFonts w:ascii="仿宋" w:eastAsia="仿宋"/>
          <w:color w:val="000000"/>
          <w:sz w:val="32"/>
          <w:szCs w:val="32"/>
        </w:rPr>
      </w:pPr>
      <w:r>
        <w:rPr>
          <w:rFonts w:hint="eastAsia" w:ascii="仿宋" w:eastAsia="仿宋"/>
          <w:color w:val="000000"/>
          <w:sz w:val="32"/>
          <w:szCs w:val="32"/>
        </w:rPr>
        <w:t>2020年预算公务接待费0万元。主要用于执行公务、开展业务活动开支的住宿费、用餐费等。国内公务接待0批次，0人，共计支出0万元。主要用于执行公务、开展业务活动所开支的餐饮费等。</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640"/>
        <w:outlineLvl w:val="1"/>
        <w:rPr>
          <w:rStyle w:val="18"/>
          <w:rFonts w:ascii="黑体" w:eastAsia="黑体"/>
        </w:rPr>
      </w:pPr>
      <w:bookmarkStart w:id="49" w:name="_Toc15377218"/>
      <w:bookmarkStart w:id="50" w:name="_Toc15396610"/>
      <w:r>
        <w:rPr>
          <w:rFonts w:hint="eastAsia" w:ascii="黑体" w:eastAsia="黑体"/>
          <w:color w:val="000000"/>
          <w:sz w:val="32"/>
          <w:szCs w:val="32"/>
        </w:rPr>
        <w:t>八、</w:t>
      </w:r>
      <w:r>
        <w:rPr>
          <w:rStyle w:val="18"/>
          <w:rFonts w:hint="eastAsia" w:ascii="黑体" w:eastAsia="黑体"/>
          <w:b w:val="0"/>
        </w:rPr>
        <w:t>政府性基金预算支出决算情况说明</w:t>
      </w:r>
      <w:bookmarkEnd w:id="49"/>
      <w:bookmarkEnd w:id="50"/>
    </w:p>
    <w:p>
      <w:pPr>
        <w:snapToGrid w:val="0"/>
        <w:spacing w:line="520" w:lineRule="exact"/>
        <w:ind w:firstLine="640" w:firstLineChars="200"/>
        <w:rPr>
          <w:rFonts w:ascii="仿宋_GB2312" w:hAnsi="楷体_GB2312" w:eastAsia="仿宋_GB2312"/>
          <w:sz w:val="32"/>
        </w:rPr>
      </w:pPr>
      <w:r>
        <w:rPr>
          <w:rFonts w:hint="eastAsia" w:ascii="仿宋_GB2312" w:eastAsia="仿宋_GB2312"/>
          <w:color w:val="000000"/>
          <w:sz w:val="32"/>
          <w:szCs w:val="32"/>
        </w:rPr>
        <w:t>金川残疾人联合会2020年政府性基金预算财政拨款年初结转0万元，2020年收入8.83万元支出7.29万元，年末结转和结余1.55万元。</w:t>
      </w:r>
    </w:p>
    <w:p>
      <w:pPr>
        <w:numPr>
          <w:ilvl w:val="0"/>
          <w:numId w:val="3"/>
        </w:numPr>
        <w:spacing w:line="600" w:lineRule="exact"/>
        <w:ind w:firstLine="640"/>
        <w:outlineLvl w:val="1"/>
        <w:rPr>
          <w:rStyle w:val="18"/>
          <w:rFonts w:ascii="黑体" w:eastAsia="黑体"/>
          <w:b w:val="0"/>
        </w:rPr>
      </w:pPr>
      <w:bookmarkStart w:id="51" w:name="_Toc15396611"/>
      <w:bookmarkStart w:id="52" w:name="_Toc15377219"/>
      <w:r>
        <w:rPr>
          <w:rStyle w:val="18"/>
          <w:rFonts w:hint="eastAsia" w:ascii="黑体" w:eastAsia="黑体"/>
          <w:b w:val="0"/>
        </w:rPr>
        <w:t>国有资本经营预算支出决算情况说明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3"/>
        <w:numPr>
          <w:ilvl w:val="0"/>
          <w:numId w:val="4"/>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3个项目编制了绩效目标，预算执行过程中增加了9个项目，选取12个项目开展绩效监控，年终执行完毕后，对12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经全面综合评价，我会预算支出绩效自评得分88</w:t>
      </w:r>
      <w:r>
        <w:rPr>
          <w:rFonts w:hint="eastAsia" w:ascii="仿宋_GB2312" w:eastAsia="仿宋_GB2312"/>
          <w:color w:val="000000"/>
          <w:sz w:val="32"/>
          <w:szCs w:val="32"/>
        </w:rPr>
        <w:t>分、</w:t>
      </w:r>
      <w:r>
        <w:rPr>
          <w:rFonts w:hint="eastAsia" w:ascii="仿宋_GB2312" w:eastAsia="仿宋_GB2312"/>
          <w:sz w:val="32"/>
          <w:szCs w:val="32"/>
        </w:rPr>
        <w:t>我会深入贯彻落实十九大关于“全面实施绩效管理”的要求，努力提升本单位绩效预算管理业务水平。主动公开绩效结果，加大资金使用效率，提升政府管理水平。及时告知部门预算及项目支出进度</w:t>
      </w:r>
      <w:r>
        <w:rPr>
          <w:rFonts w:hint="eastAsia" w:ascii="仿宋_GB2312" w:eastAsia="仿宋_GB2312" w:cs="仿宋_GB2312"/>
          <w:sz w:val="32"/>
          <w:szCs w:val="32"/>
        </w:rPr>
        <w:t>。本单位还自行组织了5个项目绩效评价，从评价情况来看我单位年初预算项目基本按照绩效目标完成支付，有部分项目结转至2021年进行使用。</w:t>
      </w:r>
    </w:p>
    <w:p>
      <w:pPr>
        <w:numPr>
          <w:ilvl w:val="0"/>
          <w:numId w:val="5"/>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tabs>
          <w:tab w:val="left" w:pos="0"/>
        </w:tabs>
        <w:spacing w:line="58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本会在2020年度部门决算中反映“残疾人扶贫对象生活费补贴</w:t>
      </w:r>
      <w:r>
        <w:rPr>
          <w:rFonts w:ascii="仿宋_GB2312" w:eastAsia="仿宋_GB2312" w:cs="仿宋_GB2312"/>
          <w:sz w:val="32"/>
          <w:szCs w:val="32"/>
        </w:rPr>
        <w:t>”</w:t>
      </w:r>
      <w:r>
        <w:rPr>
          <w:rFonts w:hint="eastAsia" w:ascii="仿宋_GB2312" w:eastAsia="仿宋_GB2312" w:cs="仿宋_GB2312"/>
          <w:sz w:val="32"/>
          <w:szCs w:val="32"/>
        </w:rPr>
        <w:t>“残疾人居家灵活就业</w:t>
      </w:r>
      <w:r>
        <w:rPr>
          <w:rFonts w:ascii="仿宋_GB2312" w:eastAsia="仿宋_GB2312" w:cs="仿宋_GB2312"/>
          <w:sz w:val="32"/>
          <w:szCs w:val="32"/>
        </w:rPr>
        <w:t>”</w:t>
      </w:r>
      <w:r>
        <w:rPr>
          <w:rFonts w:hint="eastAsia" w:ascii="仿宋_GB2312" w:eastAsia="仿宋_GB2312" w:cs="仿宋_GB2312"/>
          <w:sz w:val="32"/>
          <w:szCs w:val="32"/>
        </w:rPr>
        <w:t>“村（社）残疾人专职委员务工补贴”等5个项目绩效目标实际完成情况。</w:t>
      </w:r>
    </w:p>
    <w:p>
      <w:pPr>
        <w:numPr>
          <w:ilvl w:val="0"/>
          <w:numId w:val="6"/>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“残疾人扶贫对象生活费补贴”项目绩效目标完成情况综述。项目全年预算数43.47万元，执行数为43.47万元，完成预算的100%。</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pPr>
              <w:pStyle w:val="23"/>
              <w:widowControl/>
              <w:ind w:left="4170" w:leftChars="1823" w:hanging="342" w:hangingChars="9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残疾人扶贫对象生活费补贴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金川县残疾人联合会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43.47万元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43.47万元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43.47万元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43.47万元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率先对残疾人扶贫对象发放生活费补贴，核定其年收入与国定贫困线标准差额，据实发放差额补贴，使其年收入达到国定贫困线标准。</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残疾人扶贫对象生活费补贴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229人</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2019年11月31日前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采用打卡方式把</w:t>
            </w:r>
            <w:r>
              <w:rPr>
                <w:rFonts w:hint="eastAsia" w:ascii="宋体" w:cs="宋体"/>
                <w:color w:val="000000"/>
                <w:kern w:val="0"/>
                <w:sz w:val="24"/>
              </w:rPr>
              <w:t>残疾人扶贫对象生活费补贴发放到</w:t>
            </w:r>
            <w:r>
              <w:rPr>
                <w:rFonts w:hint="eastAsia" w:ascii="宋体" w:cs="宋体"/>
                <w:sz w:val="24"/>
              </w:rPr>
              <w:t>229位残疾人手中</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一级2100人/年</w:t>
            </w:r>
          </w:p>
          <w:p>
            <w:pPr>
              <w:widowControl/>
              <w:jc w:val="center"/>
              <w:textAlignment w:val="center"/>
              <w:rPr>
                <w:rFonts w:ascii="宋体" w:cs="宋体"/>
                <w:color w:val="000000"/>
                <w:sz w:val="24"/>
              </w:rPr>
            </w:pPr>
            <w:r>
              <w:rPr>
                <w:rFonts w:hint="eastAsia" w:ascii="宋体" w:cs="宋体"/>
                <w:color w:val="000000"/>
                <w:sz w:val="24"/>
              </w:rPr>
              <w:t>二级1800人/年</w:t>
            </w:r>
          </w:p>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43.47万元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2.“残疾人居家灵活就业”项目绩效目标完成情况综述。项目全年预算数29万元，执行数为29万元，完成预算的100%。通过对残疾人居家灵活就业项目，使残疾人在生活、生产质量上提到提高。</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3"/>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pPr>
              <w:pStyle w:val="23"/>
              <w:widowControl/>
              <w:ind w:left="4187" w:leftChars="1994" w:firstLine="18" w:firstLineChars="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残疾人居家灵活就业</w:t>
            </w:r>
          </w:p>
        </w:tc>
      </w:tr>
      <w:tr>
        <w:tblPrEx>
          <w:tblCellMar>
            <w:top w:w="0" w:type="dxa"/>
            <w:left w:w="0" w:type="dxa"/>
            <w:bottom w:w="0" w:type="dxa"/>
            <w:right w:w="0" w:type="dxa"/>
          </w:tblCellMar>
        </w:tblPrEx>
        <w:trPr>
          <w:trHeight w:val="255"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金川县残疾人联合会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着力依托地方的特色资源培育带动残疾人居家灵活就业的优势产业，鼓励和支持各类产业化经营组织带动残疾人居家灵活就业。</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残疾人居家灵活就业</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260人</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260人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不低于1000人/年</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29万元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2019年11月3</w:t>
            </w:r>
            <w:r>
              <w:rPr>
                <w:rFonts w:hint="eastAsia" w:ascii="宋体" w:cs="宋体"/>
                <w:color w:val="000000"/>
                <w:sz w:val="24"/>
                <w:lang w:val="en-US" w:eastAsia="zh-CN"/>
              </w:rPr>
              <w:t>0</w:t>
            </w:r>
            <w:r>
              <w:rPr>
                <w:rFonts w:hint="eastAsia" w:ascii="宋体" w:cs="宋体"/>
                <w:color w:val="000000"/>
                <w:sz w:val="24"/>
              </w:rPr>
              <w:t>日前</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村（社）残疾人专职委员务工补贴”项目绩效目标完成情况综述。项目全年预算数26.88万元，执行数为20.04万元，完成预算的74.55%，剩余资金结转至下年作用。根据阿府发（2016）28号文件精神村（社）残疾人专职委员纳入政府购买社会服务范畴，并给予200元/月务工补贴（州级承担30%，县级承担70%），在残疾保金中列支。</w:t>
      </w:r>
    </w:p>
    <w:p>
      <w:pPr>
        <w:spacing w:line="580" w:lineRule="exact"/>
        <w:rPr>
          <w:rFonts w:ascii="仿宋_GB2312" w:eastAsia="仿宋_GB2312" w:cs="仿宋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村（社）残疾人专职委员务工补贴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金川县残疾人联合会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26.88万元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20.04万元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26.88万元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20.04万元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让残疾人</w:t>
            </w:r>
            <w:r>
              <w:rPr>
                <w:rFonts w:hint="eastAsia" w:ascii="宋体" w:cs="宋体"/>
                <w:color w:val="000000"/>
                <w:sz w:val="24"/>
                <w:lang w:eastAsia="zh-CN"/>
              </w:rPr>
              <w:t>更好地融入</w:t>
            </w:r>
            <w:r>
              <w:rPr>
                <w:rFonts w:hint="eastAsia" w:ascii="宋体" w:cs="宋体"/>
                <w:color w:val="000000"/>
                <w:sz w:val="24"/>
              </w:rPr>
              <w:t>社会，让残疾人有所为提高残疾人的参与感</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200元/月/村（社）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112个村（社）。</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 .“残疾人机动车燃油补贴”绩效目标完成情况综述。项目全年预算数1.75万元，执行数为1.75万元，完成预算的100%。通过项目实施，提升了残疾人机动车使用率，方便了残疾人的出行。</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残疾人机动车燃油补贴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金川县残疾人联合会</w:t>
            </w:r>
          </w:p>
        </w:tc>
      </w:tr>
      <w:tr>
        <w:tblPrEx>
          <w:tblCellMar>
            <w:top w:w="0" w:type="dxa"/>
            <w:left w:w="0" w:type="dxa"/>
            <w:bottom w:w="0" w:type="dxa"/>
            <w:right w:w="0" w:type="dxa"/>
          </w:tblCellMar>
        </w:tblPrEx>
        <w:trPr>
          <w:trHeight w:val="33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1.75万元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提升了残疾人机动车使用率，方便了残疾人了出行</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通过发放残疾人机动车燃油补贴，方便了残疾人出行</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补贴人数</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sz w:val="24"/>
              </w:rPr>
              <w:t>48人</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sz w:val="24"/>
              </w:rPr>
              <w:t>47人，一人死亡资金退回国库</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2020年8月31日</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发挥作用周期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长期</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残疾人朋友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5.残疾人精神病服药补助。项目全年预算数6万元，执行数为0.2万元，完成预算的3.3%。剩余资金结转至下年使用。为解决精神类残疾人服药支出量大的困难，提高残疾人生活质量，缓解残疾人家庭经济困难。</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3"/>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pPr>
              <w:pStyle w:val="23"/>
              <w:widowControl/>
              <w:ind w:firstLine="3960" w:firstLineChars="1100"/>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残疾人精神病服药补助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金川县残疾人联合会</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6.2万元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为解决精神类残疾人服药支出量大的困难，提高残疾人生活质量发放残疾人精神病服药补助。</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sz w:val="24"/>
              </w:rPr>
              <w:t>2020年支出残疾人精神病服药补助0.2万</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残疾人精神病服药补助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1000元/人</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残疾人精神病服药补助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1000元/人</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残疾人精神病服药补助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为解决精神类残疾人服药支出量大的困难，提高残疾人生活质量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缓解残疾人家庭经济困难</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精神残疾人</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bl>
    <w:p>
      <w:pPr>
        <w:rPr>
          <w:rFonts w:ascii="Calibri" w:hAnsi="Calibri"/>
        </w:rPr>
      </w:pP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《金川县残疾人联合会2020年部门预算整体支出绩效评价报告》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8"/>
          <w:rFonts w:ascii="黑体" w:eastAsia="黑体"/>
        </w:rPr>
      </w:pPr>
      <w:bookmarkStart w:id="53" w:name="_Toc15377221"/>
      <w:bookmarkStart w:id="54" w:name="_Toc15396612"/>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3"/>
      <w:bookmarkEnd w:id="54"/>
    </w:p>
    <w:p>
      <w:pPr>
        <w:spacing w:line="600" w:lineRule="exact"/>
        <w:ind w:firstLine="643" w:firstLineChars="200"/>
        <w:outlineLvl w:val="2"/>
        <w:rPr>
          <w:rFonts w:ascii="仿宋" w:eastAsia="仿宋"/>
          <w:color w:val="000000"/>
          <w:sz w:val="32"/>
          <w:szCs w:val="32"/>
        </w:rPr>
      </w:pPr>
      <w:bookmarkStart w:id="55" w:name="_Toc15377222"/>
      <w:r>
        <w:rPr>
          <w:rFonts w:hint="eastAsia" w:ascii="仿宋" w:eastAsia="仿宋"/>
          <w:b/>
          <w:color w:val="000000"/>
          <w:sz w:val="32"/>
          <w:szCs w:val="32"/>
        </w:rPr>
        <w:t>（一）机关运行经费支出情况</w:t>
      </w:r>
      <w:bookmarkEnd w:id="55"/>
    </w:p>
    <w:p>
      <w:pPr>
        <w:spacing w:line="600" w:lineRule="exact"/>
        <w:ind w:firstLine="640" w:firstLineChars="200"/>
        <w:rPr>
          <w:rFonts w:ascii="仿宋_GB2312" w:eastAsia="仿宋_GB2312"/>
          <w:sz w:val="32"/>
          <w:szCs w:val="32"/>
        </w:rPr>
      </w:pPr>
      <w:r>
        <w:rPr>
          <w:rFonts w:hint="eastAsia" w:ascii="仿宋_GB2312" w:hAnsi="楷体_GB2312" w:eastAsia="仿宋_GB2312"/>
          <w:sz w:val="32"/>
        </w:rPr>
        <w:t>2020年度，金川残疾人联合会办公室机关运行经费7.91万元，比2019年增加1.23万元，增加了18.46%</w:t>
      </w:r>
      <w:r>
        <w:rPr>
          <w:rFonts w:hint="eastAsia" w:ascii="仿宋_GB2312" w:eastAsia="仿宋_GB2312"/>
          <w:color w:val="000000"/>
          <w:sz w:val="32"/>
          <w:szCs w:val="32"/>
        </w:rPr>
        <w:t>。</w:t>
      </w:r>
      <w:r>
        <w:rPr>
          <w:rFonts w:hint="eastAsia" w:ascii="仿宋_GB2312" w:eastAsia="仿宋_GB2312"/>
          <w:sz w:val="32"/>
          <w:szCs w:val="32"/>
        </w:rPr>
        <w:t>主要原因为办公室搬迁劳务费、公务用车维修维护费、办公设备购置费经费等有所增长。</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6" w:name="_Toc15377223"/>
      <w:r>
        <w:rPr>
          <w:rFonts w:hint="eastAsia" w:ascii="仿宋" w:eastAsia="仿宋"/>
          <w:b/>
          <w:color w:val="000000"/>
          <w:sz w:val="32"/>
          <w:szCs w:val="32"/>
        </w:rPr>
        <w:t>（二）政府采购支出情况</w:t>
      </w:r>
      <w:bookmarkEnd w:id="56"/>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20年，政府采购支出总额77.49万元，其中：政府采购货物支出73.62万元。</w:t>
      </w:r>
      <w:r>
        <w:rPr>
          <w:rFonts w:hint="eastAsia" w:ascii="仿宋_GB2312" w:eastAsia="仿宋_GB2312"/>
          <w:sz w:val="32"/>
          <w:szCs w:val="32"/>
        </w:rPr>
        <w:t>主要用于残疾人辅助器具购置。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7" w:name="_Toc15377224"/>
      <w:r>
        <w:rPr>
          <w:rFonts w:hint="eastAsia" w:ascii="仿宋" w:eastAsia="仿宋"/>
          <w:b/>
          <w:color w:val="000000"/>
          <w:sz w:val="32"/>
          <w:szCs w:val="32"/>
        </w:rPr>
        <w:t>（三）国有资产占有使用情况</w:t>
      </w:r>
      <w:bookmarkEnd w:id="57"/>
    </w:p>
    <w:p>
      <w:pPr>
        <w:widowControl/>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日，共有车辆1辆，为日常工作及应急保障用车。</w:t>
      </w:r>
    </w:p>
    <w:p>
      <w:pPr>
        <w:widowControl/>
        <w:ind w:firstLine="643" w:firstLine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7"/>
          <w:rFonts w:ascii="黑体" w:eastAsia="黑体"/>
          <w:b w:val="0"/>
        </w:rPr>
      </w:pPr>
      <w:bookmarkStart w:id="58" w:name="_Toc15377225"/>
      <w:bookmarkStart w:id="59" w:name="_Toc15396613"/>
      <w:r>
        <w:rPr>
          <w:rFonts w:hint="eastAsia" w:ascii="黑体" w:eastAsia="黑体"/>
          <w:b/>
          <w:color w:val="000000"/>
          <w:sz w:val="44"/>
          <w:szCs w:val="44"/>
        </w:rPr>
        <w:t>名</w:t>
      </w:r>
      <w:r>
        <w:rPr>
          <w:rStyle w:val="17"/>
          <w:rFonts w:hint="eastAsia" w:ascii="黑体" w:eastAsia="黑体"/>
          <w:b w:val="0"/>
        </w:rPr>
        <w:t>词解释</w:t>
      </w:r>
      <w:bookmarkEnd w:id="58"/>
      <w:bookmarkEnd w:id="59"/>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w:t>
      </w:r>
      <w:bookmarkStart w:id="77" w:name="_GoBack"/>
      <w:bookmarkEnd w:id="77"/>
      <w:r>
        <w:rPr>
          <w:rFonts w:hint="eastAsia" w:ascii="仿宋_GB2312" w:eastAsia="仿宋_GB2312"/>
          <w:sz w:val="32"/>
          <w:szCs w:val="32"/>
        </w:rPr>
        <w:t>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60" w:name="_Toc15396614"/>
      <w:bookmarkStart w:id="61"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7"/>
          <w:rFonts w:ascii="仿宋" w:eastAsia="仿宋"/>
          <w:b w:val="0"/>
          <w:bCs w:val="0"/>
          <w:sz w:val="32"/>
          <w:szCs w:val="32"/>
        </w:rPr>
      </w:pPr>
      <w:bookmarkStart w:id="62" w:name="_Toc15396615"/>
    </w:p>
    <w:p>
      <w:pPr>
        <w:rPr>
          <w:rStyle w:val="17"/>
          <w:rFonts w:ascii="仿宋" w:eastAsia="仿宋"/>
          <w:b w:val="0"/>
          <w:bCs w:val="0"/>
          <w:sz w:val="32"/>
          <w:szCs w:val="32"/>
        </w:rPr>
      </w:pPr>
    </w:p>
    <w:p>
      <w:pPr>
        <w:rPr>
          <w:rStyle w:val="17"/>
          <w:rFonts w:ascii="仿宋" w:eastAsia="仿宋"/>
          <w:b w:val="0"/>
          <w:bCs w:val="0"/>
          <w:sz w:val="32"/>
          <w:szCs w:val="32"/>
        </w:rPr>
      </w:pPr>
    </w:p>
    <w:p>
      <w:pPr>
        <w:pStyle w:val="3"/>
        <w:rPr>
          <w:rStyle w:val="17"/>
          <w:rFonts w:ascii="仿宋" w:eastAsia="仿宋"/>
          <w:b w:val="0"/>
          <w:bCs w:val="0"/>
          <w:sz w:val="32"/>
          <w:szCs w:val="32"/>
        </w:rPr>
      </w:pPr>
      <w:r>
        <w:rPr>
          <w:rStyle w:val="17"/>
          <w:rFonts w:hint="eastAsia" w:ascii="仿宋" w:eastAsia="仿宋"/>
          <w:b w:val="0"/>
          <w:bCs w:val="0"/>
          <w:sz w:val="32"/>
          <w:szCs w:val="32"/>
        </w:rPr>
        <w:t>附件1</w:t>
      </w:r>
      <w:bookmarkEnd w:id="62"/>
    </w:p>
    <w:p>
      <w:pPr>
        <w:numPr>
          <w:ilvl w:val="0"/>
          <w:numId w:val="8"/>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60"/>
    </w:p>
    <w:p>
      <w:pPr>
        <w:outlineLvl w:val="0"/>
        <w:rPr>
          <w:rStyle w:val="17"/>
          <w:rFonts w:ascii="黑体" w:eastAsia="黑体"/>
          <w:b w:val="0"/>
        </w:rPr>
      </w:pPr>
    </w:p>
    <w:bookmarkEnd w:id="61"/>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金川县残疾人联合会</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r>
        <w:rPr>
          <w:rFonts w:hint="eastAsia" w:ascii="仿宋_GB2312" w:eastAsia="仿宋_GB2312"/>
          <w:sz w:val="32"/>
          <w:szCs w:val="32"/>
        </w:rPr>
        <w:t>根据《金川县财政局关于开展2021年财政支出绩效评价工作的通知》（金财监绩〔2021〕26号）精神，金川县残疾人联合会2020年部门整体支出绩效进行了全面综合评价。经全面综合评价，我会预算支出绩效自评情况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szCs w:val="32"/>
        </w:rPr>
      </w:pPr>
      <w:r>
        <w:rPr>
          <w:rFonts w:hint="eastAsia" w:ascii="仿宋_GB2312" w:eastAsia="仿宋_GB2312"/>
          <w:sz w:val="32"/>
          <w:szCs w:val="32"/>
        </w:rPr>
        <w:t>我会2020年有1个机构，金川县残疾人联合会，机构性质为群众团体。</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ind w:firstLine="640" w:firstLineChars="200"/>
        <w:rPr>
          <w:rFonts w:ascii="仿宋_GB2312" w:eastAsia="仿宋_GB2312"/>
          <w:sz w:val="32"/>
          <w:szCs w:val="32"/>
        </w:rPr>
      </w:pPr>
      <w:r>
        <w:rPr>
          <w:rFonts w:hint="eastAsia" w:ascii="仿宋_GB2312" w:eastAsia="仿宋_GB2312"/>
          <w:sz w:val="32"/>
          <w:szCs w:val="32"/>
        </w:rPr>
        <w:t>依据《中国残疾人联合会章程》规定，残联的主要任务是：代表残疾人利益，反映残疾人需求，维护残疾人权益，开展有益活动，为残疾人办实事。具体为以下几个方面：</w:t>
      </w:r>
    </w:p>
    <w:p>
      <w:pPr>
        <w:ind w:firstLine="640" w:firstLineChars="200"/>
        <w:rPr>
          <w:rFonts w:ascii="仿宋_GB2312" w:eastAsia="仿宋_GB2312"/>
          <w:sz w:val="32"/>
          <w:szCs w:val="32"/>
        </w:rPr>
      </w:pPr>
      <w:r>
        <w:rPr>
          <w:rFonts w:hint="eastAsia" w:ascii="仿宋_GB2312" w:eastAsia="仿宋_GB2312"/>
          <w:sz w:val="32"/>
          <w:szCs w:val="32"/>
        </w:rPr>
        <w:t>(1) 准确调查、掌握残疾人的状况和需求，建档立卡。</w:t>
      </w:r>
    </w:p>
    <w:p>
      <w:pPr>
        <w:ind w:firstLine="640" w:firstLineChars="200"/>
        <w:rPr>
          <w:rFonts w:ascii="仿宋_GB2312" w:eastAsia="仿宋_GB2312"/>
          <w:sz w:val="32"/>
          <w:szCs w:val="32"/>
        </w:rPr>
      </w:pPr>
      <w:r>
        <w:rPr>
          <w:rFonts w:hint="eastAsia" w:ascii="仿宋_GB2312" w:eastAsia="仿宋_GB2312"/>
          <w:sz w:val="32"/>
          <w:szCs w:val="32"/>
        </w:rPr>
        <w:t>(2) 核发“中华人民共和国残疾人证”。</w:t>
      </w:r>
    </w:p>
    <w:p>
      <w:pPr>
        <w:ind w:firstLine="640" w:firstLineChars="200"/>
        <w:rPr>
          <w:rFonts w:ascii="仿宋_GB2312" w:eastAsia="仿宋_GB2312"/>
          <w:sz w:val="32"/>
          <w:szCs w:val="32"/>
        </w:rPr>
      </w:pPr>
      <w:r>
        <w:rPr>
          <w:rFonts w:hint="eastAsia" w:ascii="仿宋_GB2312" w:eastAsia="仿宋_GB2312"/>
          <w:sz w:val="32"/>
          <w:szCs w:val="32"/>
        </w:rPr>
        <w:t>(3) 密切联系残疾人，听取意见，反映要求，排忧解难。</w:t>
      </w:r>
    </w:p>
    <w:p>
      <w:pPr>
        <w:ind w:firstLine="640" w:firstLineChars="200"/>
        <w:rPr>
          <w:rFonts w:ascii="仿宋_GB2312" w:eastAsia="仿宋_GB2312"/>
          <w:sz w:val="32"/>
          <w:szCs w:val="32"/>
        </w:rPr>
      </w:pPr>
      <w:r>
        <w:rPr>
          <w:rFonts w:hint="eastAsia" w:ascii="仿宋_GB2312" w:eastAsia="仿宋_GB2312"/>
          <w:sz w:val="32"/>
          <w:szCs w:val="32"/>
        </w:rPr>
        <w:t>(4) 宣传、贯彻残疾人保障法和有关残疾人事业的法规，维护残疾人的合法权益。</w:t>
      </w:r>
    </w:p>
    <w:p>
      <w:pPr>
        <w:ind w:firstLine="640" w:firstLineChars="200"/>
        <w:rPr>
          <w:rFonts w:ascii="仿宋_GB2312" w:eastAsia="仿宋_GB2312"/>
          <w:sz w:val="32"/>
          <w:szCs w:val="32"/>
        </w:rPr>
      </w:pPr>
      <w:r>
        <w:rPr>
          <w:rFonts w:hint="eastAsia" w:ascii="仿宋_GB2312" w:eastAsia="仿宋_GB2312"/>
          <w:sz w:val="32"/>
          <w:szCs w:val="32"/>
        </w:rPr>
        <w:t>(5) 团结教育残疾人，遵守法律，履行义务，乐观进取，自尊、自信、自强、自立。</w:t>
      </w:r>
    </w:p>
    <w:p>
      <w:pPr>
        <w:ind w:firstLine="640" w:firstLineChars="200"/>
        <w:rPr>
          <w:rFonts w:ascii="仿宋_GB2312" w:eastAsia="仿宋_GB2312"/>
          <w:sz w:val="32"/>
          <w:szCs w:val="32"/>
        </w:rPr>
      </w:pPr>
      <w:r>
        <w:rPr>
          <w:rFonts w:hint="eastAsia" w:ascii="仿宋_GB2312" w:eastAsia="仿宋_GB2312"/>
          <w:sz w:val="32"/>
          <w:szCs w:val="32"/>
        </w:rPr>
        <w:t>(6) 宣传残疾人事业，沟通政府与残疾人的联系，动员社会理解、尊重、关心、帮助 残疾人。</w:t>
      </w:r>
    </w:p>
    <w:p>
      <w:pPr>
        <w:ind w:firstLine="640" w:firstLineChars="200"/>
        <w:rPr>
          <w:rFonts w:ascii="仿宋_GB2312" w:eastAsia="仿宋_GB2312"/>
          <w:sz w:val="32"/>
          <w:szCs w:val="32"/>
        </w:rPr>
      </w:pPr>
      <w:r>
        <w:rPr>
          <w:rFonts w:hint="eastAsia" w:ascii="仿宋_GB2312" w:eastAsia="仿宋_GB2312"/>
          <w:sz w:val="32"/>
          <w:szCs w:val="32"/>
        </w:rPr>
        <w:t>(7) 协助政府研究、制定、实施残疾人事业的法规、政策和计划，优惠残疾人的措施 ，发展和管理残疾人事业。</w:t>
      </w:r>
    </w:p>
    <w:p>
      <w:pPr>
        <w:ind w:firstLine="640" w:firstLineChars="200"/>
        <w:rPr>
          <w:rFonts w:ascii="仿宋_GB2312" w:eastAsia="仿宋_GB2312"/>
          <w:sz w:val="32"/>
          <w:szCs w:val="32"/>
        </w:rPr>
      </w:pPr>
      <w:r>
        <w:rPr>
          <w:rFonts w:hint="eastAsia" w:ascii="仿宋_GB2312" w:eastAsia="仿宋_GB2312"/>
          <w:sz w:val="32"/>
          <w:szCs w:val="32"/>
        </w:rPr>
        <w:t>(8) 开展残疾人康复、教育、劳动就业、社会保障、文化、体育等工作，促进残疾人 “平等·参与·共享”。</w:t>
      </w:r>
    </w:p>
    <w:p>
      <w:pPr>
        <w:ind w:firstLine="640" w:firstLineChars="200"/>
        <w:rPr>
          <w:rFonts w:ascii="仿宋_GB2312" w:eastAsia="仿宋_GB2312"/>
          <w:sz w:val="32"/>
          <w:szCs w:val="32"/>
        </w:rPr>
      </w:pPr>
      <w:r>
        <w:rPr>
          <w:rFonts w:hint="eastAsia" w:ascii="仿宋_GB2312" w:eastAsia="仿宋_GB2312"/>
          <w:sz w:val="32"/>
          <w:szCs w:val="32"/>
        </w:rPr>
        <w:t>(9)承办县委、县政府交办的</w:t>
      </w:r>
      <w:r>
        <w:rPr>
          <w:rFonts w:hint="eastAsia" w:ascii="仿宋_GB2312" w:eastAsia="仿宋_GB2312"/>
          <w:sz w:val="32"/>
          <w:szCs w:val="32"/>
          <w:lang w:eastAsia="zh-CN"/>
        </w:rPr>
        <w:t>其他事项</w:t>
      </w:r>
      <w:r>
        <w:rPr>
          <w:rFonts w:hint="eastAsia" w:ascii="仿宋_GB2312" w:eastAsia="仿宋_GB2312"/>
          <w:sz w:val="32"/>
          <w:szCs w:val="32"/>
        </w:rPr>
        <w:t>。</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tabs>
          <w:tab w:val="left" w:pos="0"/>
        </w:tabs>
        <w:snapToGrid w:val="0"/>
        <w:spacing w:line="560" w:lineRule="exact"/>
        <w:ind w:firstLine="420" w:firstLineChars="200"/>
        <w:rPr>
          <w:rFonts w:ascii="仿宋_GB2312" w:eastAsia="仿宋_GB2312"/>
          <w:sz w:val="32"/>
          <w:szCs w:val="32"/>
        </w:rPr>
      </w:pPr>
      <w:r>
        <w:rPr>
          <w:rFonts w:ascii="仿宋_GB2312"/>
        </w:rPr>
        <w:t> </w:t>
      </w:r>
      <w:r>
        <w:rPr>
          <w:rFonts w:hint="eastAsia" w:ascii="仿宋_GB2312" w:eastAsia="仿宋_GB2312"/>
          <w:sz w:val="32"/>
          <w:szCs w:val="32"/>
        </w:rPr>
        <w:t>我会2020年人员编制6人（行政3人，事业人员3人)。</w:t>
      </w:r>
    </w:p>
    <w:p>
      <w:pPr>
        <w:ind w:firstLine="640" w:firstLineChars="200"/>
        <w:rPr>
          <w:rFonts w:ascii="黑体" w:eastAsia="黑体"/>
          <w:sz w:val="32"/>
          <w:szCs w:val="32"/>
        </w:rPr>
      </w:pPr>
      <w:r>
        <w:rPr>
          <w:rFonts w:hint="eastAsia" w:ascii="黑体" w:eastAsia="黑体"/>
          <w:sz w:val="32"/>
          <w:szCs w:val="32"/>
        </w:rPr>
        <w:t>二、2020年及2021年1-6月财政资金当年收支情况</w:t>
      </w:r>
    </w:p>
    <w:p>
      <w:pPr>
        <w:numPr>
          <w:ilvl w:val="0"/>
          <w:numId w:val="9"/>
        </w:numPr>
        <w:ind w:firstLine="643" w:firstLineChars="200"/>
        <w:rPr>
          <w:rFonts w:ascii="楷体_GB2312" w:eastAsia="楷体_GB2312"/>
          <w:b/>
          <w:sz w:val="32"/>
          <w:szCs w:val="32"/>
        </w:rPr>
      </w:pPr>
      <w:r>
        <w:rPr>
          <w:rFonts w:hint="eastAsia" w:ascii="楷体_GB2312" w:eastAsia="楷体_GB2312"/>
          <w:b/>
          <w:sz w:val="32"/>
          <w:szCs w:val="32"/>
        </w:rPr>
        <w:t>收入情况</w:t>
      </w:r>
    </w:p>
    <w:p>
      <w:pPr>
        <w:ind w:firstLine="640" w:firstLineChars="200"/>
        <w:rPr>
          <w:rFonts w:ascii="仿宋_GB2312" w:eastAsia="仿宋_GB2312"/>
          <w:sz w:val="32"/>
          <w:szCs w:val="32"/>
        </w:rPr>
      </w:pPr>
      <w:r>
        <w:rPr>
          <w:rFonts w:hint="eastAsia" w:ascii="仿宋_GB2312" w:eastAsia="仿宋_GB2312"/>
          <w:sz w:val="32"/>
          <w:szCs w:val="32"/>
        </w:rPr>
        <w:t>2020年初预算328.49万元其中一般公共预算财政拨款319.65万元，政府性基金预算财政拨款8.84万元，无上年结转和结余。</w:t>
      </w:r>
    </w:p>
    <w:p>
      <w:pPr>
        <w:ind w:firstLine="640" w:firstLineChars="200"/>
        <w:rPr>
          <w:rFonts w:ascii="仿宋_GB2312" w:eastAsia="仿宋_GB2312"/>
          <w:sz w:val="32"/>
          <w:szCs w:val="32"/>
        </w:rPr>
      </w:pPr>
      <w:r>
        <w:rPr>
          <w:rFonts w:hint="eastAsia" w:ascii="仿宋_GB2312" w:eastAsia="仿宋_GB2312"/>
          <w:sz w:val="32"/>
          <w:szCs w:val="32"/>
        </w:rPr>
        <w:t>2021年1-6月部门预算下达资金为293.61万元,（其中：基本支出资金109.15万元，专项资金184.45万元)。上年结转资金35.81万元。</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snapToGrid w:val="0"/>
        <w:spacing w:line="520" w:lineRule="exact"/>
        <w:ind w:firstLine="640" w:firstLineChars="200"/>
        <w:rPr>
          <w:rFonts w:ascii="仿宋" w:eastAsia="仿宋"/>
          <w:color w:val="000000"/>
          <w:sz w:val="32"/>
          <w:szCs w:val="32"/>
        </w:rPr>
      </w:pPr>
      <w:r>
        <w:rPr>
          <w:rFonts w:hint="eastAsia" w:ascii="仿宋_GB2312" w:eastAsia="仿宋_GB2312"/>
          <w:sz w:val="32"/>
          <w:szCs w:val="32"/>
        </w:rPr>
        <w:t>　2020年部门支出总额为292.68万元。其中一般公共预算财政拨款285.39万元；政府性基金财政拨款7.29万元，结转35.81万元。与2019年相比，一般公共预算财政拨款支出减少42.57万元，减少12.98%。主要原因2019年一般公共预算财政拨款支出包含了上年结转项目支出。政府性基金财政拨款与2019年相比少了4.36万元，</w:t>
      </w:r>
      <w:r>
        <w:rPr>
          <w:rFonts w:hint="eastAsia" w:ascii="仿宋" w:eastAsia="仿宋"/>
          <w:color w:val="000000"/>
          <w:sz w:val="32"/>
          <w:szCs w:val="32"/>
        </w:rPr>
        <w:t>主要原因是基金项目调整。</w:t>
      </w:r>
    </w:p>
    <w:p>
      <w:pPr>
        <w:ind w:firstLine="640" w:firstLineChars="200"/>
        <w:rPr>
          <w:rFonts w:ascii="仿宋_GB2312" w:eastAsia="仿宋_GB2312"/>
          <w:sz w:val="32"/>
          <w:szCs w:val="32"/>
        </w:rPr>
      </w:pPr>
      <w:r>
        <w:rPr>
          <w:rFonts w:hint="eastAsia" w:ascii="仿宋_GB2312" w:eastAsia="仿宋_GB2312"/>
          <w:sz w:val="32"/>
          <w:szCs w:val="32"/>
        </w:rPr>
        <w:t>2021年1-6月，已支出当年部门预算资金147.69万元，支出进度为50.3%（其中，基本支出64.73万元，支出进度为56.4%；专项资金支出82.96万元，专项资金支出进度为46.36%）。财政返还资金支出19.74万元。支出进度为55.12%。</w:t>
      </w:r>
    </w:p>
    <w:p>
      <w:pPr>
        <w:numPr>
          <w:ilvl w:val="0"/>
          <w:numId w:val="10"/>
        </w:numPr>
        <w:ind w:firstLine="640" w:firstLineChars="200"/>
        <w:rPr>
          <w:rFonts w:ascii="黑体" w:eastAsia="黑体"/>
          <w:sz w:val="32"/>
          <w:szCs w:val="32"/>
        </w:rPr>
      </w:pPr>
      <w:r>
        <w:rPr>
          <w:rFonts w:hint="eastAsia" w:ascii="黑体" w:eastAsia="黑体"/>
          <w:sz w:val="32"/>
          <w:szCs w:val="32"/>
        </w:rPr>
        <w:t>2020年及2021年1-6月年财政支出管理情况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我办严格按照州级部门预算编制通知和有关要求，按时完成基础库、项目库报送工作，按时完成2020、2021年预算编制工作，并及时提交部门预算草案。按规定编制政府采购预算，预算编制全面、科学。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pPr>
        <w:ind w:firstLine="640" w:firstLineChars="200"/>
        <w:rPr>
          <w:rFonts w:ascii="仿宋_GB2312" w:eastAsia="仿宋_GB2312"/>
          <w:color w:val="FF0000"/>
          <w:sz w:val="32"/>
          <w:szCs w:val="32"/>
        </w:rPr>
      </w:pPr>
      <w:r>
        <w:rPr>
          <w:rFonts w:hint="eastAsia" w:ascii="仿宋_GB2312" w:hAnsi="仿宋" w:eastAsia="仿宋_GB2312"/>
          <w:sz w:val="32"/>
        </w:rPr>
        <w:t>2020年度预算安排的“三公经费”总额为1.51万元。而2019年度本单位预算安排“三公经费”总额为1.13万元，本单位“三公经费”变动率＝（本年度“三公经费”预算数－上年度“三公经费”预算数）÷上年度“三公经费预算数”＝33.63 %。三公经费因车辆老化维修费增高。</w:t>
      </w:r>
      <w:r>
        <w:rPr>
          <w:rFonts w:hint="eastAsia" w:ascii="仿宋_GB2312" w:eastAsia="仿宋_GB2312"/>
          <w:sz w:val="32"/>
          <w:szCs w:val="32"/>
        </w:rPr>
        <w:t xml:space="preserve"> </w:t>
      </w:r>
      <w:r>
        <w:rPr>
          <w:rFonts w:hint="eastAsia" w:ascii="仿宋_GB2312" w:eastAsia="仿宋_GB2312"/>
          <w:color w:val="FF0000"/>
          <w:sz w:val="32"/>
          <w:szCs w:val="32"/>
        </w:rPr>
        <w:t xml:space="preserve"> </w:t>
      </w:r>
    </w:p>
    <w:p>
      <w:pPr>
        <w:ind w:firstLine="640" w:firstLineChars="200"/>
        <w:rPr>
          <w:rFonts w:ascii="仿宋" w:eastAsia="仿宋" w:cs="仿宋"/>
          <w:sz w:val="32"/>
          <w:szCs w:val="32"/>
        </w:rPr>
      </w:pPr>
      <w:r>
        <w:rPr>
          <w:rFonts w:hint="eastAsia" w:ascii="仿宋" w:eastAsia="仿宋" w:cs="仿宋"/>
          <w:sz w:val="32"/>
          <w:szCs w:val="32"/>
        </w:rPr>
        <w:t>2021年1-6月“三公”经费公务用车运行费支出0.18万元，支出进度为8.88%。</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楷体_GB2312" w:eastAsia="楷体_GB2312"/>
          <w:b/>
          <w:sz w:val="32"/>
          <w:szCs w:val="32"/>
          <w:lang w:val="zh-CN"/>
        </w:rPr>
      </w:pPr>
      <w:r>
        <w:rPr>
          <w:rFonts w:hint="eastAsia" w:ascii="仿宋" w:eastAsia="仿宋" w:cs="仿宋"/>
          <w:sz w:val="32"/>
          <w:szCs w:val="32"/>
        </w:rPr>
        <w:t xml:space="preserve">    我会认真贯彻落实州委州政府县</w:t>
      </w:r>
      <w:r>
        <w:rPr>
          <w:rFonts w:hint="eastAsia" w:ascii="仿宋" w:eastAsia="仿宋" w:cs="仿宋"/>
          <w:sz w:val="32"/>
          <w:szCs w:val="32"/>
          <w:lang w:eastAsia="zh-CN"/>
        </w:rPr>
        <w:t>委</w:t>
      </w:r>
      <w:r>
        <w:rPr>
          <w:rFonts w:hint="eastAsia" w:ascii="仿宋" w:eastAsia="仿宋" w:cs="仿宋"/>
          <w:sz w:val="32"/>
          <w:szCs w:val="32"/>
        </w:rPr>
        <w:t>县政府相关规定，及时为我县脱贫攻坚，和残疾人事业做实事。内控上厉行节约，严格控制因公出国（境）费用、会议费、车辆购置及运行费用和公务接待经费。</w:t>
      </w:r>
    </w:p>
    <w:p>
      <w:pPr>
        <w:ind w:firstLine="604"/>
        <w:rPr>
          <w:rFonts w:ascii="仿宋_GB2312" w:eastAsia="仿宋_GB2312"/>
          <w:sz w:val="32"/>
          <w:szCs w:val="32"/>
        </w:rPr>
      </w:pPr>
      <w:r>
        <w:rPr>
          <w:rFonts w:hint="eastAsia" w:ascii="仿宋_GB2312" w:eastAsia="仿宋_GB2312"/>
          <w:sz w:val="32"/>
          <w:szCs w:val="32"/>
        </w:rPr>
        <w:t>我会财务管理制度健全，执行制度严格合规，会计核算符合相关规定，资金专款专用，资金支付依据和开支标准合法合规，严格执行政府采购，并依法接受财政监督。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_GB2312" w:eastAsia="仿宋_GB2312"/>
          <w:sz w:val="32"/>
          <w:szCs w:val="32"/>
        </w:rPr>
      </w:pPr>
      <w:r>
        <w:rPr>
          <w:rFonts w:hint="eastAsia" w:ascii="仿宋_GB2312" w:eastAsia="仿宋_GB2312"/>
          <w:sz w:val="32"/>
          <w:szCs w:val="32"/>
        </w:rPr>
        <w:t>我会深入贯彻落实“全面实施绩效管理”的要求，努力提升本会绩效预算管理业务水平。主动公开绩效结果，加大资金使用效率，提升管理水平。及时推进部门预算及项目支出进度。截至目前，我会项目支出进度未过半，主要原因为专项资金项目部分在实施中，资金尚未支付。</w:t>
      </w:r>
    </w:p>
    <w:p>
      <w:pPr>
        <w:ind w:firstLine="640"/>
        <w:rPr>
          <w:rFonts w:ascii="仿宋_GB2312" w:eastAsia="仿宋_GB2312"/>
          <w:sz w:val="32"/>
          <w:szCs w:val="32"/>
        </w:rPr>
      </w:pPr>
    </w:p>
    <w:p>
      <w:pPr>
        <w:numPr>
          <w:ilvl w:val="0"/>
          <w:numId w:val="10"/>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11"/>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我会部门预算执行情况良好，无不良记录及违规违纪行为，预算支出和决算支出情况相符。</w:t>
      </w:r>
    </w:p>
    <w:p>
      <w:pPr>
        <w:numPr>
          <w:ilvl w:val="0"/>
          <w:numId w:val="11"/>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ind w:firstLine="960" w:firstLineChars="300"/>
        <w:rPr>
          <w:rFonts w:ascii="仿宋_GB2312" w:eastAsia="仿宋_GB2312"/>
          <w:sz w:val="32"/>
          <w:szCs w:val="32"/>
        </w:rPr>
      </w:pPr>
      <w:r>
        <w:rPr>
          <w:rFonts w:hint="eastAsia" w:ascii="仿宋_GB2312" w:eastAsia="仿宋_GB2312"/>
          <w:sz w:val="32"/>
          <w:szCs w:val="32"/>
        </w:rPr>
        <w:t>一是预算经费支出明细科目存在误差；二是部门决算上报处理效率还需继续提升。三是今年上半年，重点在实现人员经费支出、日常经费正常支付、项目组织实施等方面，资金支付进度过慢。</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widowControl/>
        <w:shd w:val="clear" w:color="auto" w:fill="FFFFFF"/>
        <w:spacing w:line="560" w:lineRule="exact"/>
        <w:rPr>
          <w:rFonts w:ascii="仿宋_GB2312" w:eastAsia="仿宋_GB2312"/>
          <w:sz w:val="32"/>
          <w:szCs w:val="32"/>
          <w:lang w:val="zh-CN"/>
        </w:rPr>
      </w:pPr>
      <w:r>
        <w:rPr>
          <w:rFonts w:hint="eastAsia" w:ascii="仿宋_GB2312" w:eastAsia="仿宋_GB2312"/>
          <w:sz w:val="32"/>
          <w:szCs w:val="32"/>
        </w:rPr>
        <w:t>在今后的工作中，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提升部门工作效率。</w:t>
      </w:r>
    </w:p>
    <w:p>
      <w:pPr>
        <w:widowControl/>
        <w:shd w:val="clear" w:color="auto" w:fill="FFFFFF"/>
        <w:spacing w:line="560" w:lineRule="exact"/>
        <w:rPr>
          <w:rFonts w:ascii="仿宋_GB2312" w:eastAsia="仿宋_GB2312"/>
          <w:sz w:val="32"/>
          <w:szCs w:val="32"/>
        </w:rPr>
      </w:pPr>
    </w:p>
    <w:p>
      <w:pPr>
        <w:spacing w:line="600" w:lineRule="exact"/>
        <w:jc w:val="center"/>
        <w:outlineLvl w:val="0"/>
        <w:rPr>
          <w:rFonts w:ascii="仿宋" w:eastAsia="仿宋"/>
          <w:b/>
          <w:color w:val="000000"/>
          <w:sz w:val="44"/>
          <w:szCs w:val="44"/>
        </w:rPr>
      </w:pPr>
    </w:p>
    <w:p>
      <w:pPr>
        <w:spacing w:line="600" w:lineRule="exact"/>
        <w:jc w:val="center"/>
        <w:outlineLvl w:val="0"/>
        <w:rPr>
          <w:rFonts w:ascii="黑体" w:eastAsia="黑体"/>
          <w:color w:val="000000"/>
          <w:sz w:val="44"/>
          <w:szCs w:val="44"/>
        </w:rPr>
      </w:pPr>
      <w:bookmarkStart w:id="63" w:name="_Toc15396618"/>
      <w:bookmarkStart w:id="64"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3"/>
    </w:p>
    <w:p>
      <w:pPr>
        <w:pStyle w:val="3"/>
        <w:rPr>
          <w:rStyle w:val="18"/>
          <w:rFonts w:ascii="仿宋" w:eastAsia="仿宋"/>
          <w:b w:val="0"/>
          <w:bCs w:val="0"/>
        </w:rPr>
      </w:pPr>
      <w:r>
        <w:rPr>
          <w:rFonts w:hint="eastAsia" w:ascii="仿宋" w:eastAsia="仿宋"/>
          <w:b w:val="0"/>
          <w:color w:val="000000"/>
        </w:rPr>
        <w:t>一、收</w:t>
      </w:r>
      <w:r>
        <w:rPr>
          <w:rStyle w:val="18"/>
          <w:rFonts w:hint="eastAsia" w:ascii="仿宋" w:eastAsia="仿宋"/>
          <w:b w:val="0"/>
          <w:bCs w:val="0"/>
        </w:rPr>
        <w:t>入支出决算总表</w:t>
      </w:r>
      <w:bookmarkEnd w:id="64"/>
    </w:p>
    <w:p>
      <w:pPr>
        <w:pStyle w:val="3"/>
        <w:rPr>
          <w:rFonts w:ascii="仿宋" w:eastAsia="仿宋"/>
          <w:color w:val="000000"/>
        </w:rPr>
      </w:pPr>
      <w:bookmarkStart w:id="65" w:name="_Toc15396620"/>
      <w:r>
        <w:rPr>
          <w:rFonts w:hint="eastAsia" w:ascii="仿宋" w:eastAsia="仿宋"/>
          <w:b w:val="0"/>
          <w:color w:val="000000"/>
        </w:rPr>
        <w:t>二、收</w:t>
      </w:r>
      <w:r>
        <w:rPr>
          <w:rStyle w:val="18"/>
          <w:rFonts w:hint="eastAsia" w:ascii="仿宋" w:eastAsia="仿宋"/>
          <w:b w:val="0"/>
          <w:bCs w:val="0"/>
        </w:rPr>
        <w:t>入总表</w:t>
      </w:r>
      <w:bookmarkEnd w:id="65"/>
    </w:p>
    <w:p>
      <w:pPr>
        <w:pStyle w:val="3"/>
        <w:rPr>
          <w:rFonts w:ascii="仿宋" w:eastAsia="仿宋"/>
          <w:color w:val="000000"/>
        </w:rPr>
      </w:pPr>
      <w:bookmarkStart w:id="66"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6"/>
    </w:p>
    <w:p>
      <w:pPr>
        <w:pStyle w:val="3"/>
        <w:rPr>
          <w:rFonts w:ascii="仿宋" w:eastAsia="仿宋"/>
          <w:b w:val="0"/>
          <w:color w:val="000000"/>
        </w:rPr>
      </w:pPr>
      <w:bookmarkStart w:id="67"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7"/>
    </w:p>
    <w:p>
      <w:pPr>
        <w:pStyle w:val="3"/>
        <w:rPr>
          <w:rFonts w:ascii="仿宋" w:eastAsia="仿宋"/>
          <w:color w:val="000000"/>
        </w:rPr>
      </w:pPr>
      <w:bookmarkStart w:id="68"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8"/>
    </w:p>
    <w:p>
      <w:pPr>
        <w:pStyle w:val="3"/>
        <w:rPr>
          <w:rFonts w:ascii="仿宋" w:eastAsia="仿宋"/>
          <w:color w:val="000000"/>
        </w:rPr>
      </w:pPr>
      <w:bookmarkStart w:id="69"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9"/>
    </w:p>
    <w:p>
      <w:pPr>
        <w:pStyle w:val="3"/>
        <w:rPr>
          <w:rFonts w:ascii="仿宋" w:eastAsia="仿宋"/>
          <w:color w:val="000000"/>
        </w:rPr>
      </w:pPr>
      <w:bookmarkStart w:id="70"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70"/>
    </w:p>
    <w:p>
      <w:pPr>
        <w:pStyle w:val="3"/>
        <w:rPr>
          <w:rFonts w:ascii="仿宋" w:eastAsia="仿宋"/>
          <w:color w:val="000000"/>
        </w:rPr>
      </w:pPr>
      <w:bookmarkStart w:id="71"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71"/>
    </w:p>
    <w:p>
      <w:pPr>
        <w:pStyle w:val="3"/>
        <w:rPr>
          <w:rFonts w:ascii="仿宋" w:eastAsia="仿宋"/>
          <w:color w:val="000000"/>
        </w:rPr>
      </w:pPr>
      <w:bookmarkStart w:id="72"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72"/>
    </w:p>
    <w:p>
      <w:pPr>
        <w:pStyle w:val="3"/>
        <w:rPr>
          <w:rFonts w:ascii="仿宋" w:eastAsia="仿宋"/>
          <w:color w:val="000000"/>
        </w:rPr>
      </w:pPr>
      <w:bookmarkStart w:id="73"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3"/>
    </w:p>
    <w:p>
      <w:pPr>
        <w:pStyle w:val="3"/>
        <w:rPr>
          <w:rFonts w:ascii="仿宋" w:eastAsia="仿宋"/>
          <w:color w:val="000000"/>
        </w:rPr>
      </w:pPr>
      <w:bookmarkStart w:id="74"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4"/>
    </w:p>
    <w:p>
      <w:pPr>
        <w:pStyle w:val="3"/>
        <w:rPr>
          <w:rFonts w:ascii="仿宋" w:eastAsia="仿宋"/>
          <w:color w:val="000000"/>
        </w:rPr>
      </w:pPr>
      <w:bookmarkStart w:id="75"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5"/>
    </w:p>
    <w:p>
      <w:pPr>
        <w:pStyle w:val="3"/>
        <w:rPr>
          <w:rFonts w:ascii="仿宋" w:eastAsia="仿宋"/>
          <w:color w:val="000000"/>
        </w:rPr>
      </w:pPr>
      <w:bookmarkStart w:id="76"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15</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71A5211"/>
    <w:multiLevelType w:val="singleLevel"/>
    <w:tmpl w:val="E71A5211"/>
    <w:lvl w:ilvl="0" w:tentative="0">
      <w:start w:val="1"/>
      <w:numFmt w:val="decimal"/>
      <w:lvlText w:val="%1."/>
      <w:lvlJc w:val="left"/>
      <w:pPr>
        <w:tabs>
          <w:tab w:val="left" w:pos="312"/>
        </w:tabs>
      </w:p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386D6DF3"/>
    <w:multiLevelType w:val="singleLevel"/>
    <w:tmpl w:val="386D6DF3"/>
    <w:lvl w:ilvl="0" w:tentative="0">
      <w:start w:val="3"/>
      <w:numFmt w:val="decimal"/>
      <w:lvlText w:val="%1."/>
      <w:lvlJc w:val="left"/>
      <w:pPr>
        <w:tabs>
          <w:tab w:val="left" w:pos="0"/>
        </w:tabs>
        <w:ind w:left="0" w:firstLine="0"/>
      </w:pPr>
    </w:lvl>
  </w:abstractNum>
  <w:abstractNum w:abstractNumId="8">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9">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abstractNum w:abstractNumId="10">
    <w:nsid w:val="7C03CB08"/>
    <w:multiLevelType w:val="singleLevel"/>
    <w:tmpl w:val="7C03CB08"/>
    <w:lvl w:ilvl="0" w:tentative="0">
      <w:start w:val="1"/>
      <w:numFmt w:val="decimal"/>
      <w:lvlText w:val="%1."/>
      <w:lvlJc w:val="left"/>
      <w:pPr>
        <w:tabs>
          <w:tab w:val="left" w:pos="312"/>
        </w:tabs>
      </w:pPr>
    </w:lvl>
  </w:abstractNum>
  <w:num w:numId="1">
    <w:abstractNumId w:val="5"/>
  </w:num>
  <w:num w:numId="2">
    <w:abstractNumId w:val="2"/>
  </w:num>
  <w:num w:numId="3">
    <w:abstractNumId w:val="0"/>
  </w:num>
  <w:num w:numId="4">
    <w:abstractNumId w:val="6"/>
  </w:num>
  <w:num w:numId="5">
    <w:abstractNumId w:val="3"/>
  </w:num>
  <w:num w:numId="6">
    <w:abstractNumId w:val="10"/>
  </w:num>
  <w:num w:numId="7">
    <w:abstractNumId w:val="7"/>
  </w:num>
  <w:num w:numId="8">
    <w:abstractNumId w:val="1"/>
  </w:num>
  <w:num w:numId="9">
    <w:abstractNumId w:val="9"/>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ED4884"/>
    <w:rsid w:val="009A4D2E"/>
    <w:rsid w:val="00ED4884"/>
    <w:rsid w:val="03122AC6"/>
    <w:rsid w:val="038D3451"/>
    <w:rsid w:val="04FB006F"/>
    <w:rsid w:val="05A13C7B"/>
    <w:rsid w:val="07340BE9"/>
    <w:rsid w:val="07A0158D"/>
    <w:rsid w:val="08A83E9D"/>
    <w:rsid w:val="09082052"/>
    <w:rsid w:val="09B14B25"/>
    <w:rsid w:val="0BB1451D"/>
    <w:rsid w:val="0C576615"/>
    <w:rsid w:val="0E066EB3"/>
    <w:rsid w:val="10D726EC"/>
    <w:rsid w:val="111307B7"/>
    <w:rsid w:val="11592443"/>
    <w:rsid w:val="147B4E11"/>
    <w:rsid w:val="15E82793"/>
    <w:rsid w:val="16BC5F4F"/>
    <w:rsid w:val="17126F01"/>
    <w:rsid w:val="175B03F7"/>
    <w:rsid w:val="18455F65"/>
    <w:rsid w:val="19655B0F"/>
    <w:rsid w:val="19D00487"/>
    <w:rsid w:val="1A0A0E8B"/>
    <w:rsid w:val="1A516922"/>
    <w:rsid w:val="1D617125"/>
    <w:rsid w:val="202135A2"/>
    <w:rsid w:val="20EC77B4"/>
    <w:rsid w:val="210706AC"/>
    <w:rsid w:val="224D27DC"/>
    <w:rsid w:val="23557E84"/>
    <w:rsid w:val="236B6BAA"/>
    <w:rsid w:val="24991869"/>
    <w:rsid w:val="24C55590"/>
    <w:rsid w:val="28320ECB"/>
    <w:rsid w:val="294A20F0"/>
    <w:rsid w:val="296E6BAC"/>
    <w:rsid w:val="2ACA4A24"/>
    <w:rsid w:val="2AE659C6"/>
    <w:rsid w:val="2C520F9D"/>
    <w:rsid w:val="2CAC3889"/>
    <w:rsid w:val="2CB14D71"/>
    <w:rsid w:val="2DA26EDF"/>
    <w:rsid w:val="2DCC17F7"/>
    <w:rsid w:val="2DCD74BF"/>
    <w:rsid w:val="2DD477D8"/>
    <w:rsid w:val="2E4A040F"/>
    <w:rsid w:val="2EA627C0"/>
    <w:rsid w:val="303B0A33"/>
    <w:rsid w:val="333F6013"/>
    <w:rsid w:val="340865F4"/>
    <w:rsid w:val="36A00B94"/>
    <w:rsid w:val="36CD4C94"/>
    <w:rsid w:val="37CC5AB8"/>
    <w:rsid w:val="38AD3ADC"/>
    <w:rsid w:val="390767D4"/>
    <w:rsid w:val="3ACA6CC8"/>
    <w:rsid w:val="3B5C1D65"/>
    <w:rsid w:val="406C1F8C"/>
    <w:rsid w:val="41171D62"/>
    <w:rsid w:val="41454876"/>
    <w:rsid w:val="41594751"/>
    <w:rsid w:val="41AF6918"/>
    <w:rsid w:val="434C24C4"/>
    <w:rsid w:val="43C5762B"/>
    <w:rsid w:val="43D141D6"/>
    <w:rsid w:val="464111E7"/>
    <w:rsid w:val="47F66B84"/>
    <w:rsid w:val="49F34EC8"/>
    <w:rsid w:val="4BFF4955"/>
    <w:rsid w:val="4C727CDB"/>
    <w:rsid w:val="4C9E0C27"/>
    <w:rsid w:val="4DA61B6A"/>
    <w:rsid w:val="4EDF5ABD"/>
    <w:rsid w:val="4F1774BA"/>
    <w:rsid w:val="51D139A1"/>
    <w:rsid w:val="52B9657F"/>
    <w:rsid w:val="53CB7F29"/>
    <w:rsid w:val="53E248EA"/>
    <w:rsid w:val="550214BC"/>
    <w:rsid w:val="55197040"/>
    <w:rsid w:val="559F64DF"/>
    <w:rsid w:val="55CD7361"/>
    <w:rsid w:val="56CB4639"/>
    <w:rsid w:val="56D81DAF"/>
    <w:rsid w:val="5B167BAF"/>
    <w:rsid w:val="5BF829B7"/>
    <w:rsid w:val="5D3E1C05"/>
    <w:rsid w:val="5F9045E3"/>
    <w:rsid w:val="6195755A"/>
    <w:rsid w:val="62251948"/>
    <w:rsid w:val="622C402C"/>
    <w:rsid w:val="65D24D07"/>
    <w:rsid w:val="66C042A9"/>
    <w:rsid w:val="67EE554E"/>
    <w:rsid w:val="68037494"/>
    <w:rsid w:val="689668B0"/>
    <w:rsid w:val="6AE87385"/>
    <w:rsid w:val="6B1C24BF"/>
    <w:rsid w:val="6BC601FF"/>
    <w:rsid w:val="6C6449C0"/>
    <w:rsid w:val="6C7A7707"/>
    <w:rsid w:val="6D617165"/>
    <w:rsid w:val="6F662ACC"/>
    <w:rsid w:val="71257C28"/>
    <w:rsid w:val="73747CDA"/>
    <w:rsid w:val="795F2A2D"/>
    <w:rsid w:val="7C266852"/>
    <w:rsid w:val="7E042F6B"/>
    <w:rsid w:val="7E733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HTML Preformatted"/>
    <w:basedOn w:val="1"/>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15">
    <w:name w:val="Strong"/>
    <w:basedOn w:val="14"/>
    <w:qFormat/>
    <w:uiPriority w:val="0"/>
    <w:rPr>
      <w:b/>
    </w:rPr>
  </w:style>
  <w:style w:type="character" w:styleId="16">
    <w:name w:val="Hyperlink"/>
    <w:basedOn w:val="14"/>
    <w:uiPriority w:val="0"/>
    <w:rPr>
      <w:color w:val="0000FF"/>
      <w:u w:val="single"/>
    </w:rPr>
  </w:style>
  <w:style w:type="character" w:customStyle="1" w:styleId="17">
    <w:name w:val="标题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3"/>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2020年 </c:v>
                </c:pt>
                <c:pt idx="1">
                  <c:v>2019年</c:v>
                </c:pt>
              </c:strCache>
            </c:strRef>
          </c:cat>
          <c:val>
            <c:numRef>
              <c:f>Sheet1!$B$2:$B$3</c:f>
              <c:numCache>
                <c:formatCode>General</c:formatCode>
                <c:ptCount val="2"/>
                <c:pt idx="0">
                  <c:v>328.49</c:v>
                </c:pt>
                <c:pt idx="1">
                  <c:v>324.08</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2020年 </c:v>
                </c:pt>
                <c:pt idx="1">
                  <c:v>2019年</c:v>
                </c:pt>
              </c:strCache>
            </c:strRef>
          </c:cat>
          <c:val>
            <c:numRef>
              <c:f>Sheet1!$C$2:$C$3</c:f>
              <c:numCache>
                <c:formatCode>General</c:formatCode>
                <c:ptCount val="2"/>
                <c:pt idx="0">
                  <c:v>292.68</c:v>
                </c:pt>
                <c:pt idx="1">
                  <c:v>339.61</c:v>
                </c:pt>
              </c:numCache>
            </c:numRef>
          </c:val>
        </c:ser>
        <c:dLbls>
          <c:showLegendKey val="0"/>
          <c:showVal val="0"/>
          <c:showCatName val="0"/>
          <c:showSerName val="0"/>
          <c:showPercent val="0"/>
          <c:showBubbleSize val="0"/>
        </c:dLbls>
        <c:gapWidth val="219"/>
        <c:overlap val="-27"/>
        <c:axId val="122539008"/>
        <c:axId val="122544896"/>
      </c:barChart>
      <c:catAx>
        <c:axId val="12253900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2544896"/>
        <c:crosses val="autoZero"/>
        <c:auto val="1"/>
        <c:lblAlgn val="ctr"/>
        <c:lblOffset val="100"/>
        <c:noMultiLvlLbl val="0"/>
      </c:catAx>
      <c:valAx>
        <c:axId val="122544896"/>
        <c:scaling>
          <c:orientation val="minMax"/>
          <c:max val="50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2539008"/>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政府基金</c:v>
                </c:pt>
              </c:strCache>
            </c:strRef>
          </c:cat>
          <c:val>
            <c:numRef>
              <c:f>'Sheet1 (2)'!$B$2:$B$3</c:f>
              <c:numCache>
                <c:formatCode>General</c:formatCode>
                <c:ptCount val="2"/>
                <c:pt idx="0">
                  <c:v>319.65</c:v>
                </c:pt>
                <c:pt idx="1">
                  <c:v>8.84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87.66</c:v>
                </c:pt>
                <c:pt idx="1">
                  <c:v>205.02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800" cap="none" spc="0" normalizeH="0" baseline="0">
                <a:solidFill>
                  <a:schemeClr val="tx1"/>
                </a:solidFill>
                <a:uFill>
                  <a:solidFill>
                    <a:schemeClr val="tx1"/>
                  </a:solidFill>
                </a:uFill>
                <a:latin typeface="+mn-lt"/>
                <a:ea typeface="+mn-ea"/>
                <a:cs typeface="+mn-cs"/>
              </a:defRPr>
            </a:pPr>
            <a:r>
              <a:rPr u="none" strike="noStrike" cap="none" normalizeH="0">
                <a:solidFill>
                  <a:schemeClr val="tx1"/>
                </a:solidFill>
                <a:uFill>
                  <a:solidFill>
                    <a:schemeClr val="tx1"/>
                  </a:solidFill>
                </a:uFill>
              </a:rPr>
              <a:t>财政拨款收、支决算总计变动情况</a:t>
            </a:r>
            <a:endParaRPr u="none" strike="noStrike" cap="none" normalizeH="0">
              <a:solidFill>
                <a:schemeClr val="tx1"/>
              </a:solidFill>
              <a:uFill>
                <a:solidFill>
                  <a:schemeClr val="tx1"/>
                </a:solidFill>
              </a:uFill>
            </a:endParaRPr>
          </a:p>
        </c:rich>
      </c:tx>
      <c:layout/>
      <c:overlay val="0"/>
    </c:title>
    <c:autoTitleDeleted val="0"/>
    <c:plotArea>
      <c:layout/>
      <c:barChart>
        <c:barDir val="col"/>
        <c:grouping val="clustered"/>
        <c:varyColors val="0"/>
        <c:ser>
          <c:idx val="0"/>
          <c:order val="0"/>
          <c:tx>
            <c:strRef>
              <c:f>'Sheet1 (4)'!$A$2</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(4)'!$B$1:$E$1</c:f>
              <c:strCache>
                <c:ptCount val="4"/>
                <c:pt idx="0">
                  <c:v>一般公共预算财政拨款收入</c:v>
                </c:pt>
                <c:pt idx="1">
                  <c:v>一般公共预算财政拨款支出</c:v>
                </c:pt>
                <c:pt idx="2">
                  <c:v>政府性基金预算财政拨款收入</c:v>
                </c:pt>
                <c:pt idx="3">
                  <c:v>政府性基金预算财政拨款支出</c:v>
                </c:pt>
              </c:strCache>
            </c:strRef>
          </c:cat>
          <c:val>
            <c:numRef>
              <c:f>'Sheet1 (4)'!$B$2:$E$2</c:f>
              <c:numCache>
                <c:formatCode>General</c:formatCode>
                <c:ptCount val="4"/>
                <c:pt idx="0">
                  <c:v>328.49</c:v>
                </c:pt>
                <c:pt idx="1">
                  <c:v>292.68</c:v>
                </c:pt>
                <c:pt idx="2">
                  <c:v>8.84</c:v>
                </c:pt>
                <c:pt idx="3">
                  <c:v>7.29</c:v>
                </c:pt>
              </c:numCache>
            </c:numRef>
          </c:val>
        </c:ser>
        <c:ser>
          <c:idx val="1"/>
          <c:order val="1"/>
          <c:tx>
            <c:strRef>
              <c:f>'Sheet1 (4)'!$A$3</c:f>
              <c:strCache>
                <c:ptCount val="1"/>
                <c:pt idx="0">
                  <c:v>2019年</c:v>
                </c:pt>
              </c:strCache>
            </c:strRef>
          </c:tx>
          <c:invertIfNegative val="0"/>
          <c:dLbls>
            <c:dLbl>
              <c:idx val="0"/>
              <c:layout>
                <c:manualLayout>
                  <c:x val="0.0264471057884232"/>
                  <c:y val="0.0131154590410664"/>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451596806387226"/>
                  <c:y val="0.0025800903031606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461576846307385"/>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34530938123752"/>
                  <c:y val="-0.002795097828423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(4)'!$B$1:$E$1</c:f>
              <c:strCache>
                <c:ptCount val="4"/>
                <c:pt idx="0">
                  <c:v>一般公共预算财政拨款收入</c:v>
                </c:pt>
                <c:pt idx="1">
                  <c:v>一般公共预算财政拨款支出</c:v>
                </c:pt>
                <c:pt idx="2">
                  <c:v>政府性基金预算财政拨款收入</c:v>
                </c:pt>
                <c:pt idx="3">
                  <c:v>政府性基金预算财政拨款支出</c:v>
                </c:pt>
              </c:strCache>
            </c:strRef>
          </c:cat>
          <c:val>
            <c:numRef>
              <c:f>'Sheet1 (4)'!$B$3:$E$3</c:f>
              <c:numCache>
                <c:formatCode>General</c:formatCode>
                <c:ptCount val="4"/>
                <c:pt idx="0">
                  <c:v>309.38</c:v>
                </c:pt>
                <c:pt idx="1">
                  <c:v>327.96</c:v>
                </c:pt>
                <c:pt idx="2">
                  <c:v>14.7</c:v>
                </c:pt>
                <c:pt idx="3">
                  <c:v>11.65</c:v>
                </c:pt>
              </c:numCache>
            </c:numRef>
          </c:val>
        </c:ser>
        <c:dLbls>
          <c:showLegendKey val="0"/>
          <c:showVal val="1"/>
          <c:showCatName val="0"/>
          <c:showSerName val="0"/>
          <c:showPercent val="0"/>
          <c:showBubbleSize val="0"/>
        </c:dLbls>
        <c:gapWidth val="219"/>
        <c:overlap val="-27"/>
        <c:axId val="123658624"/>
        <c:axId val="123660160"/>
      </c:barChart>
      <c:catAx>
        <c:axId val="1236586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仿宋_GB2312" pitchFamily="3" charset="-122"/>
                <a:ea typeface="仿宋_GB2312" pitchFamily="3" charset="-122"/>
                <a:cs typeface="+mn-cs"/>
              </a:defRPr>
            </a:pPr>
          </a:p>
        </c:txPr>
        <c:crossAx val="123660160"/>
        <c:crosses val="autoZero"/>
        <c:auto val="1"/>
        <c:lblAlgn val="ctr"/>
        <c:lblOffset val="100"/>
        <c:noMultiLvlLbl val="0"/>
      </c:catAx>
      <c:valAx>
        <c:axId val="123660160"/>
        <c:scaling>
          <c:orientation val="minMax"/>
          <c:max val="35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crossAx val="123658624"/>
        <c:crossesAt val="1"/>
        <c:crossBetween val="between"/>
      </c:valAx>
    </c:plotArea>
    <c:legend>
      <c:legendPos val="b"/>
      <c:legendEntry>
        <c:idx val="0"/>
        <c:txPr>
          <a:bodyPr rot="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legendEntry>
      <c:legendEntry>
        <c:idx val="1"/>
        <c:txPr>
          <a:bodyPr rot="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legendEntry>
      <c:layout/>
      <c:overlay val="0"/>
      <c:txPr>
        <a:bodyPr rot="0" spcFirstLastPara="0" vertOverflow="ellipsis" vert="horz" wrap="square" anchor="ctr" anchorCtr="1"/>
        <a:lstStyle/>
        <a:p>
          <a:pPr>
            <a:defRPr lang="zh-CN" sz="1000" b="0" i="0" u="none" strike="noStrike" kern="800" cap="none" spc="0" normalizeH="0" baseline="0">
              <a:solidFill>
                <a:schemeClr val="tx1"/>
              </a:solidFill>
              <a:uFill>
                <a:solidFill>
                  <a:schemeClr val="tx1"/>
                </a:solidFill>
              </a:uFill>
              <a:latin typeface="+mn-lt"/>
              <a:ea typeface="+mn-ea"/>
              <a:cs typeface="+mn-cs"/>
            </a:defRPr>
          </a:pPr>
        </a:p>
      </c:txPr>
    </c:legend>
    <c:plotVisOnly val="1"/>
    <c:dispBlanksAs val="gap"/>
    <c:showDLblsOverMax val="0"/>
  </c:chart>
  <c:txPr>
    <a:bodyPr/>
    <a:lstStyle/>
    <a:p>
      <a:pPr>
        <a:defRPr lang="zh-CN" u="none" strike="noStrike" kern="800" cap="none" spc="0" normalizeH="0">
          <a:solidFill>
            <a:schemeClr val="tx1"/>
          </a:solidFill>
          <a:uFill>
            <a:solidFill>
              <a:schemeClr val="tx1"/>
            </a:solidFill>
          </a:uFill>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c:v>
                </c:pt>
                <c:pt idx="1">
                  <c:v>2019年</c:v>
                </c:pt>
              </c:strCache>
            </c:strRef>
          </c:cat>
          <c:val>
            <c:numRef>
              <c:f>'Sheet1 (5)'!$B$2:$B$3</c:f>
              <c:numCache>
                <c:formatCode>General</c:formatCode>
                <c:ptCount val="2"/>
                <c:pt idx="0">
                  <c:v>285.39</c:v>
                </c:pt>
                <c:pt idx="1">
                  <c:v>309.38</c:v>
                </c:pt>
              </c:numCache>
            </c:numRef>
          </c:val>
        </c:ser>
        <c:dLbls>
          <c:showLegendKey val="0"/>
          <c:showVal val="1"/>
          <c:showCatName val="0"/>
          <c:showSerName val="0"/>
          <c:showPercent val="0"/>
          <c:showBubbleSize val="0"/>
        </c:dLbls>
        <c:gapWidth val="219"/>
        <c:overlap val="-27"/>
        <c:axId val="129371136"/>
        <c:axId val="129401600"/>
      </c:barChart>
      <c:catAx>
        <c:axId val="12937113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9401600"/>
        <c:crosses val="autoZero"/>
        <c:auto val="1"/>
        <c:lblAlgn val="ctr"/>
        <c:lblOffset val="100"/>
        <c:noMultiLvlLbl val="0"/>
      </c:catAx>
      <c:valAx>
        <c:axId val="129401600"/>
        <c:scaling>
          <c:orientation val="minMax"/>
          <c:max val="35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2937113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(6)'!$A$2:$A$6</c:f>
              <c:strCache>
                <c:ptCount val="5"/>
                <c:pt idx="0">
                  <c:v>农林支出</c:v>
                </c:pt>
                <c:pt idx="1">
                  <c:v>社会保障和就业</c:v>
                </c:pt>
                <c:pt idx="2">
                  <c:v>医疗卫生支出</c:v>
                </c:pt>
                <c:pt idx="3">
                  <c:v>住房保障支出</c:v>
                </c:pt>
                <c:pt idx="4">
                  <c:v>其他支出</c:v>
                </c:pt>
              </c:strCache>
            </c:strRef>
          </c:cat>
          <c:val>
            <c:numRef>
              <c:f>'Sheet1 (6)'!$B$2:$B$6</c:f>
              <c:numCache>
                <c:formatCode>General</c:formatCode>
                <c:ptCount val="5"/>
                <c:pt idx="0">
                  <c:v>13.72</c:v>
                </c:pt>
                <c:pt idx="1">
                  <c:v>203.96</c:v>
                </c:pt>
                <c:pt idx="2">
                  <c:v>4.08</c:v>
                </c:pt>
                <c:pt idx="3">
                  <c:v>6.38</c:v>
                </c:pt>
                <c:pt idx="4">
                  <c:v>57.26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manualLayout>
          <c:xMode val="edge"/>
          <c:yMode val="edge"/>
          <c:x val="0.030407429598562"/>
          <c:y val="0.8910422526213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1.51</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9960</Words>
  <Characters>11067</Characters>
  <Lines>91</Lines>
  <Paragraphs>25</Paragraphs>
  <TotalTime>17</TotalTime>
  <ScaleCrop>false</ScaleCrop>
  <LinksUpToDate>false</LinksUpToDate>
  <CharactersWithSpaces>11355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2021-09-17T03:03:00Z</cp:lastPrinted>
  <dcterms:modified xsi:type="dcterms:W3CDTF">2023-07-03T01:45:27Z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1C58CF2DDA904FFFAC41D5E0723FD676</vt:lpwstr>
  </property>
</Properties>
</file>