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2"/>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2"/>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2"/>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2"/>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widowControl/>
                                      <w:spacing w:line="480" w:lineRule="atLeast"/>
                                      <w:jc w:val="center"/>
                                      <w:rPr>
                                        <w:rFonts w:ascii="仿宋_GB2312" w:hAnsi="宋体" w:eastAsia="仿宋_GB2312" w:cs="宋体"/>
                                        <w:color w:val="333333"/>
                                        <w:kern w:val="0"/>
                                        <w:sz w:val="44"/>
                                        <w:szCs w:val="44"/>
                                      </w:rPr>
                                    </w:pPr>
                                    <w:r>
                                      <w:rPr>
                                        <w:rFonts w:hint="eastAsia" w:ascii="仿宋_GB2312" w:hAnsi="宋体" w:eastAsia="仿宋_GB2312" w:cs="宋体"/>
                                        <w:color w:val="333333"/>
                                        <w:kern w:val="0"/>
                                        <w:sz w:val="44"/>
                                        <w:szCs w:val="44"/>
                                      </w:rPr>
                                      <w:t>金川县残疾人联合会2021年</w:t>
                                    </w:r>
                                  </w:p>
                                  <w:p>
                                    <w:pPr>
                                      <w:widowControl/>
                                      <w:spacing w:line="480" w:lineRule="atLeast"/>
                                      <w:jc w:val="center"/>
                                      <w:rPr>
                                        <w:rFonts w:ascii="仿宋_GB2312" w:hAnsi="宋体" w:eastAsia="仿宋_GB2312" w:cs="宋体"/>
                                        <w:color w:val="333333"/>
                                        <w:kern w:val="0"/>
                                        <w:sz w:val="44"/>
                                        <w:szCs w:val="44"/>
                                      </w:rPr>
                                    </w:pPr>
                                    <w:r>
                                      <w:rPr>
                                        <w:rFonts w:hint="eastAsia" w:ascii="仿宋_GB2312" w:hAnsi="宋体" w:eastAsia="仿宋_GB2312" w:cs="宋体"/>
                                        <w:color w:val="333333"/>
                                        <w:kern w:val="0"/>
                                        <w:sz w:val="44"/>
                                        <w:szCs w:val="44"/>
                                      </w:rPr>
                                      <w:t>部门预算编制说明</w:t>
                                    </w:r>
                                  </w:p>
                                  <w:p>
                                    <w:pPr>
                                      <w:widowControl/>
                                      <w:spacing w:line="480" w:lineRule="atLeast"/>
                                      <w:rPr>
                                        <w:rFonts w:ascii="仿宋_GB2312" w:hAnsi="宋体" w:eastAsia="仿宋_GB2312" w:cs="宋体"/>
                                        <w:b/>
                                        <w:bCs/>
                                        <w:color w:val="333333"/>
                                        <w:kern w:val="0"/>
                                        <w:sz w:val="28"/>
                                        <w:szCs w:val="28"/>
                                      </w:rPr>
                                    </w:pPr>
                                    <w:r>
                                      <w:rPr>
                                        <w:rFonts w:hint="eastAsia" w:ascii="仿宋_GB2312" w:hAnsi="宋体" w:eastAsia="仿宋_GB2312" w:cs="宋体"/>
                                        <w:b/>
                                        <w:bCs/>
                                        <w:color w:val="333333"/>
                                        <w:kern w:val="0"/>
                                        <w:sz w:val="28"/>
                                        <w:szCs w:val="28"/>
                                      </w:rPr>
                                      <w:t>一、基本职能及主要工作</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　　（一）残联职能简介。</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xml:space="preserve">1、宣传、贯彻有关残疾人事业的法律、法规、规章和政策； </w:t>
                                    </w:r>
                                  </w:p>
                                  <w:p>
                                    <w:pPr>
                                      <w:widowControl/>
                                      <w:spacing w:line="480" w:lineRule="atLeast"/>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xml:space="preserve">　  2、沟通残疾人与政府之间的联系，宣传残疾人事业，动员社会理解、尊重、关心、帮助残疾人； </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xml:space="preserve">　　3、承担同级人民政府委托的工作，发展残疾人事业； </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xml:space="preserve">　　4、指导、管理本地区各类残疾人群众组织，推进残疾人工作； </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5、办理审核发放残疾证；</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6、维护残疾人的合法权益，处理残疾人生活和工作中遇到的困难，保障残疾人平等地充分参与社会生活，共享社会物质文化成果。</w:t>
                                    </w:r>
                                  </w:p>
                                  <w:p>
                                    <w:pPr>
                                      <w:widowControl/>
                                      <w:spacing w:line="480" w:lineRule="atLeast"/>
                                      <w:rPr>
                                        <w:rFonts w:ascii="仿宋_GB2312" w:hAnsi="宋体" w:eastAsia="仿宋_GB2312" w:cs="宋体"/>
                                        <w:b/>
                                        <w:bCs/>
                                        <w:color w:val="333333"/>
                                        <w:kern w:val="0"/>
                                        <w:sz w:val="28"/>
                                        <w:szCs w:val="28"/>
                                      </w:rPr>
                                    </w:pPr>
                                    <w:r>
                                      <w:rPr>
                                        <w:rFonts w:hint="eastAsia" w:ascii="仿宋_GB2312" w:hAnsi="宋体" w:eastAsia="仿宋_GB2312" w:cs="宋体"/>
                                        <w:color w:val="333333"/>
                                        <w:kern w:val="0"/>
                                        <w:sz w:val="28"/>
                                        <w:szCs w:val="28"/>
                                      </w:rPr>
                                      <w:t xml:space="preserve">　  </w:t>
                                    </w:r>
                                    <w:r>
                                      <w:rPr>
                                        <w:rFonts w:hint="eastAsia" w:ascii="仿宋_GB2312" w:hAnsi="宋体" w:eastAsia="仿宋_GB2312" w:cs="宋体"/>
                                        <w:b/>
                                        <w:bCs/>
                                        <w:color w:val="333333"/>
                                        <w:kern w:val="0"/>
                                        <w:sz w:val="28"/>
                                        <w:szCs w:val="28"/>
                                      </w:rPr>
                                      <w:t>（二）残联2021年重点工作.</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一是根据县委、县政府关于2021年全县工作的总体部署，负责基层残疾人组织建设；二是审核办理残疾证；三是发放残疾人各项生活补贴，提高残疾人生活现状；四是扶持残疾人就业创业，拓展残疾人就业渠道；五是推进残疾人开放量服工作；六是承办县政府交办的其他事项。</w:t>
                                    </w:r>
                                  </w:p>
                                  <w:p>
                                    <w:pPr>
                                      <w:widowControl/>
                                      <w:spacing w:line="480" w:lineRule="atLeast"/>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　二、部门预算单位构成</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b/>
                                        <w:bCs/>
                                        <w:color w:val="333333"/>
                                        <w:kern w:val="0"/>
                                        <w:sz w:val="28"/>
                                        <w:szCs w:val="28"/>
                                      </w:rPr>
                                      <w:t xml:space="preserve">　  </w:t>
                                    </w:r>
                                    <w:r>
                                      <w:rPr>
                                        <w:rFonts w:hint="eastAsia" w:ascii="仿宋_GB2312" w:hAnsi="宋体" w:eastAsia="仿宋_GB2312" w:cs="宋体"/>
                                        <w:color w:val="333333"/>
                                        <w:kern w:val="0"/>
                                        <w:sz w:val="28"/>
                                        <w:szCs w:val="28"/>
                                      </w:rPr>
                                      <w:t xml:space="preserve">2021年独立编制单位机构数为 1个，财政供养人员编制为6 名，实有人数7名，其中行政编制 3名，（其中参照公务员法管理人员编制3 人）行政工勤编制0 名，事业编制4 名；2021年实际财政供养人员 7人，较上年增加 1人（不含退休人员），其中：行政3 人，行政工勤 0人， 事业 4人。 </w:t>
                                    </w:r>
                                  </w:p>
                                  <w:p>
                                    <w:pPr>
                                      <w:widowControl/>
                                      <w:spacing w:line="480" w:lineRule="atLeast"/>
                                      <w:ind w:firstLine="562" w:firstLineChars="200"/>
                                      <w:rPr>
                                        <w:rFonts w:ascii="仿宋_GB2312" w:hAnsi="宋体" w:eastAsia="仿宋_GB2312" w:cs="宋体"/>
                                        <w:color w:val="333333"/>
                                        <w:kern w:val="0"/>
                                        <w:sz w:val="28"/>
                                        <w:szCs w:val="28"/>
                                      </w:rPr>
                                    </w:pPr>
                                    <w:r>
                                      <w:rPr>
                                        <w:rFonts w:hint="eastAsia" w:ascii="仿宋_GB2312" w:hAnsi="宋体" w:eastAsia="仿宋_GB2312" w:cs="宋体"/>
                                        <w:b/>
                                        <w:bCs/>
                                        <w:color w:val="333333"/>
                                        <w:kern w:val="0"/>
                                        <w:sz w:val="28"/>
                                        <w:szCs w:val="28"/>
                                      </w:rPr>
                                      <w:t>三、收支预算情况说明</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按照综合预算的原则，残疾人联合会所有收入和支出均纳入部门预算管理。收入包括：一般公共预算拨款收入、上年结转；支出包括：一般公共服务支出、教育支出、社会保障和就业支出、医疗卫生与计划生育支出、住房保障支出。残疾人联合会2021年收支总预算149.44万元</w:t>
                                    </w:r>
                                    <w:r>
                                      <w:rPr>
                                        <w:rFonts w:hint="eastAsia" w:ascii="仿宋_GB2312" w:hAnsi="宋体" w:eastAsia="仿宋_GB2312" w:cs="宋体"/>
                                        <w:color w:val="333333"/>
                                        <w:kern w:val="0"/>
                                        <w:sz w:val="28"/>
                                        <w:szCs w:val="28"/>
                                        <w:lang w:eastAsia="zh-CN"/>
                                      </w:rPr>
                                      <w:t>，</w:t>
                                    </w:r>
                                    <w:bookmarkStart w:id="0" w:name="_GoBack"/>
                                    <w:bookmarkEnd w:id="0"/>
                                    <w:r>
                                      <w:rPr>
                                        <w:rFonts w:hint="eastAsia" w:ascii="仿宋_GB2312" w:hAnsi="宋体" w:eastAsia="仿宋_GB2312" w:cs="宋体"/>
                                        <w:color w:val="333333"/>
                                        <w:kern w:val="0"/>
                                        <w:sz w:val="28"/>
                                        <w:szCs w:val="28"/>
                                      </w:rPr>
                                      <w:t>比</w:t>
                                    </w:r>
                                    <w:r>
                                      <w:rPr>
                                        <w:rFonts w:hint="eastAsia" w:ascii="仿宋_GB2312" w:hAnsi="宋体" w:eastAsia="仿宋_GB2312" w:cs="宋体"/>
                                        <w:color w:val="333333"/>
                                        <w:kern w:val="0"/>
                                        <w:sz w:val="28"/>
                                        <w:szCs w:val="28"/>
                                        <w:highlight w:val="yellow"/>
                                      </w:rPr>
                                      <w:t>2020</w:t>
                                    </w:r>
                                    <w:r>
                                      <w:rPr>
                                        <w:rFonts w:hint="eastAsia" w:ascii="仿宋_GB2312" w:hAnsi="宋体" w:eastAsia="仿宋_GB2312" w:cs="宋体"/>
                                        <w:color w:val="333333"/>
                                        <w:kern w:val="0"/>
                                        <w:sz w:val="28"/>
                                        <w:szCs w:val="28"/>
                                      </w:rPr>
                                      <w:t>年收支预算总数增加</w:t>
                                    </w:r>
                                    <w:r>
                                      <w:rPr>
                                        <w:rFonts w:hint="eastAsia" w:ascii="仿宋_GB2312" w:hAnsi="宋体" w:eastAsia="仿宋_GB2312" w:cs="宋体"/>
                                        <w:color w:val="333333"/>
                                        <w:kern w:val="0"/>
                                        <w:sz w:val="28"/>
                                        <w:szCs w:val="28"/>
                                        <w:highlight w:val="yellow"/>
                                      </w:rPr>
                                      <w:t>21.34</w:t>
                                    </w:r>
                                    <w:r>
                                      <w:rPr>
                                        <w:rFonts w:hint="eastAsia" w:ascii="仿宋_GB2312" w:hAnsi="宋体" w:eastAsia="仿宋_GB2312" w:cs="宋体"/>
                                        <w:color w:val="333333"/>
                                        <w:kern w:val="0"/>
                                        <w:sz w:val="28"/>
                                        <w:szCs w:val="28"/>
                                      </w:rPr>
                                      <w:t>万元，主要是因为人员增加，工资调整增加。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　（一）收入预算情况。</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残疾人联合会2021年收入预算149.44万元，其中：一般公共预算拨款收入149.44万元，占100%。</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（二）支出预算情况。</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残疾人联合会2021年支出预算149.44万元，其中：基本支出99.94万元，占66.87%；项目支出49.49万元，占33.11%。</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　四、财政拨款收支预算情况说明</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残疾人联合会2021年收支总预算149.44万元</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比2020年收支预算总数增加</w:t>
                                    </w:r>
                                    <w:r>
                                      <w:rPr>
                                        <w:rFonts w:hint="eastAsia" w:ascii="仿宋_GB2312" w:hAnsi="宋体" w:eastAsia="仿宋_GB2312" w:cs="宋体"/>
                                        <w:color w:val="333333"/>
                                        <w:kern w:val="0"/>
                                        <w:sz w:val="28"/>
                                        <w:szCs w:val="28"/>
                                        <w:highlight w:val="yellow"/>
                                      </w:rPr>
                                      <w:t>21.34</w:t>
                                    </w:r>
                                    <w:r>
                                      <w:rPr>
                                        <w:rFonts w:hint="eastAsia" w:ascii="仿宋_GB2312" w:hAnsi="宋体" w:eastAsia="仿宋_GB2312" w:cs="宋体"/>
                                        <w:color w:val="333333"/>
                                        <w:kern w:val="0"/>
                                        <w:sz w:val="28"/>
                                        <w:szCs w:val="28"/>
                                      </w:rPr>
                                      <w:t>万元，主要是因为人员工资调整。</w:t>
                                    </w:r>
                                  </w:p>
                                  <w:p>
                                    <w:pPr>
                                      <w:widowControl/>
                                      <w:spacing w:line="480" w:lineRule="atLeast"/>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收入包括：本年一般公共预算拨款收入149.44万元，支出包括：社会保障和就业支出</w:t>
                                    </w:r>
                                    <w:r>
                                      <w:rPr>
                                        <w:rFonts w:hint="eastAsia" w:ascii="仿宋_GB2312" w:hAnsi="宋体" w:eastAsia="仿宋_GB2312" w:cs="宋体"/>
                                        <w:color w:val="333333"/>
                                        <w:kern w:val="0"/>
                                        <w:sz w:val="28"/>
                                        <w:szCs w:val="28"/>
                                        <w:highlight w:val="yellow"/>
                                      </w:rPr>
                                      <w:t>119.9</w:t>
                                    </w:r>
                                    <w:r>
                                      <w:rPr>
                                        <w:rFonts w:hint="eastAsia" w:ascii="仿宋_GB2312" w:hAnsi="宋体" w:eastAsia="仿宋_GB2312" w:cs="宋体"/>
                                        <w:color w:val="333333"/>
                                        <w:kern w:val="0"/>
                                        <w:sz w:val="28"/>
                                        <w:szCs w:val="28"/>
                                      </w:rPr>
                                      <w:t>0万元、医疗卫生与计划生育支出5.53万元、农林水支出</w:t>
                                    </w:r>
                                    <w:r>
                                      <w:rPr>
                                        <w:rFonts w:hint="eastAsia" w:ascii="仿宋_GB2312" w:hAnsi="宋体" w:eastAsia="仿宋_GB2312" w:cs="宋体"/>
                                        <w:color w:val="333333"/>
                                        <w:kern w:val="0"/>
                                        <w:sz w:val="28"/>
                                        <w:szCs w:val="28"/>
                                        <w:highlight w:val="yellow"/>
                                      </w:rPr>
                                      <w:t>16.71</w:t>
                                    </w:r>
                                    <w:r>
                                      <w:rPr>
                                        <w:rFonts w:hint="eastAsia" w:ascii="仿宋_GB2312" w:hAnsi="宋体" w:eastAsia="仿宋_GB2312" w:cs="宋体"/>
                                        <w:color w:val="333333"/>
                                        <w:kern w:val="0"/>
                                        <w:sz w:val="28"/>
                                        <w:szCs w:val="28"/>
                                      </w:rPr>
                                      <w:t>万元、住房保障支出7.3万元。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　五、一般公共预算当年拨款情况说明</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　（一）一般公共预算当年拨款规模变化情况。</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残疾人联合会2021年一般公共预算当年拨款149.44万元，比2021年预算数增加</w:t>
                                    </w:r>
                                    <w:r>
                                      <w:rPr>
                                        <w:rFonts w:hint="eastAsia" w:ascii="仿宋_GB2312" w:hAnsi="宋体" w:eastAsia="仿宋_GB2312" w:cs="宋体"/>
                                        <w:color w:val="333333"/>
                                        <w:kern w:val="0"/>
                                        <w:sz w:val="28"/>
                                        <w:szCs w:val="28"/>
                                        <w:highlight w:val="yellow"/>
                                      </w:rPr>
                                      <w:t>21.34</w:t>
                                    </w:r>
                                    <w:r>
                                      <w:rPr>
                                        <w:rFonts w:hint="eastAsia" w:ascii="仿宋_GB2312" w:hAnsi="宋体" w:eastAsia="仿宋_GB2312" w:cs="宋体"/>
                                        <w:color w:val="333333"/>
                                        <w:kern w:val="0"/>
                                        <w:sz w:val="28"/>
                                        <w:szCs w:val="28"/>
                                      </w:rPr>
                                      <w:t>万元，主要是因为人员增加，工资调整增加。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　（二）一般公共预算当年拨款结构情况。</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社会保障和就业支出119.90万元，占80.23%；医疗卫生与计划生育支出5.53万元，占3.7%；农林水支出16.71万元，占11.18%；住房保障支出7.3万元，占4.88%。</w:t>
                                    </w:r>
                                  </w:p>
                                  <w:p>
                                    <w:pPr>
                                      <w:widowControl/>
                                      <w:spacing w:line="480" w:lineRule="atLeast"/>
                                      <w:ind w:firstLine="562" w:firstLineChars="200"/>
                                      <w:rPr>
                                        <w:rFonts w:ascii="仿宋_GB2312" w:hAnsi="宋体" w:eastAsia="仿宋_GB2312" w:cs="宋体"/>
                                        <w:b/>
                                        <w:bCs/>
                                        <w:color w:val="333333"/>
                                        <w:kern w:val="0"/>
                                        <w:sz w:val="28"/>
                                        <w:szCs w:val="28"/>
                                      </w:rPr>
                                    </w:pPr>
                                    <w:r>
                                      <w:rPr>
                                        <w:rFonts w:hint="eastAsia" w:ascii="仿宋_GB2312" w:hAnsi="宋体" w:eastAsia="仿宋_GB2312" w:cs="宋体"/>
                                        <w:b/>
                                        <w:bCs/>
                                        <w:color w:val="333333"/>
                                        <w:kern w:val="0"/>
                                        <w:sz w:val="28"/>
                                        <w:szCs w:val="28"/>
                                      </w:rPr>
                                      <w:t>（三）一般公共预算当年拨款具体使用情况。</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1.208社会保障和就业</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类）05行政事业单位离退休（款）05机关事业单位基本养老保险费（项）：日常人员经费9.72万元，主要用于：残疾人联合会人员基本养老保险支出。</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2.208社会保障和就业</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类）05行政事业单位离退休（类）06机关事业单位职业年金缴费支出（项）：日常人员经费4.86万元，主要用于：残疾人联合会人员职业年金缴费支出。</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3.208社会保障和就业</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类）11残疾人事业（款）01行政运行（项）: 日常人员经费61.87万元，主要用于：残疾人联合会人员工资福利支出。公用经费10.66万元，主要用于：残疾人联合会机构正常运行、开展日常工作的基本支出。</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4.208社会保障和就业</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类）11残疾人事业（款）05残疾人就业和扶贫　（项）: 日常人员经费0万元，专项经费18万元，主要用于残疾人居家灵活就业及创业就业补助。</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5.208社会保障和就业</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类）11残疾人事业（款）99其他残疾人事业支出（项）</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日常人员经费0万元，专项经费</w:t>
                                    </w:r>
                                    <w:r>
                                      <w:rPr>
                                        <w:rFonts w:hint="eastAsia" w:ascii="仿宋_GB2312" w:hAnsi="宋体" w:eastAsia="仿宋_GB2312" w:cs="宋体"/>
                                        <w:color w:val="333333"/>
                                        <w:kern w:val="0"/>
                                        <w:sz w:val="28"/>
                                        <w:szCs w:val="28"/>
                                        <w:highlight w:val="yellow"/>
                                      </w:rPr>
                                      <w:t>14.78</w:t>
                                    </w:r>
                                    <w:r>
                                      <w:rPr>
                                        <w:rFonts w:hint="eastAsia" w:ascii="仿宋_GB2312" w:hAnsi="宋体" w:eastAsia="仿宋_GB2312" w:cs="宋体"/>
                                        <w:color w:val="333333"/>
                                        <w:kern w:val="0"/>
                                        <w:sz w:val="28"/>
                                        <w:szCs w:val="28"/>
                                      </w:rPr>
                                      <w:t>万元，主要用于村（社）残疾人联系员误工补助。</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6.210医疗卫生与计划生育（类）11行政事业单位医疗（款）01行政单位医疗（项）</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医疗保障费用4.25万元，主要用于：残疾人联合会人员单位医疗保险缴费支出。</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7.210医疗卫生与计划生育（类）11行政事业单位医疗（款）03公务员医疗补助（项）</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医疗保障费用1.28万元，主要用于：残疾人联合会人员公务员医疗保险缴费支出。</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8.213农林水支出（类）05扶贫（款）99其他扶贫支出（项）</w:t>
                                    </w:r>
                                    <w:r>
                                      <w:rPr>
                                        <w:rFonts w:hint="eastAsia" w:ascii="仿宋_GB2312" w:hAnsi="宋体" w:eastAsia="仿宋_GB2312" w:cs="宋体"/>
                                        <w:color w:val="333333"/>
                                        <w:kern w:val="0"/>
                                        <w:sz w:val="28"/>
                                        <w:szCs w:val="28"/>
                                        <w:highlight w:val="yellow"/>
                                      </w:rPr>
                                      <w:t>16.71</w:t>
                                    </w:r>
                                    <w:r>
                                      <w:rPr>
                                        <w:rFonts w:hint="eastAsia" w:ascii="仿宋_GB2312" w:hAnsi="宋体" w:eastAsia="仿宋_GB2312" w:cs="宋体"/>
                                        <w:color w:val="333333"/>
                                        <w:kern w:val="0"/>
                                        <w:sz w:val="28"/>
                                        <w:szCs w:val="28"/>
                                      </w:rPr>
                                      <w:t>万元，主要用于贫困残疾人扶贫对象生活补贴。</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9.221住房保障支出（类）02住房改革支出（款）01住房公积金（项）：住房公积金7.29万元，主要用于：残疾人联合会工作人员住房公积金缴费支出。</w:t>
                                    </w:r>
                                  </w:p>
                                  <w:p>
                                    <w:pPr>
                                      <w:widowControl/>
                                      <w:spacing w:line="480" w:lineRule="atLeast"/>
                                      <w:ind w:firstLine="562" w:firstLineChars="200"/>
                                      <w:rPr>
                                        <w:rFonts w:ascii="仿宋_GB2312" w:hAnsi="宋体" w:eastAsia="仿宋_GB2312" w:cs="宋体"/>
                                        <w:b/>
                                        <w:bCs/>
                                        <w:color w:val="333333"/>
                                        <w:kern w:val="0"/>
                                        <w:sz w:val="28"/>
                                        <w:szCs w:val="28"/>
                                      </w:rPr>
                                    </w:pPr>
                                    <w:r>
                                      <w:rPr>
                                        <w:rFonts w:hint="eastAsia" w:ascii="仿宋_GB2312" w:hAnsi="宋体" w:eastAsia="仿宋_GB2312" w:cs="宋体"/>
                                        <w:b/>
                                        <w:bCs/>
                                        <w:color w:val="333333"/>
                                        <w:kern w:val="0"/>
                                        <w:sz w:val="28"/>
                                        <w:szCs w:val="28"/>
                                      </w:rPr>
                                      <w:t>六、一般公共预算基本支出情况说明</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金川县残疾人联合会2021年一般公共预算财政拨款基本支出 99.94万元，其中：</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人员经费89.28 万元，主要包括：基本工资、津贴补贴、奖金、绩效工资、机关事业单位基本养老保险缴费、职业年金缴费、其他社会保障缴费等支出。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公用经费10.66万元，主要包括：办公费、电费、邮电费、印刷费、差旅费、维修（护）费、劳务费、公务用车运行维护费等支出。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七、“三公”经费财政拨款预算安排情况说明</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金川县残疾人联合会</w:t>
                                    </w:r>
                                    <w:r>
                                      <w:rPr>
                                        <w:rFonts w:hint="eastAsia" w:ascii="仿宋_GB2312" w:hAnsi="宋体" w:eastAsia="仿宋_GB2312" w:cs="宋体"/>
                                        <w:color w:val="333333"/>
                                        <w:kern w:val="0"/>
                                        <w:sz w:val="28"/>
                                        <w:szCs w:val="28"/>
                                        <w:highlight w:val="yellow"/>
                                      </w:rPr>
                                      <w:t>2021</w:t>
                                    </w:r>
                                    <w:r>
                                      <w:rPr>
                                        <w:rFonts w:hint="eastAsia" w:ascii="仿宋_GB2312" w:hAnsi="宋体" w:eastAsia="仿宋_GB2312" w:cs="宋体"/>
                                        <w:color w:val="333333"/>
                                        <w:kern w:val="0"/>
                                        <w:sz w:val="28"/>
                                        <w:szCs w:val="28"/>
                                      </w:rPr>
                                      <w:t>年“三公”经费财政拨款预算数2万元，其中：因公出国（境）经费0万元，公务接待费0万元，公务用车购置及运行维护费2万元。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（一）因公出国（境）经费与2020年预算持平。</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（二）公务接待费较2020年预算持平。</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2021年公务接待费计划用于执行公务、考察调研、检查指导等公务活动开支的交通费、住宿费、用餐费等。</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（三）公务用车购置及运行维护费与2020年预算上升32％。</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单位现有公务用车1辆，其中：越野车1辆，2021年未安排公务用车购置费</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2021年安排公务用车运行维护费2万元，用于公务用车燃油、过路（桥）、维修、保险等方面支出，主要保障机关量服工作检查、重度残疾人无障碍改造查看、创业就业查看等工作开展。因2021年上级未安排我县量服经费故2021年公务用车运行维护费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　八、政府性基金预算支出情况说明</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残疾人联合会2021年没有使用政府性基金预算拨款安排的支出。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　九、国有资本经营预算支出情况说明</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残疾人联合会2021年没有使用国有资本经营预算拨款安排的支出。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　十、其他重要事项的情况说明</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（一）机关运行经费。</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2021年，残疾人联合会机关运行经费财政拨款预算为10.66万元，比2020年预算增长0.8万元，增长8%。增加原因为人员增加。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（二）政府采购情况。</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2021年，残联安排政府采购预算0万元。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　（三）国有资产占有使用情况。</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截至2021年，金县残疾人联合会有公务用车1 辆，其中：一般公务用车 1辆；无单价50万元以上通用设备及单价100万元以上专用设备。</w:t>
                                    </w:r>
                                  </w:p>
                                  <w:p>
                                    <w:pPr>
                                      <w:widowControl/>
                                      <w:spacing w:line="480" w:lineRule="atLeast"/>
                                      <w:ind w:firstLine="56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2021年金川县残疾人联合会由妇幼保障院划拨房屋1000.00</w:t>
                                    </w:r>
                                    <w:r>
                                      <w:rPr>
                                        <w:rFonts w:hint="eastAsia" w:ascii="宋体" w:hAnsi="宋体" w:eastAsia="宋体" w:cs="宋体"/>
                                        <w:color w:val="333333"/>
                                        <w:kern w:val="0"/>
                                        <w:sz w:val="28"/>
                                        <w:szCs w:val="28"/>
                                      </w:rPr>
                                      <w:t>㎡</w:t>
                                    </w:r>
                                    <w:r>
                                      <w:rPr>
                                        <w:rFonts w:hint="eastAsia" w:ascii="仿宋_GB2312" w:hAnsi="宋体" w:eastAsia="仿宋_GB2312" w:cs="宋体"/>
                                        <w:color w:val="333333"/>
                                        <w:kern w:val="0"/>
                                        <w:sz w:val="28"/>
                                        <w:szCs w:val="28"/>
                                      </w:rPr>
                                      <w:t>平方，价值88.5万元。</w:t>
                                    </w:r>
                                  </w:p>
                                  <w:p>
                                    <w:pPr>
                                      <w:widowControl/>
                                      <w:spacing w:line="480" w:lineRule="atLeast"/>
                                      <w:rPr>
                                        <w:rFonts w:ascii="仿宋_GB2312" w:hAnsi="宋体" w:eastAsia="仿宋_GB2312" w:cs="宋体"/>
                                        <w:b/>
                                        <w:bCs/>
                                        <w:color w:val="333333"/>
                                        <w:kern w:val="0"/>
                                        <w:sz w:val="28"/>
                                        <w:szCs w:val="28"/>
                                      </w:rPr>
                                    </w:pP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　（四）绩效目标设置情况</w:t>
                                    </w:r>
                                  </w:p>
                                  <w:p>
                                    <w:pPr>
                                      <w:widowControl/>
                                      <w:spacing w:line="480" w:lineRule="atLeast"/>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绩效目标是预算编制的前提和基础，按照“费随事定”的原则，2021年残疾人联合会按要求编制了部门整体绩效目标及专用项目绩效目标</w:t>
                                    </w:r>
                                    <w:r>
                                      <w:rPr>
                                        <w:rFonts w:hint="eastAsia" w:ascii="仿宋_GB2312" w:hAnsi="宋体" w:eastAsia="仿宋_GB2312" w:cs="宋体"/>
                                        <w:color w:val="333333"/>
                                        <w:kern w:val="0"/>
                                        <w:sz w:val="28"/>
                                        <w:szCs w:val="28"/>
                                        <w:lang w:eastAsia="zh-CN"/>
                                      </w:rPr>
                                      <w:t>，</w:t>
                                    </w:r>
                                    <w:r>
                                      <w:rPr>
                                        <w:rFonts w:hint="eastAsia" w:ascii="仿宋_GB2312" w:hAnsi="宋体" w:eastAsia="仿宋_GB2312" w:cs="宋体"/>
                                        <w:color w:val="333333"/>
                                        <w:kern w:val="0"/>
                                        <w:sz w:val="28"/>
                                        <w:szCs w:val="28"/>
                                      </w:rPr>
                                      <w:t>从项目完成、项目效益、满意度等方面设置了绩效指标，综合反映项目预期完成的数量、成本、时效、质量，预期达到的社会效益、经济效益、生态效益、可持续影响以及服务对象满意度等情况。</w:t>
                                    </w:r>
                                    <w:r>
                                      <w:rPr>
                                        <w:rFonts w:hint="eastAsia" w:ascii="仿宋_GB2312" w:hAnsi="宋体" w:eastAsia="仿宋_GB2312" w:cs="宋体"/>
                                        <w:color w:val="333333"/>
                                        <w:kern w:val="0"/>
                                        <w:sz w:val="28"/>
                                        <w:szCs w:val="28"/>
                                        <w:highlight w:val="yellow"/>
                                      </w:rPr>
                                      <w:t>涉及一般公共预算当年拨款149.44万元</w:t>
                                    </w:r>
                                    <w:r>
                                      <w:rPr>
                                        <w:rFonts w:hint="eastAsia"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szCs w:val="28"/>
                                      </w:rPr>
                                      <w:t>　十一、名词解释</w:t>
                                    </w:r>
                                    <w:r>
                                      <w:rPr>
                                        <w:rFonts w:hint="eastAsia" w:ascii="仿宋_GB2312" w:hAnsi="宋体" w:eastAsia="仿宋_GB2312" w:cs="宋体"/>
                                        <w:b/>
                                        <w:bCs/>
                                        <w:color w:val="333333"/>
                                        <w:kern w:val="0"/>
                                        <w:sz w:val="28"/>
                                        <w:szCs w:val="28"/>
                                      </w:rPr>
                                      <w:br w:type="textWrapping"/>
                                    </w:r>
                                    <w:r>
                                      <w:rPr>
                                        <w:rFonts w:hint="eastAsia" w:ascii="仿宋_GB2312" w:hAnsi="宋体" w:eastAsia="仿宋_GB2312" w:cs="宋体"/>
                                        <w:color w:val="333333"/>
                                        <w:kern w:val="0"/>
                                        <w:sz w:val="28"/>
                                        <w:szCs w:val="28"/>
                                      </w:rPr>
                                      <w:t>　　1.一般公共预算拨款收入：指省级财政当年拨付的资金。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2.上年结转：指以前年度尚未完成，结转到本年仍按原规定用途继续使用的资金。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3.一般公共服务（类）财政事务（款）行政运行（项）：指厅机关及参公管理事业单位用于保障机构正常运行、开展日常工作的基本支出。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4.一般公共服务（类）财政事务（款）一般行政管理事务（项）：指厅机关及参公管理事业单位开展财政综合业务、预决算编审等未单独设置项级科目的专门性财政管理工作的项目支出。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5.一般公共服务（类）财政事务（款）机关服务（项）：指后勤服务中心、信息中心为本部门各单位正常运行提供服务的支出。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6.一般公共服务（类）财政事务（款）信息化建设（项）：指金川县残疾人联合会用于财政信息化建设等方面的项目支出。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7.一般公共服务（类）财政事务（款）事业运行（项）：指四川省金川县残疾人联合会后勤中心、四川省财政科学研究所、四川省财政信息中心、四川省政府和资本合作中心、四川省金川县残疾人联合会政府债券发行管理中心、四川省注册会计师事务中心、四川省资产评估事务中心用于保障机构正常运行、开展日常工作的基本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8.一般公共服务（类）财政事务（款）其他财政事务支出（项）：指金川县残疾人联合会除上述项目外，开展其他财政事务方面专门性工作任务的项目支出，如全省会计专业技术资格考试考务费等。</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9.教育（类）进修及培训（款）培训支出（项）：指为配合财政业务开展，用于部门内部在职人员参加相关财政财务工作外部培训的经费支出。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10.社会保障和就业（类）行政事业单位离退休（款）事业单位离退休（项）：指财政科学研究所的离退休人员的支出。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11.社会保障和就业（类）行政事业单位离退休（款）未归口管理的行政单位离退休（项）：指厅机关离退休人员的支出。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12.社会保障和就业（类）行政事业单位离退休（款）机关事业单位基本养老保险缴费支出（项）：指部门实施养老保险制度由单位缴纳的养老保险费的支出。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13.社会保障和就业（类）行政事业单位离退休（款）机关事业单位职业年金缴费支出（项）：指部门实施养老保险制度由单位缴纳的职业年金的支出。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14.社会保障和就业（类）其他社会保障和就业（款）其他社会保障和就业支出（项）：指除上述项目外，其他用于行政事业单位离退休方面的支出。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15.医疗卫生与计划生育（类）行政事业单位医疗（款）行政单位医疗（项）：指厅机关及参公管理事业单位用于缴纳单位基本医疗保险支出。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16.医疗卫生与计划生育（类）行政事业单位医疗（款）事业单位医疗（项）：指事业单位用于缴纳单位基本医疗保险支出。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17.医疗卫生与计划生育（类）行政事业单位医疗（款）公务员医疗补助（项）：指厅机关及参公管理事业单位用于集中缴纳公务员医疗补助支出。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18.住房保障（类）住房改革支出（款）住房公积金（项）：指按照《住房公积金管理条例》的规定，由单位及其在职职工缴存的长期住房储金。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19.住房保障（类）住房改革支出（款）购房补贴（项）：指按房改政策规定的标准，向符合条件职工发放的用于购买住房的补贴。</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20.基本支出：指为保证机构正常运转，完成日常工作任务而发生的人员支出和公用支出。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21.项目支出：指在基本支出之外为完成特定行政任务和事业发展目标所发生的支出。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22.“三公”经费：纳入金川县残疾人联合会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23.机关运行经费：为保障行政单位（包含参照公务员法管理的事业单位）运行用于购买货物和服务的各项资金。包括办公及办公费、水费、电费、印刷费、邮电费、差旅费、会议费等费用开支。</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p>
                                </w:tc>
                              </w:tr>
                            </w:tbl>
                            <w:p>
                              <w:pPr>
                                <w:widowControl/>
                                <w:spacing w:line="480" w:lineRule="atLeast"/>
                                <w:rPr>
                                  <w:rFonts w:ascii="仿宋_GB2312" w:hAnsi="宋体" w:eastAsia="仿宋_GB2312" w:cs="宋体"/>
                                  <w:color w:val="333333"/>
                                  <w:kern w:val="0"/>
                                  <w:sz w:val="28"/>
                                  <w:szCs w:val="28"/>
                                </w:rPr>
                              </w:pPr>
                            </w:p>
                          </w:tc>
                        </w:tr>
                        <w:tr>
                          <w:tblPrEx>
                            <w:tblCellMar>
                              <w:top w:w="0" w:type="dxa"/>
                              <w:left w:w="0" w:type="dxa"/>
                              <w:bottom w:w="0" w:type="dxa"/>
                              <w:right w:w="0" w:type="dxa"/>
                            </w:tblCellMar>
                          </w:tblPrEx>
                          <w:trPr>
                            <w:tblCellSpacing w:w="0" w:type="dxa"/>
                          </w:trPr>
                          <w:tc>
                            <w:tcPr>
                              <w:tcW w:w="10590" w:type="dxa"/>
                              <w:shd w:val="clear" w:color="auto" w:fill="FFFFFF"/>
                            </w:tcPr>
                            <w:tbl>
                              <w:tblPr>
                                <w:tblStyle w:val="2"/>
                                <w:tblW w:w="9620" w:type="dxa"/>
                                <w:jc w:val="center"/>
                                <w:tblCellSpacing w:w="0" w:type="dxa"/>
                                <w:tblLayout w:type="fixed"/>
                                <w:tblCellMar>
                                  <w:top w:w="0" w:type="dxa"/>
                                  <w:left w:w="0" w:type="dxa"/>
                                  <w:bottom w:w="0" w:type="dxa"/>
                                  <w:right w:w="0" w:type="dxa"/>
                                </w:tblCellMar>
                              </w:tblPr>
                              <w:tblGrid>
                                <w:gridCol w:w="2135"/>
                                <w:gridCol w:w="7485"/>
                              </w:tblGrid>
                              <w:tr>
                                <w:tblPrEx>
                                  <w:tblCellMar>
                                    <w:top w:w="0" w:type="dxa"/>
                                    <w:left w:w="0" w:type="dxa"/>
                                    <w:bottom w:w="0" w:type="dxa"/>
                                    <w:right w:w="0" w:type="dxa"/>
                                  </w:tblCellMar>
                                </w:tblPrEx>
                                <w:trPr>
                                  <w:tblCellSpacing w:w="0" w:type="dxa"/>
                                  <w:jc w:val="center"/>
                                </w:trPr>
                                <w:tc>
                                  <w:tcPr>
                                    <w:tcW w:w="2135" w:type="dxa"/>
                                  </w:tcPr>
                                  <w:p>
                                    <w:pPr>
                                      <w:widowControl/>
                                      <w:spacing w:line="480" w:lineRule="atLeast"/>
                                      <w:rPr>
                                        <w:rFonts w:ascii="仿宋_GB2312" w:hAnsi="宋体" w:eastAsia="仿宋_GB2312" w:cs="宋体"/>
                                        <w:color w:val="333333"/>
                                        <w:kern w:val="0"/>
                                        <w:sz w:val="28"/>
                                        <w:szCs w:val="28"/>
                                      </w:rPr>
                                    </w:pPr>
                                  </w:p>
                                </w:tc>
                                <w:tc>
                                  <w:tcPr>
                                    <w:tcW w:w="7485" w:type="dxa"/>
                                    <w:vAlign w:val="center"/>
                                  </w:tcPr>
                                  <w:tbl>
                                    <w:tblPr>
                                      <w:tblStyle w:val="2"/>
                                      <w:tblW w:w="7485" w:type="dxa"/>
                                      <w:tblCellSpacing w:w="0" w:type="dxa"/>
                                      <w:tblInd w:w="0" w:type="dxa"/>
                                      <w:tblLayout w:type="fixed"/>
                                      <w:tblCellMar>
                                        <w:top w:w="0" w:type="dxa"/>
                                        <w:left w:w="0" w:type="dxa"/>
                                        <w:bottom w:w="0" w:type="dxa"/>
                                        <w:right w:w="0" w:type="dxa"/>
                                      </w:tblCellMar>
                                    </w:tblPr>
                                    <w:tblGrid>
                                      <w:gridCol w:w="7485"/>
                                    </w:tblGrid>
                                    <w:tr>
                                      <w:tblPrEx>
                                        <w:tblCellMar>
                                          <w:top w:w="0" w:type="dxa"/>
                                          <w:left w:w="0" w:type="dxa"/>
                                          <w:bottom w:w="0" w:type="dxa"/>
                                          <w:right w:w="0" w:type="dxa"/>
                                        </w:tblCellMar>
                                      </w:tblPrEx>
                                      <w:trPr>
                                        <w:tblCellSpacing w:w="0" w:type="dxa"/>
                                      </w:trPr>
                                      <w:tc>
                                        <w:tcPr>
                                          <w:tcW w:w="7485" w:type="dxa"/>
                                          <w:vAlign w:val="center"/>
                                        </w:tcPr>
                                        <w:p>
                                          <w:pPr>
                                            <w:widowControl/>
                                            <w:spacing w:line="480" w:lineRule="atLeast"/>
                                            <w:rPr>
                                              <w:rFonts w:ascii="仿宋_GB2312" w:hAnsi="宋体" w:eastAsia="仿宋_GB2312" w:cs="宋体"/>
                                              <w:color w:val="333333"/>
                                              <w:kern w:val="0"/>
                                              <w:sz w:val="28"/>
                                              <w:szCs w:val="28"/>
                                            </w:rPr>
                                          </w:pPr>
                                        </w:p>
                                      </w:tc>
                                    </w:tr>
                                  </w:tbl>
                                  <w:p>
                                    <w:pPr>
                                      <w:widowControl/>
                                      <w:spacing w:line="480" w:lineRule="atLeast"/>
                                      <w:rPr>
                                        <w:rFonts w:ascii="仿宋_GB2312" w:hAnsi="宋体" w:eastAsia="仿宋_GB2312" w:cs="宋体"/>
                                        <w:color w:val="333333"/>
                                        <w:kern w:val="0"/>
                                        <w:sz w:val="28"/>
                                        <w:szCs w:val="28"/>
                                      </w:rPr>
                                    </w:pPr>
                                  </w:p>
                                </w:tc>
                              </w:tr>
                            </w:tbl>
                            <w:p>
                              <w:pPr>
                                <w:widowControl/>
                                <w:spacing w:line="480" w:lineRule="atLeast"/>
                                <w:rPr>
                                  <w:rFonts w:ascii="仿宋_GB2312" w:hAnsi="宋体" w:eastAsia="仿宋_GB2312" w:cs="宋体"/>
                                  <w:color w:val="333333"/>
                                  <w:kern w:val="0"/>
                                  <w:sz w:val="28"/>
                                  <w:szCs w:val="28"/>
                                </w:rPr>
                              </w:pPr>
                            </w:p>
                          </w:tc>
                        </w:tr>
                      </w:tbl>
                      <w:p>
                        <w:pPr>
                          <w:widowControl/>
                          <w:spacing w:line="480" w:lineRule="atLeast"/>
                          <w:rPr>
                            <w:rFonts w:ascii="仿宋_GB2312" w:hAnsi="宋体" w:eastAsia="仿宋_GB2312" w:cs="宋体"/>
                            <w:color w:val="333333"/>
                            <w:kern w:val="0"/>
                            <w:sz w:val="28"/>
                            <w:szCs w:val="28"/>
                          </w:rPr>
                        </w:pPr>
                      </w:p>
                    </w:tc>
                    <w:tc>
                      <w:tcPr>
                        <w:tcW w:w="1350" w:type="dxa"/>
                        <w:vAlign w:val="center"/>
                      </w:tcPr>
                      <w:p>
                        <w:pPr>
                          <w:widowControl/>
                          <w:spacing w:line="480" w:lineRule="atLeast"/>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p>
                        <w:pPr>
                          <w:widowControl/>
                          <w:spacing w:line="480" w:lineRule="atLeast"/>
                          <w:rPr>
                            <w:rFonts w:ascii="仿宋_GB2312" w:hAnsi="宋体" w:eastAsia="仿宋_GB2312" w:cs="宋体"/>
                            <w:color w:val="333333"/>
                            <w:kern w:val="0"/>
                            <w:sz w:val="28"/>
                            <w:szCs w:val="28"/>
                          </w:rPr>
                        </w:pPr>
                      </w:p>
                    </w:tc>
                  </w:tr>
                </w:tbl>
                <w:p>
                  <w:pPr>
                    <w:widowControl/>
                    <w:spacing w:line="480" w:lineRule="atLeast"/>
                    <w:rPr>
                      <w:rFonts w:ascii="仿宋_GB2312" w:hAnsi="宋体" w:eastAsia="仿宋_GB2312" w:cs="宋体"/>
                      <w:color w:val="333333"/>
                      <w:kern w:val="0"/>
                      <w:sz w:val="28"/>
                      <w:szCs w:val="28"/>
                    </w:rPr>
                  </w:pPr>
                </w:p>
              </w:tc>
            </w:tr>
          </w:tbl>
          <w:p>
            <w:pPr>
              <w:widowControl/>
              <w:spacing w:line="480" w:lineRule="atLeast"/>
              <w:rPr>
                <w:rFonts w:ascii="仿宋_GB2312" w:hAnsi="宋体" w:eastAsia="仿宋_GB2312" w:cs="宋体"/>
                <w:color w:val="333333"/>
                <w:kern w:val="0"/>
                <w:sz w:val="28"/>
                <w:szCs w:val="28"/>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spacing w:line="480" w:lineRule="atLeast"/>
              <w:rPr>
                <w:rFonts w:ascii="仿宋_GB2312" w:hAnsi="宋体" w:eastAsia="仿宋_GB2312" w:cs="宋体"/>
                <w:color w:val="333333"/>
                <w:kern w:val="0"/>
                <w:sz w:val="28"/>
                <w:szCs w:val="28"/>
              </w:rPr>
            </w:pPr>
          </w:p>
        </w:tc>
      </w:tr>
    </w:tbl>
    <w:p>
      <w:pPr>
        <w:widowControl/>
        <w:spacing w:line="480" w:lineRule="atLeast"/>
        <w:rPr>
          <w:rFonts w:ascii="仿宋_GB2312" w:hAnsi="宋体" w:eastAsia="仿宋_GB2312" w:cs="宋体"/>
          <w:color w:val="333333"/>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C"/>
    <w:rsid w:val="00363EAC"/>
    <w:rsid w:val="0079144A"/>
    <w:rsid w:val="007B2DB9"/>
    <w:rsid w:val="00B42DE7"/>
    <w:rsid w:val="00BD2138"/>
    <w:rsid w:val="00BE5157"/>
    <w:rsid w:val="00D04CCC"/>
    <w:rsid w:val="00D729C6"/>
    <w:rsid w:val="0DF074E6"/>
    <w:rsid w:val="1764786D"/>
    <w:rsid w:val="24297D31"/>
    <w:rsid w:val="25CF51EB"/>
    <w:rsid w:val="26AA0755"/>
    <w:rsid w:val="289C351B"/>
    <w:rsid w:val="2DA34650"/>
    <w:rsid w:val="34CE3496"/>
    <w:rsid w:val="39262491"/>
    <w:rsid w:val="3BE434EA"/>
    <w:rsid w:val="441123CA"/>
    <w:rsid w:val="50F33693"/>
    <w:rsid w:val="54962140"/>
    <w:rsid w:val="68440FF6"/>
    <w:rsid w:val="6BCD5FA8"/>
    <w:rsid w:val="6E700DD7"/>
    <w:rsid w:val="70E93B32"/>
    <w:rsid w:val="719324EC"/>
    <w:rsid w:val="737737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styleId="4">
    <w:name w:val="Strong"/>
    <w:basedOn w:val="3"/>
    <w:qFormat/>
    <w:uiPriority w:val="22"/>
    <w:rPr>
      <w:b/>
      <w:bCs/>
    </w:rPr>
  </w:style>
  <w:style w:type="character" w:customStyle="1" w:styleId="5">
    <w:name w:val="pagetext0031"/>
    <w:basedOn w:val="3"/>
    <w:qFormat/>
    <w:uiPriority w:val="0"/>
    <w:rPr>
      <w:rFonts w:hint="eastAsia" w:ascii="宋体" w:hAnsi="宋体" w:eastAsia="宋体"/>
      <w:color w:val="555555"/>
      <w:sz w:val="21"/>
      <w:szCs w:val="21"/>
    </w:rPr>
  </w:style>
  <w:style w:type="character" w:customStyle="1" w:styleId="6">
    <w:name w:val="apple-converted-space"/>
    <w:basedOn w:val="3"/>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9</Pages>
  <Words>736</Words>
  <Characters>4198</Characters>
  <Lines>34</Lines>
  <Paragraphs>9</Paragraphs>
  <TotalTime>0</TotalTime>
  <ScaleCrop>false</ScaleCrop>
  <LinksUpToDate>false</LinksUpToDate>
  <CharactersWithSpaces>4925</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2020-12-21T04:57:00Z</dcterms:created>
  <dc:creator>Lenovo User</dc:creator>
  <cp:lastModifiedBy>不改</cp:lastModifiedBy>
  <dcterms:modified xsi:type="dcterms:W3CDTF">2021-04-16T02:41:21Z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68A4099435644B48AD13567F61490DF8</vt:lpwstr>
  </property>
</Properties>
</file>