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33CD4">
      <w:pPr>
        <w:spacing w:line="600" w:lineRule="exact"/>
        <w:jc w:val="center"/>
        <w:outlineLvl w:val="0"/>
        <w:rPr>
          <w:rFonts w:ascii="方正小标宋简体" w:eastAsia="方正小标宋简体"/>
          <w:color w:val="000000"/>
          <w:sz w:val="72"/>
          <w:szCs w:val="72"/>
        </w:rPr>
      </w:pPr>
      <w:bookmarkStart w:id="0" w:name="_Toc15306267"/>
    </w:p>
    <w:p w14:paraId="20C8B5DD">
      <w:pPr>
        <w:spacing w:line="600" w:lineRule="exact"/>
        <w:jc w:val="center"/>
        <w:outlineLvl w:val="0"/>
        <w:rPr>
          <w:rFonts w:ascii="方正小标宋简体" w:eastAsia="方正小标宋简体"/>
          <w:color w:val="000000"/>
          <w:sz w:val="72"/>
          <w:szCs w:val="72"/>
        </w:rPr>
      </w:pPr>
    </w:p>
    <w:p w14:paraId="673365D2">
      <w:pPr>
        <w:spacing w:line="600" w:lineRule="exact"/>
        <w:jc w:val="center"/>
        <w:outlineLvl w:val="0"/>
        <w:rPr>
          <w:rFonts w:ascii="方正小标宋简体" w:eastAsia="方正小标宋简体"/>
          <w:color w:val="000000"/>
          <w:sz w:val="72"/>
          <w:szCs w:val="72"/>
        </w:rPr>
      </w:pPr>
    </w:p>
    <w:p w14:paraId="4BAD81D0">
      <w:pPr>
        <w:spacing w:line="600" w:lineRule="exact"/>
        <w:jc w:val="center"/>
        <w:outlineLvl w:val="0"/>
        <w:rPr>
          <w:rFonts w:ascii="方正小标宋简体" w:eastAsia="方正小标宋简体"/>
          <w:color w:val="000000"/>
          <w:sz w:val="72"/>
          <w:szCs w:val="72"/>
        </w:rPr>
      </w:pPr>
    </w:p>
    <w:p w14:paraId="527AFAA1">
      <w:pPr>
        <w:adjustRightInd w:val="0"/>
        <w:snapToGrid w:val="0"/>
        <w:spacing w:line="360" w:lineRule="auto"/>
        <w:jc w:val="center"/>
        <w:outlineLvl w:val="0"/>
        <w:rPr>
          <w:rFonts w:ascii="方正小标宋简体" w:eastAsia="方正小标宋简体"/>
          <w:color w:val="000000"/>
          <w:sz w:val="72"/>
          <w:szCs w:val="72"/>
        </w:rPr>
      </w:pPr>
      <w:bookmarkStart w:id="1" w:name="_Toc5808"/>
      <w:bookmarkStart w:id="2" w:name="_Toc3749"/>
      <w:bookmarkStart w:id="3" w:name="_Toc15378441"/>
      <w:bookmarkStart w:id="4" w:name="_Toc12095"/>
      <w:bookmarkStart w:id="5" w:name="_Toc15377193"/>
      <w:bookmarkStart w:id="6" w:name="_Toc15377425"/>
      <w:bookmarkStart w:id="7" w:name="_Toc9383"/>
      <w:bookmarkStart w:id="8" w:name="_Toc15396475"/>
      <w:bookmarkStart w:id="9" w:name="_Toc15396597"/>
      <w:bookmarkStart w:id="10" w:name="_Toc31923"/>
      <w:r>
        <w:rPr>
          <w:rFonts w:ascii="黑体" w:eastAsia="黑体"/>
          <w:color w:val="000000"/>
          <w:sz w:val="72"/>
          <w:szCs w:val="72"/>
        </w:rPr>
        <w:t>202</w:t>
      </w:r>
      <w:r>
        <w:rPr>
          <w:rFonts w:hint="eastAsia" w:ascii="黑体" w:eastAsia="黑体"/>
          <w:color w:val="000000"/>
          <w:sz w:val="72"/>
          <w:szCs w:val="72"/>
        </w:rPr>
        <w:t>4</w:t>
      </w:r>
      <w:r>
        <w:rPr>
          <w:rFonts w:hint="eastAsia" w:ascii="方正小标宋简体" w:eastAsia="方正小标宋简体"/>
          <w:color w:val="000000"/>
          <w:sz w:val="72"/>
          <w:szCs w:val="72"/>
        </w:rPr>
        <w:t>年度</w:t>
      </w:r>
      <w:bookmarkEnd w:id="1"/>
      <w:bookmarkEnd w:id="2"/>
      <w:bookmarkEnd w:id="3"/>
      <w:bookmarkEnd w:id="4"/>
      <w:bookmarkEnd w:id="5"/>
      <w:bookmarkEnd w:id="6"/>
      <w:bookmarkEnd w:id="7"/>
      <w:bookmarkEnd w:id="8"/>
      <w:bookmarkEnd w:id="9"/>
      <w:bookmarkEnd w:id="10"/>
    </w:p>
    <w:bookmarkEnd w:id="0"/>
    <w:p w14:paraId="05F38357">
      <w:pPr>
        <w:adjustRightInd w:val="0"/>
        <w:snapToGrid w:val="0"/>
        <w:spacing w:line="360" w:lineRule="auto"/>
        <w:jc w:val="center"/>
        <w:outlineLvl w:val="0"/>
        <w:rPr>
          <w:rFonts w:ascii="方正小标宋简体" w:eastAsia="方正小标宋简体"/>
          <w:color w:val="000000"/>
          <w:sz w:val="72"/>
          <w:szCs w:val="72"/>
        </w:rPr>
      </w:pPr>
      <w:bookmarkStart w:id="11" w:name="_Toc15396598"/>
      <w:bookmarkStart w:id="12" w:name="_Toc11376"/>
      <w:bookmarkStart w:id="13" w:name="_Toc31507"/>
      <w:bookmarkStart w:id="14" w:name="_Toc10367"/>
      <w:bookmarkStart w:id="15" w:name="_Toc15377194"/>
      <w:bookmarkStart w:id="16" w:name="_Toc15378442"/>
      <w:bookmarkStart w:id="17" w:name="_Toc15306268"/>
      <w:bookmarkStart w:id="18" w:name="_Toc15396476"/>
      <w:bookmarkStart w:id="19" w:name="_Toc25993"/>
      <w:bookmarkStart w:id="20" w:name="_Toc15377426"/>
      <w:bookmarkStart w:id="21" w:name="_Toc8046"/>
      <w:r>
        <w:rPr>
          <w:rFonts w:hint="eastAsia" w:ascii="方正小标宋简体" w:eastAsia="方正小标宋简体"/>
          <w:color w:val="000000"/>
          <w:sz w:val="72"/>
          <w:szCs w:val="72"/>
        </w:rPr>
        <w:t>金川县观音桥景区工作</w:t>
      </w:r>
    </w:p>
    <w:p w14:paraId="020F9838">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中心部门决算</w:t>
      </w:r>
      <w:bookmarkEnd w:id="11"/>
      <w:bookmarkEnd w:id="12"/>
      <w:bookmarkEnd w:id="13"/>
      <w:bookmarkEnd w:id="14"/>
      <w:bookmarkEnd w:id="15"/>
      <w:bookmarkEnd w:id="16"/>
      <w:bookmarkEnd w:id="17"/>
      <w:bookmarkEnd w:id="18"/>
      <w:bookmarkEnd w:id="19"/>
      <w:bookmarkEnd w:id="20"/>
      <w:bookmarkEnd w:id="21"/>
    </w:p>
    <w:p w14:paraId="55DCD236">
      <w:pPr>
        <w:widowControl/>
        <w:jc w:val="center"/>
        <w:rPr>
          <w:rFonts w:ascii="方正小标宋简体" w:eastAsia="方正小标宋简体"/>
          <w:color w:val="000000"/>
          <w:sz w:val="36"/>
          <w:szCs w:val="36"/>
        </w:rPr>
      </w:pPr>
    </w:p>
    <w:p w14:paraId="5BC9CEE0">
      <w:pPr>
        <w:widowControl/>
        <w:jc w:val="center"/>
        <w:rPr>
          <w:rFonts w:ascii="方正小标宋简体" w:eastAsia="方正小标宋简体"/>
          <w:color w:val="000000"/>
          <w:sz w:val="36"/>
          <w:szCs w:val="36"/>
        </w:rPr>
      </w:pPr>
    </w:p>
    <w:p w14:paraId="5AC1D837">
      <w:pPr>
        <w:widowControl/>
        <w:jc w:val="center"/>
        <w:rPr>
          <w:rFonts w:ascii="方正小标宋简体" w:eastAsia="方正小标宋简体"/>
          <w:color w:val="000000"/>
          <w:sz w:val="36"/>
          <w:szCs w:val="36"/>
        </w:rPr>
      </w:pPr>
    </w:p>
    <w:p w14:paraId="0EEBACFB">
      <w:pPr>
        <w:pStyle w:val="2"/>
        <w:rPr>
          <w:rFonts w:ascii="方正小标宋简体" w:eastAsia="方正小标宋简体"/>
          <w:color w:val="000000"/>
          <w:sz w:val="36"/>
          <w:szCs w:val="36"/>
        </w:rPr>
      </w:pPr>
    </w:p>
    <w:p w14:paraId="7C136EFE">
      <w:pPr>
        <w:pStyle w:val="2"/>
        <w:rPr>
          <w:rFonts w:ascii="方正小标宋简体" w:eastAsia="方正小标宋简体"/>
          <w:color w:val="000000"/>
          <w:sz w:val="36"/>
          <w:szCs w:val="36"/>
        </w:rPr>
      </w:pPr>
    </w:p>
    <w:p w14:paraId="3ACBB87D">
      <w:pPr>
        <w:pStyle w:val="2"/>
        <w:rPr>
          <w:rFonts w:ascii="方正小标宋简体" w:eastAsia="方正小标宋简体"/>
          <w:color w:val="000000"/>
          <w:sz w:val="36"/>
          <w:szCs w:val="36"/>
        </w:rPr>
      </w:pPr>
    </w:p>
    <w:p w14:paraId="043C2BC7">
      <w:pPr>
        <w:pStyle w:val="2"/>
        <w:rPr>
          <w:rFonts w:ascii="方正小标宋简体" w:eastAsia="方正小标宋简体"/>
          <w:color w:val="000000"/>
          <w:sz w:val="36"/>
          <w:szCs w:val="36"/>
        </w:rPr>
      </w:pPr>
    </w:p>
    <w:p w14:paraId="5C09773F">
      <w:pPr>
        <w:pStyle w:val="2"/>
        <w:rPr>
          <w:rFonts w:ascii="方正小标宋简体" w:eastAsia="方正小标宋简体"/>
          <w:color w:val="000000"/>
          <w:sz w:val="36"/>
          <w:szCs w:val="36"/>
        </w:rPr>
      </w:pPr>
    </w:p>
    <w:p w14:paraId="75E1FFE5">
      <w:pPr>
        <w:pStyle w:val="2"/>
        <w:rPr>
          <w:rFonts w:ascii="方正小标宋简体" w:eastAsia="方正小标宋简体"/>
          <w:color w:val="000000"/>
          <w:sz w:val="36"/>
          <w:szCs w:val="36"/>
        </w:rPr>
      </w:pPr>
    </w:p>
    <w:p w14:paraId="29931673">
      <w:pPr>
        <w:widowControl/>
        <w:jc w:val="center"/>
        <w:rPr>
          <w:rFonts w:ascii="黑体" w:eastAsia="黑体"/>
          <w:color w:val="000000"/>
          <w:sz w:val="48"/>
          <w:szCs w:val="48"/>
        </w:rPr>
      </w:pPr>
      <w:r>
        <w:rPr>
          <w:rFonts w:hint="eastAsia" w:ascii="黑体" w:eastAsia="黑体"/>
          <w:color w:val="000000"/>
          <w:sz w:val="48"/>
          <w:szCs w:val="48"/>
        </w:rPr>
        <w:t>目录</w:t>
      </w:r>
    </w:p>
    <w:p w14:paraId="7A8D35F4">
      <w:pPr>
        <w:jc w:val="center"/>
        <w:rPr>
          <w:rFonts w:hint="eastAsia" w:eastAsia="黑体"/>
          <w:lang w:val="en-US" w:eastAsia="zh-CN"/>
        </w:rPr>
      </w:pPr>
    </w:p>
    <w:p w14:paraId="0488E61D">
      <w:pPr>
        <w:jc w:val="center"/>
        <w:rPr>
          <w:color w:val="000000"/>
        </w:rPr>
      </w:pPr>
      <w:r>
        <w:rPr>
          <w:rFonts w:hint="eastAsia" w:eastAsia="黑体"/>
          <w:lang w:val="en-US" w:eastAsia="zh-CN"/>
        </w:rPr>
        <w:t>公开时间：2025年8月18日</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5C59B6E6">
      <w:pPr>
        <w:pStyle w:val="10"/>
        <w:tabs>
          <w:tab w:val="right" w:leader="dot" w:pos="8306"/>
          <w:tab w:val="clear" w:pos="8296"/>
        </w:tabs>
        <w:jc w:val="both"/>
        <w:rPr>
          <w:sz w:val="28"/>
          <w:szCs w:val="28"/>
        </w:rPr>
      </w:pPr>
      <w:r>
        <w:rPr>
          <w:sz w:val="28"/>
          <w:szCs w:val="28"/>
        </w:rPr>
        <w:fldChar w:fldCharType="begin"/>
      </w:r>
      <w:r>
        <w:rPr>
          <w:sz w:val="28"/>
          <w:szCs w:val="28"/>
        </w:rPr>
        <w:instrText xml:space="preserve"> HYPERLINK \l "_Toc15465" </w:instrText>
      </w:r>
      <w:r>
        <w:rPr>
          <w:sz w:val="28"/>
          <w:szCs w:val="28"/>
        </w:rPr>
        <w:fldChar w:fldCharType="separate"/>
      </w:r>
      <w:r>
        <w:rPr>
          <w:rFonts w:hint="eastAsia" w:ascii="黑体" w:eastAsia="黑体"/>
          <w:sz w:val="28"/>
          <w:szCs w:val="28"/>
        </w:rPr>
        <w:t>第一部分 部门概况</w:t>
      </w:r>
      <w:r>
        <w:rPr>
          <w:sz w:val="28"/>
          <w:szCs w:val="28"/>
        </w:rPr>
        <w:tab/>
      </w:r>
      <w:r>
        <w:rPr>
          <w:rFonts w:hint="eastAsia"/>
          <w:sz w:val="28"/>
          <w:szCs w:val="28"/>
          <w:lang w:val="en-US" w:eastAsia="zh-CN"/>
        </w:rPr>
        <w:t>4</w:t>
      </w:r>
      <w:r>
        <w:rPr>
          <w:sz w:val="28"/>
          <w:szCs w:val="28"/>
        </w:rPr>
        <w:fldChar w:fldCharType="end"/>
      </w:r>
    </w:p>
    <w:p w14:paraId="6CAEDA40">
      <w:pPr>
        <w:pStyle w:val="12"/>
        <w:tabs>
          <w:tab w:val="right" w:leader="dot" w:pos="8306"/>
          <w:tab w:val="clear" w:pos="8296"/>
        </w:tabs>
        <w:rPr>
          <w:sz w:val="28"/>
          <w:szCs w:val="28"/>
        </w:rPr>
      </w:pPr>
      <w:r>
        <w:rPr>
          <w:sz w:val="28"/>
          <w:szCs w:val="28"/>
        </w:rPr>
        <w:fldChar w:fldCharType="begin"/>
      </w:r>
      <w:r>
        <w:rPr>
          <w:sz w:val="28"/>
          <w:szCs w:val="28"/>
        </w:rPr>
        <w:instrText xml:space="preserve"> HYPERLINK \l "_Toc20260" </w:instrText>
      </w:r>
      <w:r>
        <w:rPr>
          <w:sz w:val="28"/>
          <w:szCs w:val="28"/>
        </w:rPr>
        <w:fldChar w:fldCharType="separate"/>
      </w:r>
      <w:r>
        <w:rPr>
          <w:rFonts w:hint="eastAsia" w:ascii="黑体" w:eastAsia="黑体"/>
          <w:sz w:val="28"/>
          <w:szCs w:val="28"/>
        </w:rPr>
        <w:t>一、基本职能及主要工作</w:t>
      </w:r>
      <w:r>
        <w:rPr>
          <w:sz w:val="28"/>
          <w:szCs w:val="28"/>
        </w:rPr>
        <w:tab/>
      </w:r>
      <w:r>
        <w:rPr>
          <w:rFonts w:hint="eastAsia"/>
          <w:sz w:val="28"/>
          <w:szCs w:val="28"/>
          <w:lang w:val="en-US" w:eastAsia="zh-CN"/>
        </w:rPr>
        <w:t>..4</w:t>
      </w:r>
      <w:r>
        <w:rPr>
          <w:sz w:val="28"/>
          <w:szCs w:val="28"/>
        </w:rPr>
        <w:fldChar w:fldCharType="end"/>
      </w:r>
    </w:p>
    <w:p w14:paraId="036849C7">
      <w:pPr>
        <w:pStyle w:val="12"/>
        <w:tabs>
          <w:tab w:val="right" w:leader="dot" w:pos="8306"/>
          <w:tab w:val="clear" w:pos="8296"/>
        </w:tabs>
        <w:rPr>
          <w:sz w:val="28"/>
          <w:szCs w:val="28"/>
        </w:rPr>
      </w:pPr>
      <w:r>
        <w:rPr>
          <w:sz w:val="28"/>
          <w:szCs w:val="28"/>
        </w:rPr>
        <w:fldChar w:fldCharType="begin"/>
      </w:r>
      <w:r>
        <w:rPr>
          <w:sz w:val="28"/>
          <w:szCs w:val="28"/>
        </w:rPr>
        <w:instrText xml:space="preserve"> HYPERLINK \l "_Toc11875" </w:instrText>
      </w:r>
      <w:r>
        <w:rPr>
          <w:sz w:val="28"/>
          <w:szCs w:val="28"/>
        </w:rPr>
        <w:fldChar w:fldCharType="separate"/>
      </w:r>
      <w:r>
        <w:rPr>
          <w:rFonts w:hint="eastAsia" w:ascii="楷体" w:eastAsia="楷体" w:cs="楷体"/>
          <w:sz w:val="28"/>
          <w:szCs w:val="28"/>
        </w:rPr>
        <w:t>（一）主要职能</w:t>
      </w:r>
      <w:r>
        <w:rPr>
          <w:sz w:val="28"/>
          <w:szCs w:val="28"/>
        </w:rPr>
        <w:tab/>
      </w:r>
      <w:r>
        <w:rPr>
          <w:rFonts w:hint="eastAsia"/>
          <w:sz w:val="28"/>
          <w:szCs w:val="28"/>
          <w:lang w:val="en-US" w:eastAsia="zh-CN"/>
        </w:rPr>
        <w:t>4</w:t>
      </w:r>
      <w:r>
        <w:rPr>
          <w:sz w:val="28"/>
          <w:szCs w:val="28"/>
        </w:rPr>
        <w:fldChar w:fldCharType="end"/>
      </w:r>
    </w:p>
    <w:p w14:paraId="505668BA">
      <w:pPr>
        <w:pStyle w:val="12"/>
        <w:tabs>
          <w:tab w:val="right" w:leader="dot" w:pos="8306"/>
          <w:tab w:val="clear" w:pos="8296"/>
        </w:tabs>
        <w:rPr>
          <w:sz w:val="28"/>
          <w:szCs w:val="28"/>
        </w:rPr>
      </w:pPr>
      <w:r>
        <w:rPr>
          <w:sz w:val="28"/>
          <w:szCs w:val="28"/>
        </w:rPr>
        <w:fldChar w:fldCharType="begin"/>
      </w:r>
      <w:r>
        <w:rPr>
          <w:sz w:val="28"/>
          <w:szCs w:val="28"/>
        </w:rPr>
        <w:instrText xml:space="preserve"> HYPERLINK \l "_Toc29688" </w:instrText>
      </w:r>
      <w:r>
        <w:rPr>
          <w:sz w:val="28"/>
          <w:szCs w:val="28"/>
        </w:rPr>
        <w:fldChar w:fldCharType="separate"/>
      </w:r>
      <w:r>
        <w:rPr>
          <w:rFonts w:hint="eastAsia" w:ascii="楷体" w:eastAsia="楷体" w:cs="楷体"/>
          <w:sz w:val="28"/>
          <w:szCs w:val="28"/>
        </w:rPr>
        <w:t>（二）2024年重点工作完成情况</w:t>
      </w:r>
      <w:r>
        <w:rPr>
          <w:sz w:val="28"/>
          <w:szCs w:val="28"/>
        </w:rPr>
        <w:tab/>
      </w:r>
      <w:r>
        <w:rPr>
          <w:rFonts w:hint="eastAsia"/>
          <w:sz w:val="28"/>
          <w:szCs w:val="28"/>
          <w:lang w:val="en-US" w:eastAsia="zh-CN"/>
        </w:rPr>
        <w:t>4</w:t>
      </w:r>
      <w:r>
        <w:rPr>
          <w:sz w:val="28"/>
          <w:szCs w:val="28"/>
        </w:rPr>
        <w:fldChar w:fldCharType="end"/>
      </w:r>
    </w:p>
    <w:p w14:paraId="45FB01B0">
      <w:pPr>
        <w:pStyle w:val="12"/>
        <w:tabs>
          <w:tab w:val="right" w:leader="dot" w:pos="8306"/>
          <w:tab w:val="clear" w:pos="8296"/>
        </w:tabs>
        <w:rPr>
          <w:sz w:val="28"/>
          <w:szCs w:val="28"/>
        </w:rPr>
      </w:pPr>
      <w:r>
        <w:rPr>
          <w:sz w:val="28"/>
          <w:szCs w:val="28"/>
        </w:rPr>
        <w:fldChar w:fldCharType="begin"/>
      </w:r>
      <w:r>
        <w:rPr>
          <w:sz w:val="28"/>
          <w:szCs w:val="28"/>
        </w:rPr>
        <w:instrText xml:space="preserve"> HYPERLINK \l "_Toc3779" </w:instrText>
      </w:r>
      <w:r>
        <w:rPr>
          <w:sz w:val="28"/>
          <w:szCs w:val="28"/>
        </w:rPr>
        <w:fldChar w:fldCharType="separate"/>
      </w:r>
      <w:r>
        <w:rPr>
          <w:rFonts w:hint="eastAsia" w:ascii="黑体" w:eastAsia="黑体"/>
          <w:sz w:val="28"/>
          <w:szCs w:val="28"/>
        </w:rPr>
        <w:t>二、机构设置</w:t>
      </w:r>
      <w:r>
        <w:rPr>
          <w:sz w:val="28"/>
          <w:szCs w:val="28"/>
        </w:rPr>
        <w:tab/>
      </w:r>
      <w:r>
        <w:rPr>
          <w:rFonts w:hint="eastAsia"/>
          <w:sz w:val="28"/>
          <w:szCs w:val="28"/>
          <w:lang w:val="en-US" w:eastAsia="zh-CN"/>
        </w:rPr>
        <w:t>5</w:t>
      </w:r>
      <w:r>
        <w:rPr>
          <w:sz w:val="28"/>
          <w:szCs w:val="28"/>
        </w:rPr>
        <w:fldChar w:fldCharType="end"/>
      </w:r>
    </w:p>
    <w:p w14:paraId="033B08DE">
      <w:pPr>
        <w:pStyle w:val="10"/>
        <w:tabs>
          <w:tab w:val="right" w:leader="dot" w:pos="8306"/>
          <w:tab w:val="clear" w:pos="8296"/>
        </w:tabs>
        <w:jc w:val="both"/>
        <w:rPr>
          <w:sz w:val="28"/>
          <w:szCs w:val="28"/>
        </w:rPr>
      </w:pPr>
      <w:r>
        <w:rPr>
          <w:sz w:val="28"/>
          <w:szCs w:val="28"/>
        </w:rPr>
        <w:fldChar w:fldCharType="begin"/>
      </w:r>
      <w:r>
        <w:rPr>
          <w:sz w:val="28"/>
          <w:szCs w:val="28"/>
        </w:rPr>
        <w:instrText xml:space="preserve"> HYPERLINK \l "_Toc1757" </w:instrText>
      </w:r>
      <w:r>
        <w:rPr>
          <w:sz w:val="28"/>
          <w:szCs w:val="28"/>
        </w:rPr>
        <w:fldChar w:fldCharType="separate"/>
      </w:r>
      <w:r>
        <w:rPr>
          <w:rFonts w:hint="eastAsia" w:ascii="黑体" w:eastAsia="黑体"/>
          <w:sz w:val="28"/>
          <w:szCs w:val="28"/>
        </w:rPr>
        <w:t>第二部分 2024年度部门决算情况说明</w:t>
      </w:r>
      <w:r>
        <w:rPr>
          <w:sz w:val="28"/>
          <w:szCs w:val="28"/>
        </w:rPr>
        <w:tab/>
      </w:r>
      <w:r>
        <w:rPr>
          <w:rFonts w:hint="eastAsia"/>
          <w:sz w:val="28"/>
          <w:szCs w:val="28"/>
          <w:lang w:val="en-US" w:eastAsia="zh-CN"/>
        </w:rPr>
        <w:t>5</w:t>
      </w:r>
      <w:r>
        <w:rPr>
          <w:sz w:val="28"/>
          <w:szCs w:val="28"/>
        </w:rPr>
        <w:fldChar w:fldCharType="end"/>
      </w:r>
    </w:p>
    <w:p w14:paraId="3327770F">
      <w:pPr>
        <w:pStyle w:val="12"/>
        <w:tabs>
          <w:tab w:val="right" w:leader="dot" w:pos="8306"/>
          <w:tab w:val="clear" w:pos="8296"/>
        </w:tabs>
        <w:rPr>
          <w:sz w:val="28"/>
          <w:szCs w:val="28"/>
        </w:rPr>
      </w:pPr>
      <w:r>
        <w:rPr>
          <w:sz w:val="28"/>
          <w:szCs w:val="28"/>
        </w:rPr>
        <w:fldChar w:fldCharType="begin"/>
      </w:r>
      <w:r>
        <w:rPr>
          <w:sz w:val="28"/>
          <w:szCs w:val="28"/>
        </w:rPr>
        <w:instrText xml:space="preserve"> HYPERLINK \l "_Toc24269" </w:instrText>
      </w:r>
      <w:r>
        <w:rPr>
          <w:sz w:val="28"/>
          <w:szCs w:val="28"/>
        </w:rPr>
        <w:fldChar w:fldCharType="separate"/>
      </w:r>
      <w:r>
        <w:rPr>
          <w:rFonts w:ascii="黑体" w:eastAsia="黑体"/>
          <w:sz w:val="28"/>
          <w:szCs w:val="28"/>
        </w:rPr>
        <w:t xml:space="preserve">一、 </w:t>
      </w:r>
      <w:r>
        <w:rPr>
          <w:rFonts w:hint="eastAsia" w:ascii="黑体" w:eastAsia="黑体"/>
          <w:sz w:val="28"/>
          <w:szCs w:val="28"/>
        </w:rPr>
        <w:t>收入支出决算总体情况说明</w:t>
      </w:r>
      <w:r>
        <w:rPr>
          <w:sz w:val="28"/>
          <w:szCs w:val="28"/>
        </w:rPr>
        <w:tab/>
      </w:r>
      <w:r>
        <w:rPr>
          <w:rFonts w:hint="eastAsia"/>
          <w:sz w:val="28"/>
          <w:szCs w:val="28"/>
          <w:lang w:val="en-US" w:eastAsia="zh-CN"/>
        </w:rPr>
        <w:t>5</w:t>
      </w:r>
      <w:r>
        <w:rPr>
          <w:sz w:val="28"/>
          <w:szCs w:val="28"/>
        </w:rPr>
        <w:fldChar w:fldCharType="end"/>
      </w:r>
    </w:p>
    <w:p w14:paraId="3604A974">
      <w:pPr>
        <w:pStyle w:val="12"/>
        <w:tabs>
          <w:tab w:val="right" w:leader="dot" w:pos="8306"/>
          <w:tab w:val="clear" w:pos="8296"/>
        </w:tabs>
        <w:rPr>
          <w:sz w:val="28"/>
          <w:szCs w:val="28"/>
        </w:rPr>
      </w:pPr>
      <w:r>
        <w:rPr>
          <w:sz w:val="28"/>
          <w:szCs w:val="28"/>
        </w:rPr>
        <w:fldChar w:fldCharType="begin"/>
      </w:r>
      <w:r>
        <w:rPr>
          <w:sz w:val="28"/>
          <w:szCs w:val="28"/>
        </w:rPr>
        <w:instrText xml:space="preserve"> HYPERLINK \l "_Toc2350" </w:instrText>
      </w:r>
      <w:r>
        <w:rPr>
          <w:sz w:val="28"/>
          <w:szCs w:val="28"/>
        </w:rPr>
        <w:fldChar w:fldCharType="separate"/>
      </w:r>
      <w:r>
        <w:rPr>
          <w:rFonts w:hint="eastAsia" w:ascii="黑体" w:eastAsia="黑体"/>
          <w:sz w:val="28"/>
          <w:szCs w:val="28"/>
        </w:rPr>
        <w:t>二、收入决算情况说明</w:t>
      </w:r>
      <w:r>
        <w:rPr>
          <w:sz w:val="28"/>
          <w:szCs w:val="28"/>
        </w:rPr>
        <w:tab/>
      </w:r>
      <w:r>
        <w:rPr>
          <w:rFonts w:hint="eastAsia"/>
          <w:sz w:val="28"/>
          <w:szCs w:val="28"/>
          <w:lang w:val="en-US" w:eastAsia="zh-CN"/>
        </w:rPr>
        <w:t>6</w:t>
      </w:r>
      <w:r>
        <w:rPr>
          <w:sz w:val="28"/>
          <w:szCs w:val="28"/>
        </w:rPr>
        <w:fldChar w:fldCharType="end"/>
      </w:r>
    </w:p>
    <w:p w14:paraId="773DA561">
      <w:pPr>
        <w:pStyle w:val="12"/>
        <w:tabs>
          <w:tab w:val="right" w:leader="dot" w:pos="8306"/>
          <w:tab w:val="clear" w:pos="8296"/>
        </w:tabs>
        <w:rPr>
          <w:sz w:val="28"/>
          <w:szCs w:val="28"/>
        </w:rPr>
      </w:pPr>
      <w:r>
        <w:rPr>
          <w:sz w:val="28"/>
          <w:szCs w:val="28"/>
        </w:rPr>
        <w:fldChar w:fldCharType="begin"/>
      </w:r>
      <w:r>
        <w:rPr>
          <w:sz w:val="28"/>
          <w:szCs w:val="28"/>
        </w:rPr>
        <w:instrText xml:space="preserve"> HYPERLINK \l "_Toc32450" </w:instrText>
      </w:r>
      <w:r>
        <w:rPr>
          <w:sz w:val="28"/>
          <w:szCs w:val="28"/>
        </w:rPr>
        <w:fldChar w:fldCharType="separate"/>
      </w:r>
      <w:r>
        <w:rPr>
          <w:rFonts w:hint="eastAsia" w:ascii="黑体" w:eastAsia="黑体"/>
          <w:sz w:val="28"/>
          <w:szCs w:val="28"/>
        </w:rPr>
        <w:t>三、支出决算情况说明</w:t>
      </w:r>
      <w:r>
        <w:rPr>
          <w:sz w:val="28"/>
          <w:szCs w:val="28"/>
        </w:rPr>
        <w:tab/>
      </w:r>
      <w:r>
        <w:rPr>
          <w:rFonts w:hint="eastAsia"/>
          <w:sz w:val="28"/>
          <w:szCs w:val="28"/>
          <w:lang w:val="en-US" w:eastAsia="zh-CN"/>
        </w:rPr>
        <w:t>6</w:t>
      </w:r>
      <w:r>
        <w:rPr>
          <w:sz w:val="28"/>
          <w:szCs w:val="28"/>
        </w:rPr>
        <w:fldChar w:fldCharType="end"/>
      </w:r>
    </w:p>
    <w:p w14:paraId="477D43D2">
      <w:pPr>
        <w:pStyle w:val="12"/>
        <w:tabs>
          <w:tab w:val="right" w:leader="dot" w:pos="8306"/>
          <w:tab w:val="clear" w:pos="8296"/>
        </w:tabs>
        <w:rPr>
          <w:sz w:val="28"/>
          <w:szCs w:val="28"/>
        </w:rPr>
      </w:pPr>
      <w:r>
        <w:rPr>
          <w:sz w:val="28"/>
          <w:szCs w:val="28"/>
        </w:rPr>
        <w:fldChar w:fldCharType="begin"/>
      </w:r>
      <w:r>
        <w:rPr>
          <w:sz w:val="28"/>
          <w:szCs w:val="28"/>
        </w:rPr>
        <w:instrText xml:space="preserve"> HYPERLINK \l "_Toc27007" </w:instrText>
      </w:r>
      <w:r>
        <w:rPr>
          <w:sz w:val="28"/>
          <w:szCs w:val="28"/>
        </w:rPr>
        <w:fldChar w:fldCharType="separate"/>
      </w:r>
      <w:r>
        <w:rPr>
          <w:rFonts w:hint="eastAsia" w:ascii="黑体" w:eastAsia="黑体"/>
          <w:sz w:val="28"/>
          <w:szCs w:val="28"/>
        </w:rPr>
        <w:t>四、财政拨款收入支出决算总体情况说明</w:t>
      </w:r>
      <w:r>
        <w:rPr>
          <w:sz w:val="28"/>
          <w:szCs w:val="28"/>
        </w:rPr>
        <w:tab/>
      </w:r>
      <w:r>
        <w:rPr>
          <w:rFonts w:hint="eastAsia"/>
          <w:sz w:val="28"/>
          <w:szCs w:val="28"/>
          <w:lang w:val="en-US" w:eastAsia="zh-CN"/>
        </w:rPr>
        <w:t>7</w:t>
      </w:r>
      <w:r>
        <w:rPr>
          <w:sz w:val="28"/>
          <w:szCs w:val="28"/>
        </w:rPr>
        <w:fldChar w:fldCharType="end"/>
      </w:r>
    </w:p>
    <w:p w14:paraId="42D42399">
      <w:pPr>
        <w:pStyle w:val="12"/>
        <w:tabs>
          <w:tab w:val="right" w:leader="dot" w:pos="8306"/>
          <w:tab w:val="clear" w:pos="8296"/>
        </w:tabs>
        <w:rPr>
          <w:sz w:val="28"/>
          <w:szCs w:val="28"/>
        </w:rPr>
      </w:pPr>
      <w:r>
        <w:rPr>
          <w:sz w:val="28"/>
          <w:szCs w:val="28"/>
        </w:rPr>
        <w:fldChar w:fldCharType="begin"/>
      </w:r>
      <w:r>
        <w:rPr>
          <w:sz w:val="28"/>
          <w:szCs w:val="28"/>
        </w:rPr>
        <w:instrText xml:space="preserve"> HYPERLINK \l "_Toc571" </w:instrText>
      </w:r>
      <w:r>
        <w:rPr>
          <w:sz w:val="28"/>
          <w:szCs w:val="28"/>
        </w:rPr>
        <w:fldChar w:fldCharType="separate"/>
      </w:r>
      <w:r>
        <w:rPr>
          <w:rFonts w:hint="eastAsia" w:ascii="黑体" w:eastAsia="黑体"/>
          <w:sz w:val="28"/>
          <w:szCs w:val="28"/>
        </w:rPr>
        <w:t>五、一般公共预算财政拨款支出决算情况说明</w:t>
      </w:r>
      <w:r>
        <w:rPr>
          <w:sz w:val="28"/>
          <w:szCs w:val="28"/>
        </w:rPr>
        <w:tab/>
      </w:r>
      <w:r>
        <w:rPr>
          <w:rFonts w:hint="eastAsia"/>
          <w:sz w:val="28"/>
          <w:szCs w:val="28"/>
          <w:lang w:val="en-US" w:eastAsia="zh-CN"/>
        </w:rPr>
        <w:t>8</w:t>
      </w:r>
      <w:r>
        <w:rPr>
          <w:sz w:val="28"/>
          <w:szCs w:val="28"/>
        </w:rPr>
        <w:fldChar w:fldCharType="end"/>
      </w:r>
    </w:p>
    <w:p w14:paraId="69609D1B">
      <w:pPr>
        <w:pStyle w:val="12"/>
        <w:tabs>
          <w:tab w:val="right" w:leader="dot" w:pos="8306"/>
          <w:tab w:val="clear" w:pos="8296"/>
        </w:tabs>
        <w:rPr>
          <w:sz w:val="28"/>
          <w:szCs w:val="28"/>
        </w:rPr>
      </w:pPr>
      <w:r>
        <w:rPr>
          <w:sz w:val="28"/>
          <w:szCs w:val="28"/>
        </w:rPr>
        <w:fldChar w:fldCharType="begin"/>
      </w:r>
      <w:r>
        <w:rPr>
          <w:sz w:val="28"/>
          <w:szCs w:val="28"/>
        </w:rPr>
        <w:instrText xml:space="preserve"> HYPERLINK \l "_Toc21339" </w:instrText>
      </w:r>
      <w:r>
        <w:rPr>
          <w:sz w:val="28"/>
          <w:szCs w:val="28"/>
        </w:rPr>
        <w:fldChar w:fldCharType="separate"/>
      </w:r>
      <w:r>
        <w:rPr>
          <w:rFonts w:hint="eastAsia" w:ascii="黑体" w:eastAsia="黑体"/>
          <w:sz w:val="28"/>
          <w:szCs w:val="28"/>
        </w:rPr>
        <w:t>六、一般公共预算财政拨款基本支出决算情况说明</w:t>
      </w:r>
      <w:r>
        <w:rPr>
          <w:sz w:val="28"/>
          <w:szCs w:val="28"/>
        </w:rPr>
        <w:tab/>
      </w:r>
      <w:r>
        <w:rPr>
          <w:sz w:val="28"/>
          <w:szCs w:val="28"/>
        </w:rPr>
        <w:fldChar w:fldCharType="begin"/>
      </w:r>
      <w:r>
        <w:rPr>
          <w:sz w:val="28"/>
          <w:szCs w:val="28"/>
        </w:rPr>
        <w:instrText xml:space="preserve"> PAGEREF _Toc21339 </w:instrText>
      </w:r>
      <w:r>
        <w:rPr>
          <w:sz w:val="28"/>
          <w:szCs w:val="28"/>
        </w:rPr>
        <w:fldChar w:fldCharType="separate"/>
      </w:r>
      <w:r>
        <w:rPr>
          <w:sz w:val="28"/>
          <w:szCs w:val="28"/>
        </w:rPr>
        <w:t>9</w:t>
      </w:r>
      <w:r>
        <w:rPr>
          <w:sz w:val="28"/>
          <w:szCs w:val="28"/>
        </w:rPr>
        <w:fldChar w:fldCharType="end"/>
      </w:r>
      <w:r>
        <w:rPr>
          <w:sz w:val="28"/>
          <w:szCs w:val="28"/>
        </w:rPr>
        <w:fldChar w:fldCharType="end"/>
      </w:r>
    </w:p>
    <w:p w14:paraId="22066E1C">
      <w:pPr>
        <w:pStyle w:val="12"/>
        <w:tabs>
          <w:tab w:val="right" w:leader="dot" w:pos="8306"/>
          <w:tab w:val="clear" w:pos="8296"/>
        </w:tabs>
        <w:rPr>
          <w:rFonts w:hint="eastAsia" w:eastAsia="宋体"/>
          <w:sz w:val="28"/>
          <w:szCs w:val="28"/>
          <w:lang w:val="en-US" w:eastAsia="zh-CN"/>
        </w:rPr>
      </w:pPr>
      <w:r>
        <w:rPr>
          <w:sz w:val="28"/>
          <w:szCs w:val="28"/>
        </w:rPr>
        <w:fldChar w:fldCharType="begin"/>
      </w:r>
      <w:r>
        <w:rPr>
          <w:sz w:val="28"/>
          <w:szCs w:val="28"/>
        </w:rPr>
        <w:instrText xml:space="preserve"> HYPERLINK \l "_Toc23406" </w:instrText>
      </w:r>
      <w:r>
        <w:rPr>
          <w:sz w:val="28"/>
          <w:szCs w:val="28"/>
        </w:rPr>
        <w:fldChar w:fldCharType="separate"/>
      </w:r>
      <w:r>
        <w:rPr>
          <w:rFonts w:hint="eastAsia" w:ascii="黑体" w:eastAsia="黑体"/>
          <w:sz w:val="28"/>
          <w:szCs w:val="28"/>
        </w:rPr>
        <w:t>七、“三公”经费财政拨款支出决算情况说明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0</w:t>
      </w:r>
    </w:p>
    <w:p w14:paraId="301C7162">
      <w:pPr>
        <w:pStyle w:val="12"/>
        <w:tabs>
          <w:tab w:val="right" w:leader="dot" w:pos="8306"/>
          <w:tab w:val="clear" w:pos="8296"/>
        </w:tabs>
        <w:rPr>
          <w:rFonts w:hint="eastAsia" w:eastAsia="宋体"/>
          <w:sz w:val="28"/>
          <w:szCs w:val="28"/>
          <w:lang w:val="en-US" w:eastAsia="zh-CN"/>
        </w:rPr>
      </w:pPr>
      <w:r>
        <w:rPr>
          <w:sz w:val="28"/>
          <w:szCs w:val="28"/>
        </w:rPr>
        <w:fldChar w:fldCharType="begin"/>
      </w:r>
      <w:r>
        <w:rPr>
          <w:sz w:val="28"/>
          <w:szCs w:val="28"/>
        </w:rPr>
        <w:instrText xml:space="preserve"> HYPERLINK \l "_Toc10384" </w:instrText>
      </w:r>
      <w:r>
        <w:rPr>
          <w:sz w:val="28"/>
          <w:szCs w:val="28"/>
        </w:rPr>
        <w:fldChar w:fldCharType="separate"/>
      </w:r>
      <w:r>
        <w:rPr>
          <w:rFonts w:hint="eastAsia" w:ascii="黑体" w:eastAsia="黑体"/>
          <w:sz w:val="28"/>
          <w:szCs w:val="28"/>
        </w:rPr>
        <w:t>八、政府性基金预算支出决算情况说明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1</w:t>
      </w:r>
    </w:p>
    <w:p w14:paraId="1864EEE4">
      <w:pPr>
        <w:pStyle w:val="12"/>
        <w:tabs>
          <w:tab w:val="right" w:leader="dot" w:pos="8306"/>
          <w:tab w:val="clear" w:pos="8296"/>
        </w:tabs>
        <w:rPr>
          <w:rFonts w:hint="eastAsia" w:eastAsia="宋体"/>
          <w:sz w:val="28"/>
          <w:szCs w:val="28"/>
          <w:lang w:val="en-US" w:eastAsia="zh-CN"/>
        </w:rPr>
      </w:pPr>
      <w:r>
        <w:rPr>
          <w:sz w:val="28"/>
          <w:szCs w:val="28"/>
        </w:rPr>
        <w:fldChar w:fldCharType="begin"/>
      </w:r>
      <w:r>
        <w:rPr>
          <w:sz w:val="28"/>
          <w:szCs w:val="28"/>
        </w:rPr>
        <w:instrText xml:space="preserve"> HYPERLINK \l "_Toc18955" </w:instrText>
      </w:r>
      <w:r>
        <w:rPr>
          <w:sz w:val="28"/>
          <w:szCs w:val="28"/>
        </w:rPr>
        <w:fldChar w:fldCharType="separate"/>
      </w:r>
      <w:r>
        <w:rPr>
          <w:rFonts w:hint="eastAsia" w:ascii="黑体" w:eastAsia="黑体"/>
          <w:sz w:val="28"/>
          <w:szCs w:val="28"/>
        </w:rPr>
        <w:t>九、 国有资本经营预算支出决算情况说明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1</w:t>
      </w:r>
    </w:p>
    <w:p w14:paraId="53C326C3">
      <w:pPr>
        <w:pStyle w:val="12"/>
        <w:tabs>
          <w:tab w:val="right" w:leader="dot" w:pos="8306"/>
          <w:tab w:val="clear" w:pos="8296"/>
        </w:tabs>
        <w:rPr>
          <w:rFonts w:hint="eastAsia" w:eastAsia="宋体"/>
          <w:sz w:val="28"/>
          <w:szCs w:val="28"/>
          <w:lang w:val="en-US" w:eastAsia="zh-CN"/>
        </w:rPr>
      </w:pPr>
      <w:r>
        <w:rPr>
          <w:sz w:val="28"/>
          <w:szCs w:val="28"/>
        </w:rPr>
        <w:fldChar w:fldCharType="begin"/>
      </w:r>
      <w:r>
        <w:rPr>
          <w:sz w:val="28"/>
          <w:szCs w:val="28"/>
        </w:rPr>
        <w:instrText xml:space="preserve"> HYPERLINK \l "_Toc24608" </w:instrText>
      </w:r>
      <w:r>
        <w:rPr>
          <w:sz w:val="28"/>
          <w:szCs w:val="28"/>
        </w:rPr>
        <w:fldChar w:fldCharType="separate"/>
      </w:r>
      <w:r>
        <w:rPr>
          <w:rFonts w:ascii="黑体" w:eastAsia="黑体"/>
          <w:sz w:val="28"/>
          <w:szCs w:val="28"/>
        </w:rPr>
        <w:t xml:space="preserve">十、 </w:t>
      </w:r>
      <w:r>
        <w:rPr>
          <w:rFonts w:hint="eastAsia" w:ascii="黑体" w:eastAsia="黑体"/>
          <w:sz w:val="28"/>
          <w:szCs w:val="28"/>
        </w:rPr>
        <w:t>预算绩效情况说明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1</w:t>
      </w:r>
    </w:p>
    <w:p w14:paraId="3BADEF21">
      <w:pPr>
        <w:pStyle w:val="12"/>
        <w:tabs>
          <w:tab w:val="right" w:leader="dot" w:pos="8306"/>
          <w:tab w:val="clear" w:pos="8296"/>
        </w:tabs>
        <w:rPr>
          <w:rFonts w:hint="eastAsia" w:eastAsia="宋体"/>
          <w:sz w:val="28"/>
          <w:szCs w:val="28"/>
          <w:lang w:val="en-US" w:eastAsia="zh-CN"/>
        </w:rPr>
      </w:pPr>
      <w:r>
        <w:rPr>
          <w:sz w:val="28"/>
          <w:szCs w:val="28"/>
        </w:rPr>
        <w:fldChar w:fldCharType="begin"/>
      </w:r>
      <w:r>
        <w:rPr>
          <w:sz w:val="28"/>
          <w:szCs w:val="28"/>
        </w:rPr>
        <w:instrText xml:space="preserve"> HYPERLINK \l "_Toc11969" </w:instrText>
      </w:r>
      <w:r>
        <w:rPr>
          <w:sz w:val="28"/>
          <w:szCs w:val="28"/>
        </w:rPr>
        <w:fldChar w:fldCharType="separate"/>
      </w:r>
      <w:r>
        <w:rPr>
          <w:rFonts w:hint="eastAsia" w:ascii="黑体" w:eastAsia="黑体"/>
          <w:sz w:val="28"/>
          <w:szCs w:val="28"/>
        </w:rPr>
        <w:t>十一、其他重要事项的情况说明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2</w:t>
      </w:r>
    </w:p>
    <w:p w14:paraId="05CCDD14">
      <w:pPr>
        <w:pStyle w:val="10"/>
        <w:tabs>
          <w:tab w:val="right" w:leader="dot" w:pos="8306"/>
          <w:tab w:val="clear" w:pos="8296"/>
        </w:tabs>
        <w:rPr>
          <w:rFonts w:hint="eastAsia" w:eastAsia="仿宋"/>
          <w:sz w:val="28"/>
          <w:szCs w:val="28"/>
          <w:lang w:val="en-US" w:eastAsia="zh-CN"/>
        </w:rPr>
      </w:pPr>
      <w:r>
        <w:rPr>
          <w:sz w:val="28"/>
          <w:szCs w:val="28"/>
        </w:rPr>
        <w:fldChar w:fldCharType="begin"/>
      </w:r>
      <w:r>
        <w:rPr>
          <w:sz w:val="28"/>
          <w:szCs w:val="28"/>
        </w:rPr>
        <w:instrText xml:space="preserve"> HYPERLINK \l "_Toc20207" </w:instrText>
      </w:r>
      <w:r>
        <w:rPr>
          <w:sz w:val="28"/>
          <w:szCs w:val="28"/>
        </w:rPr>
        <w:fldChar w:fldCharType="separate"/>
      </w:r>
      <w:r>
        <w:rPr>
          <w:rFonts w:hint="eastAsia" w:ascii="黑体" w:eastAsia="黑体"/>
          <w:sz w:val="28"/>
          <w:szCs w:val="28"/>
        </w:rPr>
        <w:t>第三部分 名词解释</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bookmarkStart w:id="68" w:name="_GoBack"/>
      <w:bookmarkEnd w:id="68"/>
    </w:p>
    <w:p w14:paraId="04235D02">
      <w:pPr>
        <w:pStyle w:val="10"/>
        <w:rPr>
          <w:rFonts w:hint="eastAsia" w:ascii="黑体" w:eastAsia="黑体"/>
          <w:bCs/>
          <w:kern w:val="44"/>
          <w:sz w:val="28"/>
          <w:szCs w:val="28"/>
          <w:highlight w:val="lightGray"/>
          <w:lang w:val="en-US" w:eastAsia="zh-CN"/>
        </w:rPr>
      </w:pPr>
      <w:r>
        <w:rPr>
          <w:rFonts w:hint="eastAsia" w:ascii="黑体" w:eastAsia="黑体"/>
          <w:bCs/>
          <w:kern w:val="44"/>
          <w:sz w:val="28"/>
          <w:szCs w:val="28"/>
          <w:highlight w:val="lightGray"/>
        </w:rPr>
        <w:fldChar w:fldCharType="begin"/>
      </w:r>
      <w:r>
        <w:rPr>
          <w:rFonts w:hint="eastAsia" w:ascii="黑体" w:eastAsia="黑体"/>
          <w:bCs/>
          <w:kern w:val="44"/>
          <w:sz w:val="28"/>
          <w:szCs w:val="28"/>
          <w:highlight w:val="lightGray"/>
        </w:rPr>
        <w:instrText xml:space="preserve"> HYPERLINK \l "_Toc188350459" </w:instrText>
      </w:r>
      <w:r>
        <w:rPr>
          <w:rFonts w:hint="eastAsia" w:ascii="黑体" w:eastAsia="黑体"/>
          <w:bCs/>
          <w:kern w:val="44"/>
          <w:sz w:val="28"/>
          <w:szCs w:val="28"/>
          <w:highlight w:val="lightGray"/>
        </w:rPr>
        <w:fldChar w:fldCharType="separate"/>
      </w:r>
      <w:r>
        <w:rPr>
          <w:rFonts w:hint="eastAsia" w:ascii="黑体" w:eastAsia="黑体"/>
          <w:bCs/>
          <w:kern w:val="44"/>
          <w:sz w:val="28"/>
          <w:szCs w:val="28"/>
          <w:highlight w:val="lightGray"/>
        </w:rPr>
        <w:t>第四部分 部门整体支出绩效评价报告</w:t>
      </w:r>
      <w:r>
        <w:rPr>
          <w:rFonts w:hint="eastAsia" w:ascii="黑体" w:eastAsia="黑体"/>
          <w:bCs/>
          <w:kern w:val="44"/>
          <w:sz w:val="28"/>
          <w:szCs w:val="28"/>
          <w:highlight w:val="lightGray"/>
        </w:rPr>
        <w:tab/>
      </w:r>
      <w:r>
        <w:rPr>
          <w:rFonts w:hint="eastAsia" w:ascii="黑体" w:eastAsia="黑体"/>
          <w:bCs/>
          <w:kern w:val="44"/>
          <w:sz w:val="28"/>
          <w:szCs w:val="28"/>
          <w:highlight w:val="lightGray"/>
          <w:lang w:val="en-US" w:eastAsia="zh-CN"/>
        </w:rPr>
        <w:t>1</w:t>
      </w:r>
      <w:r>
        <w:rPr>
          <w:rFonts w:hint="eastAsia" w:ascii="黑体" w:eastAsia="黑体"/>
          <w:bCs/>
          <w:kern w:val="44"/>
          <w:sz w:val="28"/>
          <w:szCs w:val="28"/>
          <w:highlight w:val="lightGray"/>
        </w:rPr>
        <w:fldChar w:fldCharType="end"/>
      </w:r>
      <w:r>
        <w:rPr>
          <w:rFonts w:hint="eastAsia" w:ascii="黑体" w:eastAsia="黑体"/>
          <w:bCs/>
          <w:kern w:val="44"/>
          <w:sz w:val="28"/>
          <w:szCs w:val="28"/>
          <w:highlight w:val="lightGray"/>
          <w:lang w:val="en-US" w:eastAsia="zh-CN"/>
        </w:rPr>
        <w:t>6</w:t>
      </w:r>
    </w:p>
    <w:p w14:paraId="2E811CA5">
      <w:pPr>
        <w:pStyle w:val="10"/>
        <w:rPr>
          <w:rFonts w:hint="default" w:ascii="黑体" w:hAnsi="Times New Roman" w:eastAsia="黑体" w:cs="Times New Roman"/>
          <w:bCs/>
          <w:kern w:val="44"/>
          <w:sz w:val="28"/>
          <w:szCs w:val="28"/>
          <w:highlight w:val="lightGray"/>
          <w:lang w:val="en-US" w:eastAsia="zh-CN" w:bidi="ar-SA"/>
        </w:rPr>
      </w:pPr>
      <w:r>
        <w:rPr>
          <w:rFonts w:hint="eastAsia" w:ascii="黑体" w:hAnsi="Times New Roman" w:eastAsia="黑体" w:cs="Times New Roman"/>
          <w:bCs/>
          <w:kern w:val="44"/>
          <w:sz w:val="28"/>
          <w:szCs w:val="28"/>
          <w:highlight w:val="lightGray"/>
          <w:lang w:val="en-US" w:eastAsia="zh-CN" w:bidi="ar-SA"/>
        </w:rPr>
        <w:fldChar w:fldCharType="begin"/>
      </w:r>
      <w:r>
        <w:rPr>
          <w:rFonts w:hint="eastAsia" w:ascii="黑体" w:hAnsi="Times New Roman" w:eastAsia="黑体" w:cs="Times New Roman"/>
          <w:bCs/>
          <w:kern w:val="44"/>
          <w:sz w:val="28"/>
          <w:szCs w:val="28"/>
          <w:highlight w:val="lightGray"/>
          <w:lang w:val="en-US" w:eastAsia="zh-CN" w:bidi="ar-SA"/>
        </w:rPr>
        <w:instrText xml:space="preserve"> HYPERLINK \l "_Toc188350462" </w:instrText>
      </w:r>
      <w:r>
        <w:rPr>
          <w:rFonts w:hint="eastAsia" w:ascii="黑体" w:hAnsi="Times New Roman" w:eastAsia="黑体" w:cs="Times New Roman"/>
          <w:bCs/>
          <w:kern w:val="44"/>
          <w:sz w:val="28"/>
          <w:szCs w:val="28"/>
          <w:highlight w:val="lightGray"/>
          <w:lang w:val="en-US" w:eastAsia="zh-CN" w:bidi="ar-SA"/>
        </w:rPr>
        <w:fldChar w:fldCharType="separate"/>
      </w:r>
      <w:r>
        <w:rPr>
          <w:rFonts w:hint="eastAsia" w:ascii="黑体" w:hAnsi="Times New Roman" w:eastAsia="黑体" w:cs="Times New Roman"/>
          <w:bCs/>
          <w:kern w:val="44"/>
          <w:sz w:val="28"/>
          <w:szCs w:val="28"/>
          <w:highlight w:val="lightGray"/>
          <w:lang w:val="en-US" w:eastAsia="zh-CN" w:bidi="ar-SA"/>
        </w:rPr>
        <w:t>第五部分</w:t>
      </w:r>
      <w:r>
        <w:rPr>
          <w:rFonts w:hint="eastAsia" w:ascii="黑体" w:eastAsia="黑体"/>
          <w:bCs/>
          <w:kern w:val="44"/>
          <w:sz w:val="28"/>
          <w:szCs w:val="28"/>
          <w:highlight w:val="lightGray"/>
        </w:rPr>
        <w:t xml:space="preserve"> </w:t>
      </w:r>
      <w:r>
        <w:rPr>
          <w:rFonts w:hint="eastAsia" w:ascii="黑体" w:hAnsi="Times New Roman" w:eastAsia="黑体" w:cs="Times New Roman"/>
          <w:bCs/>
          <w:kern w:val="44"/>
          <w:sz w:val="28"/>
          <w:szCs w:val="28"/>
          <w:highlight w:val="lightGray"/>
          <w:lang w:val="en-US" w:eastAsia="zh-CN" w:bidi="ar-SA"/>
        </w:rPr>
        <w:t>附表</w:t>
      </w:r>
      <w:r>
        <w:rPr>
          <w:sz w:val="28"/>
          <w:szCs w:val="28"/>
        </w:rPr>
        <w:tab/>
      </w:r>
      <w:r>
        <w:rPr>
          <w:rFonts w:hint="eastAsia" w:ascii="黑体" w:eastAsia="黑体" w:cs="Times New Roman"/>
          <w:bCs/>
          <w:kern w:val="44"/>
          <w:sz w:val="28"/>
          <w:szCs w:val="28"/>
          <w:highlight w:val="lightGray"/>
          <w:lang w:val="en-US" w:eastAsia="zh-CN" w:bidi="ar-SA"/>
        </w:rPr>
        <w:t>2</w:t>
      </w:r>
      <w:r>
        <w:rPr>
          <w:rFonts w:hint="eastAsia" w:ascii="黑体" w:hAnsi="Times New Roman" w:eastAsia="黑体" w:cs="Times New Roman"/>
          <w:bCs/>
          <w:kern w:val="44"/>
          <w:sz w:val="28"/>
          <w:szCs w:val="28"/>
          <w:highlight w:val="lightGray"/>
          <w:lang w:val="en-US" w:eastAsia="zh-CN" w:bidi="ar-SA"/>
        </w:rPr>
        <w:fldChar w:fldCharType="end"/>
      </w:r>
      <w:r>
        <w:rPr>
          <w:rFonts w:hint="eastAsia" w:ascii="黑体" w:eastAsia="黑体" w:cs="Times New Roman"/>
          <w:bCs/>
          <w:kern w:val="44"/>
          <w:sz w:val="28"/>
          <w:szCs w:val="28"/>
          <w:highlight w:val="lightGray"/>
          <w:lang w:val="en-US" w:eastAsia="zh-CN" w:bidi="ar-SA"/>
        </w:rPr>
        <w:t>0</w:t>
      </w:r>
    </w:p>
    <w:p w14:paraId="3E39AB2F"/>
    <w:p w14:paraId="57CC6C3C">
      <w:pPr>
        <w:pStyle w:val="10"/>
        <w:tabs>
          <w:tab w:val="right" w:leader="dot" w:pos="8306"/>
          <w:tab w:val="clear" w:pos="8296"/>
        </w:tabs>
        <w:jc w:val="both"/>
        <w:rPr>
          <w:color w:val="000000"/>
        </w:rPr>
      </w:pPr>
      <w:r>
        <w:rPr>
          <w:color w:val="000000"/>
        </w:rPr>
        <w:fldChar w:fldCharType="end"/>
      </w:r>
      <w:bookmarkStart w:id="22" w:name="_Toc15377196"/>
    </w:p>
    <w:p w14:paraId="24D496B8">
      <w:pPr>
        <w:rPr>
          <w:color w:val="000000"/>
        </w:rPr>
      </w:pPr>
    </w:p>
    <w:p w14:paraId="7534212E">
      <w:pPr>
        <w:pStyle w:val="2"/>
        <w:rPr>
          <w:color w:val="000000"/>
        </w:rPr>
      </w:pPr>
    </w:p>
    <w:p w14:paraId="51DD7AED">
      <w:pPr>
        <w:pStyle w:val="2"/>
        <w:rPr>
          <w:color w:val="000000"/>
        </w:rPr>
      </w:pPr>
    </w:p>
    <w:p w14:paraId="6BB59602">
      <w:pPr>
        <w:pStyle w:val="2"/>
        <w:rPr>
          <w:color w:val="000000"/>
        </w:rPr>
      </w:pPr>
    </w:p>
    <w:p w14:paraId="6539524F">
      <w:pPr>
        <w:pStyle w:val="2"/>
        <w:rPr>
          <w:color w:val="000000"/>
        </w:rPr>
      </w:pPr>
    </w:p>
    <w:p w14:paraId="77DD8E14">
      <w:pPr>
        <w:pStyle w:val="2"/>
        <w:rPr>
          <w:color w:val="000000"/>
        </w:rPr>
      </w:pPr>
    </w:p>
    <w:p w14:paraId="67476D70">
      <w:pPr>
        <w:pStyle w:val="2"/>
        <w:rPr>
          <w:color w:val="000000"/>
        </w:rPr>
      </w:pPr>
    </w:p>
    <w:p w14:paraId="4777BBC8">
      <w:pPr>
        <w:pStyle w:val="2"/>
        <w:rPr>
          <w:color w:val="000000"/>
        </w:rPr>
      </w:pPr>
    </w:p>
    <w:p w14:paraId="548030EE">
      <w:pPr>
        <w:pStyle w:val="2"/>
        <w:rPr>
          <w:color w:val="000000"/>
        </w:rPr>
      </w:pPr>
    </w:p>
    <w:p w14:paraId="5EC40076">
      <w:pPr>
        <w:pStyle w:val="2"/>
        <w:rPr>
          <w:color w:val="000000"/>
        </w:rPr>
      </w:pPr>
    </w:p>
    <w:p w14:paraId="72ECAB58">
      <w:pPr>
        <w:pStyle w:val="2"/>
        <w:rPr>
          <w:color w:val="000000"/>
        </w:rPr>
      </w:pPr>
    </w:p>
    <w:p w14:paraId="6FB5055C">
      <w:pPr>
        <w:pStyle w:val="2"/>
        <w:rPr>
          <w:color w:val="000000"/>
        </w:rPr>
      </w:pPr>
    </w:p>
    <w:p w14:paraId="1A51F024">
      <w:pPr>
        <w:pStyle w:val="2"/>
        <w:rPr>
          <w:color w:val="000000"/>
        </w:rPr>
      </w:pPr>
    </w:p>
    <w:p w14:paraId="4EA714B2">
      <w:pPr>
        <w:pStyle w:val="2"/>
        <w:rPr>
          <w:color w:val="000000"/>
        </w:rPr>
      </w:pPr>
    </w:p>
    <w:p w14:paraId="7EBFCCE0">
      <w:pPr>
        <w:pStyle w:val="2"/>
        <w:rPr>
          <w:color w:val="000000"/>
        </w:rPr>
      </w:pPr>
    </w:p>
    <w:p w14:paraId="40E40810">
      <w:pPr>
        <w:pStyle w:val="2"/>
        <w:rPr>
          <w:color w:val="000000"/>
        </w:rPr>
      </w:pPr>
    </w:p>
    <w:p w14:paraId="78B05092">
      <w:pPr>
        <w:pStyle w:val="2"/>
        <w:rPr>
          <w:color w:val="000000"/>
        </w:rPr>
      </w:pPr>
    </w:p>
    <w:p w14:paraId="517EB6B8">
      <w:pPr>
        <w:pStyle w:val="3"/>
        <w:jc w:val="center"/>
        <w:rPr>
          <w:rFonts w:ascii="黑体" w:eastAsia="黑体"/>
          <w:color w:val="000000"/>
          <w:sz w:val="32"/>
          <w:szCs w:val="32"/>
        </w:rPr>
      </w:pPr>
      <w:bookmarkStart w:id="23" w:name="_Toc15465"/>
      <w:r>
        <w:rPr>
          <w:rFonts w:hint="eastAsia" w:ascii="黑体" w:eastAsia="黑体"/>
          <w:b w:val="0"/>
        </w:rPr>
        <w:t xml:space="preserve">第一部分 </w:t>
      </w:r>
      <w:r>
        <w:rPr>
          <w:rStyle w:val="20"/>
          <w:rFonts w:hint="eastAsia" w:ascii="黑体" w:eastAsia="黑体"/>
          <w:b w:val="0"/>
          <w:bCs w:val="0"/>
        </w:rPr>
        <w:t>部门概况</w:t>
      </w:r>
      <w:bookmarkEnd w:id="22"/>
      <w:bookmarkEnd w:id="23"/>
    </w:p>
    <w:p w14:paraId="5D2133CE">
      <w:pPr>
        <w:pStyle w:val="4"/>
        <w:spacing w:before="0" w:after="0" w:line="240" w:lineRule="auto"/>
        <w:ind w:left="640" w:hanging="640" w:hangingChars="200"/>
        <w:rPr>
          <w:rStyle w:val="21"/>
          <w:rFonts w:ascii="黑体" w:eastAsia="黑体"/>
          <w:b w:val="0"/>
          <w:bCs w:val="0"/>
        </w:rPr>
      </w:pPr>
      <w:bookmarkStart w:id="24" w:name="_Toc15377197"/>
      <w:bookmarkStart w:id="25" w:name="_Toc20260"/>
      <w:r>
        <w:rPr>
          <w:rFonts w:hint="eastAsia" w:ascii="黑体" w:eastAsia="黑体"/>
          <w:b w:val="0"/>
          <w:color w:val="000000"/>
        </w:rPr>
        <w:t>一、基</w:t>
      </w:r>
      <w:r>
        <w:rPr>
          <w:rStyle w:val="21"/>
          <w:rFonts w:hint="eastAsia" w:ascii="黑体" w:eastAsia="黑体"/>
          <w:b w:val="0"/>
          <w:bCs w:val="0"/>
        </w:rPr>
        <w:t>本职能及主要工作</w:t>
      </w:r>
      <w:bookmarkEnd w:id="24"/>
      <w:bookmarkEnd w:id="25"/>
      <w:bookmarkStart w:id="26" w:name="_Toc15377198"/>
      <w:bookmarkStart w:id="27" w:name="_Toc15378445"/>
    </w:p>
    <w:p w14:paraId="480399D3">
      <w:pPr>
        <w:pStyle w:val="4"/>
        <w:spacing w:before="0" w:after="0" w:line="240" w:lineRule="auto"/>
        <w:ind w:left="642" w:leftChars="153" w:hanging="321" w:hangingChars="100"/>
        <w:rPr>
          <w:rFonts w:ascii="楷体" w:eastAsia="楷体" w:cs="楷体"/>
          <w:color w:val="000000"/>
        </w:rPr>
      </w:pPr>
      <w:bookmarkStart w:id="28" w:name="_Toc11875"/>
      <w:r>
        <w:rPr>
          <w:rFonts w:hint="eastAsia" w:ascii="楷体" w:eastAsia="楷体" w:cs="楷体"/>
          <w:color w:val="000000"/>
        </w:rPr>
        <w:t>（一）主要职能</w:t>
      </w:r>
      <w:bookmarkEnd w:id="26"/>
      <w:bookmarkEnd w:id="27"/>
      <w:bookmarkEnd w:id="28"/>
      <w:bookmarkStart w:id="29" w:name="_Toc15377199"/>
      <w:bookmarkStart w:id="30" w:name="_Toc15378446"/>
    </w:p>
    <w:p w14:paraId="2A3884A4">
      <w:pPr>
        <w:pStyle w:val="14"/>
        <w:shd w:val="clear" w:color="auto" w:fill="FFFFFF"/>
        <w:wordWrap w:val="0"/>
        <w:spacing w:beforeAutospacing="0" w:afterAutospacing="0"/>
        <w:ind w:firstLine="640" w:firstLineChars="200"/>
        <w:rPr>
          <w:rFonts w:ascii="仿宋_GB2312" w:eastAsia="仿宋_GB2312" w:cs="仿宋_GB2312"/>
          <w:kern w:val="2"/>
          <w:sz w:val="32"/>
          <w:szCs w:val="32"/>
        </w:rPr>
      </w:pPr>
      <w:bookmarkStart w:id="31" w:name="_Toc29688"/>
      <w:r>
        <w:rPr>
          <w:rFonts w:hint="eastAsia" w:ascii="仿宋_GB2312" w:eastAsia="仿宋_GB2312" w:cs="仿宋_GB2312"/>
          <w:kern w:val="2"/>
          <w:sz w:val="32"/>
          <w:szCs w:val="32"/>
        </w:rPr>
        <w:t>编制旅游规划。组织编制旅游发展规划、旅游景区、景点规划和旅游专项规划等旅游规划并监督实施；负责旅游业发展的组织协调和行业指导、监督管理工作。</w:t>
      </w:r>
    </w:p>
    <w:p w14:paraId="53380A5A">
      <w:pPr>
        <w:pStyle w:val="14"/>
        <w:shd w:val="clear" w:color="auto" w:fill="FFFFFF"/>
        <w:wordWrap w:val="0"/>
        <w:spacing w:beforeAutospacing="0" w:afterAutospacing="0"/>
        <w:ind w:firstLine="640" w:firstLineChars="200"/>
        <w:rPr>
          <w:rFonts w:ascii="仿宋_GB2312" w:eastAsia="仿宋_GB2312" w:cs="仿宋_GB2312"/>
          <w:kern w:val="2"/>
          <w:sz w:val="32"/>
          <w:szCs w:val="32"/>
        </w:rPr>
      </w:pPr>
      <w:r>
        <w:rPr>
          <w:rFonts w:hint="eastAsia" w:ascii="仿宋_GB2312" w:eastAsia="仿宋_GB2312" w:cs="仿宋_GB2312"/>
          <w:kern w:val="2"/>
          <w:sz w:val="32"/>
          <w:szCs w:val="32"/>
        </w:rPr>
        <w:t>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14:paraId="1ACACB32">
      <w:pPr>
        <w:pStyle w:val="14"/>
        <w:shd w:val="clear" w:color="auto" w:fill="FFFFFF"/>
        <w:wordWrap w:val="0"/>
        <w:spacing w:beforeAutospacing="0" w:afterAutospacing="0"/>
        <w:ind w:firstLine="640" w:firstLineChars="200"/>
        <w:rPr>
          <w:rFonts w:ascii="仿宋_GB2312" w:eastAsia="仿宋_GB2312" w:cs="仿宋_GB2312"/>
          <w:kern w:val="2"/>
          <w:sz w:val="32"/>
          <w:szCs w:val="32"/>
        </w:rPr>
      </w:pPr>
      <w:r>
        <w:rPr>
          <w:rFonts w:hint="eastAsia" w:ascii="仿宋_GB2312" w:eastAsia="仿宋_GB2312" w:cs="仿宋_GB2312"/>
          <w:kern w:val="2"/>
          <w:sz w:val="32"/>
          <w:szCs w:val="32"/>
        </w:rPr>
        <w:t>实施行业管理。拟制旅游发展产业政策并指导实施；组织实施国家标准和国家、省、市制定的行业标准；审核、申报经营旅游业务的旅行社(公司)、A级旅游景区、星级宾馆、饭店等，负责日常管理工作并协助评定和复核工作;培育和完善旅游市场；建立旅游资源信息库；组织、指导旅游商品的开发；指导直属企事业单位和旅游行业协会工作；组织、指导旅游统计工作。</w:t>
      </w:r>
    </w:p>
    <w:p w14:paraId="0495C3B6">
      <w:pPr>
        <w:pStyle w:val="14"/>
        <w:shd w:val="clear" w:color="auto" w:fill="FFFFFF"/>
        <w:wordWrap w:val="0"/>
        <w:spacing w:beforeAutospacing="0" w:afterAutospacing="0"/>
        <w:ind w:firstLine="640" w:firstLineChars="200"/>
        <w:rPr>
          <w:rFonts w:ascii="仿宋_GB2312" w:eastAsia="仿宋_GB2312" w:cs="仿宋_GB2312"/>
          <w:kern w:val="2"/>
          <w:sz w:val="32"/>
          <w:szCs w:val="32"/>
        </w:rPr>
      </w:pPr>
      <w:r>
        <w:rPr>
          <w:rFonts w:hint="eastAsia" w:ascii="仿宋_GB2312" w:eastAsia="仿宋_GB2312" w:cs="仿宋_GB2312"/>
          <w:kern w:val="2"/>
          <w:sz w:val="32"/>
          <w:szCs w:val="32"/>
        </w:rPr>
        <w:t>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14:paraId="365028AC">
      <w:pPr>
        <w:pStyle w:val="14"/>
        <w:shd w:val="clear" w:color="auto" w:fill="FFFFFF"/>
        <w:wordWrap w:val="0"/>
        <w:spacing w:beforeAutospacing="0" w:afterAutospacing="0"/>
        <w:ind w:firstLine="640" w:firstLineChars="200"/>
        <w:rPr>
          <w:rFonts w:ascii="仿宋_GB2312" w:eastAsia="仿宋_GB2312" w:cs="仿宋_GB2312"/>
          <w:kern w:val="2"/>
          <w:sz w:val="32"/>
          <w:szCs w:val="32"/>
        </w:rPr>
      </w:pPr>
      <w:r>
        <w:rPr>
          <w:rFonts w:hint="eastAsia" w:ascii="仿宋_GB2312" w:eastAsia="仿宋_GB2312" w:cs="仿宋_GB2312"/>
          <w:kern w:val="2"/>
          <w:sz w:val="32"/>
          <w:szCs w:val="32"/>
        </w:rPr>
        <w:t>组织教育培训。指导旅游教育培训工作，组织实施旅游从业人员资格制度和等级制度。</w:t>
      </w:r>
    </w:p>
    <w:p w14:paraId="7558F46B">
      <w:pPr>
        <w:pStyle w:val="14"/>
        <w:spacing w:beforeAutospacing="0"/>
        <w:ind w:firstLine="640" w:firstLineChars="200"/>
        <w:rPr>
          <w:shd w:val="clear" w:color="auto" w:fill="FFFFFF"/>
        </w:rPr>
      </w:pPr>
      <w:r>
        <w:rPr>
          <w:rFonts w:hint="eastAsia" w:ascii="仿宋_GB2312" w:eastAsia="仿宋_GB2312" w:cs="仿宋_GB2312"/>
          <w:kern w:val="2"/>
          <w:sz w:val="32"/>
          <w:szCs w:val="32"/>
        </w:rPr>
        <w:t>履行相关</w:t>
      </w:r>
      <w:r>
        <w:rPr>
          <w:rFonts w:hint="eastAsia" w:ascii="仿宋_GB2312" w:eastAsia="仿宋_GB2312" w:cs="仿宋_GB2312"/>
          <w:kern w:val="2"/>
          <w:sz w:val="32"/>
          <w:szCs w:val="32"/>
        </w:rPr>
        <w:fldChar w:fldCharType="begin"/>
      </w:r>
      <w:r>
        <w:instrText xml:space="preserve">HYPERLINK "http://www.zhize8.com/"</w:instrText>
      </w:r>
      <w:r>
        <w:rPr>
          <w:rFonts w:hint="eastAsia" w:ascii="仿宋_GB2312" w:eastAsia="仿宋_GB2312" w:cs="仿宋_GB2312"/>
          <w:kern w:val="2"/>
          <w:sz w:val="32"/>
          <w:szCs w:val="32"/>
        </w:rPr>
        <w:fldChar w:fldCharType="separate"/>
      </w:r>
      <w:r>
        <w:rPr>
          <w:rFonts w:hint="eastAsia" w:ascii="仿宋_GB2312" w:eastAsia="仿宋_GB2312" w:cs="仿宋_GB2312"/>
          <w:kern w:val="2"/>
          <w:sz w:val="32"/>
          <w:szCs w:val="32"/>
        </w:rPr>
        <w:t>职责</w:t>
      </w:r>
      <w:r>
        <w:rPr>
          <w:rFonts w:hint="eastAsia" w:ascii="仿宋_GB2312" w:eastAsia="仿宋_GB2312" w:cs="仿宋_GB2312"/>
          <w:kern w:val="2"/>
          <w:sz w:val="32"/>
          <w:szCs w:val="32"/>
        </w:rPr>
        <w:fldChar w:fldCharType="end"/>
      </w:r>
      <w:r>
        <w:rPr>
          <w:rFonts w:hint="eastAsia" w:ascii="仿宋_GB2312" w:eastAsia="仿宋_GB2312" w:cs="仿宋_GB2312"/>
          <w:kern w:val="2"/>
          <w:sz w:val="32"/>
          <w:szCs w:val="32"/>
        </w:rPr>
        <w:t>。受上级委托对旅游集团和直属旅游企业国有资产的保值增值进行监督管理，负责局机关党群工作，承办上级交办的其他事项。</w:t>
      </w:r>
    </w:p>
    <w:p w14:paraId="7739AB4C">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4年重点工作完成情况</w:t>
      </w:r>
      <w:bookmarkEnd w:id="29"/>
      <w:bookmarkEnd w:id="30"/>
      <w:bookmarkEnd w:id="31"/>
    </w:p>
    <w:p w14:paraId="76F8ACC2">
      <w:pPr>
        <w:snapToGrid w:val="0"/>
        <w:spacing w:line="520" w:lineRule="exact"/>
        <w:ind w:firstLine="643" w:firstLineChars="200"/>
        <w:rPr>
          <w:rFonts w:ascii="仿宋_GB2312" w:eastAsia="仿宋_GB2312" w:cs="仿宋_GB2312"/>
          <w:sz w:val="32"/>
          <w:szCs w:val="32"/>
        </w:rPr>
      </w:pPr>
      <w:bookmarkStart w:id="32" w:name="_Toc15377200"/>
      <w:bookmarkStart w:id="33" w:name="_Toc3779"/>
      <w:r>
        <w:rPr>
          <w:rFonts w:hint="eastAsia" w:ascii="仿宋_GB2312" w:eastAsia="仿宋_GB2312" w:cs="仿宋_GB2312"/>
          <w:b/>
          <w:bCs/>
          <w:sz w:val="32"/>
          <w:szCs w:val="32"/>
        </w:rPr>
        <w:t>一是</w:t>
      </w:r>
      <w:r>
        <w:rPr>
          <w:rFonts w:hint="eastAsia" w:ascii="仿宋_GB2312" w:eastAsia="仿宋_GB2312" w:cs="仿宋_GB2312"/>
          <w:sz w:val="32"/>
          <w:szCs w:val="32"/>
        </w:rPr>
        <w:t>深入开展机关效能建设活动，</w:t>
      </w:r>
      <w:r>
        <w:rPr>
          <w:rFonts w:hint="eastAsia" w:ascii="仿宋_GB2312" w:eastAsia="仿宋_GB2312" w:cs="仿宋_GB2312"/>
          <w:b/>
          <w:bCs/>
          <w:sz w:val="32"/>
          <w:szCs w:val="32"/>
        </w:rPr>
        <w:t>二是</w:t>
      </w:r>
      <w:r>
        <w:rPr>
          <w:rFonts w:hint="eastAsia" w:ascii="仿宋_GB2312" w:eastAsia="仿宋_GB2312" w:cs="仿宋_GB2312"/>
          <w:sz w:val="32"/>
          <w:szCs w:val="32"/>
        </w:rPr>
        <w:t>加强党建工作。</w:t>
      </w:r>
      <w:r>
        <w:rPr>
          <w:rFonts w:hint="eastAsia" w:ascii="仿宋_GB2312" w:eastAsia="仿宋_GB2312" w:cs="仿宋_GB2312"/>
          <w:b/>
          <w:bCs/>
          <w:sz w:val="32"/>
          <w:szCs w:val="32"/>
        </w:rPr>
        <w:t>三是</w:t>
      </w:r>
      <w:r>
        <w:rPr>
          <w:rFonts w:hint="eastAsia" w:ascii="仿宋_GB2312" w:eastAsia="仿宋_GB2312" w:cs="仿宋_GB2312"/>
          <w:sz w:val="32"/>
          <w:szCs w:val="32"/>
        </w:rPr>
        <w:t>加强景区管理工作。</w:t>
      </w:r>
      <w:r>
        <w:rPr>
          <w:rFonts w:hint="eastAsia" w:ascii="仿宋_GB2312" w:eastAsia="仿宋_GB2312" w:cs="仿宋_GB2312"/>
          <w:b/>
          <w:bCs/>
          <w:sz w:val="32"/>
          <w:szCs w:val="32"/>
        </w:rPr>
        <w:t>四是</w:t>
      </w:r>
      <w:r>
        <w:rPr>
          <w:rFonts w:hint="eastAsia" w:ascii="仿宋_GB2312" w:eastAsia="仿宋_GB2312" w:cs="仿宋_GB2312"/>
          <w:sz w:val="32"/>
          <w:szCs w:val="32"/>
        </w:rPr>
        <w:t>切实加强维稳工作。</w:t>
      </w:r>
      <w:r>
        <w:rPr>
          <w:rFonts w:hint="eastAsia" w:ascii="仿宋_GB2312" w:eastAsia="仿宋_GB2312" w:cs="仿宋_GB2312"/>
          <w:b/>
          <w:bCs/>
          <w:sz w:val="32"/>
          <w:szCs w:val="32"/>
        </w:rPr>
        <w:t>五是</w:t>
      </w:r>
      <w:r>
        <w:rPr>
          <w:rFonts w:hint="eastAsia" w:ascii="仿宋_GB2312" w:eastAsia="仿宋_GB2312" w:cs="仿宋_GB2312"/>
          <w:sz w:val="32"/>
          <w:szCs w:val="32"/>
        </w:rPr>
        <w:t>进一步加大景区基础设施建设力度，千方百计增加农牧民收入，提升游客体验感；继续关注民生，全力申报项目；</w:t>
      </w:r>
      <w:r>
        <w:rPr>
          <w:rFonts w:hint="eastAsia" w:ascii="仿宋_GB2312" w:eastAsia="仿宋_GB2312" w:cs="仿宋_GB2312"/>
          <w:b/>
          <w:bCs/>
          <w:sz w:val="32"/>
          <w:szCs w:val="32"/>
        </w:rPr>
        <w:t>六是</w:t>
      </w:r>
      <w:r>
        <w:rPr>
          <w:rFonts w:hint="eastAsia" w:ascii="仿宋_GB2312" w:eastAsia="仿宋_GB2312" w:cs="仿宋_GB2312"/>
          <w:sz w:val="32"/>
          <w:szCs w:val="32"/>
        </w:rPr>
        <w:t>抓好了其他目标工作。</w:t>
      </w:r>
    </w:p>
    <w:p w14:paraId="0A3190A9">
      <w:pPr>
        <w:spacing w:line="578" w:lineRule="exact"/>
        <w:ind w:firstLine="640" w:firstLineChars="200"/>
        <w:rPr>
          <w:rStyle w:val="21"/>
          <w:b w:val="0"/>
          <w:bCs w:val="0"/>
        </w:rPr>
      </w:pPr>
      <w:r>
        <w:rPr>
          <w:rStyle w:val="21"/>
          <w:rFonts w:hint="eastAsia" w:ascii="黑体" w:eastAsia="黑体"/>
          <w:b w:val="0"/>
          <w:bCs w:val="0"/>
        </w:rPr>
        <w:t>二、机构设置</w:t>
      </w:r>
      <w:bookmarkEnd w:id="32"/>
    </w:p>
    <w:bookmarkEnd w:id="33"/>
    <w:p w14:paraId="092FD33E">
      <w:pPr>
        <w:snapToGrid w:val="0"/>
        <w:spacing w:line="520" w:lineRule="exact"/>
        <w:ind w:firstLine="640" w:firstLineChars="200"/>
        <w:rPr>
          <w:rFonts w:ascii="仿宋_GB2312" w:eastAsia="仿宋_GB2312" w:cs="仿宋_GB2312"/>
          <w:bCs/>
          <w:sz w:val="32"/>
        </w:rPr>
      </w:pPr>
      <w:bookmarkStart w:id="34" w:name="_Toc15377204"/>
      <w:r>
        <w:rPr>
          <w:rFonts w:hint="eastAsia" w:ascii="仿宋_GB2312" w:eastAsia="仿宋_GB2312" w:cs="仿宋_GB2312"/>
          <w:bCs/>
          <w:sz w:val="32"/>
        </w:rPr>
        <w:t>我单位2024年有1个机构，较上年增加0个。2024年年初在职10人（公务员0人、事业人员10人、机关工勤0人），2024年年末在职10人（公务员0人、事业人员10人、机关工勤0人）。</w:t>
      </w:r>
    </w:p>
    <w:p w14:paraId="7F194A5F">
      <w:pPr>
        <w:pStyle w:val="3"/>
        <w:ind w:right="440"/>
        <w:jc w:val="right"/>
      </w:pPr>
      <w:bookmarkStart w:id="35" w:name="_Toc1757"/>
      <w:r>
        <w:rPr>
          <w:rFonts w:hint="eastAsia" w:ascii="黑体" w:eastAsia="黑体"/>
          <w:b w:val="0"/>
          <w:color w:val="000000"/>
        </w:rPr>
        <w:t>第二部分</w:t>
      </w:r>
      <w:r>
        <w:rPr>
          <w:rFonts w:hint="eastAsia" w:ascii="黑体" w:eastAsia="黑体"/>
          <w:color w:val="000000"/>
        </w:rPr>
        <w:t xml:space="preserve"> </w:t>
      </w:r>
      <w:r>
        <w:rPr>
          <w:rStyle w:val="20"/>
          <w:rFonts w:hint="eastAsia" w:ascii="黑体" w:eastAsia="黑体"/>
          <w:b w:val="0"/>
          <w:bCs w:val="0"/>
        </w:rPr>
        <w:t>2024年度部门决算情况说明</w:t>
      </w:r>
      <w:bookmarkEnd w:id="34"/>
      <w:bookmarkEnd w:id="35"/>
    </w:p>
    <w:p w14:paraId="515E1BE8">
      <w:pPr>
        <w:pStyle w:val="27"/>
        <w:numPr>
          <w:ilvl w:val="0"/>
          <w:numId w:val="1"/>
        </w:numPr>
        <w:ind w:left="0" w:firstLine="0" w:firstLineChars="0"/>
        <w:outlineLvl w:val="1"/>
        <w:rPr>
          <w:rStyle w:val="21"/>
          <w:rFonts w:ascii="黑体" w:eastAsia="黑体"/>
          <w:b w:val="0"/>
        </w:rPr>
      </w:pPr>
      <w:bookmarkStart w:id="36" w:name="_Toc15377205"/>
      <w:bookmarkStart w:id="37" w:name="_Toc24269"/>
      <w:r>
        <w:rPr>
          <w:rFonts w:hint="eastAsia" w:ascii="黑体" w:eastAsia="黑体"/>
          <w:color w:val="000000"/>
          <w:sz w:val="32"/>
          <w:szCs w:val="32"/>
        </w:rPr>
        <w:t>收</w:t>
      </w:r>
      <w:r>
        <w:rPr>
          <w:rStyle w:val="21"/>
          <w:rFonts w:hint="eastAsia" w:ascii="黑体" w:eastAsia="黑体"/>
          <w:b w:val="0"/>
        </w:rPr>
        <w:t>入支出决算总体情况说明</w:t>
      </w:r>
      <w:bookmarkEnd w:id="36"/>
      <w:bookmarkEnd w:id="37"/>
    </w:p>
    <w:p w14:paraId="43F8A85F">
      <w:pPr>
        <w:snapToGrid w:val="0"/>
        <w:spacing w:line="360" w:lineRule="auto"/>
        <w:ind w:firstLine="640" w:firstLineChars="200"/>
        <w:rPr>
          <w:rFonts w:eastAsia="仿宋_GB2312"/>
          <w:szCs w:val="32"/>
        </w:rPr>
      </w:pPr>
      <w:r>
        <w:rPr>
          <w:rFonts w:hint="eastAsia" w:ascii="仿宋_GB2312" w:eastAsia="仿宋_GB2312" w:cs="宋体"/>
          <w:kern w:val="0"/>
          <w:sz w:val="32"/>
          <w:szCs w:val="32"/>
        </w:rPr>
        <w:t>2024年总收入283.16万元，总支出283.16万元。</w:t>
      </w:r>
    </w:p>
    <w:p w14:paraId="2AFCB8B5">
      <w:pPr>
        <w:snapToGrid w:val="0"/>
        <w:spacing w:line="520" w:lineRule="exact"/>
        <w:ind w:firstLine="632" w:firstLineChars="200"/>
        <w:rPr>
          <w:rFonts w:ascii="仿宋_GB2312" w:eastAsia="仿宋_GB2312"/>
          <w:color w:val="000000"/>
          <w:spacing w:val="-2"/>
          <w:sz w:val="32"/>
          <w:szCs w:val="32"/>
        </w:rPr>
      </w:pPr>
    </w:p>
    <w:p w14:paraId="58BF1DA6">
      <w:pPr>
        <w:snapToGrid w:val="0"/>
        <w:spacing w:line="520" w:lineRule="exact"/>
        <w:ind w:firstLine="640" w:firstLineChars="200"/>
        <w:rPr>
          <w:rFonts w:ascii="黑体" w:eastAsia="黑体"/>
          <w:color w:val="000000"/>
          <w:sz w:val="32"/>
          <w:szCs w:val="32"/>
        </w:rPr>
      </w:pPr>
      <w:bookmarkStart w:id="38" w:name="_Toc2350"/>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304800</wp:posOffset>
            </wp:positionH>
            <wp:positionV relativeFrom="paragraph">
              <wp:posOffset>26670</wp:posOffset>
            </wp:positionV>
            <wp:extent cx="5250180" cy="3258820"/>
            <wp:effectExtent l="0" t="0" r="0" b="0"/>
            <wp:wrapTopAndBottom/>
            <wp:docPr id="1" name="图表 4" title="2024年"/>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9" w:name="_Toc15377206"/>
      <w:r>
        <w:rPr>
          <w:rFonts w:hint="eastAsia" w:ascii="黑体" w:eastAsia="黑体"/>
          <w:color w:val="000000"/>
          <w:sz w:val="32"/>
          <w:szCs w:val="32"/>
        </w:rPr>
        <w:t>二、收入决算情况说明</w:t>
      </w:r>
      <w:bookmarkEnd w:id="38"/>
      <w:bookmarkEnd w:id="39"/>
    </w:p>
    <w:p w14:paraId="50F0A72E">
      <w:pPr>
        <w:spacing w:line="600" w:lineRule="exact"/>
        <w:ind w:firstLine="640" w:firstLineChars="200"/>
        <w:outlineLvl w:val="1"/>
        <w:rPr>
          <w:rFonts w:ascii="仿宋" w:eastAsia="仿宋"/>
          <w:color w:val="000000"/>
          <w:sz w:val="32"/>
          <w:szCs w:val="32"/>
        </w:rPr>
      </w:pPr>
      <w:bookmarkStart w:id="40" w:name="_Toc23212"/>
      <w:bookmarkStart w:id="41" w:name="_Toc4019"/>
      <w:bookmarkStart w:id="42" w:name="_Toc28166"/>
      <w:bookmarkStart w:id="43" w:name="_Toc6522"/>
      <w:bookmarkStart w:id="44" w:name="_Toc19067"/>
      <w:r>
        <w:rPr>
          <w:rFonts w:ascii="仿宋" w:eastAsia="仿宋"/>
          <w:color w:val="000000"/>
          <w:sz w:val="32"/>
          <w:szCs w:val="32"/>
        </w:rPr>
        <w:t>20</w:t>
      </w:r>
      <w:r>
        <w:rPr>
          <w:rFonts w:hint="eastAsia" w:ascii="仿宋" w:eastAsia="仿宋"/>
          <w:color w:val="000000"/>
          <w:sz w:val="32"/>
          <w:szCs w:val="32"/>
        </w:rPr>
        <w:t>24年总收入283.1</w:t>
      </w:r>
      <w:r>
        <w:rPr>
          <w:rFonts w:hint="eastAsia" w:ascii="仿宋" w:eastAsia="仿宋"/>
          <w:color w:val="000000"/>
          <w:sz w:val="32"/>
          <w:szCs w:val="32"/>
          <w:lang w:val="en-US" w:eastAsia="zh-CN"/>
        </w:rPr>
        <w:t>7</w:t>
      </w:r>
      <w:r>
        <w:rPr>
          <w:rFonts w:hint="eastAsia" w:ascii="仿宋" w:eastAsia="仿宋"/>
          <w:color w:val="000000"/>
          <w:sz w:val="32"/>
          <w:szCs w:val="32"/>
        </w:rPr>
        <w:t>元，其中：一般公共预算财政拨款收入283.1</w:t>
      </w:r>
      <w:r>
        <w:rPr>
          <w:rFonts w:hint="eastAsia" w:ascii="仿宋" w:eastAsia="仿宋"/>
          <w:color w:val="000000"/>
          <w:sz w:val="32"/>
          <w:szCs w:val="32"/>
          <w:lang w:val="en-US" w:eastAsia="zh-CN"/>
        </w:rPr>
        <w:t>7</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40"/>
      <w:bookmarkEnd w:id="41"/>
      <w:bookmarkEnd w:id="42"/>
      <w:bookmarkEnd w:id="43"/>
      <w:bookmarkEnd w:id="44"/>
    </w:p>
    <w:p w14:paraId="7C61970E">
      <w:pPr>
        <w:spacing w:line="600" w:lineRule="exact"/>
        <w:ind w:firstLine="640" w:firstLineChars="200"/>
        <w:outlineLvl w:val="1"/>
        <w:rPr>
          <w:rStyle w:val="21"/>
          <w:rFonts w:ascii="黑体" w:eastAsia="黑体"/>
          <w:b w:val="0"/>
        </w:rPr>
      </w:pPr>
      <w:bookmarkStart w:id="45" w:name="_Toc32450"/>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186690</wp:posOffset>
            </wp:positionH>
            <wp:positionV relativeFrom="paragraph">
              <wp:posOffset>125095</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46" w:name="_Toc15377207"/>
      <w:r>
        <w:rPr>
          <w:rFonts w:hint="eastAsia" w:ascii="黑体" w:eastAsia="黑体"/>
          <w:color w:val="000000"/>
          <w:sz w:val="32"/>
          <w:szCs w:val="32"/>
        </w:rPr>
        <w:t>三、支出决</w:t>
      </w:r>
      <w:r>
        <w:rPr>
          <w:rStyle w:val="21"/>
          <w:rFonts w:hint="eastAsia" w:ascii="黑体" w:eastAsia="黑体"/>
          <w:b w:val="0"/>
        </w:rPr>
        <w:t>算情况说明</w:t>
      </w:r>
      <w:bookmarkEnd w:id="45"/>
      <w:bookmarkEnd w:id="46"/>
    </w:p>
    <w:p w14:paraId="5E87BC35">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2024年本年总支出283.1</w:t>
      </w:r>
      <w:r>
        <w:rPr>
          <w:rFonts w:hint="eastAsia" w:ascii="仿宋" w:eastAsia="仿宋"/>
          <w:color w:val="000000"/>
          <w:sz w:val="32"/>
          <w:szCs w:val="32"/>
          <w:lang w:val="en-US" w:eastAsia="zh-CN"/>
        </w:rPr>
        <w:t>7</w:t>
      </w:r>
      <w:r>
        <w:rPr>
          <w:rFonts w:hint="eastAsia" w:ascii="仿宋" w:eastAsia="仿宋"/>
          <w:color w:val="000000"/>
          <w:sz w:val="32"/>
          <w:szCs w:val="32"/>
        </w:rPr>
        <w:t>万元，其中：基本支出215.2万元，占75.9%；项目支出67.96万元，占24.1%；上缴上级支出0万元，占0%；经营支出0万元，占0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14:paraId="2C11CEF8">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175250" cy="3403600"/>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A548DF3">
      <w:pPr>
        <w:spacing w:line="600" w:lineRule="exact"/>
        <w:ind w:firstLine="640" w:firstLineChars="200"/>
        <w:outlineLvl w:val="1"/>
        <w:rPr>
          <w:rStyle w:val="21"/>
          <w:rFonts w:ascii="黑体" w:eastAsia="黑体"/>
          <w:b w:val="0"/>
        </w:rPr>
      </w:pPr>
      <w:bookmarkStart w:id="47" w:name="_Toc15377208"/>
      <w:bookmarkStart w:id="48" w:name="_Toc27007"/>
      <w:r>
        <w:rPr>
          <w:rFonts w:hint="eastAsia" w:ascii="黑体" w:eastAsia="黑体"/>
          <w:color w:val="000000"/>
          <w:sz w:val="32"/>
          <w:szCs w:val="32"/>
        </w:rPr>
        <w:t>四、财</w:t>
      </w:r>
      <w:r>
        <w:rPr>
          <w:rStyle w:val="21"/>
          <w:rFonts w:hint="eastAsia" w:ascii="黑体" w:eastAsia="黑体"/>
          <w:b w:val="0"/>
        </w:rPr>
        <w:t>政拨款收入支出决算总体情况说明</w:t>
      </w:r>
      <w:bookmarkEnd w:id="47"/>
      <w:bookmarkEnd w:id="48"/>
    </w:p>
    <w:p w14:paraId="38304F99">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2024年财政拨款收入283.1</w:t>
      </w:r>
      <w:r>
        <w:rPr>
          <w:rFonts w:hint="eastAsia" w:ascii="仿宋" w:eastAsia="仿宋"/>
          <w:color w:val="000000"/>
          <w:sz w:val="32"/>
          <w:szCs w:val="32"/>
          <w:lang w:val="en-US" w:eastAsia="zh-CN"/>
        </w:rPr>
        <w:t>7</w:t>
      </w:r>
      <w:r>
        <w:rPr>
          <w:rFonts w:hint="eastAsia" w:ascii="仿宋_GB2312" w:eastAsia="仿宋_GB2312"/>
          <w:color w:val="000000"/>
          <w:spacing w:val="-2"/>
          <w:sz w:val="32"/>
          <w:szCs w:val="32"/>
        </w:rPr>
        <w:t>万元，较上年收入减少190.28万元。减少的主要原因是人员变动，以及单位项目减少</w:t>
      </w:r>
      <w:bookmarkStart w:id="49" w:name="_Toc571"/>
    </w:p>
    <w:p w14:paraId="0B48EDBC">
      <w:pPr>
        <w:pStyle w:val="2"/>
        <w:spacing w:before="93" w:beforeLines="0"/>
        <w:rPr>
          <w:rFonts w:ascii="仿宋_GB2312" w:eastAsia="仿宋_GB2312"/>
          <w:color w:val="000000"/>
          <w:spacing w:val="-2"/>
          <w:sz w:val="32"/>
          <w:szCs w:val="32"/>
        </w:rPr>
      </w:pPr>
      <w:r>
        <w:rPr>
          <w:rFonts w:hint="eastAsia"/>
        </w:rPr>
        <w:drawing>
          <wp:inline distT="0" distB="0" distL="114300" distR="114300">
            <wp:extent cx="5079365" cy="3810000"/>
            <wp:effectExtent l="0" t="0" r="0" b="0"/>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6A521A">
      <w:pPr>
        <w:spacing w:line="600" w:lineRule="exact"/>
        <w:ind w:firstLine="640" w:firstLineChars="200"/>
        <w:outlineLvl w:val="1"/>
        <w:rPr>
          <w:rFonts w:ascii="黑体" w:eastAsia="黑体"/>
          <w:color w:val="000000"/>
          <w:sz w:val="32"/>
          <w:szCs w:val="32"/>
        </w:rPr>
      </w:pPr>
      <w:bookmarkStart w:id="50" w:name="_Toc15377209"/>
      <w:r>
        <w:rPr>
          <w:rFonts w:hint="eastAsia" w:ascii="黑体" w:eastAsia="黑体"/>
          <w:color w:val="000000"/>
          <w:sz w:val="32"/>
          <w:szCs w:val="32"/>
        </w:rPr>
        <w:t>五、一般公共预算财政拨款支出决算情况说明</w:t>
      </w:r>
      <w:bookmarkEnd w:id="49"/>
      <w:bookmarkEnd w:id="50"/>
    </w:p>
    <w:p w14:paraId="6FD71A43">
      <w:pPr>
        <w:spacing w:line="600" w:lineRule="exact"/>
        <w:ind w:firstLine="643" w:firstLineChars="200"/>
        <w:outlineLvl w:val="2"/>
        <w:rPr>
          <w:rFonts w:ascii="仿宋" w:eastAsia="仿宋"/>
          <w:b/>
          <w:color w:val="000000"/>
          <w:sz w:val="32"/>
          <w:szCs w:val="32"/>
        </w:rPr>
      </w:pPr>
      <w:bookmarkStart w:id="51" w:name="_Toc15377210"/>
      <w:r>
        <w:rPr>
          <w:rFonts w:hint="eastAsia" w:ascii="仿宋" w:eastAsia="仿宋"/>
          <w:b/>
          <w:color w:val="000000"/>
          <w:sz w:val="32"/>
          <w:szCs w:val="32"/>
        </w:rPr>
        <w:t>（一）一般公共预算财政拨款支出决算总体情况</w:t>
      </w:r>
      <w:bookmarkEnd w:id="51"/>
    </w:p>
    <w:p w14:paraId="72032468">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2024年</w:t>
      </w:r>
      <w:r>
        <w:rPr>
          <w:rFonts w:hint="eastAsia" w:ascii="仿宋_GB2312" w:eastAsia="仿宋_GB2312"/>
          <w:spacing w:val="-2"/>
          <w:sz w:val="32"/>
          <w:szCs w:val="32"/>
        </w:rPr>
        <w:t>一般公共预算财政拨款支出283.1</w:t>
      </w:r>
      <w:r>
        <w:rPr>
          <w:rFonts w:hint="eastAsia" w:ascii="仿宋_GB2312" w:eastAsia="仿宋_GB2312"/>
          <w:spacing w:val="-2"/>
          <w:sz w:val="32"/>
          <w:szCs w:val="32"/>
          <w:lang w:val="en-US" w:eastAsia="zh-CN"/>
        </w:rPr>
        <w:t>7</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w:t>
      </w:r>
      <w:bookmarkStart w:id="52" w:name="_Toc15377211"/>
      <w:r>
        <w:rPr>
          <w:rFonts w:hint="eastAsia" w:ascii="仿宋" w:eastAsia="仿宋"/>
          <w:sz w:val="32"/>
          <w:szCs w:val="32"/>
        </w:rPr>
        <w:t>较上年支出减少190.28</w:t>
      </w:r>
      <w:r>
        <w:rPr>
          <w:rFonts w:hint="eastAsia" w:ascii="仿宋_GB2312" w:eastAsia="仿宋_GB2312"/>
          <w:color w:val="000000"/>
          <w:spacing w:val="-2"/>
          <w:sz w:val="32"/>
          <w:szCs w:val="32"/>
        </w:rPr>
        <w:t>万元。减少的主要原因是人员变动，以及单位项目减少</w:t>
      </w:r>
    </w:p>
    <w:p w14:paraId="4CCBC063">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52"/>
    </w:p>
    <w:p w14:paraId="21D84636">
      <w:pPr>
        <w:spacing w:line="600" w:lineRule="exact"/>
        <w:ind w:firstLine="640"/>
        <w:rPr>
          <w:rFonts w:hint="eastAsia" w:ascii="仿宋" w:eastAsia="仿宋"/>
          <w:color w:val="000000"/>
          <w:sz w:val="32"/>
          <w:szCs w:val="32"/>
        </w:rPr>
      </w:pPr>
      <w:r>
        <w:rPr>
          <w:rFonts w:hint="eastAsia" w:ascii="仿宋" w:eastAsia="仿宋"/>
          <w:color w:val="000000"/>
          <w:sz w:val="32"/>
          <w:szCs w:val="32"/>
        </w:rPr>
        <w:t>2024年一般公共预算财政拨款支出283.1</w:t>
      </w:r>
      <w:r>
        <w:rPr>
          <w:rFonts w:hint="eastAsia" w:ascii="仿宋" w:eastAsia="仿宋"/>
          <w:color w:val="000000"/>
          <w:sz w:val="32"/>
          <w:szCs w:val="32"/>
          <w:lang w:val="en-US" w:eastAsia="zh-CN"/>
        </w:rPr>
        <w:t>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文化旅游体育与传媒支出（类）</w:t>
      </w:r>
      <w:r>
        <w:rPr>
          <w:rFonts w:hint="eastAsia" w:ascii="仿宋" w:eastAsia="仿宋"/>
          <w:color w:val="000000"/>
          <w:sz w:val="32"/>
          <w:szCs w:val="32"/>
        </w:rPr>
        <w:t>支出2</w:t>
      </w:r>
      <w:r>
        <w:rPr>
          <w:rFonts w:ascii="仿宋" w:eastAsia="仿宋"/>
          <w:color w:val="000000"/>
          <w:sz w:val="32"/>
          <w:szCs w:val="32"/>
        </w:rPr>
        <w:t>30.08</w:t>
      </w:r>
      <w:r>
        <w:rPr>
          <w:rFonts w:hint="eastAsia" w:ascii="仿宋" w:eastAsia="仿宋"/>
          <w:color w:val="000000"/>
          <w:sz w:val="32"/>
          <w:szCs w:val="32"/>
        </w:rPr>
        <w:t>万元，占</w:t>
      </w:r>
      <w:r>
        <w:rPr>
          <w:rFonts w:ascii="仿宋" w:eastAsia="仿宋"/>
          <w:color w:val="000000"/>
          <w:sz w:val="32"/>
          <w:szCs w:val="32"/>
        </w:rPr>
        <w:t>81.25%</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支出26.94万元，占9</w:t>
      </w:r>
      <w:r>
        <w:rPr>
          <w:rFonts w:ascii="仿宋" w:eastAsia="仿宋"/>
          <w:color w:val="000000"/>
          <w:sz w:val="32"/>
          <w:szCs w:val="32"/>
        </w:rPr>
        <w:t>.51%</w:t>
      </w:r>
      <w:r>
        <w:rPr>
          <w:rFonts w:hint="eastAsia" w:ascii="仿宋" w:eastAsia="仿宋"/>
          <w:color w:val="000000"/>
          <w:sz w:val="32"/>
          <w:szCs w:val="32"/>
        </w:rPr>
        <w:t>；</w:t>
      </w:r>
      <w:r>
        <w:rPr>
          <w:rFonts w:hint="eastAsia" w:ascii="仿宋" w:eastAsia="仿宋"/>
          <w:b/>
          <w:bCs/>
          <w:color w:val="000000"/>
          <w:sz w:val="32"/>
          <w:szCs w:val="32"/>
        </w:rPr>
        <w:t>卫生健康支出11.16</w:t>
      </w:r>
      <w:r>
        <w:rPr>
          <w:rFonts w:hint="eastAsia" w:ascii="仿宋" w:eastAsia="仿宋"/>
          <w:color w:val="000000"/>
          <w:sz w:val="32"/>
          <w:szCs w:val="32"/>
        </w:rPr>
        <w:t>万元，占3.94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14.97万元，占3.56</w:t>
      </w:r>
      <w:r>
        <w:rPr>
          <w:rFonts w:ascii="仿宋" w:eastAsia="仿宋"/>
          <w:color w:val="000000"/>
          <w:sz w:val="32"/>
          <w:szCs w:val="32"/>
        </w:rPr>
        <w:t>%</w:t>
      </w:r>
      <w:r>
        <w:rPr>
          <w:rFonts w:hint="eastAsia" w:ascii="仿宋" w:eastAsia="仿宋"/>
          <w:color w:val="000000"/>
          <w:sz w:val="32"/>
          <w:szCs w:val="32"/>
        </w:rPr>
        <w:t>，</w:t>
      </w:r>
      <w:r>
        <w:rPr>
          <w:rFonts w:ascii="仿宋" w:eastAsia="仿宋"/>
          <w:color w:val="000000"/>
          <w:sz w:val="32"/>
          <w:szCs w:val="32"/>
        </w:rPr>
        <w:t xml:space="preserve"> </w:t>
      </w:r>
      <w:bookmarkStart w:id="53" w:name="_Toc15377212"/>
      <w:bookmarkStart w:id="54" w:name="_Toc15377213"/>
      <w:bookmarkStart w:id="55" w:name="_Toc15377444"/>
      <w:bookmarkStart w:id="56" w:name="_Toc15378460"/>
    </w:p>
    <w:p w14:paraId="0B509D10">
      <w:pPr>
        <w:pStyle w:val="2"/>
        <w:spacing w:before="93" w:beforeLines="0"/>
        <w:rPr>
          <w:rFonts w:hint="eastAsia"/>
        </w:rPr>
      </w:pPr>
    </w:p>
    <w:p w14:paraId="1817ACCD">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53"/>
    </w:p>
    <w:p w14:paraId="627E3C95">
      <w:pPr>
        <w:spacing w:line="600" w:lineRule="exact"/>
        <w:outlineLvl w:val="2"/>
        <w:rPr>
          <w:rFonts w:ascii="仿宋" w:eastAsia="仿宋"/>
          <w:bCs/>
          <w:color w:val="FF0000"/>
          <w:sz w:val="32"/>
          <w:szCs w:val="32"/>
        </w:rPr>
      </w:pPr>
      <w:r>
        <w:rPr>
          <w:rFonts w:hint="eastAsia" w:ascii="仿宋" w:eastAsia="仿宋"/>
          <w:bCs/>
          <w:color w:val="000000"/>
          <w:sz w:val="32"/>
          <w:szCs w:val="32"/>
        </w:rPr>
        <w:t>2024年一般公共预算数为</w:t>
      </w:r>
      <w:r>
        <w:rPr>
          <w:rFonts w:hint="eastAsia" w:ascii="仿宋_GB2312" w:eastAsia="仿宋_GB2312"/>
          <w:color w:val="000000"/>
          <w:spacing w:val="-2"/>
          <w:sz w:val="32"/>
          <w:szCs w:val="32"/>
        </w:rPr>
        <w:t>283.1</w:t>
      </w:r>
      <w:r>
        <w:rPr>
          <w:rFonts w:hint="eastAsia" w:ascii="仿宋_GB2312" w:eastAsia="仿宋_GB2312"/>
          <w:color w:val="000000"/>
          <w:spacing w:val="-2"/>
          <w:sz w:val="32"/>
          <w:szCs w:val="32"/>
          <w:lang w:val="en-US" w:eastAsia="zh-CN"/>
        </w:rPr>
        <w:t>7</w:t>
      </w:r>
      <w:r>
        <w:rPr>
          <w:rFonts w:hint="eastAsia" w:ascii="仿宋" w:eastAsia="仿宋"/>
          <w:bCs/>
          <w:color w:val="000000"/>
          <w:sz w:val="32"/>
          <w:szCs w:val="32"/>
        </w:rPr>
        <w:t>万元，支出决算数为283.16万元，完</w:t>
      </w:r>
      <w:r>
        <w:rPr>
          <w:rStyle w:val="18"/>
          <w:rFonts w:hint="eastAsia" w:ascii="仿宋" w:eastAsia="仿宋"/>
          <w:b w:val="0"/>
          <w:bCs/>
          <w:color w:val="000000"/>
          <w:sz w:val="32"/>
          <w:szCs w:val="32"/>
        </w:rPr>
        <w:t>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。其中：</w:t>
      </w:r>
      <w:bookmarkEnd w:id="54"/>
      <w:bookmarkEnd w:id="55"/>
      <w:bookmarkEnd w:id="56"/>
    </w:p>
    <w:p w14:paraId="46AE41EB">
      <w:pPr>
        <w:spacing w:line="600" w:lineRule="exact"/>
        <w:ind w:firstLine="643" w:firstLineChars="200"/>
        <w:rPr>
          <w:rStyle w:val="18"/>
          <w:rFonts w:ascii="仿宋" w:eastAsia="仿宋"/>
          <w:b w:val="0"/>
          <w:bCs/>
          <w:color w:val="000000"/>
          <w:sz w:val="32"/>
          <w:szCs w:val="32"/>
        </w:rPr>
      </w:pPr>
      <w:r>
        <w:rPr>
          <w:rStyle w:val="18"/>
          <w:rFonts w:ascii="仿宋" w:eastAsia="仿宋"/>
          <w:bCs/>
          <w:color w:val="000000"/>
          <w:sz w:val="32"/>
          <w:szCs w:val="32"/>
        </w:rPr>
        <w:t>1.</w:t>
      </w:r>
      <w:r>
        <w:rPr>
          <w:rStyle w:val="18"/>
          <w:rFonts w:hint="eastAsia" w:ascii="仿宋" w:eastAsia="仿宋"/>
          <w:bCs/>
          <w:color w:val="000000"/>
          <w:sz w:val="32"/>
          <w:szCs w:val="32"/>
        </w:rPr>
        <w:t>文化体育与传媒支出</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Fonts w:hint="eastAsia" w:ascii="仿宋" w:eastAsia="仿宋"/>
          <w:color w:val="000000"/>
          <w:sz w:val="32"/>
          <w:szCs w:val="32"/>
        </w:rPr>
        <w:t>50</w:t>
      </w:r>
      <w:r>
        <w:rPr>
          <w:rStyle w:val="18"/>
          <w:rFonts w:hint="eastAsia" w:ascii="仿宋" w:eastAsia="仿宋"/>
          <w:b w:val="0"/>
          <w:bCs/>
          <w:color w:val="000000"/>
          <w:sz w:val="32"/>
          <w:szCs w:val="32"/>
        </w:rPr>
        <w:t>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02AED817">
      <w:pPr>
        <w:spacing w:line="600" w:lineRule="exact"/>
        <w:ind w:firstLine="643" w:firstLineChars="200"/>
        <w:rPr>
          <w:rFonts w:ascii="仿宋" w:eastAsia="仿宋"/>
          <w:b/>
          <w:color w:val="000000"/>
          <w:sz w:val="32"/>
          <w:szCs w:val="32"/>
        </w:rPr>
      </w:pPr>
      <w:r>
        <w:rPr>
          <w:rStyle w:val="18"/>
          <w:rFonts w:ascii="仿宋" w:eastAsia="仿宋"/>
          <w:bCs/>
          <w:color w:val="000000"/>
          <w:sz w:val="32"/>
          <w:szCs w:val="32"/>
        </w:rPr>
        <w:t>2</w:t>
      </w:r>
      <w:r>
        <w:rPr>
          <w:rStyle w:val="18"/>
          <w:rFonts w:ascii="仿宋" w:eastAsia="仿宋"/>
          <w:b w:val="0"/>
          <w:bCs/>
          <w:color w:val="000000"/>
          <w:sz w:val="32"/>
          <w:szCs w:val="32"/>
        </w:rPr>
        <w:t xml:space="preserve"> </w:t>
      </w:r>
      <w:r>
        <w:rPr>
          <w:rStyle w:val="18"/>
          <w:rFonts w:hint="eastAsia" w:ascii="仿宋" w:eastAsia="仿宋"/>
          <w:bCs/>
          <w:color w:val="000000"/>
          <w:sz w:val="32"/>
          <w:szCs w:val="32"/>
        </w:rPr>
        <w:t>社会保障和就业支出</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Fonts w:hint="eastAsia" w:ascii="仿宋" w:eastAsia="仿宋"/>
          <w:color w:val="000000"/>
          <w:sz w:val="32"/>
          <w:szCs w:val="32"/>
        </w:rPr>
        <w:t>26.94</w:t>
      </w:r>
      <w:r>
        <w:rPr>
          <w:rStyle w:val="18"/>
          <w:rFonts w:hint="eastAsia" w:ascii="仿宋" w:eastAsia="仿宋"/>
          <w:b w:val="0"/>
          <w:bCs/>
          <w:color w:val="000000"/>
          <w:sz w:val="32"/>
          <w:szCs w:val="32"/>
        </w:rPr>
        <w:t>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4CBDF784">
      <w:pPr>
        <w:spacing w:line="600" w:lineRule="exact"/>
        <w:ind w:firstLine="643" w:firstLineChars="200"/>
        <w:rPr>
          <w:rStyle w:val="18"/>
          <w:rFonts w:ascii="仿宋" w:eastAsia="仿宋"/>
          <w:b w:val="0"/>
          <w:bCs/>
          <w:color w:val="000000"/>
          <w:sz w:val="32"/>
          <w:szCs w:val="32"/>
        </w:rPr>
      </w:pPr>
      <w:bookmarkStart w:id="57" w:name="_Toc15377214"/>
      <w:r>
        <w:rPr>
          <w:rStyle w:val="18"/>
          <w:rFonts w:hint="eastAsia" w:ascii="仿宋" w:eastAsia="仿宋"/>
          <w:bCs/>
          <w:color w:val="000000"/>
          <w:sz w:val="32"/>
          <w:szCs w:val="32"/>
        </w:rPr>
        <w:t>3.住房保障支出：</w:t>
      </w:r>
      <w:r>
        <w:rPr>
          <w:rStyle w:val="18"/>
          <w:rFonts w:hint="eastAsia" w:ascii="仿宋" w:eastAsia="仿宋"/>
          <w:b w:val="0"/>
          <w:bCs/>
          <w:color w:val="000000"/>
          <w:sz w:val="32"/>
          <w:szCs w:val="32"/>
        </w:rPr>
        <w:t>支出决算为</w:t>
      </w:r>
      <w:r>
        <w:rPr>
          <w:rFonts w:hint="eastAsia" w:ascii="仿宋" w:eastAsia="仿宋"/>
          <w:color w:val="000000"/>
          <w:sz w:val="32"/>
          <w:szCs w:val="32"/>
        </w:rPr>
        <w:t>14.97</w:t>
      </w:r>
      <w:r>
        <w:rPr>
          <w:rStyle w:val="18"/>
          <w:rFonts w:hint="eastAsia" w:ascii="仿宋" w:eastAsia="仿宋"/>
          <w:b w:val="0"/>
          <w:bCs/>
          <w:color w:val="000000"/>
          <w:sz w:val="32"/>
          <w:szCs w:val="32"/>
        </w:rPr>
        <w:t>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2567A520">
      <w:pPr>
        <w:spacing w:line="600" w:lineRule="exact"/>
        <w:ind w:firstLine="643" w:firstLineChars="200"/>
        <w:rPr>
          <w:rStyle w:val="18"/>
          <w:rFonts w:ascii="仿宋" w:eastAsia="仿宋"/>
          <w:b w:val="0"/>
          <w:bCs/>
          <w:color w:val="000000"/>
          <w:sz w:val="32"/>
          <w:szCs w:val="32"/>
        </w:rPr>
      </w:pPr>
      <w:r>
        <w:rPr>
          <w:rStyle w:val="18"/>
          <w:rFonts w:hint="eastAsia" w:ascii="仿宋" w:eastAsia="仿宋"/>
          <w:bCs/>
          <w:color w:val="000000"/>
          <w:sz w:val="32"/>
          <w:szCs w:val="32"/>
        </w:rPr>
        <w:t>4.卫生健康支出：</w:t>
      </w:r>
      <w:r>
        <w:rPr>
          <w:rStyle w:val="18"/>
          <w:rFonts w:hint="eastAsia" w:ascii="仿宋" w:eastAsia="仿宋"/>
          <w:b w:val="0"/>
          <w:bCs/>
          <w:color w:val="000000"/>
          <w:sz w:val="32"/>
          <w:szCs w:val="32"/>
        </w:rPr>
        <w:t>支出决算为</w:t>
      </w:r>
      <w:r>
        <w:rPr>
          <w:rFonts w:hint="eastAsia" w:ascii="仿宋" w:eastAsia="仿宋"/>
          <w:b/>
          <w:bCs/>
          <w:color w:val="000000"/>
          <w:sz w:val="32"/>
          <w:szCs w:val="32"/>
        </w:rPr>
        <w:t>11.16</w:t>
      </w:r>
      <w:r>
        <w:rPr>
          <w:rStyle w:val="18"/>
          <w:rFonts w:hint="eastAsia" w:ascii="仿宋" w:eastAsia="仿宋"/>
          <w:b w:val="0"/>
          <w:bCs/>
          <w:color w:val="000000"/>
          <w:sz w:val="32"/>
          <w:szCs w:val="32"/>
        </w:rPr>
        <w:t>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22142FED">
      <w:pPr>
        <w:spacing w:line="600" w:lineRule="exact"/>
        <w:ind w:firstLine="643" w:firstLineChars="200"/>
        <w:rPr>
          <w:rStyle w:val="18"/>
          <w:rFonts w:hint="eastAsia" w:ascii="仿宋" w:eastAsia="仿宋"/>
          <w:b w:val="0"/>
          <w:bCs/>
          <w:color w:val="000000"/>
          <w:sz w:val="32"/>
          <w:szCs w:val="32"/>
        </w:rPr>
      </w:pPr>
      <w:r>
        <w:rPr>
          <w:rStyle w:val="18"/>
          <w:rFonts w:ascii="仿宋" w:eastAsia="仿宋"/>
          <w:bCs/>
          <w:color w:val="000000"/>
          <w:sz w:val="32"/>
          <w:szCs w:val="32"/>
        </w:rPr>
        <w:t>6</w:t>
      </w:r>
      <w:r>
        <w:rPr>
          <w:rStyle w:val="18"/>
          <w:rFonts w:hint="eastAsia" w:ascii="仿宋" w:eastAsia="仿宋"/>
          <w:bCs/>
          <w:color w:val="000000"/>
          <w:sz w:val="32"/>
          <w:szCs w:val="32"/>
        </w:rPr>
        <w:t>.其他支出：</w:t>
      </w:r>
      <w:r>
        <w:rPr>
          <w:rStyle w:val="18"/>
          <w:rFonts w:hint="eastAsia" w:ascii="仿宋" w:eastAsia="仿宋"/>
          <w:b w:val="0"/>
          <w:bCs/>
          <w:color w:val="000000"/>
          <w:sz w:val="32"/>
          <w:szCs w:val="32"/>
        </w:rPr>
        <w:t>支出决算为162.13万元，完成预算100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7E796084">
      <w:pPr>
        <w:pStyle w:val="4"/>
        <w:spacing w:before="0" w:after="0" w:line="240" w:lineRule="auto"/>
        <w:ind w:left="640" w:hanging="640" w:hangingChars="200"/>
        <w:rPr>
          <w:rFonts w:ascii="黑体" w:eastAsia="黑体"/>
          <w:b w:val="0"/>
          <w:color w:val="000000"/>
        </w:rPr>
      </w:pPr>
      <w:bookmarkStart w:id="58" w:name="_Toc21339"/>
      <w:r>
        <w:rPr>
          <w:rFonts w:hint="eastAsia" w:ascii="黑体" w:eastAsia="黑体"/>
          <w:b w:val="0"/>
          <w:color w:val="000000"/>
        </w:rPr>
        <w:t>六、一般公共预算财政拨款基本支出决算情况说明</w:t>
      </w:r>
      <w:bookmarkEnd w:id="57"/>
      <w:bookmarkEnd w:id="58"/>
      <w:r>
        <w:rPr>
          <w:rFonts w:hint="eastAsia" w:ascii="黑体" w:eastAsia="黑体"/>
          <w:b w:val="0"/>
          <w:color w:val="000000"/>
        </w:rPr>
        <w:tab/>
      </w:r>
    </w:p>
    <w:p w14:paraId="7FF0E672">
      <w:pPr>
        <w:spacing w:line="600" w:lineRule="exact"/>
        <w:ind w:firstLine="645"/>
        <w:rPr>
          <w:rFonts w:ascii="仿宋" w:eastAsia="仿宋"/>
          <w:color w:val="000000"/>
          <w:sz w:val="32"/>
          <w:szCs w:val="32"/>
        </w:rPr>
      </w:pPr>
      <w:r>
        <w:rPr>
          <w:rFonts w:hint="eastAsia" w:ascii="仿宋" w:eastAsia="仿宋"/>
          <w:color w:val="000000"/>
          <w:sz w:val="32"/>
          <w:szCs w:val="32"/>
        </w:rPr>
        <w:t>2024年一般公共预算财政拨款基本支出308.42万元，其中：</w:t>
      </w:r>
    </w:p>
    <w:p w14:paraId="28913985">
      <w:pPr>
        <w:spacing w:line="600" w:lineRule="exact"/>
        <w:ind w:firstLine="645"/>
        <w:rPr>
          <w:rFonts w:eastAsia="仿宋"/>
        </w:rPr>
      </w:pPr>
      <w:r>
        <w:rPr>
          <w:rFonts w:hint="eastAsia" w:ascii="仿宋" w:eastAsia="仿宋"/>
          <w:color w:val="000000"/>
          <w:sz w:val="32"/>
          <w:szCs w:val="32"/>
        </w:rPr>
        <w:t>人员经费215.2万元，主要包括：基本工资33.91万元、津贴补贴20.78万元、奖金29.74万元、绩效工资49.32万元、机关事业单位基本养老保险缴费18.38万元、职业年金缴费8.5万元、职工基本医疗保险缴费9.02万元、公务员医疗补助缴费2.13万元、其他社会保障缴费3.08万元、住房公积金14.97万。公用经费25.26万元，主要包括：办公费6.69万元、电费1.8万元、公车运行维护费2.36万元、邮电费3万元、差旅费2.4万元，劳务费9万元。项目支出67.96万元。</w:t>
      </w:r>
    </w:p>
    <w:p w14:paraId="4531BBB6">
      <w:pPr>
        <w:spacing w:line="600" w:lineRule="exact"/>
        <w:outlineLvl w:val="1"/>
        <w:rPr>
          <w:rStyle w:val="21"/>
          <w:rFonts w:ascii="黑体" w:eastAsia="黑体"/>
          <w:b w:val="0"/>
        </w:rPr>
      </w:pPr>
      <w:bookmarkStart w:id="59" w:name="_Toc15377215"/>
      <w:bookmarkStart w:id="60" w:name="_Toc23406"/>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59"/>
      <w:bookmarkEnd w:id="60"/>
    </w:p>
    <w:p w14:paraId="366083F8">
      <w:pPr>
        <w:spacing w:line="600" w:lineRule="exact"/>
        <w:ind w:firstLine="640"/>
        <w:outlineLvl w:val="2"/>
        <w:rPr>
          <w:rFonts w:ascii="仿宋" w:eastAsia="仿宋"/>
          <w:b/>
          <w:color w:val="000000"/>
          <w:sz w:val="32"/>
          <w:szCs w:val="32"/>
        </w:rPr>
      </w:pPr>
      <w:bookmarkStart w:id="61" w:name="_Toc15377216"/>
      <w:r>
        <w:rPr>
          <w:rFonts w:hint="eastAsia" w:ascii="仿宋" w:eastAsia="仿宋"/>
          <w:b/>
          <w:color w:val="000000"/>
          <w:sz w:val="32"/>
          <w:szCs w:val="32"/>
        </w:rPr>
        <w:t>（一）“三公”经费财政拨款支出决算总体情况说明</w:t>
      </w:r>
      <w:bookmarkEnd w:id="61"/>
    </w:p>
    <w:p w14:paraId="5A2EEDB7">
      <w:pPr>
        <w:spacing w:line="600" w:lineRule="exact"/>
        <w:ind w:firstLine="640"/>
        <w:rPr>
          <w:rFonts w:ascii="仿宋" w:eastAsia="仿宋"/>
          <w:color w:val="000000"/>
          <w:sz w:val="32"/>
          <w:szCs w:val="32"/>
        </w:rPr>
      </w:pPr>
      <w:r>
        <w:rPr>
          <w:rFonts w:hint="eastAsia" w:ascii="仿宋" w:eastAsia="仿宋"/>
          <w:color w:val="000000"/>
          <w:sz w:val="32"/>
          <w:szCs w:val="32"/>
        </w:rPr>
        <w:t>2024年“三公”经费财政拨款支出决算为25.26万元，完成预算100</w:t>
      </w:r>
      <w:r>
        <w:rPr>
          <w:rFonts w:ascii="仿宋" w:eastAsia="仿宋"/>
          <w:color w:val="000000"/>
          <w:sz w:val="32"/>
          <w:szCs w:val="32"/>
        </w:rPr>
        <w:t>%</w:t>
      </w:r>
      <w:r>
        <w:rPr>
          <w:rFonts w:hint="eastAsia" w:ascii="仿宋" w:eastAsia="仿宋"/>
          <w:color w:val="000000"/>
          <w:sz w:val="32"/>
          <w:szCs w:val="32"/>
        </w:rPr>
        <w:t>，决算数与预算数持平。</w:t>
      </w:r>
    </w:p>
    <w:p w14:paraId="5A123F65">
      <w:pPr>
        <w:spacing w:line="600" w:lineRule="exact"/>
        <w:ind w:firstLine="640"/>
        <w:outlineLvl w:val="2"/>
        <w:rPr>
          <w:rFonts w:ascii="仿宋" w:eastAsia="仿宋"/>
          <w:b/>
          <w:color w:val="000000"/>
          <w:sz w:val="32"/>
          <w:szCs w:val="32"/>
        </w:rPr>
      </w:pPr>
      <w:bookmarkStart w:id="62" w:name="_Toc15377217"/>
      <w:r>
        <w:rPr>
          <w:rFonts w:hint="eastAsia" w:ascii="仿宋" w:eastAsia="仿宋"/>
          <w:b/>
          <w:color w:val="000000"/>
          <w:sz w:val="32"/>
          <w:szCs w:val="32"/>
        </w:rPr>
        <w:t>（二）“三公”经费财政拨款支出决算具体情况说明</w:t>
      </w:r>
      <w:bookmarkEnd w:id="62"/>
    </w:p>
    <w:p w14:paraId="5246ED68">
      <w:pPr>
        <w:spacing w:line="600" w:lineRule="exact"/>
        <w:ind w:firstLine="640"/>
        <w:rPr>
          <w:rFonts w:ascii="仿宋" w:eastAsia="仿宋"/>
          <w:color w:val="000000"/>
          <w:sz w:val="32"/>
          <w:szCs w:val="32"/>
        </w:rPr>
      </w:pPr>
      <w:r>
        <w:rPr>
          <w:rFonts w:hint="eastAsia" w:ascii="仿宋" w:eastAsia="仿宋"/>
          <w:color w:val="000000"/>
          <w:sz w:val="32"/>
          <w:szCs w:val="32"/>
        </w:rPr>
        <w:t>2024年“三公”经费财政拨款支出</w:t>
      </w:r>
      <w:r>
        <w:rPr>
          <w:rFonts w:hint="eastAsia" w:ascii="仿宋" w:eastAsia="仿宋"/>
          <w:sz w:val="32"/>
          <w:szCs w:val="32"/>
        </w:rPr>
        <w:t>决算</w:t>
      </w:r>
      <w:r>
        <w:rPr>
          <w:rFonts w:hint="eastAsia" w:ascii="仿宋" w:eastAsia="仿宋"/>
          <w:color w:val="000000"/>
          <w:sz w:val="32"/>
          <w:szCs w:val="32"/>
        </w:rPr>
        <w:t>25.26</w:t>
      </w:r>
      <w:r>
        <w:rPr>
          <w:rFonts w:hint="eastAsia" w:ascii="仿宋" w:eastAsia="仿宋"/>
          <w:sz w:val="32"/>
          <w:szCs w:val="32"/>
        </w:rPr>
        <w:t>万元</w:t>
      </w:r>
      <w:r>
        <w:rPr>
          <w:rFonts w:hint="eastAsia" w:ascii="仿宋" w:eastAsia="仿宋"/>
          <w:color w:val="000000"/>
          <w:sz w:val="32"/>
          <w:szCs w:val="32"/>
        </w:rPr>
        <w:t>，其中：公务用车购置及运行维护费支出决算2.52万元，占100</w:t>
      </w:r>
      <w:r>
        <w:rPr>
          <w:rFonts w:ascii="仿宋" w:eastAsia="仿宋"/>
          <w:color w:val="000000"/>
          <w:sz w:val="32"/>
          <w:szCs w:val="32"/>
        </w:rPr>
        <w:t>%</w:t>
      </w:r>
      <w:r>
        <w:rPr>
          <w:rFonts w:hint="eastAsia" w:ascii="仿宋" w:eastAsia="仿宋"/>
          <w:color w:val="000000"/>
          <w:sz w:val="32"/>
          <w:szCs w:val="32"/>
        </w:rPr>
        <w:t>；</w:t>
      </w:r>
    </w:p>
    <w:p w14:paraId="3CADBA05">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eastAsia="仿宋"/>
          <w:color w:val="000000"/>
          <w:sz w:val="32"/>
          <w:szCs w:val="32"/>
        </w:rPr>
        <w:t>0</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2024</w:t>
      </w:r>
      <w:r>
        <w:rPr>
          <w:rFonts w:hint="eastAsia" w:ascii="仿宋_GB2312" w:eastAsia="仿宋_GB2312"/>
          <w:color w:val="000000"/>
          <w:sz w:val="32"/>
          <w:szCs w:val="32"/>
        </w:rPr>
        <w:t>年上升0万元</w:t>
      </w:r>
      <w:r>
        <w:rPr>
          <w:rFonts w:hint="eastAsia" w:ascii="仿宋_GB2312" w:eastAsia="仿宋_GB2312" w:cs="仿宋"/>
          <w:color w:val="000000"/>
          <w:sz w:val="32"/>
          <w:szCs w:val="32"/>
        </w:rPr>
        <w:t>。</w:t>
      </w:r>
    </w:p>
    <w:p w14:paraId="0770F265">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eastAsia="仿宋"/>
          <w:color w:val="000000"/>
          <w:sz w:val="32"/>
          <w:szCs w:val="32"/>
        </w:rPr>
        <w:t>2.36</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14:paraId="749C3414">
      <w:pPr>
        <w:spacing w:line="600" w:lineRule="exact"/>
        <w:ind w:firstLine="640"/>
        <w:outlineLvl w:val="1"/>
        <w:rPr>
          <w:rStyle w:val="21"/>
          <w:rFonts w:ascii="黑体" w:eastAsia="黑体"/>
        </w:rPr>
      </w:pPr>
      <w:bookmarkStart w:id="63" w:name="_Toc10384"/>
      <w:bookmarkStart w:id="64" w:name="_Toc15377218"/>
      <w:r>
        <w:rPr>
          <w:rFonts w:hint="eastAsia" w:ascii="黑体" w:eastAsia="黑体"/>
          <w:color w:val="000000"/>
          <w:sz w:val="32"/>
          <w:szCs w:val="32"/>
        </w:rPr>
        <w:t>八、</w:t>
      </w:r>
      <w:r>
        <w:rPr>
          <w:rStyle w:val="21"/>
          <w:rFonts w:hint="eastAsia" w:ascii="黑体" w:eastAsia="黑体"/>
          <w:b w:val="0"/>
        </w:rPr>
        <w:t>政府性基金预算支出决算情况说明</w:t>
      </w:r>
      <w:bookmarkEnd w:id="63"/>
      <w:bookmarkEnd w:id="64"/>
    </w:p>
    <w:p w14:paraId="3E5106A6">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2024年政府性基金预算拨款支出0万元。</w:t>
      </w:r>
    </w:p>
    <w:p w14:paraId="4EF32EEA">
      <w:pPr>
        <w:numPr>
          <w:ilvl w:val="0"/>
          <w:numId w:val="2"/>
        </w:numPr>
        <w:spacing w:line="600" w:lineRule="exact"/>
        <w:ind w:left="0" w:firstLine="640"/>
        <w:outlineLvl w:val="1"/>
        <w:rPr>
          <w:rStyle w:val="21"/>
          <w:rFonts w:ascii="黑体" w:eastAsia="黑体"/>
          <w:b w:val="0"/>
        </w:rPr>
      </w:pPr>
      <w:bookmarkStart w:id="65" w:name="_Toc15377219"/>
      <w:bookmarkStart w:id="66" w:name="_Toc18955"/>
      <w:r>
        <w:rPr>
          <w:rStyle w:val="21"/>
          <w:rFonts w:hint="eastAsia" w:ascii="黑体" w:eastAsia="黑体"/>
          <w:b w:val="0"/>
        </w:rPr>
        <w:t>国有资本经营预算支出决算情况说明</w:t>
      </w:r>
      <w:bookmarkEnd w:id="65"/>
      <w:bookmarkEnd w:id="66"/>
    </w:p>
    <w:p w14:paraId="12C3EF9E">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2024年国有资本经营预算拨款支出0万元。</w:t>
      </w:r>
    </w:p>
    <w:p w14:paraId="1FC9B15B">
      <w:pPr>
        <w:pStyle w:val="27"/>
        <w:numPr>
          <w:ilvl w:val="0"/>
          <w:numId w:val="3"/>
        </w:numPr>
        <w:spacing w:line="580" w:lineRule="exact"/>
        <w:ind w:firstLineChars="0"/>
        <w:rPr>
          <w:rStyle w:val="21"/>
          <w:rFonts w:ascii="黑体" w:eastAsia="黑体"/>
          <w:b w:val="0"/>
        </w:rPr>
      </w:pPr>
      <w:bookmarkStart w:id="67" w:name="_Toc24608"/>
      <w:r>
        <w:rPr>
          <w:rStyle w:val="21"/>
          <w:rFonts w:hint="eastAsia" w:ascii="黑体" w:eastAsia="黑体"/>
          <w:b w:val="0"/>
        </w:rPr>
        <w:t>预算绩效情况说明</w:t>
      </w:r>
    </w:p>
    <w:bookmarkEnd w:id="67"/>
    <w:p w14:paraId="258D7D89">
      <w:pPr>
        <w:numPr>
          <w:ilvl w:val="0"/>
          <w:numId w:val="4"/>
        </w:numPr>
        <w:spacing w:line="580" w:lineRule="exact"/>
        <w:ind w:left="-433" w:firstLine="643"/>
        <w:rPr>
          <w:rFonts w:ascii="仿宋" w:eastAsia="仿宋" w:cs="楷体_GB2312"/>
          <w:b/>
          <w:bCs/>
          <w:sz w:val="32"/>
          <w:szCs w:val="32"/>
        </w:rPr>
      </w:pPr>
      <w:r>
        <w:rPr>
          <w:rFonts w:hint="eastAsia" w:ascii="仿宋" w:eastAsia="仿宋" w:cs="楷体_GB2312"/>
          <w:b/>
          <w:bCs/>
          <w:sz w:val="32"/>
          <w:szCs w:val="32"/>
        </w:rPr>
        <w:t>预算绩效管理工作开展情况。</w:t>
      </w:r>
    </w:p>
    <w:p w14:paraId="79DA9CF6">
      <w:pPr>
        <w:pStyle w:val="15"/>
        <w:ind w:left="0" w:leftChars="0"/>
        <w:rPr>
          <w:rFonts w:hint="eastAsia" w:ascii="仿宋" w:eastAsia="仿宋" w:cs="Times New Roman"/>
          <w:kern w:val="2"/>
          <w:sz w:val="32"/>
          <w:szCs w:val="32"/>
          <w:lang w:val="en-US" w:eastAsia="zh-CN" w:bidi="ar-SA"/>
        </w:rPr>
      </w:pPr>
      <w:r>
        <w:rPr>
          <w:rFonts w:hint="eastAsia" w:ascii="仿宋" w:eastAsia="仿宋" w:cs="Times New Roman"/>
          <w:kern w:val="2"/>
          <w:sz w:val="32"/>
          <w:szCs w:val="32"/>
          <w:lang w:val="en-US" w:eastAsia="zh-CN" w:bidi="ar-SA"/>
        </w:rPr>
        <w:t>根据金川县财政局关于2024年县级部门绩效自评工作的通知（金财监绩〔2025〕35号），我单位对2024年部门整体支出绩效进行了全面综合评价，经全面综合评价，我中心整体支出绩效自评情况报告如下：</w:t>
      </w:r>
    </w:p>
    <w:p w14:paraId="6B9C2F9C">
      <w:pPr>
        <w:pStyle w:val="27"/>
        <w:numPr>
          <w:ilvl w:val="0"/>
          <w:numId w:val="3"/>
        </w:numPr>
        <w:spacing w:line="580" w:lineRule="exact"/>
        <w:ind w:firstLineChars="0"/>
        <w:rPr>
          <w:rStyle w:val="21"/>
          <w:rFonts w:hint="eastAsia" w:ascii="黑体" w:eastAsia="黑体"/>
          <w:b w:val="0"/>
        </w:rPr>
      </w:pPr>
      <w:r>
        <w:rPr>
          <w:rStyle w:val="21"/>
          <w:rFonts w:hint="eastAsia" w:ascii="黑体" w:eastAsia="黑体"/>
          <w:b w:val="0"/>
          <w:lang w:val="zh-CN"/>
        </w:rPr>
        <w:t>部门（单位）基本情况</w:t>
      </w:r>
    </w:p>
    <w:p w14:paraId="10EA61DA">
      <w:pPr>
        <w:widowControl/>
        <w:adjustRightInd w:val="0"/>
        <w:snapToGrid w:val="0"/>
        <w:spacing w:line="578" w:lineRule="exact"/>
        <w:ind w:firstLine="643" w:firstLineChars="200"/>
        <w:contextualSpacing/>
        <w:jc w:val="left"/>
        <w:rPr>
          <w:rFonts w:ascii="仿宋" w:eastAsia="仿宋"/>
          <w:szCs w:val="32"/>
        </w:rPr>
      </w:pPr>
      <w:r>
        <w:rPr>
          <w:rFonts w:hint="eastAsia" w:ascii="仿宋_GB2312" w:hAnsi="Times New Roman" w:eastAsia="楷体_GB2312" w:cs="Times New Roman"/>
          <w:b/>
          <w:bCs/>
          <w:color w:val="000000"/>
          <w:kern w:val="0"/>
          <w:sz w:val="32"/>
          <w:szCs w:val="32"/>
          <w:shd w:val="clear" w:color="auto" w:fill="FFFFFF"/>
          <w:lang w:val="zh-CN" w:eastAsia="zh-CN" w:bidi="ar-SA"/>
        </w:rPr>
        <w:t>（一）</w:t>
      </w:r>
      <w:r>
        <w:rPr>
          <w:rFonts w:ascii="仿宋_GB2312" w:hAnsi="Times New Roman" w:eastAsia="楷体_GB2312" w:cs="Times New Roman"/>
          <w:b/>
          <w:bCs/>
          <w:color w:val="000000"/>
          <w:kern w:val="0"/>
          <w:sz w:val="32"/>
          <w:szCs w:val="32"/>
          <w:shd w:val="clear" w:color="auto" w:fill="FFFFFF"/>
          <w:lang w:val="zh-CN" w:eastAsia="zh-CN" w:bidi="ar-SA"/>
        </w:rPr>
        <w:t>机构组成。</w:t>
      </w:r>
      <w:r>
        <w:rPr>
          <w:rFonts w:hint="eastAsia" w:ascii="Times New Roman" w:hAnsi="Times New Roman" w:eastAsia="仿宋_GB2312" w:cs="Times New Roman"/>
          <w:color w:val="000000"/>
          <w:kern w:val="0"/>
          <w:sz w:val="32"/>
          <w:szCs w:val="32"/>
          <w:lang w:val="zh-CN" w:eastAsia="zh-CN" w:bidi="ar-SA"/>
        </w:rPr>
        <w:t>我单位是由金川县人民政府举办的事业单位，下辖游人管理中心，办公室、规划建设股、宣传营销股四个股室。</w:t>
      </w:r>
    </w:p>
    <w:p w14:paraId="28E220F9">
      <w:pPr>
        <w:pStyle w:val="15"/>
        <w:ind w:left="0" w:leftChars="0" w:firstLine="482" w:firstLineChars="150"/>
        <w:rPr>
          <w:rFonts w:eastAsia="楷体_GB2312"/>
          <w:b/>
          <w:bCs/>
          <w:color w:val="000000"/>
          <w:kern w:val="0"/>
          <w:shd w:val="clear" w:color="auto" w:fill="FFFFFF"/>
          <w:lang w:val="zh-CN"/>
        </w:rPr>
      </w:pPr>
      <w:r>
        <w:rPr>
          <w:rFonts w:eastAsia="楷体_GB2312"/>
          <w:b/>
          <w:bCs/>
          <w:color w:val="000000"/>
          <w:kern w:val="0"/>
          <w:shd w:val="clear" w:color="auto" w:fill="FFFFFF"/>
          <w:lang w:val="zh-CN"/>
        </w:rPr>
        <w:t>（二）机构职能</w:t>
      </w:r>
      <w:r>
        <w:rPr>
          <w:rFonts w:hint="eastAsia" w:eastAsia="楷体_GB2312"/>
          <w:b/>
          <w:bCs/>
          <w:color w:val="000000"/>
          <w:kern w:val="0"/>
          <w:shd w:val="clear" w:color="auto" w:fill="FFFFFF"/>
          <w:lang w:val="zh-CN"/>
        </w:rPr>
        <w:t>。</w:t>
      </w:r>
    </w:p>
    <w:p w14:paraId="19E2BD7C">
      <w:pPr>
        <w:pStyle w:val="15"/>
        <w:ind w:left="0" w:leftChars="0"/>
        <w:rPr>
          <w:rFonts w:hint="eastAsia" w:ascii="Times New Roman" w:hAnsi="Times New Roman" w:eastAsia="仿宋_GB2312" w:cs="Times New Roman"/>
          <w:color w:val="000000"/>
          <w:kern w:val="0"/>
          <w:sz w:val="32"/>
          <w:szCs w:val="32"/>
          <w:lang w:val="zh-CN" w:eastAsia="zh-CN" w:bidi="ar-SA"/>
        </w:rPr>
      </w:pPr>
      <w:r>
        <w:rPr>
          <w:rFonts w:hint="eastAsia" w:ascii="仿宋" w:eastAsia="仿宋"/>
        </w:rPr>
        <w:t>1.</w:t>
      </w:r>
      <w:r>
        <w:rPr>
          <w:rFonts w:hint="eastAsia" w:ascii="Times New Roman" w:hAnsi="Times New Roman" w:eastAsia="仿宋_GB2312" w:cs="Times New Roman"/>
          <w:color w:val="000000"/>
          <w:kern w:val="0"/>
          <w:sz w:val="32"/>
          <w:szCs w:val="32"/>
          <w:lang w:val="zh-CN" w:eastAsia="zh-CN" w:bidi="ar-SA"/>
        </w:rPr>
        <w:t>编制旅游规划。组织编制旅游发展规划、旅游景区、景点规划和旅游专项规划等旅游规划并监督实施；负责旅游业发展的组织协调和行业指导、监督管理工作。</w:t>
      </w:r>
    </w:p>
    <w:p w14:paraId="0847F04C">
      <w:pPr>
        <w:pStyle w:val="15"/>
        <w:ind w:left="0" w:leftChars="0"/>
        <w:rPr>
          <w:rFonts w:hint="eastAsia"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zh-CN" w:eastAsia="zh-CN" w:bidi="ar-SA"/>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14:paraId="722F9AEF">
      <w:pPr>
        <w:pStyle w:val="15"/>
        <w:ind w:left="0" w:leftChars="0"/>
        <w:rPr>
          <w:rFonts w:hint="eastAsia"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zh-CN" w:eastAsia="zh-CN" w:bidi="ar-SA"/>
        </w:rPr>
        <w:t>3.实施行业管理。拟制旅游发展产业政策并指导实施；组织实施国家标准和国家、省、市制定的行业标准；审核、申报经营旅游业务的旅行社（公司）、A级旅游景区、星级宾馆、饭店等，负责日常管理工作并协助评定和复核工作；培育和完善旅游市场；建立旅游资源信息库；组织、指导旅游商品</w:t>
      </w:r>
    </w:p>
    <w:p w14:paraId="30C5617B">
      <w:pPr>
        <w:pStyle w:val="15"/>
        <w:ind w:left="0" w:leftChars="0" w:firstLine="0" w:firstLineChars="0"/>
        <w:rPr>
          <w:rFonts w:hint="eastAsia"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zh-CN" w:eastAsia="zh-CN" w:bidi="ar-SA"/>
        </w:rPr>
        <w:t>的开发；指导直属企事业单位和旅游行业协会工作；组织、指导旅游统计工作。</w:t>
      </w:r>
    </w:p>
    <w:p w14:paraId="6B448CB3">
      <w:pPr>
        <w:pStyle w:val="15"/>
        <w:ind w:left="0" w:leftChars="0"/>
        <w:rPr>
          <w:rFonts w:hint="eastAsia"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zh-CN" w:eastAsia="zh-CN" w:bidi="ar-SA"/>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14:paraId="6AD67882">
      <w:pPr>
        <w:pStyle w:val="15"/>
        <w:ind w:left="0" w:leftChars="0"/>
        <w:rPr>
          <w:rFonts w:hint="eastAsia"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zh-CN" w:eastAsia="zh-CN" w:bidi="ar-SA"/>
        </w:rPr>
        <w:t>5.组织教育培训。指导旅游教育培训工作，组织实施旅游从业人员资格制度和等级制度。</w:t>
      </w:r>
    </w:p>
    <w:p w14:paraId="2A06942A">
      <w:pPr>
        <w:pStyle w:val="15"/>
        <w:ind w:left="0" w:leftChars="0"/>
        <w:rPr>
          <w:rFonts w:ascii="仿宋" w:eastAsia="仿宋"/>
        </w:rPr>
      </w:pPr>
      <w:r>
        <w:rPr>
          <w:rFonts w:hint="eastAsia" w:ascii="仿宋" w:eastAsia="仿宋"/>
        </w:rPr>
        <w:t>6.履行相关职责。受上级委托对旅游集团和直属旅游企业国有资产的保值增值进行监督管理，负责局机关党群工作，承办上级交办的其他事项。</w:t>
      </w:r>
    </w:p>
    <w:p w14:paraId="7DAB2C00">
      <w:pPr>
        <w:pStyle w:val="15"/>
        <w:ind w:left="0" w:leftChars="0" w:firstLine="482" w:firstLineChars="150"/>
        <w:rPr>
          <w:rFonts w:eastAsia="楷体_GB2312"/>
          <w:b/>
          <w:bCs/>
          <w:color w:val="000000"/>
          <w:kern w:val="0"/>
          <w:shd w:val="clear" w:color="auto" w:fill="FFFFFF"/>
          <w:lang w:val="zh-CN"/>
        </w:rPr>
      </w:pPr>
      <w:r>
        <w:rPr>
          <w:rFonts w:eastAsia="楷体_GB2312"/>
          <w:b/>
          <w:bCs/>
          <w:color w:val="000000"/>
          <w:kern w:val="0"/>
          <w:shd w:val="clear" w:color="auto" w:fill="FFFFFF"/>
          <w:lang w:val="zh-CN"/>
        </w:rPr>
        <w:t>（</w:t>
      </w:r>
      <w:r>
        <w:rPr>
          <w:rFonts w:hint="eastAsia" w:eastAsia="楷体_GB2312"/>
          <w:b/>
          <w:bCs/>
          <w:color w:val="000000"/>
          <w:kern w:val="0"/>
          <w:shd w:val="clear" w:color="auto" w:fill="FFFFFF"/>
          <w:lang w:val="zh-CN"/>
        </w:rPr>
        <w:t>三</w:t>
      </w:r>
      <w:r>
        <w:rPr>
          <w:rFonts w:eastAsia="楷体_GB2312"/>
          <w:b/>
          <w:bCs/>
          <w:color w:val="000000"/>
          <w:kern w:val="0"/>
          <w:shd w:val="clear" w:color="auto" w:fill="FFFFFF"/>
          <w:lang w:val="zh-CN"/>
        </w:rPr>
        <w:t>）人员概况</w:t>
      </w:r>
      <w:r>
        <w:rPr>
          <w:rFonts w:hint="eastAsia" w:eastAsia="楷体_GB2312"/>
          <w:b/>
          <w:bCs/>
          <w:color w:val="000000"/>
          <w:kern w:val="0"/>
          <w:shd w:val="clear" w:color="auto" w:fill="FFFFFF"/>
          <w:lang w:val="zh-CN"/>
        </w:rPr>
        <w:t xml:space="preserve">。 </w:t>
      </w:r>
    </w:p>
    <w:p w14:paraId="38E2EF09">
      <w:pPr>
        <w:pStyle w:val="15"/>
        <w:ind w:left="0" w:leftChars="0" w:firstLine="480" w:firstLineChars="150"/>
        <w:rPr>
          <w:rFonts w:ascii="仿宋" w:eastAsia="仿宋"/>
        </w:rPr>
      </w:pPr>
      <w:r>
        <w:rPr>
          <w:rFonts w:ascii="仿宋" w:eastAsia="仿宋"/>
        </w:rPr>
        <w:t>截至202</w:t>
      </w:r>
      <w:r>
        <w:rPr>
          <w:rFonts w:hint="eastAsia" w:ascii="仿宋" w:eastAsia="仿宋"/>
        </w:rPr>
        <w:t>4</w:t>
      </w:r>
      <w:r>
        <w:rPr>
          <w:rFonts w:ascii="仿宋" w:eastAsia="仿宋"/>
        </w:rPr>
        <w:t>年末，</w:t>
      </w:r>
      <w:r>
        <w:rPr>
          <w:rFonts w:hint="eastAsia" w:ascii="仿宋" w:eastAsia="仿宋"/>
        </w:rPr>
        <w:t>金川县观音桥景区工作中心属于事业单位，执行的是行政事业单位会计制度，编制人数为13人，实有人数10人。退休人数0人，遗嘱0人。</w:t>
      </w:r>
    </w:p>
    <w:p w14:paraId="44150095">
      <w:pPr>
        <w:spacing w:line="600" w:lineRule="exact"/>
        <w:outlineLvl w:val="1"/>
        <w:rPr>
          <w:rStyle w:val="21"/>
          <w:rFonts w:hint="eastAsia" w:ascii="黑体" w:eastAsia="黑体"/>
          <w:b w:val="0"/>
        </w:rPr>
      </w:pPr>
      <w:r>
        <w:rPr>
          <w:rStyle w:val="21"/>
          <w:rFonts w:hint="eastAsia" w:ascii="黑体" w:eastAsia="黑体"/>
          <w:b w:val="0"/>
        </w:rPr>
        <w:t>二、部门资金收支情况</w:t>
      </w:r>
    </w:p>
    <w:p w14:paraId="0668A34B">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rPr>
      </w:pPr>
      <w:r>
        <w:rPr>
          <w:rFonts w:hint="eastAsia" w:ascii="仿宋" w:eastAsia="仿宋"/>
          <w:b/>
          <w:color w:val="000000"/>
          <w:sz w:val="32"/>
          <w:szCs w:val="32"/>
          <w:lang w:val="zh-CN"/>
        </w:rPr>
        <w:t>（一）收入情况。</w:t>
      </w:r>
      <w:r>
        <w:rPr>
          <w:rFonts w:hint="eastAsia" w:ascii="仿宋_GB2312" w:eastAsia="仿宋_GB2312"/>
          <w:color w:val="000000"/>
          <w:sz w:val="32"/>
          <w:szCs w:val="32"/>
          <w:lang w:val="zh-CN"/>
        </w:rPr>
        <w:t>2024年财政拨款年初预算收入283.17万元，财政拨款收入283.17万元。</w:t>
      </w:r>
    </w:p>
    <w:p w14:paraId="5CB051F4">
      <w:pPr>
        <w:widowControl/>
        <w:ind w:firstLine="643" w:firstLineChars="200"/>
        <w:jc w:val="left"/>
        <w:rPr>
          <w:rFonts w:ascii="仿宋_GB2312" w:eastAsia="仿宋_GB2312"/>
          <w:color w:val="000000"/>
          <w:sz w:val="32"/>
          <w:szCs w:val="32"/>
          <w:lang w:val="zh-CN"/>
        </w:rPr>
      </w:pPr>
      <w:r>
        <w:rPr>
          <w:rFonts w:hint="eastAsia" w:ascii="仿宋" w:eastAsia="仿宋"/>
          <w:b/>
          <w:color w:val="000000"/>
          <w:sz w:val="32"/>
          <w:szCs w:val="32"/>
          <w:lang w:val="zh-CN"/>
        </w:rPr>
        <w:t>（二）支出情况。</w:t>
      </w:r>
      <w:r>
        <w:rPr>
          <w:rFonts w:hint="eastAsia" w:ascii="仿宋_GB2312" w:eastAsia="仿宋_GB2312"/>
          <w:color w:val="000000"/>
          <w:sz w:val="32"/>
          <w:szCs w:val="32"/>
          <w:lang w:val="zh-CN"/>
        </w:rPr>
        <w:t>2024年度一般公共预算财政拨款基本支出</w:t>
      </w:r>
      <w:r>
        <w:rPr>
          <w:rFonts w:hint="eastAsia" w:ascii="仿宋_GB2312" w:eastAsia="仿宋_GB2312"/>
          <w:color w:val="000000"/>
          <w:sz w:val="32"/>
          <w:szCs w:val="32"/>
        </w:rPr>
        <w:t>283.17</w:t>
      </w:r>
      <w:r>
        <w:rPr>
          <w:rFonts w:hint="eastAsia" w:ascii="仿宋_GB2312" w:eastAsia="仿宋_GB2312"/>
          <w:color w:val="000000"/>
          <w:sz w:val="32"/>
          <w:szCs w:val="32"/>
          <w:lang w:val="zh-CN"/>
        </w:rPr>
        <w:t>万元，其中基本支出明细如下：</w:t>
      </w:r>
    </w:p>
    <w:p w14:paraId="604057B0">
      <w:pPr>
        <w:widowControl/>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人员经费</w:t>
      </w:r>
      <w:r>
        <w:rPr>
          <w:rFonts w:hint="eastAsia" w:ascii="仿宋_GB2312" w:eastAsia="仿宋_GB2312"/>
          <w:color w:val="000000"/>
          <w:sz w:val="32"/>
          <w:szCs w:val="32"/>
        </w:rPr>
        <w:t>189.94</w:t>
      </w:r>
      <w:r>
        <w:rPr>
          <w:rFonts w:hint="eastAsia" w:ascii="仿宋_GB2312" w:eastAsia="仿宋_GB2312"/>
          <w:color w:val="000000"/>
          <w:sz w:val="32"/>
          <w:szCs w:val="32"/>
          <w:lang w:val="zh-CN"/>
        </w:rPr>
        <w:t>万元，主要包括：基本工资</w:t>
      </w:r>
      <w:r>
        <w:rPr>
          <w:rFonts w:hint="eastAsia" w:ascii="仿宋_GB2312" w:eastAsia="仿宋_GB2312"/>
          <w:color w:val="000000"/>
          <w:sz w:val="32"/>
          <w:szCs w:val="32"/>
        </w:rPr>
        <w:t>33.91</w:t>
      </w:r>
      <w:r>
        <w:rPr>
          <w:rFonts w:hint="eastAsia" w:ascii="仿宋_GB2312" w:eastAsia="仿宋_GB2312"/>
          <w:color w:val="000000"/>
          <w:sz w:val="32"/>
          <w:szCs w:val="32"/>
          <w:lang w:val="zh-CN"/>
        </w:rPr>
        <w:t>万元、津贴补贴</w:t>
      </w:r>
      <w:r>
        <w:rPr>
          <w:rFonts w:hint="eastAsia" w:ascii="仿宋_GB2312" w:eastAsia="仿宋_GB2312"/>
          <w:color w:val="000000"/>
          <w:sz w:val="32"/>
          <w:szCs w:val="32"/>
        </w:rPr>
        <w:t>20.78</w:t>
      </w:r>
      <w:r>
        <w:rPr>
          <w:rFonts w:hint="eastAsia" w:ascii="仿宋_GB2312" w:eastAsia="仿宋_GB2312"/>
          <w:color w:val="000000"/>
          <w:sz w:val="32"/>
          <w:szCs w:val="32"/>
          <w:lang w:val="zh-CN"/>
        </w:rPr>
        <w:t>万元、奖金</w:t>
      </w:r>
      <w:r>
        <w:rPr>
          <w:rFonts w:hint="eastAsia" w:ascii="仿宋_GB2312" w:eastAsia="仿宋_GB2312"/>
          <w:color w:val="000000"/>
          <w:sz w:val="32"/>
          <w:szCs w:val="32"/>
        </w:rPr>
        <w:t>29.75</w:t>
      </w:r>
      <w:r>
        <w:rPr>
          <w:rFonts w:hint="eastAsia" w:ascii="仿宋_GB2312" w:eastAsia="仿宋_GB2312"/>
          <w:color w:val="000000"/>
          <w:sz w:val="32"/>
          <w:szCs w:val="32"/>
          <w:lang w:val="zh-CN"/>
        </w:rPr>
        <w:t>万元、绩效工资</w:t>
      </w:r>
      <w:r>
        <w:rPr>
          <w:rFonts w:hint="eastAsia" w:ascii="仿宋_GB2312" w:eastAsia="仿宋_GB2312"/>
          <w:color w:val="000000"/>
          <w:sz w:val="32"/>
          <w:szCs w:val="32"/>
        </w:rPr>
        <w:t>49.33万元、</w:t>
      </w:r>
      <w:r>
        <w:rPr>
          <w:rFonts w:hint="eastAsia" w:ascii="仿宋_GB2312" w:eastAsia="仿宋_GB2312"/>
          <w:color w:val="000000"/>
          <w:sz w:val="32"/>
          <w:szCs w:val="32"/>
          <w:lang w:val="zh-CN"/>
        </w:rPr>
        <w:t>机关事业单位基本养老保险缴费</w:t>
      </w:r>
      <w:r>
        <w:rPr>
          <w:rFonts w:hint="eastAsia" w:ascii="仿宋_GB2312" w:eastAsia="仿宋_GB2312"/>
          <w:color w:val="000000"/>
          <w:sz w:val="32"/>
          <w:szCs w:val="32"/>
        </w:rPr>
        <w:t>18.39</w:t>
      </w:r>
      <w:r>
        <w:rPr>
          <w:rFonts w:hint="eastAsia" w:ascii="仿宋_GB2312" w:eastAsia="仿宋_GB2312"/>
          <w:color w:val="000000"/>
          <w:sz w:val="32"/>
          <w:szCs w:val="32"/>
          <w:lang w:val="zh-CN"/>
        </w:rPr>
        <w:t>万元、职业年金缴</w:t>
      </w:r>
      <w:r>
        <w:rPr>
          <w:rFonts w:hint="eastAsia" w:ascii="仿宋_GB2312" w:eastAsia="仿宋_GB2312"/>
          <w:color w:val="000000"/>
          <w:sz w:val="32"/>
          <w:szCs w:val="32"/>
        </w:rPr>
        <w:t>8.56</w:t>
      </w:r>
      <w:r>
        <w:rPr>
          <w:rFonts w:hint="eastAsia" w:ascii="仿宋_GB2312" w:eastAsia="仿宋_GB2312"/>
          <w:color w:val="000000"/>
          <w:sz w:val="32"/>
          <w:szCs w:val="32"/>
          <w:lang w:val="zh-CN"/>
        </w:rPr>
        <w:t>万元、住房公积金</w:t>
      </w:r>
      <w:r>
        <w:rPr>
          <w:rFonts w:hint="eastAsia" w:ascii="仿宋_GB2312" w:eastAsia="仿宋_GB2312"/>
          <w:color w:val="000000"/>
          <w:sz w:val="32"/>
          <w:szCs w:val="32"/>
        </w:rPr>
        <w:t>14.98</w:t>
      </w:r>
      <w:r>
        <w:rPr>
          <w:rFonts w:hint="eastAsia" w:ascii="仿宋_GB2312" w:eastAsia="仿宋_GB2312"/>
          <w:color w:val="000000"/>
          <w:sz w:val="32"/>
          <w:szCs w:val="32"/>
          <w:lang w:val="zh-CN"/>
        </w:rPr>
        <w:t>万元、其他社会保障缴费</w:t>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5.23</w:t>
      </w:r>
      <w:r>
        <w:rPr>
          <w:rFonts w:hint="eastAsia" w:ascii="仿宋_GB2312" w:eastAsia="仿宋_GB2312"/>
          <w:color w:val="000000"/>
          <w:sz w:val="32"/>
          <w:szCs w:val="32"/>
        </w:rPr>
        <w:t>万元，职工基本医疗保险缴费9.02万元</w:t>
      </w:r>
      <w:r>
        <w:rPr>
          <w:rFonts w:hint="eastAsia" w:ascii="仿宋_GB2312" w:eastAsia="仿宋_GB2312"/>
          <w:color w:val="000000"/>
          <w:sz w:val="32"/>
          <w:szCs w:val="32"/>
          <w:lang w:val="zh-CN"/>
        </w:rPr>
        <w:t>。</w:t>
      </w:r>
    </w:p>
    <w:p w14:paraId="02199426">
      <w:pPr>
        <w:widowControl/>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项目支出68.96万元，</w:t>
      </w:r>
      <w:r>
        <w:rPr>
          <w:rFonts w:hint="eastAsia" w:ascii="仿宋_GB2312" w:eastAsia="仿宋_GB2312"/>
          <w:color w:val="000000"/>
          <w:sz w:val="32"/>
          <w:szCs w:val="32"/>
        </w:rPr>
        <w:t>劳务费16.5万元、印刷费16.5万元、维修费27.96万元，办公费7万元，差旅费1万元。</w:t>
      </w:r>
    </w:p>
    <w:p w14:paraId="0FA198C1">
      <w:pPr>
        <w:widowControl/>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公用经费24.27万元，主要包括：办公费</w:t>
      </w:r>
      <w:r>
        <w:rPr>
          <w:rFonts w:hint="eastAsia" w:ascii="仿宋_GB2312" w:eastAsia="仿宋_GB2312"/>
          <w:color w:val="000000"/>
          <w:sz w:val="32"/>
          <w:szCs w:val="32"/>
        </w:rPr>
        <w:t>6.7</w:t>
      </w:r>
      <w:r>
        <w:rPr>
          <w:rFonts w:hint="eastAsia" w:ascii="仿宋_GB2312" w:eastAsia="仿宋_GB2312"/>
          <w:color w:val="000000"/>
          <w:sz w:val="32"/>
          <w:szCs w:val="32"/>
          <w:lang w:val="zh-CN"/>
        </w:rPr>
        <w:t>万元</w:t>
      </w:r>
      <w:r>
        <w:rPr>
          <w:rFonts w:hint="eastAsia" w:ascii="仿宋_GB2312" w:eastAsia="仿宋_GB2312"/>
          <w:color w:val="000000"/>
          <w:sz w:val="32"/>
          <w:szCs w:val="32"/>
        </w:rPr>
        <w:t>,</w:t>
      </w:r>
      <w:r>
        <w:rPr>
          <w:rFonts w:hint="eastAsia" w:ascii="仿宋_GB2312" w:eastAsia="仿宋_GB2312"/>
          <w:color w:val="000000"/>
          <w:sz w:val="32"/>
          <w:szCs w:val="32"/>
          <w:lang w:val="zh-CN"/>
        </w:rPr>
        <w:t>电费</w:t>
      </w:r>
      <w:r>
        <w:rPr>
          <w:rFonts w:hint="eastAsia" w:ascii="仿宋_GB2312" w:eastAsia="仿宋_GB2312"/>
          <w:color w:val="000000"/>
          <w:sz w:val="32"/>
          <w:szCs w:val="32"/>
        </w:rPr>
        <w:t>1.8</w:t>
      </w:r>
      <w:r>
        <w:rPr>
          <w:rFonts w:hint="eastAsia" w:ascii="仿宋_GB2312" w:eastAsia="仿宋_GB2312"/>
          <w:color w:val="000000"/>
          <w:sz w:val="32"/>
          <w:szCs w:val="32"/>
          <w:lang w:val="zh-CN"/>
        </w:rPr>
        <w:t>万元、邮电费</w:t>
      </w:r>
      <w:r>
        <w:rPr>
          <w:rFonts w:hint="eastAsia" w:ascii="仿宋_GB2312" w:eastAsia="仿宋_GB2312"/>
          <w:color w:val="000000"/>
          <w:sz w:val="32"/>
          <w:szCs w:val="32"/>
        </w:rPr>
        <w:t>3</w:t>
      </w:r>
      <w:r>
        <w:rPr>
          <w:rFonts w:hint="eastAsia" w:ascii="仿宋_GB2312" w:eastAsia="仿宋_GB2312"/>
          <w:color w:val="000000"/>
          <w:sz w:val="32"/>
          <w:szCs w:val="32"/>
          <w:lang w:val="zh-CN"/>
        </w:rPr>
        <w:t>万元、差旅费</w:t>
      </w:r>
      <w:r>
        <w:rPr>
          <w:rFonts w:hint="eastAsia" w:ascii="仿宋_GB2312" w:eastAsia="仿宋_GB2312"/>
          <w:color w:val="000000"/>
          <w:sz w:val="32"/>
          <w:szCs w:val="32"/>
        </w:rPr>
        <w:t>1.4</w:t>
      </w:r>
      <w:r>
        <w:rPr>
          <w:rFonts w:hint="eastAsia" w:ascii="仿宋_GB2312" w:eastAsia="仿宋_GB2312"/>
          <w:color w:val="000000"/>
          <w:sz w:val="32"/>
          <w:szCs w:val="32"/>
          <w:lang w:val="zh-CN"/>
        </w:rPr>
        <w:t>万元，公务用车运营费</w:t>
      </w:r>
      <w:r>
        <w:rPr>
          <w:rFonts w:hint="eastAsia" w:ascii="仿宋_GB2312" w:eastAsia="仿宋_GB2312"/>
          <w:color w:val="000000"/>
          <w:sz w:val="32"/>
          <w:szCs w:val="32"/>
        </w:rPr>
        <w:t>2.37万元、劳务费9万元</w:t>
      </w:r>
      <w:r>
        <w:rPr>
          <w:rFonts w:hint="eastAsia" w:ascii="仿宋_GB2312" w:eastAsia="仿宋_GB2312"/>
          <w:color w:val="000000"/>
          <w:sz w:val="32"/>
          <w:szCs w:val="32"/>
          <w:lang w:val="zh-CN"/>
        </w:rPr>
        <w:t>。</w:t>
      </w:r>
    </w:p>
    <w:p w14:paraId="6E457539">
      <w:pPr>
        <w:spacing w:line="600" w:lineRule="exact"/>
        <w:ind w:firstLine="643" w:firstLineChars="200"/>
        <w:outlineLvl w:val="2"/>
        <w:rPr>
          <w:rFonts w:hint="eastAsia" w:ascii="仿宋" w:eastAsia="仿宋"/>
          <w:b/>
          <w:color w:val="000000"/>
          <w:sz w:val="32"/>
          <w:szCs w:val="32"/>
          <w:lang w:val="en-US" w:eastAsia="zh-CN"/>
        </w:rPr>
      </w:pPr>
      <w:r>
        <w:rPr>
          <w:rFonts w:hint="eastAsia" w:ascii="仿宋" w:eastAsia="仿宋"/>
          <w:b/>
          <w:color w:val="000000"/>
          <w:sz w:val="32"/>
          <w:szCs w:val="32"/>
          <w:lang w:val="zh-CN"/>
        </w:rPr>
        <w:t>（</w:t>
      </w:r>
      <w:r>
        <w:rPr>
          <w:rFonts w:hint="eastAsia" w:ascii="仿宋" w:eastAsia="仿宋"/>
          <w:b/>
          <w:color w:val="000000"/>
          <w:sz w:val="32"/>
          <w:szCs w:val="32"/>
          <w:lang w:val="en-US" w:eastAsia="zh-CN"/>
        </w:rPr>
        <w:t>二）</w:t>
      </w:r>
      <w:r>
        <w:rPr>
          <w:rFonts w:hint="eastAsia" w:ascii="仿宋" w:eastAsia="仿宋"/>
          <w:b/>
          <w:color w:val="000000"/>
          <w:sz w:val="32"/>
          <w:szCs w:val="32"/>
          <w:lang w:val="zh-CN"/>
        </w:rPr>
        <w:t>结余分配和结转结余情况</w:t>
      </w:r>
      <w:r>
        <w:rPr>
          <w:rFonts w:hint="eastAsia" w:ascii="仿宋" w:eastAsia="仿宋"/>
          <w:b/>
          <w:color w:val="000000"/>
          <w:sz w:val="32"/>
          <w:szCs w:val="32"/>
          <w:lang w:val="zh-CN" w:eastAsia="zh-CN"/>
        </w:rPr>
        <w:t>。</w:t>
      </w:r>
    </w:p>
    <w:p w14:paraId="10BACB09">
      <w:pPr>
        <w:numPr>
          <w:ilvl w:val="0"/>
          <w:numId w:val="0"/>
        </w:numPr>
        <w:tabs>
          <w:tab w:val="left" w:pos="0"/>
        </w:tabs>
        <w:spacing w:line="576" w:lineRule="exact"/>
        <w:ind w:left="210" w:leftChars="0" w:firstLine="640" w:firstLineChars="200"/>
        <w:jc w:val="left"/>
        <w:rPr>
          <w:rFonts w:hint="eastAsia" w:ascii="方正仿宋_GB2312" w:eastAsia="方正仿宋_GB2312" w:cs="方正仿宋_GB2312"/>
          <w:b w:val="0"/>
          <w:bCs w:val="0"/>
          <w:color w:val="auto"/>
          <w:kern w:val="0"/>
          <w:sz w:val="32"/>
          <w:szCs w:val="32"/>
          <w:highlight w:val="none"/>
          <w:shd w:val="clear" w:color="auto" w:fill="FFFFFF"/>
          <w:lang w:val="en-US" w:eastAsia="zh-CN"/>
        </w:rPr>
      </w:pPr>
      <w:r>
        <w:rPr>
          <w:rFonts w:hint="eastAsia" w:ascii="方正仿宋_GB2312" w:eastAsia="方正仿宋_GB2312" w:cs="方正仿宋_GB2312"/>
          <w:color w:val="auto"/>
          <w:sz w:val="32"/>
          <w:szCs w:val="32"/>
          <w:lang w:val="en-US" w:eastAsia="zh-CN"/>
        </w:rPr>
        <w:t>我中心2024年无</w:t>
      </w:r>
      <w:r>
        <w:rPr>
          <w:rFonts w:hint="eastAsia" w:ascii="方正仿宋_GB2312" w:eastAsia="方正仿宋_GB2312" w:cs="方正仿宋_GB2312"/>
          <w:b w:val="0"/>
          <w:bCs w:val="0"/>
          <w:color w:val="auto"/>
          <w:kern w:val="0"/>
          <w:sz w:val="32"/>
          <w:szCs w:val="32"/>
          <w:highlight w:val="none"/>
          <w:shd w:val="clear" w:color="auto" w:fill="FFFFFF"/>
          <w:lang w:val="en-US" w:eastAsia="zh-CN"/>
        </w:rPr>
        <w:t>结转结余资金。</w:t>
      </w:r>
    </w:p>
    <w:p w14:paraId="39FD853C">
      <w:pPr>
        <w:spacing w:line="580" w:lineRule="exact"/>
        <w:jc w:val="left"/>
        <w:rPr>
          <w:rStyle w:val="21"/>
          <w:rFonts w:ascii="黑体" w:eastAsia="黑体"/>
        </w:rPr>
      </w:pPr>
      <w:r>
        <w:rPr>
          <w:rFonts w:hint="eastAsia" w:ascii="仿宋_GB2312" w:eastAsia="仿宋_GB2312" w:cs="仿宋_GB2312"/>
          <w:sz w:val="32"/>
          <w:szCs w:val="32"/>
        </w:rPr>
        <w:t xml:space="preserve"> </w:t>
      </w:r>
      <w:r>
        <w:rPr>
          <w:rFonts w:hint="eastAsia" w:ascii="黑体" w:eastAsia="黑体"/>
          <w:color w:val="000000"/>
          <w:sz w:val="32"/>
          <w:szCs w:val="32"/>
        </w:rPr>
        <w:t>十</w:t>
      </w:r>
      <w:r>
        <w:rPr>
          <w:rStyle w:val="21"/>
          <w:rFonts w:hint="eastAsia" w:ascii="黑体" w:eastAsia="黑体"/>
        </w:rPr>
        <w:t>一、</w:t>
      </w:r>
      <w:r>
        <w:rPr>
          <w:rStyle w:val="21"/>
          <w:rFonts w:hint="eastAsia" w:ascii="黑体" w:eastAsia="黑体"/>
          <w:b w:val="0"/>
        </w:rPr>
        <w:t>其他重要事项的情况说明</w:t>
      </w:r>
    </w:p>
    <w:p w14:paraId="6EF65A92">
      <w:pPr>
        <w:spacing w:line="600" w:lineRule="exact"/>
        <w:ind w:firstLine="643" w:firstLineChars="200"/>
        <w:outlineLvl w:val="2"/>
        <w:rPr>
          <w:rFonts w:ascii="仿宋" w:eastAsia="仿宋"/>
          <w:color w:val="000000"/>
          <w:sz w:val="32"/>
          <w:szCs w:val="32"/>
        </w:rPr>
      </w:pPr>
      <w:r>
        <w:rPr>
          <w:rFonts w:hint="eastAsia" w:ascii="仿宋" w:eastAsia="仿宋"/>
          <w:b/>
          <w:color w:val="000000"/>
          <w:sz w:val="32"/>
          <w:szCs w:val="32"/>
        </w:rPr>
        <w:t>（一）机关运行经费支出情况</w:t>
      </w:r>
    </w:p>
    <w:p w14:paraId="42F69205">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2024年，我单位经费支出15.1万元。</w:t>
      </w:r>
    </w:p>
    <w:p w14:paraId="6B76DF2B">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（二）国有资产占有使用情况</w:t>
      </w:r>
    </w:p>
    <w:p w14:paraId="40735FBB">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截至2024年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14:paraId="724DD809">
      <w:pPr>
        <w:widowControl/>
        <w:ind w:firstLine="643" w:firstLineChars="200"/>
        <w:jc w:val="left"/>
        <w:rPr>
          <w:rFonts w:ascii="仿宋_GB2312" w:eastAsia="仿宋_GB2312"/>
          <w:b/>
          <w:color w:val="000000"/>
          <w:sz w:val="32"/>
          <w:szCs w:val="32"/>
        </w:rPr>
      </w:pPr>
      <w:r>
        <w:rPr>
          <w:rFonts w:hint="eastAsia" w:ascii="仿宋" w:eastAsia="仿宋"/>
          <w:b/>
          <w:color w:val="000000"/>
          <w:sz w:val="32"/>
          <w:szCs w:val="32"/>
        </w:rPr>
        <w:t>（三）</w:t>
      </w:r>
      <w:r>
        <w:rPr>
          <w:rFonts w:hint="eastAsia" w:ascii="仿宋_GB2312" w:eastAsia="仿宋_GB2312"/>
          <w:b/>
          <w:color w:val="000000"/>
          <w:sz w:val="32"/>
          <w:szCs w:val="32"/>
        </w:rPr>
        <w:t>、政府采购支出情况</w:t>
      </w:r>
    </w:p>
    <w:p w14:paraId="692360FB">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2024年无政府采购 </w:t>
      </w:r>
    </w:p>
    <w:p w14:paraId="594430DC">
      <w:pPr>
        <w:numPr>
          <w:ilvl w:val="0"/>
          <w:numId w:val="5"/>
        </w:numPr>
        <w:spacing w:line="600" w:lineRule="exact"/>
        <w:ind w:left="0" w:firstLine="663" w:firstLineChars="150"/>
        <w:jc w:val="center"/>
        <w:outlineLvl w:val="0"/>
        <w:rPr>
          <w:rStyle w:val="20"/>
          <w:rFonts w:ascii="黑体" w:eastAsia="黑体"/>
          <w:b w:val="0"/>
        </w:rPr>
      </w:pPr>
      <w:r>
        <w:rPr>
          <w:rFonts w:hint="eastAsia" w:ascii="黑体" w:eastAsia="黑体"/>
          <w:b/>
          <w:color w:val="000000"/>
          <w:sz w:val="44"/>
          <w:szCs w:val="44"/>
        </w:rPr>
        <w:t>名</w:t>
      </w:r>
      <w:r>
        <w:rPr>
          <w:rStyle w:val="20"/>
          <w:rFonts w:hint="eastAsia" w:ascii="黑体" w:eastAsia="黑体"/>
          <w:b w:val="0"/>
        </w:rPr>
        <w:t>词解释</w:t>
      </w:r>
    </w:p>
    <w:p w14:paraId="53C89412">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C851E8F">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2AA788C">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EF296B8">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2085A06C">
      <w:pPr>
        <w:pStyle w:val="2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C85C086">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3723B04F">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6E1F7923">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558A1EDF">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419B0D5D">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433A9BC6">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00813117">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4ED01E14">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677C842B">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257298D1">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0B3AC283">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3347C3CB">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5E5D7CD">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57932D5">
      <w:pPr>
        <w:widowControl/>
        <w:adjustRightInd w:val="0"/>
        <w:snapToGrid w:val="0"/>
        <w:spacing w:line="540" w:lineRule="exact"/>
        <w:jc w:val="left"/>
        <w:rPr>
          <w:rFonts w:ascii="仿宋" w:eastAsia="仿宋"/>
          <w:color w:val="000000"/>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CFB3BF">
      <w:pPr>
        <w:pStyle w:val="2"/>
        <w:numPr>
          <w:ilvl w:val="0"/>
          <w:numId w:val="0"/>
        </w:numPr>
        <w:tabs>
          <w:tab w:val="left" w:pos="0"/>
        </w:tabs>
        <w:ind w:left="210" w:leftChars="0"/>
        <w:rPr>
          <w:rFonts w:hint="eastAsia"/>
          <w:lang w:val="zh-CN"/>
        </w:rPr>
      </w:pPr>
    </w:p>
    <w:p w14:paraId="1F9C979D">
      <w:pPr>
        <w:pStyle w:val="3"/>
        <w:ind w:right="440"/>
        <w:jc w:val="right"/>
        <w:rPr>
          <w:rFonts w:hint="eastAsia" w:ascii="黑体" w:eastAsia="黑体"/>
          <w:b w:val="0"/>
          <w:color w:val="000000"/>
        </w:rPr>
      </w:pPr>
      <w:r>
        <w:rPr>
          <w:rFonts w:hint="eastAsia" w:ascii="黑体" w:eastAsia="黑体"/>
          <w:b w:val="0"/>
          <w:color w:val="000000"/>
        </w:rPr>
        <w:t>第四部分 部门整体支出绩效评价报告</w:t>
      </w:r>
    </w:p>
    <w:p w14:paraId="32373017">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zh-CN"/>
        </w:rPr>
      </w:pPr>
      <w:r>
        <w:rPr>
          <w:rFonts w:hint="eastAsia" w:ascii="方正仿宋_GB2312" w:eastAsia="方正仿宋_GB2312" w:cs="方正仿宋_GB2312"/>
          <w:b/>
          <w:bCs/>
          <w:color w:val="auto"/>
          <w:kern w:val="0"/>
          <w:sz w:val="32"/>
          <w:szCs w:val="32"/>
          <w:highlight w:val="none"/>
          <w:shd w:val="clear" w:color="auto" w:fill="FFFFFF"/>
          <w:lang w:val="zh-CN"/>
        </w:rPr>
        <w:t>（一）部门预算总体绩效分析。</w:t>
      </w:r>
      <w:r>
        <w:rPr>
          <w:rFonts w:hint="eastAsia" w:ascii="方正仿宋_GB2312" w:eastAsia="方正仿宋_GB2312" w:cs="方正仿宋_GB2312"/>
          <w:color w:val="auto"/>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根据部门预算绩效评价指标体系“总体绩效”涉及二、三级指标进行逐项绩效分析并评分，依次包括履职效能、预算管理、财务管理、资产管理等情况。</w:t>
      </w:r>
    </w:p>
    <w:p w14:paraId="2651F4EC">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803" w:firstLineChars="250"/>
        <w:contextualSpacing/>
        <w:jc w:val="left"/>
        <w:textAlignment w:val="auto"/>
        <w:outlineLvl w:val="9"/>
        <w:rPr>
          <w:rFonts w:hint="eastAsia" w:ascii="方正仿宋_GB2312" w:eastAsia="方正仿宋_GB2312" w:cs="方正仿宋_GB2312"/>
          <w:b/>
          <w:bCs/>
          <w:color w:val="auto"/>
          <w:kern w:val="0"/>
          <w:sz w:val="32"/>
          <w:szCs w:val="32"/>
          <w:highlight w:val="none"/>
          <w:shd w:val="clear" w:color="auto" w:fill="FFFFFF"/>
          <w:lang w:val="zh-CN"/>
        </w:rPr>
      </w:pPr>
      <w:r>
        <w:rPr>
          <w:rFonts w:hint="eastAsia" w:ascii="方正仿宋_GB2312" w:eastAsia="方正仿宋_GB2312" w:cs="方正仿宋_GB2312"/>
          <w:b/>
          <w:bCs/>
          <w:color w:val="auto"/>
          <w:kern w:val="0"/>
          <w:sz w:val="32"/>
          <w:szCs w:val="32"/>
          <w:highlight w:val="none"/>
          <w:shd w:val="clear" w:color="auto" w:fill="FFFFFF"/>
          <w:lang w:val="en-US" w:eastAsia="zh-CN"/>
        </w:rPr>
        <w:t>1.</w:t>
      </w:r>
      <w:r>
        <w:rPr>
          <w:rFonts w:hint="eastAsia" w:ascii="方正仿宋_GB2312" w:eastAsia="方正仿宋_GB2312" w:cs="方正仿宋_GB2312"/>
          <w:b/>
          <w:bCs/>
          <w:color w:val="auto"/>
          <w:kern w:val="0"/>
          <w:sz w:val="32"/>
          <w:szCs w:val="32"/>
          <w:highlight w:val="none"/>
          <w:shd w:val="clear" w:color="auto" w:fill="FFFFFF"/>
          <w:lang w:val="zh-CN"/>
        </w:rPr>
        <w:t>履职效能。</w:t>
      </w:r>
    </w:p>
    <w:p w14:paraId="5B9341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Fonts w:hint="eastAsia" w:ascii="方正仿宋_GB2312" w:eastAsia="方正仿宋_GB2312" w:cs="方正仿宋_GB2312"/>
          <w:color w:val="auto"/>
          <w:kern w:val="0"/>
          <w:sz w:val="32"/>
          <w:szCs w:val="32"/>
          <w:highlight w:val="none"/>
          <w:shd w:val="clear" w:color="auto" w:fill="FFFFFF"/>
          <w:lang w:val="en-US" w:eastAsia="zh-CN"/>
        </w:rPr>
      </w:pPr>
      <w:r>
        <w:rPr>
          <w:rFonts w:hint="eastAsia" w:ascii="方正仿宋_GB2312" w:eastAsia="方正仿宋_GB2312" w:cs="方正仿宋_GB2312"/>
          <w:color w:val="auto"/>
          <w:kern w:val="0"/>
          <w:sz w:val="32"/>
          <w:szCs w:val="32"/>
          <w:highlight w:val="none"/>
          <w:shd w:val="clear" w:color="auto" w:fill="FFFFFF"/>
          <w:lang w:val="en-US" w:eastAsia="zh-CN"/>
        </w:rPr>
        <w:t>景区美化、亮化、绿化</w:t>
      </w:r>
      <w:r>
        <w:rPr>
          <w:rFonts w:hint="eastAsia" w:ascii="方正仿宋_GB2312" w:eastAsia="方正仿宋_GB2312" w:cs="方正仿宋_GB2312"/>
          <w:color w:val="auto"/>
          <w:kern w:val="0"/>
          <w:sz w:val="32"/>
          <w:szCs w:val="32"/>
          <w:highlight w:val="none"/>
          <w:shd w:val="clear" w:color="auto" w:fill="FFFFFF"/>
          <w:lang w:val="zh-CN"/>
        </w:rPr>
        <w:t>履职效果</w:t>
      </w:r>
      <w:r>
        <w:rPr>
          <w:rFonts w:hint="eastAsia" w:ascii="方正仿宋_GB2312" w:eastAsia="方正仿宋_GB2312" w:cs="方正仿宋_GB2312"/>
          <w:color w:val="auto"/>
          <w:kern w:val="0"/>
          <w:sz w:val="32"/>
          <w:szCs w:val="32"/>
          <w:highlight w:val="none"/>
          <w:shd w:val="clear" w:color="auto" w:fill="FFFFFF"/>
          <w:lang w:val="en-US" w:eastAsia="zh-CN"/>
        </w:rPr>
        <w:t xml:space="preserve"> ： 2024年</w:t>
      </w:r>
      <w:r>
        <w:rPr>
          <w:rFonts w:hint="eastAsia" w:ascii="方正仿宋_GB2312" w:eastAsia="方正仿宋_GB2312" w:cs="方正仿宋_GB2312"/>
          <w:color w:val="auto"/>
          <w:kern w:val="0"/>
          <w:sz w:val="32"/>
          <w:szCs w:val="32"/>
          <w:highlight w:val="none"/>
          <w:shd w:val="clear" w:color="auto" w:fill="FFFFFF"/>
          <w:lang w:val="zh-CN"/>
        </w:rPr>
        <w:t>解决景区管理维护</w:t>
      </w:r>
      <w:r>
        <w:rPr>
          <w:rFonts w:hint="eastAsia" w:ascii="方正仿宋_GB2312" w:eastAsia="方正仿宋_GB2312" w:cs="方正仿宋_GB2312"/>
          <w:color w:val="auto"/>
          <w:kern w:val="0"/>
          <w:sz w:val="32"/>
          <w:szCs w:val="32"/>
          <w:highlight w:val="none"/>
          <w:shd w:val="clear" w:color="auto" w:fill="FFFFFF"/>
          <w:lang w:val="en-US" w:eastAsia="zh-CN"/>
        </w:rPr>
        <w:t>费17.96万元，2024年支付资金数17.96万元，资金支付率100%。</w:t>
      </w:r>
    </w:p>
    <w:p w14:paraId="550C3F8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Fonts w:hint="eastAsia" w:ascii="方正仿宋_GB2312" w:eastAsia="方正仿宋_GB2312" w:cs="方正仿宋_GB2312"/>
          <w:color w:val="auto"/>
          <w:kern w:val="0"/>
          <w:sz w:val="32"/>
          <w:szCs w:val="32"/>
          <w:highlight w:val="none"/>
          <w:shd w:val="clear" w:color="auto" w:fill="FFFFFF"/>
          <w:lang w:val="en-US" w:eastAsia="zh-CN"/>
        </w:rPr>
      </w:pPr>
      <w:r>
        <w:rPr>
          <w:rFonts w:hint="eastAsia" w:ascii="方正仿宋_GB2312" w:eastAsia="方正仿宋_GB2312" w:cs="方正仿宋_GB2312"/>
          <w:color w:val="auto"/>
          <w:kern w:val="0"/>
          <w:sz w:val="32"/>
          <w:szCs w:val="32"/>
          <w:highlight w:val="none"/>
          <w:shd w:val="clear" w:color="auto" w:fill="FFFFFF"/>
          <w:lang w:val="en-US" w:eastAsia="zh-CN"/>
        </w:rPr>
        <w:t>健全旅游服务功能，提升景区知名度</w:t>
      </w:r>
      <w:r>
        <w:rPr>
          <w:rFonts w:hint="eastAsia" w:ascii="方正仿宋_GB2312" w:eastAsia="方正仿宋_GB2312" w:cs="方正仿宋_GB2312"/>
          <w:color w:val="auto"/>
          <w:kern w:val="0"/>
          <w:sz w:val="32"/>
          <w:szCs w:val="32"/>
          <w:highlight w:val="none"/>
          <w:shd w:val="clear" w:color="auto" w:fill="FFFFFF"/>
          <w:lang w:val="zh-CN" w:eastAsia="zh-CN"/>
        </w:rPr>
        <w:t>履职效果：</w:t>
      </w:r>
      <w:r>
        <w:rPr>
          <w:rFonts w:hint="eastAsia" w:ascii="方正仿宋_GB2312" w:eastAsia="方正仿宋_GB2312" w:cs="方正仿宋_GB2312"/>
          <w:color w:val="auto"/>
          <w:kern w:val="0"/>
          <w:sz w:val="32"/>
          <w:szCs w:val="32"/>
          <w:highlight w:val="none"/>
          <w:shd w:val="clear" w:color="auto" w:fill="FFFFFF"/>
          <w:lang w:val="en-US" w:eastAsia="zh-CN"/>
        </w:rPr>
        <w:t>2024年景区文化和旅游发展专项资金50万元，2024年支付资金50万元，资金支付率100%。</w:t>
      </w:r>
    </w:p>
    <w:p w14:paraId="35A58DB4">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643" w:firstLineChars="200"/>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zh-CN"/>
        </w:rPr>
      </w:pPr>
      <w:r>
        <w:rPr>
          <w:rFonts w:hint="eastAsia" w:ascii="方正仿宋_GB2312" w:eastAsia="方正仿宋_GB2312" w:cs="方正仿宋_GB2312"/>
          <w:b/>
          <w:bCs/>
          <w:color w:val="auto"/>
          <w:kern w:val="0"/>
          <w:sz w:val="32"/>
          <w:szCs w:val="32"/>
          <w:highlight w:val="none"/>
          <w:shd w:val="clear" w:color="auto" w:fill="FFFFFF"/>
          <w:lang w:val="en-US" w:eastAsia="zh-CN"/>
        </w:rPr>
        <w:t>2.</w:t>
      </w:r>
      <w:r>
        <w:rPr>
          <w:rFonts w:hint="eastAsia" w:ascii="方正仿宋_GB2312" w:eastAsia="方正仿宋_GB2312" w:cs="方正仿宋_GB2312"/>
          <w:b/>
          <w:bCs/>
          <w:color w:val="auto"/>
          <w:kern w:val="0"/>
          <w:sz w:val="32"/>
          <w:szCs w:val="32"/>
          <w:highlight w:val="none"/>
          <w:shd w:val="clear" w:color="auto" w:fill="FFFFFF"/>
          <w:lang w:val="zh-CN"/>
        </w:rPr>
        <w:t>预算管理。</w:t>
      </w:r>
    </w:p>
    <w:p w14:paraId="187F10A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3" w:firstLineChars="200"/>
        <w:jc w:val="left"/>
        <w:textAlignment w:val="auto"/>
        <w:rPr>
          <w:rStyle w:val="18"/>
          <w:rFonts w:hint="eastAsia" w:ascii="方正仿宋_GB2312" w:eastAsia="方正仿宋_GB2312" w:cs="方正仿宋_GB2312"/>
          <w:b w:val="0"/>
          <w:bCs/>
          <w:color w:val="auto"/>
          <w:sz w:val="32"/>
          <w:szCs w:val="32"/>
          <w:lang w:val="en-US" w:eastAsia="zh-CN"/>
        </w:rPr>
      </w:pPr>
      <w:r>
        <w:rPr>
          <w:rFonts w:hint="eastAsia" w:ascii="方正仿宋_GB2312" w:eastAsia="方正仿宋_GB2312" w:cs="方正仿宋_GB2312"/>
          <w:b/>
          <w:bCs/>
          <w:color w:val="auto"/>
          <w:kern w:val="0"/>
          <w:sz w:val="32"/>
          <w:szCs w:val="32"/>
          <w:highlight w:val="none"/>
          <w:shd w:val="clear" w:color="auto" w:fill="FFFFFF"/>
          <w:lang w:val="zh-CN"/>
        </w:rPr>
        <w:t>预算编制</w:t>
      </w:r>
      <w:r>
        <w:rPr>
          <w:rFonts w:hint="eastAsia" w:ascii="方正仿宋_GB2312" w:eastAsia="方正仿宋_GB2312" w:cs="方正仿宋_GB2312"/>
          <w:color w:val="auto"/>
          <w:kern w:val="0"/>
          <w:sz w:val="32"/>
          <w:szCs w:val="32"/>
          <w:highlight w:val="none"/>
          <w:shd w:val="clear" w:color="auto" w:fill="FFFFFF"/>
          <w:lang w:val="zh-CN"/>
        </w:rPr>
        <w:t>准确，</w:t>
      </w:r>
      <w:r>
        <w:rPr>
          <w:rStyle w:val="18"/>
          <w:rFonts w:hint="eastAsia" w:ascii="方正仿宋_GB2312" w:eastAsia="方正仿宋_GB2312" w:cs="方正仿宋_GB2312"/>
          <w:b w:val="0"/>
          <w:bCs/>
          <w:color w:val="auto"/>
          <w:sz w:val="32"/>
          <w:szCs w:val="32"/>
          <w:lang w:val="zh-CN"/>
        </w:rPr>
        <w:t>科学细化编制预算，为预算执行打好基础预算编制是财政管理的源头，预算编制是否科学合理直接影响执行效率。</w:t>
      </w:r>
    </w:p>
    <w:p w14:paraId="699BBA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Style w:val="18"/>
          <w:rFonts w:hint="eastAsia" w:ascii="方正仿宋_GB2312" w:eastAsia="方正仿宋_GB2312" w:cs="方正仿宋_GB2312"/>
          <w:b w:val="0"/>
          <w:bCs/>
          <w:color w:val="auto"/>
          <w:sz w:val="32"/>
          <w:szCs w:val="32"/>
          <w:lang w:eastAsia="zh-CN"/>
        </w:rPr>
      </w:pPr>
      <w:r>
        <w:rPr>
          <w:rFonts w:hint="eastAsia" w:ascii="方正仿宋_GB2312" w:eastAsia="方正仿宋_GB2312" w:cs="方正仿宋_GB2312"/>
          <w:b/>
          <w:bCs/>
          <w:color w:val="auto"/>
          <w:kern w:val="0"/>
          <w:sz w:val="32"/>
          <w:szCs w:val="32"/>
          <w:highlight w:val="none"/>
          <w:shd w:val="clear" w:color="auto" w:fill="FFFFFF"/>
          <w:lang w:val="zh-CN"/>
        </w:rPr>
        <w:t>单位收入统筹</w:t>
      </w:r>
      <w:r>
        <w:rPr>
          <w:rStyle w:val="18"/>
          <w:rFonts w:hint="eastAsia" w:ascii="方正仿宋_GB2312" w:eastAsia="方正仿宋_GB2312" w:cs="方正仿宋_GB2312"/>
          <w:b w:val="0"/>
          <w:bCs/>
          <w:color w:val="auto"/>
          <w:sz w:val="32"/>
          <w:szCs w:val="32"/>
          <w:lang w:eastAsia="zh-CN"/>
        </w:rPr>
        <w:t>我</w:t>
      </w:r>
      <w:r>
        <w:rPr>
          <w:rStyle w:val="18"/>
          <w:rFonts w:hint="eastAsia" w:ascii="方正仿宋_GB2312" w:eastAsia="方正仿宋_GB2312" w:cs="方正仿宋_GB2312"/>
          <w:b w:val="0"/>
          <w:bCs/>
          <w:color w:val="auto"/>
          <w:sz w:val="32"/>
          <w:szCs w:val="32"/>
          <w:lang w:val="en-US" w:eastAsia="zh-CN"/>
        </w:rPr>
        <w:t>中心</w:t>
      </w:r>
      <w:r>
        <w:rPr>
          <w:rStyle w:val="18"/>
          <w:rFonts w:hint="eastAsia" w:ascii="方正仿宋_GB2312" w:eastAsia="方正仿宋_GB2312" w:cs="方正仿宋_GB2312"/>
          <w:b w:val="0"/>
          <w:bCs/>
          <w:color w:val="auto"/>
          <w:sz w:val="32"/>
          <w:szCs w:val="32"/>
          <w:lang w:eastAsia="zh-CN"/>
        </w:rPr>
        <w:t>对</w:t>
      </w:r>
      <w:r>
        <w:rPr>
          <w:rStyle w:val="18"/>
          <w:rFonts w:hint="eastAsia" w:ascii="方正仿宋_GB2312" w:eastAsia="方正仿宋_GB2312" w:cs="方正仿宋_GB2312"/>
          <w:b w:val="0"/>
          <w:bCs/>
          <w:color w:val="auto"/>
          <w:sz w:val="32"/>
          <w:szCs w:val="32"/>
        </w:rPr>
        <w:t>相应用款进行及时清理和处理，做到账账相符、账实相符、账证相符</w:t>
      </w:r>
      <w:r>
        <w:rPr>
          <w:rStyle w:val="18"/>
          <w:rFonts w:hint="eastAsia" w:ascii="方正仿宋_GB2312" w:eastAsia="方正仿宋_GB2312" w:cs="方正仿宋_GB2312"/>
          <w:b w:val="0"/>
          <w:bCs/>
          <w:color w:val="auto"/>
          <w:sz w:val="32"/>
          <w:szCs w:val="32"/>
          <w:lang w:eastAsia="zh-CN"/>
        </w:rPr>
        <w:t>，</w:t>
      </w:r>
      <w:r>
        <w:rPr>
          <w:rStyle w:val="18"/>
          <w:rFonts w:hint="eastAsia" w:ascii="方正仿宋_GB2312" w:eastAsia="方正仿宋_GB2312" w:cs="方正仿宋_GB2312"/>
          <w:b w:val="0"/>
          <w:bCs/>
          <w:color w:val="auto"/>
          <w:sz w:val="32"/>
          <w:szCs w:val="32"/>
        </w:rPr>
        <w:t>先有预算再有支出的原则，及时处理相关事务</w:t>
      </w:r>
      <w:r>
        <w:rPr>
          <w:rStyle w:val="18"/>
          <w:rFonts w:hint="eastAsia" w:ascii="方正仿宋_GB2312" w:eastAsia="方正仿宋_GB2312" w:cs="方正仿宋_GB2312"/>
          <w:b w:val="0"/>
          <w:bCs/>
          <w:color w:val="auto"/>
          <w:sz w:val="32"/>
          <w:szCs w:val="32"/>
          <w:lang w:eastAsia="zh-CN"/>
        </w:rPr>
        <w:t>。</w:t>
      </w:r>
    </w:p>
    <w:p w14:paraId="2B54934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Style w:val="18"/>
          <w:rFonts w:hint="eastAsia" w:ascii="方正仿宋_GB2312" w:eastAsia="方正仿宋_GB2312" w:cs="方正仿宋_GB2312"/>
          <w:b w:val="0"/>
          <w:bCs/>
          <w:color w:val="auto"/>
          <w:sz w:val="32"/>
          <w:szCs w:val="32"/>
          <w:lang w:val="zh-CN"/>
        </w:rPr>
      </w:pPr>
      <w:r>
        <w:rPr>
          <w:rFonts w:hint="eastAsia" w:ascii="方正仿宋_GB2312" w:eastAsia="方正仿宋_GB2312" w:cs="方正仿宋_GB2312"/>
          <w:b/>
          <w:bCs/>
          <w:color w:val="auto"/>
          <w:kern w:val="0"/>
          <w:sz w:val="32"/>
          <w:szCs w:val="32"/>
          <w:highlight w:val="none"/>
          <w:shd w:val="clear" w:color="auto" w:fill="FFFFFF"/>
          <w:lang w:val="zh-CN"/>
        </w:rPr>
        <w:t>支出执行进度</w:t>
      </w:r>
      <w:r>
        <w:rPr>
          <w:rFonts w:hint="eastAsia" w:ascii="方正仿宋_GB2312" w:eastAsia="方正仿宋_GB2312" w:cs="方正仿宋_GB2312"/>
          <w:color w:val="auto"/>
          <w:kern w:val="0"/>
          <w:sz w:val="32"/>
          <w:szCs w:val="32"/>
          <w:highlight w:val="none"/>
          <w:shd w:val="clear" w:color="auto" w:fill="FFFFFF"/>
          <w:lang w:val="zh-CN"/>
        </w:rPr>
        <w:t>为进一步提高加快预算执行进度重要性的认识部门预算一经人大批复即具有法律效力，必须坚决地、不折不扣地执行。加快专项资金分解落实工作，凡是预算安排和上级转移支付的专项资金，原则上在二十日内都要分解落实到具体项目。项目资金按程序进行支付，强化用款计划管理</w:t>
      </w:r>
      <w:r>
        <w:rPr>
          <w:rFonts w:hint="eastAsia"/>
          <w:color w:val="000000"/>
          <w:kern w:val="0"/>
          <w:szCs w:val="32"/>
          <w:lang w:val="zh-CN"/>
        </w:rPr>
        <w:t>。</w:t>
      </w:r>
    </w:p>
    <w:p w14:paraId="5C92AE8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Style w:val="18"/>
          <w:rFonts w:hint="eastAsia" w:ascii="方正仿宋_GB2312" w:eastAsia="方正仿宋_GB2312" w:cs="方正仿宋_GB2312"/>
          <w:b w:val="0"/>
          <w:bCs/>
          <w:color w:val="auto"/>
          <w:sz w:val="32"/>
          <w:szCs w:val="32"/>
          <w:lang w:val="en-US" w:eastAsia="zh-CN"/>
        </w:rPr>
      </w:pPr>
      <w:r>
        <w:rPr>
          <w:rFonts w:hint="eastAsia" w:ascii="方正仿宋_GB2312" w:eastAsia="方正仿宋_GB2312" w:cs="方正仿宋_GB2312"/>
          <w:b/>
          <w:bCs/>
          <w:color w:val="auto"/>
          <w:kern w:val="0"/>
          <w:sz w:val="32"/>
          <w:szCs w:val="32"/>
          <w:highlight w:val="none"/>
          <w:shd w:val="clear" w:color="auto" w:fill="FFFFFF"/>
          <w:lang w:val="zh-CN"/>
        </w:rPr>
        <w:t>预算年终结余</w:t>
      </w:r>
      <w:r>
        <w:rPr>
          <w:rStyle w:val="18"/>
          <w:rFonts w:hint="eastAsia" w:ascii="方正仿宋_GB2312" w:eastAsia="方正仿宋_GB2312" w:cs="方正仿宋_GB2312"/>
          <w:b w:val="0"/>
          <w:bCs/>
          <w:color w:val="auto"/>
          <w:sz w:val="32"/>
          <w:szCs w:val="32"/>
          <w:lang w:val="zh-CN"/>
        </w:rPr>
        <w:t>我会</w:t>
      </w:r>
      <w:r>
        <w:rPr>
          <w:rStyle w:val="18"/>
          <w:rFonts w:hint="eastAsia" w:ascii="方正仿宋_GB2312" w:eastAsia="方正仿宋_GB2312" w:cs="方正仿宋_GB2312"/>
          <w:b w:val="0"/>
          <w:bCs/>
          <w:color w:val="auto"/>
          <w:sz w:val="32"/>
          <w:szCs w:val="32"/>
          <w:lang w:val="en-US" w:eastAsia="zh-CN"/>
        </w:rPr>
        <w:t>2024年无年终结余结转资金。</w:t>
      </w:r>
    </w:p>
    <w:p w14:paraId="7764973C">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zh-CN"/>
        </w:rPr>
      </w:pPr>
      <w:r>
        <w:rPr>
          <w:rFonts w:hint="eastAsia" w:ascii="方正仿宋_GB2312" w:eastAsia="方正仿宋_GB2312" w:cs="方正仿宋_GB2312"/>
          <w:b/>
          <w:bCs/>
          <w:color w:val="auto"/>
          <w:kern w:val="0"/>
          <w:sz w:val="32"/>
          <w:szCs w:val="32"/>
          <w:highlight w:val="none"/>
          <w:shd w:val="clear" w:color="auto" w:fill="FFFFFF"/>
          <w:lang w:val="en-US" w:eastAsia="zh-CN"/>
        </w:rPr>
        <w:t>3.</w:t>
      </w:r>
      <w:r>
        <w:rPr>
          <w:rFonts w:hint="eastAsia" w:ascii="方正仿宋_GB2312" w:eastAsia="方正仿宋_GB2312" w:cs="方正仿宋_GB2312"/>
          <w:b/>
          <w:bCs/>
          <w:color w:val="auto"/>
          <w:kern w:val="0"/>
          <w:sz w:val="32"/>
          <w:szCs w:val="32"/>
          <w:highlight w:val="none"/>
          <w:shd w:val="clear" w:color="auto" w:fill="FFFFFF"/>
          <w:lang w:val="zh-CN"/>
        </w:rPr>
        <w:t>财务管理。</w:t>
      </w:r>
      <w:r>
        <w:rPr>
          <w:rFonts w:hint="eastAsia" w:ascii="方正仿宋_GB2312" w:eastAsia="方正仿宋_GB2312" w:cs="方正仿宋_GB2312"/>
          <w:color w:val="auto"/>
          <w:kern w:val="0"/>
          <w:sz w:val="32"/>
          <w:szCs w:val="32"/>
          <w:highlight w:val="none"/>
          <w:shd w:val="clear" w:color="auto" w:fill="FFFFFF"/>
          <w:lang w:val="zh-CN"/>
        </w:rPr>
        <w:t>我</w:t>
      </w:r>
      <w:r>
        <w:rPr>
          <w:rFonts w:hint="eastAsia" w:ascii="方正仿宋_GB2312" w:eastAsia="方正仿宋_GB2312" w:cs="方正仿宋_GB2312"/>
          <w:color w:val="auto"/>
          <w:kern w:val="0"/>
          <w:sz w:val="32"/>
          <w:szCs w:val="32"/>
          <w:highlight w:val="none"/>
          <w:shd w:val="clear" w:color="auto" w:fill="FFFFFF"/>
          <w:lang w:val="en-US" w:eastAsia="zh-CN"/>
        </w:rPr>
        <w:t>中心</w:t>
      </w:r>
      <w:r>
        <w:rPr>
          <w:rFonts w:hint="eastAsia" w:ascii="方正仿宋_GB2312" w:eastAsia="方正仿宋_GB2312" w:cs="方正仿宋_GB2312"/>
          <w:color w:val="auto"/>
          <w:kern w:val="0"/>
          <w:sz w:val="32"/>
          <w:szCs w:val="32"/>
          <w:highlight w:val="none"/>
          <w:shd w:val="clear" w:color="auto" w:fill="FFFFFF"/>
          <w:lang w:val="zh-CN"/>
        </w:rPr>
        <w:t>财务管理制度健全、财务岗位设置合理、资金使用规范并进行绩效分析。</w:t>
      </w:r>
    </w:p>
    <w:p w14:paraId="547ED41D">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zh-CN"/>
        </w:rPr>
      </w:pPr>
      <w:r>
        <w:rPr>
          <w:rFonts w:hint="eastAsia" w:ascii="方正仿宋_GB2312" w:eastAsia="方正仿宋_GB2312" w:cs="方正仿宋_GB2312"/>
          <w:b/>
          <w:bCs/>
          <w:color w:val="auto"/>
          <w:kern w:val="0"/>
          <w:sz w:val="32"/>
          <w:szCs w:val="32"/>
          <w:highlight w:val="none"/>
          <w:shd w:val="clear" w:color="auto" w:fill="FFFFFF"/>
          <w:lang w:val="en-US" w:eastAsia="zh-CN"/>
        </w:rPr>
        <w:t>4.</w:t>
      </w:r>
      <w:r>
        <w:rPr>
          <w:rFonts w:hint="eastAsia" w:ascii="方正仿宋_GB2312" w:eastAsia="方正仿宋_GB2312" w:cs="方正仿宋_GB2312"/>
          <w:b/>
          <w:bCs/>
          <w:color w:val="auto"/>
          <w:kern w:val="0"/>
          <w:sz w:val="32"/>
          <w:szCs w:val="32"/>
          <w:highlight w:val="none"/>
          <w:shd w:val="clear" w:color="auto" w:fill="FFFFFF"/>
          <w:lang w:val="zh-CN"/>
        </w:rPr>
        <w:t>资产管理。</w:t>
      </w:r>
      <w:r>
        <w:rPr>
          <w:rFonts w:hint="eastAsia" w:ascii="方正仿宋_GB2312" w:eastAsia="方正仿宋_GB2312" w:cs="方正仿宋_GB2312"/>
          <w:color w:val="auto"/>
          <w:kern w:val="0"/>
          <w:sz w:val="32"/>
          <w:szCs w:val="32"/>
          <w:highlight w:val="none"/>
          <w:shd w:val="clear" w:color="auto" w:fill="FFFFFF"/>
          <w:lang w:val="zh-CN"/>
        </w:rPr>
        <w:t>我</w:t>
      </w:r>
      <w:r>
        <w:rPr>
          <w:rFonts w:hint="eastAsia" w:ascii="方正仿宋_GB2312" w:eastAsia="方正仿宋_GB2312" w:cs="方正仿宋_GB2312"/>
          <w:color w:val="auto"/>
          <w:kern w:val="0"/>
          <w:sz w:val="32"/>
          <w:szCs w:val="32"/>
          <w:highlight w:val="none"/>
          <w:shd w:val="clear" w:color="auto" w:fill="FFFFFF"/>
          <w:lang w:val="en-US" w:eastAsia="zh-CN"/>
        </w:rPr>
        <w:t>中心2024年底我中心资产较2023年</w:t>
      </w:r>
      <w:r>
        <w:rPr>
          <w:rFonts w:hint="eastAsia" w:ascii="方正仿宋_GB2312" w:eastAsia="方正仿宋_GB2312" w:cs="方正仿宋_GB2312"/>
          <w:color w:val="auto"/>
          <w:kern w:val="0"/>
          <w:sz w:val="32"/>
          <w:szCs w:val="32"/>
          <w:highlight w:val="none"/>
          <w:shd w:val="clear" w:color="auto" w:fill="FFFFFF"/>
          <w:lang w:val="zh-CN"/>
        </w:rPr>
        <w:t>人均资产变化率</w:t>
      </w:r>
      <w:r>
        <w:rPr>
          <w:rFonts w:hint="eastAsia" w:ascii="方正仿宋_GB2312" w:eastAsia="方正仿宋_GB2312" w:cs="方正仿宋_GB2312"/>
          <w:color w:val="auto"/>
          <w:kern w:val="0"/>
          <w:sz w:val="32"/>
          <w:szCs w:val="32"/>
          <w:highlight w:val="none"/>
          <w:shd w:val="clear" w:color="auto" w:fill="FFFFFF"/>
          <w:lang w:val="en-US" w:eastAsia="zh-CN"/>
        </w:rPr>
        <w:t>有所下降，下降原因经第三方评估我中心资产原值减少</w:t>
      </w:r>
      <w:r>
        <w:rPr>
          <w:rFonts w:hint="eastAsia" w:ascii="方正仿宋_GB2312" w:eastAsia="方正仿宋_GB2312" w:cs="方正仿宋_GB2312"/>
          <w:color w:val="auto"/>
          <w:kern w:val="0"/>
          <w:sz w:val="32"/>
          <w:szCs w:val="32"/>
          <w:highlight w:val="none"/>
          <w:shd w:val="clear" w:color="auto" w:fill="FFFFFF"/>
          <w:lang w:val="zh-CN"/>
        </w:rPr>
        <w:t>。</w:t>
      </w:r>
    </w:p>
    <w:p w14:paraId="61DB517A">
      <w:pPr>
        <w:pStyle w:val="11"/>
        <w:rPr>
          <w:rFonts w:hint="eastAsia"/>
          <w:lang w:val="zh-CN"/>
        </w:rPr>
      </w:pPr>
      <w:r>
        <w:rPr>
          <w:rFonts w:hint="eastAsia" w:ascii="方正仿宋_GB2312" w:eastAsia="方正仿宋_GB2312" w:cs="方正仿宋_GB2312"/>
          <w:b/>
          <w:bCs/>
          <w:color w:val="auto"/>
          <w:kern w:val="0"/>
          <w:sz w:val="32"/>
          <w:szCs w:val="32"/>
          <w:highlight w:val="none"/>
          <w:shd w:val="clear" w:color="auto" w:fill="FFFFFF"/>
          <w:lang w:val="en-US" w:eastAsia="zh-CN"/>
        </w:rPr>
        <w:t>5.</w:t>
      </w:r>
      <w:r>
        <w:rPr>
          <w:rFonts w:hint="eastAsia" w:ascii="方正仿宋_GB2312" w:eastAsia="方正仿宋_GB2312" w:cs="方正仿宋_GB2312"/>
          <w:b/>
          <w:bCs/>
          <w:color w:val="auto"/>
          <w:kern w:val="0"/>
          <w:sz w:val="32"/>
          <w:szCs w:val="32"/>
          <w:highlight w:val="none"/>
          <w:shd w:val="clear" w:color="auto" w:fill="FFFFFF"/>
          <w:lang w:val="zh-CN"/>
        </w:rPr>
        <w:t>采购管理。</w:t>
      </w:r>
      <w:r>
        <w:rPr>
          <w:rFonts w:hint="eastAsia" w:ascii="方正仿宋_GB2312" w:eastAsia="方正仿宋_GB2312" w:cs="方正仿宋_GB2312"/>
          <w:color w:val="auto"/>
          <w:kern w:val="0"/>
          <w:sz w:val="32"/>
          <w:szCs w:val="32"/>
          <w:highlight w:val="none"/>
          <w:shd w:val="clear" w:color="auto" w:fill="FFFFFF"/>
          <w:lang w:val="en-US" w:eastAsia="zh-CN"/>
        </w:rPr>
        <w:t>2024年我中心无政府采购</w:t>
      </w:r>
      <w:r>
        <w:rPr>
          <w:rFonts w:hint="eastAsia" w:ascii="方正仿宋_GB2312" w:eastAsia="方正仿宋_GB2312" w:cs="方正仿宋_GB2312"/>
          <w:color w:val="auto"/>
          <w:kern w:val="0"/>
          <w:sz w:val="32"/>
          <w:szCs w:val="32"/>
          <w:highlight w:val="none"/>
          <w:shd w:val="clear" w:color="auto" w:fill="FFFFFF"/>
          <w:lang w:val="zh-CN"/>
        </w:rPr>
        <w:t>。</w:t>
      </w:r>
    </w:p>
    <w:p w14:paraId="0241682C">
      <w:pPr>
        <w:keepNext w:val="0"/>
        <w:keepLines w:val="0"/>
        <w:pageBreakBefore w:val="0"/>
        <w:widowControl/>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en-US" w:eastAsia="zh-CN"/>
        </w:rPr>
      </w:pPr>
      <w:r>
        <w:rPr>
          <w:rFonts w:hint="eastAsia" w:ascii="方正仿宋_GB2312" w:eastAsia="方正仿宋_GB2312" w:cs="方正仿宋_GB2312"/>
          <w:b/>
          <w:bCs/>
          <w:color w:val="auto"/>
          <w:kern w:val="0"/>
          <w:sz w:val="32"/>
          <w:szCs w:val="32"/>
          <w:highlight w:val="none"/>
          <w:shd w:val="clear" w:color="auto" w:fill="FFFFFF"/>
          <w:lang w:val="zh-CN"/>
        </w:rPr>
        <w:t>（二）部门预算项目绩效分析。</w:t>
      </w:r>
    </w:p>
    <w:p w14:paraId="55B31E89">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en-US" w:eastAsia="zh-CN"/>
        </w:rPr>
      </w:pPr>
      <w:r>
        <w:rPr>
          <w:rFonts w:hint="eastAsia" w:ascii="方正仿宋_GB2312" w:eastAsia="方正仿宋_GB2312" w:cs="方正仿宋_GB2312"/>
          <w:color w:val="auto"/>
          <w:kern w:val="0"/>
          <w:sz w:val="32"/>
          <w:szCs w:val="32"/>
          <w:highlight w:val="none"/>
          <w:shd w:val="clear" w:color="auto" w:fill="FFFFFF"/>
          <w:lang w:val="en-US" w:eastAsia="zh-CN"/>
        </w:rPr>
        <w:t>阶段性项目绩效分析。2024年</w:t>
      </w:r>
      <w:r>
        <w:rPr>
          <w:rFonts w:hint="eastAsia" w:ascii="方正仿宋_GB2312" w:eastAsia="方正仿宋_GB2312" w:cs="方正仿宋_GB2312"/>
          <w:color w:val="auto"/>
          <w:kern w:val="0"/>
          <w:sz w:val="32"/>
          <w:szCs w:val="32"/>
          <w:highlight w:val="none"/>
          <w:shd w:val="clear" w:color="auto" w:fill="FFFFFF"/>
          <w:lang w:val="zh-CN" w:eastAsia="zh-CN"/>
        </w:rPr>
        <w:t>项目总数</w:t>
      </w:r>
      <w:r>
        <w:rPr>
          <w:rFonts w:hint="eastAsia" w:ascii="方正仿宋_GB2312" w:eastAsia="方正仿宋_GB2312" w:cs="方正仿宋_GB2312"/>
          <w:color w:val="auto"/>
          <w:kern w:val="0"/>
          <w:sz w:val="32"/>
          <w:szCs w:val="32"/>
          <w:highlight w:val="none"/>
          <w:shd w:val="clear" w:color="auto" w:fill="FFFFFF"/>
          <w:lang w:val="en-US" w:eastAsia="zh-CN"/>
        </w:rPr>
        <w:t>2</w:t>
      </w:r>
      <w:r>
        <w:rPr>
          <w:rFonts w:hint="eastAsia" w:ascii="方正仿宋_GB2312" w:eastAsia="方正仿宋_GB2312" w:cs="方正仿宋_GB2312"/>
          <w:color w:val="auto"/>
          <w:kern w:val="0"/>
          <w:sz w:val="32"/>
          <w:szCs w:val="32"/>
          <w:highlight w:val="none"/>
          <w:shd w:val="clear" w:color="auto" w:fill="FFFFFF"/>
          <w:lang w:val="zh-CN" w:eastAsia="zh-CN"/>
        </w:rPr>
        <w:t>个，总金额</w:t>
      </w:r>
      <w:r>
        <w:rPr>
          <w:rFonts w:hint="eastAsia" w:ascii="方正仿宋_GB2312" w:eastAsia="方正仿宋_GB2312" w:cs="方正仿宋_GB2312"/>
          <w:color w:val="auto"/>
          <w:kern w:val="0"/>
          <w:sz w:val="32"/>
          <w:szCs w:val="32"/>
          <w:highlight w:val="none"/>
          <w:shd w:val="clear" w:color="auto" w:fill="FFFFFF"/>
          <w:lang w:val="en-US" w:eastAsia="zh-CN"/>
        </w:rPr>
        <w:t>67.96</w:t>
      </w:r>
      <w:r>
        <w:rPr>
          <w:rFonts w:hint="eastAsia" w:ascii="方正仿宋_GB2312" w:eastAsia="方正仿宋_GB2312" w:cs="方正仿宋_GB2312"/>
          <w:color w:val="auto"/>
          <w:kern w:val="0"/>
          <w:sz w:val="32"/>
          <w:szCs w:val="32"/>
          <w:highlight w:val="none"/>
          <w:shd w:val="clear" w:color="auto" w:fill="FFFFFF"/>
          <w:lang w:val="zh-CN" w:eastAsia="zh-CN"/>
        </w:rPr>
        <w:t>万元，</w:t>
      </w:r>
      <w:r>
        <w:rPr>
          <w:rFonts w:hint="eastAsia" w:ascii="方正仿宋_GB2312" w:eastAsia="方正仿宋_GB2312" w:cs="方正仿宋_GB2312"/>
          <w:color w:val="auto"/>
          <w:kern w:val="0"/>
          <w:sz w:val="32"/>
          <w:szCs w:val="32"/>
          <w:highlight w:val="none"/>
          <w:shd w:val="clear" w:color="auto" w:fill="FFFFFF"/>
          <w:lang w:val="zh-CN"/>
        </w:rPr>
        <w:t>1</w:t>
      </w:r>
      <w:r>
        <w:rPr>
          <w:rFonts w:hint="eastAsia" w:ascii="方正仿宋_GB2312" w:eastAsia="方正仿宋_GB2312" w:cs="方正仿宋_GB2312"/>
          <w:color w:val="auto"/>
          <w:kern w:val="0"/>
          <w:sz w:val="32"/>
          <w:szCs w:val="32"/>
          <w:highlight w:val="none"/>
          <w:shd w:val="clear" w:color="auto" w:fill="FFFFFF"/>
          <w:lang w:val="zh-CN" w:eastAsia="zh-CN"/>
        </w:rPr>
        <w:t>—</w:t>
      </w:r>
      <w:r>
        <w:rPr>
          <w:rFonts w:hint="eastAsia" w:ascii="方正仿宋_GB2312" w:eastAsia="方正仿宋_GB2312" w:cs="方正仿宋_GB2312"/>
          <w:color w:val="auto"/>
          <w:kern w:val="0"/>
          <w:sz w:val="32"/>
          <w:szCs w:val="32"/>
          <w:highlight w:val="none"/>
          <w:shd w:val="clear" w:color="auto" w:fill="FFFFFF"/>
          <w:lang w:val="zh-CN"/>
        </w:rPr>
        <w:t>1</w:t>
      </w:r>
      <w:r>
        <w:rPr>
          <w:rFonts w:hint="eastAsia" w:ascii="方正仿宋_GB2312" w:eastAsia="方正仿宋_GB2312" w:cs="方正仿宋_GB2312"/>
          <w:color w:val="auto"/>
          <w:kern w:val="0"/>
          <w:sz w:val="32"/>
          <w:szCs w:val="32"/>
          <w:highlight w:val="none"/>
          <w:shd w:val="clear" w:color="auto" w:fill="FFFFFF"/>
          <w:lang w:val="en-US" w:eastAsia="zh-CN"/>
        </w:rPr>
        <w:t>2</w:t>
      </w:r>
      <w:r>
        <w:rPr>
          <w:rFonts w:hint="eastAsia" w:ascii="方正仿宋_GB2312" w:eastAsia="方正仿宋_GB2312" w:cs="方正仿宋_GB2312"/>
          <w:color w:val="auto"/>
          <w:kern w:val="0"/>
          <w:sz w:val="32"/>
          <w:szCs w:val="32"/>
          <w:highlight w:val="none"/>
          <w:shd w:val="clear" w:color="auto" w:fill="FFFFFF"/>
          <w:lang w:val="zh-CN"/>
        </w:rPr>
        <w:t>月执行</w:t>
      </w:r>
      <w:r>
        <w:rPr>
          <w:rFonts w:hint="eastAsia" w:ascii="方正仿宋_GB2312" w:eastAsia="方正仿宋_GB2312" w:cs="方正仿宋_GB2312"/>
          <w:color w:val="auto"/>
          <w:kern w:val="0"/>
          <w:sz w:val="32"/>
          <w:szCs w:val="32"/>
          <w:highlight w:val="none"/>
          <w:shd w:val="clear" w:color="auto" w:fill="FFFFFF"/>
          <w:lang w:val="en-US" w:eastAsia="zh-CN"/>
        </w:rPr>
        <w:t>67.96万元</w:t>
      </w:r>
      <w:r>
        <w:rPr>
          <w:rFonts w:hint="eastAsia" w:ascii="方正仿宋_GB2312" w:eastAsia="方正仿宋_GB2312" w:cs="方正仿宋_GB2312"/>
          <w:color w:val="auto"/>
          <w:kern w:val="0"/>
          <w:sz w:val="32"/>
          <w:szCs w:val="32"/>
          <w:highlight w:val="none"/>
          <w:shd w:val="clear" w:color="auto" w:fill="FFFFFF"/>
          <w:lang w:val="zh-CN"/>
        </w:rPr>
        <w:t>总体进度为</w:t>
      </w:r>
      <w:r>
        <w:rPr>
          <w:rFonts w:hint="eastAsia" w:ascii="方正仿宋_GB2312" w:eastAsia="方正仿宋_GB2312" w:cs="方正仿宋_GB2312"/>
          <w:color w:val="auto"/>
          <w:kern w:val="0"/>
          <w:sz w:val="32"/>
          <w:szCs w:val="32"/>
          <w:highlight w:val="none"/>
          <w:shd w:val="clear" w:color="auto" w:fill="FFFFFF"/>
          <w:lang w:val="en-US" w:eastAsia="zh-CN"/>
        </w:rPr>
        <w:t>100</w:t>
      </w:r>
      <w:r>
        <w:rPr>
          <w:rFonts w:hint="eastAsia" w:ascii="方正仿宋_GB2312" w:eastAsia="方正仿宋_GB2312" w:cs="方正仿宋_GB2312"/>
          <w:color w:val="auto"/>
          <w:kern w:val="0"/>
          <w:sz w:val="32"/>
          <w:szCs w:val="32"/>
          <w:highlight w:val="none"/>
          <w:shd w:val="clear" w:color="auto" w:fill="FFFFFF"/>
          <w:lang w:val="zh-CN"/>
        </w:rPr>
        <w:t>%</w:t>
      </w:r>
      <w:r>
        <w:rPr>
          <w:rFonts w:hint="eastAsia" w:ascii="方正仿宋_GB2312" w:eastAsia="方正仿宋_GB2312" w:cs="方正仿宋_GB2312"/>
          <w:color w:val="auto"/>
          <w:kern w:val="0"/>
          <w:sz w:val="32"/>
          <w:szCs w:val="32"/>
          <w:highlight w:val="none"/>
          <w:shd w:val="clear" w:color="auto" w:fill="FFFFFF"/>
          <w:lang w:val="en-US" w:eastAsia="zh-CN"/>
        </w:rPr>
        <w:t>.</w:t>
      </w:r>
    </w:p>
    <w:p w14:paraId="2BC292FA">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kern w:val="0"/>
          <w:sz w:val="32"/>
          <w:szCs w:val="32"/>
          <w:highlight w:val="none"/>
          <w:shd w:val="clear" w:color="auto" w:fill="FFFFFF"/>
          <w:lang w:val="zh-CN" w:eastAsia="zh-CN"/>
        </w:rPr>
      </w:pPr>
      <w:r>
        <w:rPr>
          <w:rFonts w:hint="eastAsia" w:ascii="方正仿宋_GB2312" w:eastAsia="方正仿宋_GB2312" w:cs="方正仿宋_GB2312"/>
          <w:b/>
          <w:bCs/>
          <w:color w:val="auto"/>
          <w:kern w:val="0"/>
          <w:sz w:val="32"/>
          <w:szCs w:val="32"/>
          <w:highlight w:val="none"/>
          <w:shd w:val="clear" w:color="auto" w:fill="FFFFFF"/>
          <w:lang w:val="en-US" w:eastAsia="zh-CN"/>
        </w:rPr>
        <w:t>1.</w:t>
      </w:r>
      <w:r>
        <w:rPr>
          <w:rFonts w:hint="eastAsia" w:ascii="方正仿宋_GB2312" w:eastAsia="方正仿宋_GB2312" w:cs="方正仿宋_GB2312"/>
          <w:b/>
          <w:bCs/>
          <w:color w:val="auto"/>
          <w:kern w:val="0"/>
          <w:sz w:val="32"/>
          <w:szCs w:val="32"/>
          <w:highlight w:val="none"/>
          <w:shd w:val="clear" w:color="auto" w:fill="FFFFFF"/>
          <w:lang w:val="zh-CN"/>
        </w:rPr>
        <w:t>项目决策。</w:t>
      </w:r>
      <w:r>
        <w:rPr>
          <w:rFonts w:hint="eastAsia" w:ascii="方正仿宋_GB2312" w:eastAsia="方正仿宋_GB2312" w:cs="方正仿宋_GB2312"/>
          <w:color w:val="auto"/>
          <w:kern w:val="0"/>
          <w:sz w:val="32"/>
          <w:szCs w:val="32"/>
          <w:highlight w:val="none"/>
          <w:shd w:val="clear" w:color="auto" w:fill="FFFFFF"/>
          <w:lang w:val="zh-CN" w:eastAsia="zh-CN"/>
        </w:rPr>
        <w:t>项目决策按照一定的章法、步骤办事程序、目标设置完整。为加强财政资金的管理与监督，提高资金运行效率和使用效益，每一个项目资金都遵循财政资金管理办法进行支付。</w:t>
      </w:r>
    </w:p>
    <w:p w14:paraId="5C5ED579">
      <w:pPr>
        <w:spacing w:line="600" w:lineRule="exact"/>
        <w:ind w:firstLine="645"/>
        <w:rPr>
          <w:rFonts w:cs="仿宋_GB2312"/>
          <w:szCs w:val="32"/>
          <w:shd w:val="clear" w:color="auto" w:fill="FFFFFF"/>
          <w:lang w:val="zh-CN"/>
        </w:rPr>
      </w:pPr>
      <w:r>
        <w:rPr>
          <w:rFonts w:hint="eastAsia" w:ascii="方正仿宋_GB2312" w:eastAsia="方正仿宋_GB2312" w:cs="方正仿宋_GB2312"/>
          <w:b/>
          <w:bCs/>
          <w:color w:val="auto"/>
          <w:kern w:val="0"/>
          <w:sz w:val="32"/>
          <w:szCs w:val="32"/>
          <w:highlight w:val="none"/>
          <w:shd w:val="clear" w:color="auto" w:fill="FFFFFF"/>
          <w:lang w:val="en-US" w:eastAsia="zh-CN"/>
        </w:rPr>
        <w:t>2.项目执行</w:t>
      </w:r>
      <w:r>
        <w:rPr>
          <w:rFonts w:hint="eastAsia" w:ascii="方正仿宋_GB2312" w:eastAsia="方正仿宋_GB2312" w:cs="方正仿宋_GB2312"/>
          <w:b/>
          <w:bCs/>
          <w:color w:val="auto"/>
          <w:kern w:val="0"/>
          <w:sz w:val="32"/>
          <w:szCs w:val="32"/>
          <w:highlight w:val="none"/>
          <w:shd w:val="clear" w:color="auto" w:fill="FFFFFF"/>
          <w:lang w:val="zh-CN"/>
        </w:rPr>
        <w:t>。</w:t>
      </w:r>
      <w:r>
        <w:rPr>
          <w:rFonts w:hint="eastAsia" w:ascii="仿宋" w:eastAsia="仿宋"/>
          <w:color w:val="000000"/>
          <w:sz w:val="32"/>
          <w:szCs w:val="32"/>
          <w:lang w:eastAsia="zh-CN"/>
        </w:rPr>
        <w:t>2024</w:t>
      </w:r>
      <w:r>
        <w:rPr>
          <w:rFonts w:hint="eastAsia" w:ascii="仿宋" w:eastAsia="仿宋"/>
          <w:color w:val="000000"/>
          <w:sz w:val="32"/>
          <w:szCs w:val="32"/>
        </w:rPr>
        <w:t>年</w:t>
      </w:r>
      <w:r>
        <w:rPr>
          <w:rFonts w:hint="eastAsia" w:ascii="方正仿宋_GB2312" w:eastAsia="方正仿宋_GB2312" w:cs="方正仿宋_GB2312"/>
          <w:color w:val="auto"/>
          <w:sz w:val="32"/>
          <w:szCs w:val="32"/>
          <w:lang w:val="zh-CN" w:eastAsia="zh-CN"/>
        </w:rPr>
        <w:t>项目支出6</w:t>
      </w:r>
      <w:r>
        <w:rPr>
          <w:rFonts w:hint="eastAsia" w:ascii="方正仿宋_GB2312" w:eastAsia="方正仿宋_GB2312" w:cs="方正仿宋_GB2312"/>
          <w:color w:val="auto"/>
          <w:sz w:val="32"/>
          <w:szCs w:val="32"/>
          <w:lang w:val="en-US" w:eastAsia="zh-CN"/>
        </w:rPr>
        <w:t>7</w:t>
      </w:r>
      <w:r>
        <w:rPr>
          <w:rFonts w:hint="eastAsia" w:ascii="方正仿宋_GB2312" w:eastAsia="方正仿宋_GB2312" w:cs="方正仿宋_GB2312"/>
          <w:color w:val="auto"/>
          <w:sz w:val="32"/>
          <w:szCs w:val="32"/>
          <w:lang w:val="zh-CN" w:eastAsia="zh-CN"/>
        </w:rPr>
        <w:t>.96万元，</w:t>
      </w:r>
      <w:r>
        <w:rPr>
          <w:rFonts w:hint="eastAsia" w:ascii="方正仿宋_GB2312" w:eastAsia="方正仿宋_GB2312" w:cs="方正仿宋_GB2312"/>
          <w:color w:val="auto"/>
          <w:sz w:val="32"/>
          <w:szCs w:val="32"/>
          <w:lang w:val="en-US" w:eastAsia="zh-CN"/>
        </w:rPr>
        <w:t>劳务费16.5万元、印刷费16.5万元、维修费27.96万元，办公费7万元，差旅费1万元。</w:t>
      </w:r>
    </w:p>
    <w:p w14:paraId="027CF369">
      <w:pPr>
        <w:snapToGrid w:val="0"/>
        <w:spacing w:line="600" w:lineRule="atLeast"/>
        <w:ind w:firstLine="630" w:firstLineChars="196"/>
        <w:jc w:val="left"/>
        <w:rPr>
          <w:rFonts w:ascii="Times New Roman" w:hAnsi="Times New Roman"/>
          <w:color w:val="000000"/>
          <w:kern w:val="0"/>
          <w:szCs w:val="32"/>
        </w:rPr>
      </w:pPr>
      <w:r>
        <w:rPr>
          <w:rFonts w:hint="eastAsia" w:ascii="方正仿宋_GB2312" w:eastAsia="方正仿宋_GB2312" w:cs="方正仿宋_GB2312"/>
          <w:b/>
          <w:bCs/>
          <w:color w:val="auto"/>
          <w:kern w:val="0"/>
          <w:sz w:val="32"/>
          <w:szCs w:val="32"/>
          <w:highlight w:val="none"/>
          <w:shd w:val="clear" w:color="auto" w:fill="FFFFFF"/>
          <w:lang w:val="en-US" w:eastAsia="zh-CN"/>
        </w:rPr>
        <w:t>3.</w:t>
      </w:r>
      <w:r>
        <w:rPr>
          <w:rFonts w:hint="eastAsia" w:ascii="方正仿宋_GB2312" w:eastAsia="方正仿宋_GB2312" w:cs="方正仿宋_GB2312"/>
          <w:b/>
          <w:bCs/>
          <w:color w:val="auto"/>
          <w:kern w:val="0"/>
          <w:sz w:val="32"/>
          <w:szCs w:val="32"/>
          <w:highlight w:val="none"/>
          <w:shd w:val="clear" w:color="auto" w:fill="FFFFFF"/>
          <w:lang w:val="zh-CN"/>
        </w:rPr>
        <w:t>目标实现。</w:t>
      </w:r>
      <w:r>
        <w:rPr>
          <w:rFonts w:hint="eastAsia" w:ascii="方正仿宋_GB2312" w:eastAsia="方正仿宋_GB2312" w:cs="方正仿宋_GB2312"/>
          <w:color w:val="auto"/>
          <w:sz w:val="32"/>
          <w:szCs w:val="32"/>
          <w:lang w:val="en-US" w:eastAsia="zh-CN"/>
        </w:rPr>
        <w:t>为加快我景区建设步伐，有力提升景区服务能力与水平。旅游基础设施维护和管理一直都是我景区的短板，进行基础设施的维护和管理，有利于改善我景区旅游环境、对景区当前和长远发展都具有重要意义。</w:t>
      </w:r>
    </w:p>
    <w:p w14:paraId="15C46822">
      <w:pPr>
        <w:pageBreakBefore w:val="0"/>
        <w:widowControl w:val="0"/>
        <w:kinsoku/>
        <w:wordWrap/>
        <w:overflowPunct/>
        <w:topLinePunct w:val="0"/>
        <w:autoSpaceDE/>
        <w:autoSpaceDN/>
        <w:bidi w:val="0"/>
        <w:adjustRightInd/>
        <w:snapToGrid/>
        <w:spacing w:beforeAutospacing="0" w:afterAutospacing="0" w:line="560" w:lineRule="exact"/>
        <w:ind w:left="0" w:right="0" w:firstLine="482"/>
        <w:jc w:val="left"/>
        <w:textAlignment w:val="auto"/>
        <w:rPr>
          <w:rFonts w:hint="eastAsia" w:ascii="方正仿宋_GB2312" w:eastAsia="方正仿宋_GB2312" w:cs="方正仿宋_GB2312"/>
          <w:color w:val="auto"/>
          <w:sz w:val="32"/>
          <w:szCs w:val="32"/>
          <w:highlight w:val="none"/>
          <w:u w:val="none"/>
          <w:shd w:val="clear" w:color="auto" w:fill="auto"/>
        </w:rPr>
      </w:pPr>
      <w:r>
        <w:rPr>
          <w:rFonts w:hint="eastAsia" w:ascii="方正仿宋_GB2312" w:eastAsia="方正仿宋_GB2312" w:cs="方正仿宋_GB2312"/>
          <w:color w:val="auto"/>
          <w:sz w:val="32"/>
          <w:szCs w:val="32"/>
          <w:u w:val="none"/>
          <w:lang w:eastAsia="zh-CN"/>
        </w:rPr>
        <w:t>我</w:t>
      </w:r>
      <w:r>
        <w:rPr>
          <w:rFonts w:hint="eastAsia" w:ascii="方正仿宋_GB2312" w:eastAsia="方正仿宋_GB2312" w:cs="方正仿宋_GB2312"/>
          <w:color w:val="auto"/>
          <w:sz w:val="32"/>
          <w:szCs w:val="32"/>
          <w:u w:val="none"/>
          <w:lang w:val="en-US" w:eastAsia="zh-CN"/>
        </w:rPr>
        <w:t>中心2024年度不涉及</w:t>
      </w:r>
      <w:r>
        <w:rPr>
          <w:rFonts w:hint="eastAsia" w:ascii="方正仿宋_GB2312" w:eastAsia="方正仿宋_GB2312" w:cs="方正仿宋_GB2312"/>
          <w:color w:val="auto"/>
          <w:sz w:val="32"/>
          <w:szCs w:val="32"/>
          <w:u w:val="none"/>
        </w:rPr>
        <w:t>国有资</w:t>
      </w:r>
      <w:r>
        <w:rPr>
          <w:rFonts w:hint="eastAsia" w:ascii="方正仿宋_GB2312" w:eastAsia="方正仿宋_GB2312" w:cs="方正仿宋_GB2312"/>
          <w:color w:val="auto"/>
          <w:sz w:val="32"/>
          <w:szCs w:val="32"/>
          <w:highlight w:val="none"/>
          <w:u w:val="none"/>
        </w:rPr>
        <w:t>本经营预算、社会保险基金预算情况</w:t>
      </w:r>
      <w:r>
        <w:rPr>
          <w:rFonts w:hint="eastAsia" w:ascii="方正仿宋_GB2312" w:eastAsia="方正仿宋_GB2312" w:cs="方正仿宋_GB2312"/>
          <w:color w:val="auto"/>
          <w:sz w:val="32"/>
          <w:szCs w:val="32"/>
          <w:highlight w:val="none"/>
          <w:u w:val="none"/>
          <w:lang w:eastAsia="zh-CN"/>
        </w:rPr>
        <w:t>发生</w:t>
      </w:r>
      <w:r>
        <w:rPr>
          <w:rFonts w:hint="eastAsia" w:ascii="方正仿宋_GB2312" w:eastAsia="方正仿宋_GB2312" w:cs="方正仿宋_GB2312"/>
          <w:color w:val="auto"/>
          <w:sz w:val="32"/>
          <w:szCs w:val="32"/>
          <w:highlight w:val="none"/>
          <w:u w:val="none"/>
        </w:rPr>
        <w:t>。</w:t>
      </w:r>
    </w:p>
    <w:p w14:paraId="61EAE5F6">
      <w:pPr>
        <w:keepNext w:val="0"/>
        <w:keepLines w:val="0"/>
        <w:pageBreakBefore w:val="0"/>
        <w:widowControl/>
        <w:shd w:val="clear" w:color="auto" w:fill="auto"/>
        <w:kinsoku/>
        <w:wordWrap/>
        <w:overflowPunct/>
        <w:topLinePunct w:val="0"/>
        <w:autoSpaceDE/>
        <w:autoSpaceDN/>
        <w:bidi w:val="0"/>
        <w:adjustRightInd w:val="0"/>
        <w:snapToGrid/>
        <w:spacing w:beforeAutospacing="0" w:afterAutospacing="0" w:line="560" w:lineRule="exact"/>
        <w:ind w:left="0" w:right="0" w:firstLine="482"/>
        <w:contextualSpacing/>
        <w:jc w:val="left"/>
        <w:textAlignment w:val="auto"/>
        <w:outlineLvl w:val="9"/>
        <w:rPr>
          <w:rFonts w:hint="eastAsia" w:ascii="方正仿宋_GB2312" w:eastAsia="方正仿宋_GB2312" w:cs="方正仿宋_GB2312"/>
          <w:color w:val="auto"/>
          <w:sz w:val="32"/>
          <w:szCs w:val="32"/>
          <w:lang w:val="en-US" w:eastAsia="zh-CN"/>
        </w:rPr>
      </w:pPr>
      <w:r>
        <w:rPr>
          <w:rFonts w:hint="eastAsia" w:ascii="方正仿宋_GB2312" w:eastAsia="方正仿宋_GB2312" w:cs="方正仿宋_GB2312"/>
          <w:b/>
          <w:bCs/>
          <w:color w:val="auto"/>
          <w:kern w:val="0"/>
          <w:sz w:val="32"/>
          <w:szCs w:val="32"/>
          <w:highlight w:val="none"/>
          <w:shd w:val="clear" w:color="auto" w:fill="FFFFFF"/>
          <w:lang w:val="zh-CN"/>
        </w:rPr>
        <w:t>（三）</w:t>
      </w:r>
      <w:r>
        <w:rPr>
          <w:rFonts w:hint="eastAsia" w:ascii="方正仿宋_GB2312" w:eastAsia="方正仿宋_GB2312" w:cs="方正仿宋_GB2312"/>
          <w:b/>
          <w:bCs/>
          <w:color w:val="auto"/>
          <w:kern w:val="0"/>
          <w:sz w:val="32"/>
          <w:szCs w:val="32"/>
          <w:highlight w:val="none"/>
          <w:shd w:val="clear" w:color="auto" w:fill="FFFFFF"/>
          <w:lang w:val="zh-CN" w:eastAsia="zh-CN"/>
        </w:rPr>
        <w:t>重点领域</w:t>
      </w:r>
      <w:r>
        <w:rPr>
          <w:rFonts w:hint="eastAsia" w:ascii="方正仿宋_GB2312" w:eastAsia="方正仿宋_GB2312" w:cs="方正仿宋_GB2312"/>
          <w:b/>
          <w:bCs/>
          <w:color w:val="auto"/>
          <w:kern w:val="0"/>
          <w:sz w:val="32"/>
          <w:szCs w:val="32"/>
          <w:highlight w:val="none"/>
          <w:shd w:val="clear" w:color="auto" w:fill="FFFFFF"/>
          <w:lang w:val="zh-CN"/>
        </w:rPr>
        <w:t>绩效分析</w:t>
      </w:r>
      <w:r>
        <w:rPr>
          <w:rFonts w:hint="eastAsia" w:ascii="方正仿宋_GB2312" w:eastAsia="方正仿宋_GB2312" w:cs="方正仿宋_GB2312"/>
          <w:b/>
          <w:bCs/>
          <w:color w:val="auto"/>
          <w:kern w:val="0"/>
          <w:sz w:val="32"/>
          <w:szCs w:val="32"/>
          <w:highlight w:val="none"/>
          <w:shd w:val="clear" w:color="auto" w:fill="FFFFFF"/>
          <w:lang w:val="zh-CN" w:eastAsia="zh-CN"/>
        </w:rPr>
        <w:t>。</w:t>
      </w:r>
      <w:r>
        <w:rPr>
          <w:rFonts w:hint="eastAsia" w:ascii="方正仿宋_GB2312" w:eastAsia="方正仿宋_GB2312" w:cs="方正仿宋_GB2312"/>
          <w:color w:val="auto"/>
          <w:sz w:val="32"/>
          <w:szCs w:val="32"/>
          <w:lang w:val="zh-CN" w:eastAsia="zh-CN"/>
        </w:rPr>
        <w:t>我</w:t>
      </w:r>
      <w:r>
        <w:rPr>
          <w:rFonts w:hint="eastAsia" w:ascii="方正仿宋_GB2312" w:eastAsia="方正仿宋_GB2312" w:cs="方正仿宋_GB2312"/>
          <w:color w:val="auto"/>
          <w:sz w:val="32"/>
          <w:szCs w:val="32"/>
          <w:lang w:val="en-US" w:eastAsia="zh-CN"/>
        </w:rPr>
        <w:t>中心2024年不涉及国有资本、行政事业性国有资产、债券资金、政府采购和政府购买服务等重点领域的情况。</w:t>
      </w:r>
    </w:p>
    <w:p w14:paraId="20BAFA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right="0" w:firstLine="482"/>
        <w:jc w:val="left"/>
        <w:textAlignment w:val="auto"/>
        <w:rPr>
          <w:rFonts w:hint="eastAsia" w:ascii="方正仿宋_GB2312" w:eastAsia="方正仿宋_GB2312" w:cs="方正仿宋_GB2312"/>
          <w:b/>
          <w:bCs/>
          <w:i w:val="0"/>
          <w:iCs w:val="0"/>
          <w:caps w:val="0"/>
          <w:smallCaps w:val="0"/>
          <w:color w:val="auto"/>
          <w:spacing w:val="0"/>
          <w:kern w:val="0"/>
          <w:sz w:val="32"/>
          <w:szCs w:val="32"/>
          <w:shd w:val="clear" w:color="auto" w:fill="FFFFFF"/>
          <w:lang w:val="zh-CN" w:eastAsia="zh-CN"/>
        </w:rPr>
      </w:pPr>
      <w:r>
        <w:rPr>
          <w:rFonts w:hint="eastAsia" w:ascii="方正仿宋_GB2312" w:eastAsia="方正仿宋_GB2312" w:cs="方正仿宋_GB2312"/>
          <w:b/>
          <w:bCs/>
          <w:i w:val="0"/>
          <w:iCs w:val="0"/>
          <w:caps w:val="0"/>
          <w:smallCaps w:val="0"/>
          <w:color w:val="auto"/>
          <w:spacing w:val="0"/>
          <w:kern w:val="0"/>
          <w:sz w:val="32"/>
          <w:szCs w:val="32"/>
          <w:shd w:val="clear" w:color="auto" w:fill="FFFFFF"/>
          <w:lang w:val="zh-CN" w:eastAsia="zh-CN"/>
        </w:rPr>
        <w:t>（四）绩效结果应用情况。</w:t>
      </w:r>
    </w:p>
    <w:p w14:paraId="4950F6B5">
      <w:pPr>
        <w:keepNext w:val="0"/>
        <w:keepLines w:val="0"/>
        <w:pageBreakBefore w:val="0"/>
        <w:widowControl w:val="0"/>
        <w:kinsoku/>
        <w:wordWrap/>
        <w:overflowPunct/>
        <w:topLinePunct w:val="0"/>
        <w:autoSpaceDE/>
        <w:autoSpaceDN/>
        <w:bidi w:val="0"/>
        <w:snapToGrid/>
        <w:spacing w:beforeAutospacing="0" w:afterAutospacing="0" w:line="560" w:lineRule="exact"/>
        <w:ind w:left="0" w:right="0" w:firstLine="482"/>
        <w:jc w:val="left"/>
        <w:textAlignment w:val="auto"/>
        <w:rPr>
          <w:rFonts w:ascii="仿宋" w:eastAsia="仿宋" w:cs="宋体"/>
          <w:sz w:val="32"/>
          <w:szCs w:val="32"/>
        </w:rPr>
      </w:pPr>
      <w:r>
        <w:rPr>
          <w:rFonts w:ascii="仿宋" w:eastAsia="仿宋" w:cs="宋体"/>
          <w:color w:val="333333"/>
          <w:sz w:val="32"/>
          <w:szCs w:val="32"/>
          <w:shd w:val="clear" w:color="auto" w:fill="FFFFFF"/>
        </w:rPr>
        <w:t>整体支出严格按照财政拨款收入分项支出，有预算、有计划，严格控制经费。</w:t>
      </w:r>
      <w:r>
        <w:rPr>
          <w:rFonts w:hint="eastAsia" w:ascii="方正仿宋_GB2312" w:eastAsia="方正仿宋_GB2312" w:cs="方正仿宋_GB2312"/>
          <w:b w:val="0"/>
          <w:bCs w:val="0"/>
          <w:kern w:val="2"/>
          <w:sz w:val="32"/>
          <w:szCs w:val="32"/>
          <w:highlight w:val="none"/>
          <w:u w:val="none"/>
          <w:lang w:val="en-US" w:eastAsia="zh-CN" w:bidi="ar-SA"/>
        </w:rPr>
        <w:t>在资金执行中，优化各分配因素分配比例，将本次绩效评价结果作为景区事业发展资金分配的重要依据，资金分配结果向使用效果佳、拨付进度快、结余金额少、规范资金管理、确保资金安全的基础上加大政策落实力度，加快资金使用，进一步提高景区事业资金使用效益。</w:t>
      </w:r>
    </w:p>
    <w:p w14:paraId="5DBFD5D6">
      <w:pPr>
        <w:pStyle w:val="13"/>
        <w:widowControl/>
        <w:spacing w:line="580" w:lineRule="exact"/>
        <w:ind w:firstLine="640"/>
        <w:rPr>
          <w:rFonts w:ascii="Times New Roman" w:hAnsi="Times New Roman" w:eastAsia="黑体"/>
          <w:color w:val="000000"/>
          <w:sz w:val="32"/>
          <w:szCs w:val="32"/>
          <w:shd w:val="clear" w:color="auto" w:fill="FFFFFF"/>
        </w:rPr>
      </w:pPr>
      <w:r>
        <w:rPr>
          <w:rFonts w:ascii="Times New Roman" w:hAnsi="Times New Roman" w:eastAsia="黑体"/>
          <w:color w:val="000000"/>
          <w:sz w:val="32"/>
          <w:szCs w:val="32"/>
          <w:shd w:val="clear" w:color="auto" w:fill="FFFFFF"/>
        </w:rPr>
        <w:t>四、评价结论及建议</w:t>
      </w:r>
    </w:p>
    <w:p w14:paraId="638531A2">
      <w:pPr>
        <w:pStyle w:val="13"/>
        <w:widowControl/>
        <w:spacing w:line="580" w:lineRule="exact"/>
        <w:ind w:firstLine="640"/>
        <w:rPr>
          <w:rFonts w:ascii="仿宋_GB2312" w:hAnsi="仿宋_GB2312" w:eastAsia="楷体_GB2312"/>
          <w:b/>
          <w:bCs/>
          <w:color w:val="000000"/>
          <w:sz w:val="32"/>
          <w:szCs w:val="32"/>
          <w:shd w:val="clear" w:color="auto" w:fill="FFFFFF"/>
          <w:lang w:val="zh-CN"/>
        </w:rPr>
      </w:pPr>
      <w:r>
        <w:rPr>
          <w:rFonts w:ascii="仿宋_GB2312" w:hAnsi="仿宋_GB2312" w:eastAsia="楷体_GB2312"/>
          <w:b/>
          <w:bCs/>
          <w:color w:val="000000"/>
          <w:sz w:val="32"/>
          <w:szCs w:val="32"/>
          <w:shd w:val="clear" w:color="auto" w:fill="FFFFFF"/>
          <w:lang w:val="zh-CN"/>
        </w:rPr>
        <w:t>（一）评价结论。</w:t>
      </w:r>
    </w:p>
    <w:p w14:paraId="68040CCB">
      <w:pPr>
        <w:spacing w:line="580" w:lineRule="exact"/>
        <w:ind w:firstLine="900" w:firstLineChars="300"/>
        <w:rPr>
          <w:rFonts w:hint="eastAsia" w:ascii="仿宋" w:hAnsi="Times New Roman" w:eastAsia="仿宋" w:cs="宋体"/>
          <w:color w:val="333333"/>
          <w:kern w:val="0"/>
          <w:sz w:val="30"/>
          <w:szCs w:val="32"/>
          <w:shd w:val="clear" w:color="auto" w:fill="FFFFFF"/>
          <w:lang w:val="en-US" w:eastAsia="zh-CN" w:bidi="ar-SA"/>
        </w:rPr>
      </w:pPr>
      <w:r>
        <w:rPr>
          <w:rFonts w:hint="eastAsia" w:ascii="仿宋" w:hAnsi="Times New Roman" w:eastAsia="仿宋" w:cs="宋体"/>
          <w:color w:val="333333"/>
          <w:kern w:val="0"/>
          <w:sz w:val="30"/>
          <w:szCs w:val="32"/>
          <w:shd w:val="clear" w:color="auto" w:fill="FFFFFF"/>
          <w:lang w:val="en-US" w:eastAsia="zh-CN" w:bidi="ar-SA"/>
        </w:rPr>
        <w:t>我中心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根据部门职能职责，认真完成县委县政府安排的各项专项工作任务及其他年度重点工作任务。</w:t>
      </w:r>
    </w:p>
    <w:p w14:paraId="27D4EFF3">
      <w:pPr>
        <w:pStyle w:val="13"/>
        <w:widowControl/>
        <w:spacing w:line="580" w:lineRule="exact"/>
        <w:ind w:firstLine="640"/>
        <w:rPr>
          <w:rFonts w:ascii="仿宋_GB2312" w:hAnsi="仿宋_GB2312" w:eastAsia="楷体_GB2312"/>
          <w:b/>
          <w:bCs/>
          <w:color w:val="000000"/>
          <w:sz w:val="32"/>
          <w:szCs w:val="32"/>
          <w:shd w:val="clear" w:color="auto" w:fill="FFFFFF"/>
          <w:lang w:val="zh-CN"/>
        </w:rPr>
      </w:pPr>
      <w:r>
        <w:rPr>
          <w:rFonts w:ascii="仿宋_GB2312" w:hAnsi="仿宋_GB2312" w:eastAsia="楷体_GB2312"/>
          <w:b/>
          <w:bCs/>
          <w:color w:val="000000"/>
          <w:sz w:val="32"/>
          <w:szCs w:val="32"/>
          <w:shd w:val="clear" w:color="auto" w:fill="FFFFFF"/>
          <w:lang w:val="zh-CN"/>
        </w:rPr>
        <w:t>（二）存在问题。</w:t>
      </w:r>
    </w:p>
    <w:p w14:paraId="6A6CECAC">
      <w:pPr>
        <w:spacing w:line="580" w:lineRule="exact"/>
        <w:ind w:firstLine="900" w:firstLineChars="300"/>
        <w:rPr>
          <w:rFonts w:hint="eastAsia" w:ascii="仿宋" w:hAnsi="Times New Roman" w:eastAsia="仿宋" w:cs="宋体"/>
          <w:color w:val="333333"/>
          <w:kern w:val="0"/>
          <w:sz w:val="30"/>
          <w:szCs w:val="32"/>
          <w:shd w:val="clear" w:color="auto" w:fill="FFFFFF"/>
          <w:lang w:val="en-US" w:eastAsia="zh-CN" w:bidi="ar-SA"/>
        </w:rPr>
      </w:pPr>
      <w:r>
        <w:rPr>
          <w:rFonts w:hint="eastAsia" w:ascii="仿宋" w:hAnsi="Times New Roman" w:eastAsia="仿宋" w:cs="宋体"/>
          <w:color w:val="333333"/>
          <w:kern w:val="0"/>
          <w:sz w:val="30"/>
          <w:szCs w:val="32"/>
          <w:shd w:val="clear" w:color="auto" w:fill="FFFFFF"/>
          <w:lang w:val="en-US" w:eastAsia="zh-CN" w:bidi="ar-SA"/>
        </w:rPr>
        <w:t>一是履职成效不高，二是内部控制管理不健全。</w:t>
      </w:r>
    </w:p>
    <w:p w14:paraId="4165B504">
      <w:pPr>
        <w:pStyle w:val="13"/>
        <w:widowControl/>
        <w:spacing w:line="580" w:lineRule="exact"/>
        <w:ind w:firstLine="640"/>
        <w:rPr>
          <w:rFonts w:ascii="仿宋_GB2312" w:hAnsi="仿宋_GB2312" w:eastAsia="楷体_GB2312"/>
          <w:b/>
          <w:bCs/>
          <w:color w:val="000000"/>
          <w:sz w:val="32"/>
          <w:szCs w:val="32"/>
          <w:shd w:val="clear" w:color="auto" w:fill="FFFFFF"/>
          <w:lang w:val="zh-CN"/>
        </w:rPr>
      </w:pPr>
      <w:r>
        <w:rPr>
          <w:rFonts w:ascii="仿宋_GB2312" w:hAnsi="仿宋_GB2312" w:eastAsia="楷体_GB2312"/>
          <w:b/>
          <w:bCs/>
          <w:color w:val="000000"/>
          <w:sz w:val="32"/>
          <w:szCs w:val="32"/>
          <w:shd w:val="clear" w:color="auto" w:fill="FFFFFF"/>
          <w:lang w:val="zh-CN"/>
        </w:rPr>
        <w:t>（三）改进建议</w:t>
      </w:r>
    </w:p>
    <w:p w14:paraId="0F28A9D6">
      <w:pPr>
        <w:pStyle w:val="2"/>
        <w:rPr>
          <w:rFonts w:hint="eastAsia" w:ascii="仿宋" w:eastAsia="仿宋" w:cs="宋体"/>
          <w:color w:val="333333"/>
          <w:kern w:val="0"/>
          <w:szCs w:val="32"/>
          <w:shd w:val="clear" w:color="auto" w:fill="FFFFFF"/>
        </w:rPr>
      </w:pPr>
      <w:r>
        <w:rPr>
          <w:rFonts w:hint="eastAsia" w:ascii="仿宋" w:eastAsia="仿宋" w:cs="宋体"/>
          <w:color w:val="333333"/>
          <w:kern w:val="0"/>
          <w:szCs w:val="32"/>
          <w:shd w:val="clear" w:color="auto" w:fill="FFFFFF"/>
        </w:rPr>
        <w:t>科学合理编制年度支出预算，建立健全财务管理机制，依法有效使用财政资金，将有效资金发挥最大效益。</w:t>
      </w:r>
      <w:r>
        <w:rPr>
          <w:rFonts w:hint="eastAsia" w:ascii="仿宋" w:eastAsia="仿宋" w:cs="宋体"/>
          <w:szCs w:val="32"/>
        </w:rPr>
        <w:t>在今后的工作中，</w:t>
      </w:r>
      <w:r>
        <w:rPr>
          <w:rFonts w:hint="eastAsia" w:ascii="仿宋" w:eastAsia="仿宋" w:cs="宋体"/>
          <w:color w:val="333333"/>
          <w:kern w:val="0"/>
          <w:szCs w:val="32"/>
          <w:shd w:val="clear" w:color="auto" w:fill="FFFFFF"/>
        </w:rPr>
        <w:t>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加大对内控制度的管理，建立健全内控制度，提高绩效管理履职成效。</w:t>
      </w:r>
    </w:p>
    <w:p w14:paraId="65F75A17">
      <w:pPr>
        <w:pStyle w:val="2"/>
        <w:rPr>
          <w:rFonts w:hint="eastAsia" w:ascii="仿宋" w:eastAsia="仿宋" w:cs="宋体"/>
          <w:color w:val="333333"/>
          <w:kern w:val="0"/>
          <w:szCs w:val="32"/>
          <w:shd w:val="clear" w:color="auto" w:fill="FFFFFF"/>
        </w:rPr>
      </w:pPr>
    </w:p>
    <w:p w14:paraId="298F05A5">
      <w:pPr>
        <w:pStyle w:val="2"/>
        <w:rPr>
          <w:rFonts w:hint="eastAsia" w:ascii="仿宋" w:eastAsia="仿宋" w:cs="宋体"/>
          <w:color w:val="333333"/>
          <w:kern w:val="0"/>
          <w:szCs w:val="32"/>
          <w:shd w:val="clear" w:color="auto" w:fill="FFFFFF"/>
        </w:rPr>
      </w:pPr>
    </w:p>
    <w:p w14:paraId="3C60B82A">
      <w:pPr>
        <w:pStyle w:val="2"/>
        <w:rPr>
          <w:rFonts w:hint="eastAsia" w:ascii="仿宋" w:eastAsia="仿宋" w:cs="宋体"/>
          <w:color w:val="333333"/>
          <w:kern w:val="0"/>
          <w:szCs w:val="32"/>
          <w:shd w:val="clear" w:color="auto" w:fill="FFFFFF"/>
        </w:rPr>
      </w:pPr>
    </w:p>
    <w:p w14:paraId="127447A8">
      <w:pPr>
        <w:pStyle w:val="2"/>
        <w:rPr>
          <w:rFonts w:hint="eastAsia" w:ascii="仿宋" w:eastAsia="仿宋" w:cs="宋体"/>
          <w:color w:val="333333"/>
          <w:kern w:val="0"/>
          <w:szCs w:val="32"/>
          <w:shd w:val="clear" w:color="auto" w:fill="FFFFFF"/>
        </w:rPr>
      </w:pPr>
    </w:p>
    <w:p w14:paraId="22E311E4">
      <w:pPr>
        <w:pStyle w:val="2"/>
        <w:rPr>
          <w:rFonts w:hint="eastAsia" w:ascii="仿宋" w:eastAsia="仿宋" w:cs="宋体"/>
          <w:color w:val="333333"/>
          <w:kern w:val="0"/>
          <w:szCs w:val="32"/>
          <w:shd w:val="clear" w:color="auto" w:fill="FFFFFF"/>
        </w:rPr>
      </w:pPr>
    </w:p>
    <w:p w14:paraId="22E75DAB">
      <w:pPr>
        <w:pStyle w:val="2"/>
        <w:rPr>
          <w:rFonts w:hint="eastAsia" w:ascii="仿宋" w:eastAsia="仿宋" w:cs="宋体"/>
          <w:color w:val="333333"/>
          <w:kern w:val="0"/>
          <w:szCs w:val="32"/>
          <w:shd w:val="clear" w:color="auto" w:fill="FFFFFF"/>
        </w:rPr>
      </w:pPr>
    </w:p>
    <w:p w14:paraId="3A1AB6FC">
      <w:pPr>
        <w:pStyle w:val="2"/>
        <w:rPr>
          <w:rFonts w:hint="eastAsia" w:ascii="仿宋" w:eastAsia="仿宋" w:cs="宋体"/>
          <w:color w:val="333333"/>
          <w:kern w:val="0"/>
          <w:szCs w:val="32"/>
          <w:shd w:val="clear" w:color="auto" w:fill="FFFFFF"/>
        </w:rPr>
      </w:pPr>
    </w:p>
    <w:p w14:paraId="3C4BABF1">
      <w:pPr>
        <w:pStyle w:val="2"/>
        <w:rPr>
          <w:rFonts w:hint="eastAsia" w:ascii="仿宋" w:eastAsia="仿宋" w:cs="宋体"/>
          <w:color w:val="333333"/>
          <w:kern w:val="0"/>
          <w:szCs w:val="32"/>
          <w:shd w:val="clear" w:color="auto" w:fill="FFFFFF"/>
        </w:rPr>
      </w:pPr>
    </w:p>
    <w:p w14:paraId="542E7AED">
      <w:pPr>
        <w:pStyle w:val="2"/>
        <w:rPr>
          <w:rFonts w:hint="eastAsia" w:ascii="仿宋" w:eastAsia="仿宋" w:cs="宋体"/>
          <w:color w:val="333333"/>
          <w:kern w:val="0"/>
          <w:szCs w:val="32"/>
          <w:shd w:val="clear" w:color="auto" w:fill="FFFFFF"/>
        </w:rPr>
      </w:pPr>
    </w:p>
    <w:p w14:paraId="5D0E55A3">
      <w:pPr>
        <w:pStyle w:val="3"/>
        <w:ind w:right="440"/>
        <w:jc w:val="both"/>
        <w:rPr>
          <w:rFonts w:hint="eastAsia" w:ascii="黑体" w:eastAsia="黑体"/>
          <w:b w:val="0"/>
          <w:color w:val="000000"/>
        </w:rPr>
      </w:pPr>
      <w:r>
        <w:rPr>
          <w:rFonts w:hint="eastAsia" w:ascii="黑体" w:eastAsia="黑体"/>
          <w:b w:val="0"/>
          <w:color w:val="000000"/>
          <w:lang w:val="en-US" w:eastAsia="zh-CN"/>
        </w:rPr>
        <w:t xml:space="preserve">第五部分  </w:t>
      </w:r>
      <w:r>
        <w:rPr>
          <w:rFonts w:hint="eastAsia" w:ascii="黑体" w:eastAsia="黑体"/>
          <w:b w:val="0"/>
          <w:color w:val="000000"/>
        </w:rPr>
        <w:tab/>
      </w:r>
      <w:r>
        <w:rPr>
          <w:rFonts w:hint="eastAsia" w:ascii="黑体" w:eastAsia="黑体"/>
          <w:b w:val="0"/>
          <w:color w:val="000000"/>
          <w:lang w:val="en-US" w:eastAsia="zh-CN"/>
        </w:rPr>
        <w:t>附表</w:t>
      </w:r>
    </w:p>
    <w:tbl>
      <w:tblPr>
        <w:tblStyle w:val="16"/>
        <w:tblW w:w="875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8"/>
        <w:gridCol w:w="1691"/>
        <w:gridCol w:w="1691"/>
        <w:gridCol w:w="1370"/>
        <w:gridCol w:w="890"/>
        <w:gridCol w:w="1581"/>
        <w:gridCol w:w="396"/>
      </w:tblGrid>
      <w:tr w14:paraId="49338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875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E1F0">
            <w:pPr>
              <w:keepNext w:val="0"/>
              <w:keepLines w:val="0"/>
              <w:widowControl/>
              <w:suppressLineNumbers w:val="0"/>
              <w:jc w:val="center"/>
              <w:textAlignment w:val="center"/>
              <w:rPr>
                <w:rFonts w:ascii="黑体" w:eastAsia="黑体" w:cs="黑体"/>
                <w:i w:val="0"/>
                <w:iCs w:val="0"/>
                <w:color w:val="000000"/>
                <w:sz w:val="30"/>
                <w:szCs w:val="30"/>
                <w:u w:val="none"/>
              </w:rPr>
            </w:pPr>
            <w:r>
              <w:rPr>
                <w:rFonts w:hint="eastAsia" w:ascii="黑体" w:eastAsia="黑体" w:cs="黑体"/>
                <w:i w:val="0"/>
                <w:iCs w:val="0"/>
                <w:color w:val="000000"/>
                <w:kern w:val="0"/>
                <w:sz w:val="30"/>
                <w:szCs w:val="30"/>
                <w:u w:val="none"/>
                <w:lang w:val="en-US" w:eastAsia="zh-CN"/>
              </w:rPr>
              <w:t>部门整体支出绩效目标表</w:t>
            </w:r>
          </w:p>
        </w:tc>
      </w:tr>
      <w:tr w14:paraId="58BFF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5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B33A">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w:t>
            </w:r>
          </w:p>
        </w:tc>
      </w:tr>
      <w:tr w14:paraId="2FB43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5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35C5">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金额单位：万元</w:t>
            </w:r>
          </w:p>
        </w:tc>
      </w:tr>
      <w:tr w14:paraId="7E92A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FC0B">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1EBE">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金川县观音桥景区工作中心本级</w:t>
            </w:r>
          </w:p>
        </w:tc>
      </w:tr>
      <w:tr w14:paraId="3C54A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4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B155">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AF32">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2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93EA">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105A">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14:paraId="58C0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15DE"/>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496A">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227.31</w:t>
            </w:r>
          </w:p>
        </w:tc>
        <w:tc>
          <w:tcPr>
            <w:tcW w:w="2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935B">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227.31</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A50D">
            <w:pPr>
              <w:jc w:val="right"/>
              <w:rPr>
                <w:rFonts w:hint="eastAsia" w:ascii="宋体" w:eastAsia="宋体" w:cs="宋体"/>
                <w:i w:val="0"/>
                <w:iCs w:val="0"/>
                <w:color w:val="000000"/>
                <w:sz w:val="18"/>
                <w:szCs w:val="18"/>
                <w:u w:val="none"/>
              </w:rPr>
            </w:pPr>
          </w:p>
        </w:tc>
      </w:tr>
      <w:tr w14:paraId="3193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0" w:hRule="atLeast"/>
        </w:trPr>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E972">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74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786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1.编制旅游规划。组织编制旅游发展规划、旅游景区、景点规划和旅游专项规划等旅游规划并监督实施；负责旅游业发展的组织协调和行业指导、监督管理工作。</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3.实施行业管理。拟制旅游发展产业政策并指导实施；组织实施国家标准和国家、省、市制定的行业标准；审核、申报经营旅游业务的旅行社(公司)、A级景区、星级宾馆、饭店等，负责曰常管理工作并协助评定和复核工作;培育和完善旅游市场；建立旅游资源信息库；组织、指导旅游商品的开发；指导直属企事业单位和旅游行业协会工作；组织、指导旅游统计工作。</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5.组织教育培训。指导旅游教育培训工作，组织实施旅游从业人员资格制度和等级制度。</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 xml:space="preserve">6.履行相关职责。受上级委托对旅游集团和直属旅游企业国有资产的保值增值进行监督管理，负责局机关党群工作，承办上级交办的其他事项。 </w:t>
            </w:r>
          </w:p>
        </w:tc>
      </w:tr>
      <w:tr w14:paraId="2134A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6858">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E40B">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3475">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14:paraId="01AF2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626A"/>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6F0E">
            <w:pPr>
              <w:jc w:val="left"/>
              <w:rPr>
                <w:rFonts w:hint="eastAsia" w:ascii="宋体" w:eastAsia="宋体" w:cs="宋体"/>
                <w:i w:val="0"/>
                <w:iCs w:val="0"/>
                <w:color w:val="000000"/>
                <w:sz w:val="18"/>
                <w:szCs w:val="18"/>
                <w:u w:val="none"/>
              </w:rPr>
            </w:pP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6AFF">
            <w:pPr>
              <w:jc w:val="left"/>
              <w:rPr>
                <w:rFonts w:hint="eastAsia" w:ascii="宋体" w:eastAsia="宋体" w:cs="宋体"/>
                <w:i w:val="0"/>
                <w:iCs w:val="0"/>
                <w:color w:val="000000"/>
                <w:sz w:val="18"/>
                <w:szCs w:val="18"/>
                <w:u w:val="none"/>
              </w:rPr>
            </w:pPr>
          </w:p>
        </w:tc>
      </w:tr>
      <w:tr w14:paraId="2E08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2305"/>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FDB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"实施行业管理    "   </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C96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拟制旅游发展产业政策并指导实施；组织实施国家标准和国家、省、市制定的行业标准；审核、申报经营旅游业务的旅行社(公司)、A级景区、星级宾馆、饭店等，负责曰常管理工作并协助评定和复核工作;培育和完善旅游市场；建立旅游资源信息库；组织、指导旅游商品的开发；指导直属企事业单位和旅游行业协会工作；组织、指导旅游统计工作。     </w:t>
            </w:r>
          </w:p>
        </w:tc>
      </w:tr>
      <w:tr w14:paraId="651C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7991"/>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E9BD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"组织市场开发    </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0E8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拟制国际、国内旅游市场开发战略；组织实施旅游主题形象策划，对内、对外宣传国内外旅游市场重大促销活动；管理旅游涉外事务和旅游对外交流与合作；负责规范旅游业市场开发，链接旅游线路，制定开发计划、措施及相关政策。    </w:t>
            </w:r>
          </w:p>
        </w:tc>
      </w:tr>
      <w:tr w14:paraId="121F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BB07"/>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7C8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"组织教育培训   </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C11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"指导旅游教育培训工作，组织实施旅游从业人员资格制度和等级制度。      </w:t>
            </w:r>
          </w:p>
        </w:tc>
      </w:tr>
      <w:tr w14:paraId="6CCDD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9362"/>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C9D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"编制旅游规划   </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F5A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"组织编制旅游发展规划、旅游景区、景点规划和旅游专项规划等旅游规划并监督实施；负责旅游业发展的组织协调和行业指导、监督管理工作。     </w:t>
            </w:r>
          </w:p>
        </w:tc>
      </w:tr>
      <w:tr w14:paraId="3DF7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C170"/>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27C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"履行相关职责    </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603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"受上级委托对旅游集团和直属旅游企业国有资产的保值增值进行监督管理，负责局机关党群工作，承办上级交办的其他事项。     </w:t>
            </w:r>
          </w:p>
        </w:tc>
      </w:tr>
      <w:tr w14:paraId="3403D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B9A6"/>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D02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"实施旅游执法    </w:t>
            </w:r>
          </w:p>
        </w:tc>
        <w:tc>
          <w:tcPr>
            <w:tcW w:w="402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B01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    </w:t>
            </w:r>
          </w:p>
        </w:tc>
      </w:tr>
      <w:tr w14:paraId="757A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27C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B7C6">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5CDA">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2226">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98F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CC23">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353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r>
      <w:tr w14:paraId="11CCC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B175"/>
        </w:tc>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C1A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0B0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5AB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91E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30C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25A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r>
      <w:tr w14:paraId="0A90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710C"/>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4B58"/>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789E"/>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D07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人员经费保障率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B02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290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E2D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14:paraId="1FF32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28A2"/>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9F44"/>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4F80">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EF7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AE7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DD8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476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14:paraId="4742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906A"/>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0A1D"/>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FE5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06E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按时发放率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9A6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9F6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1C0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14:paraId="4D30C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6D66"/>
        </w:tc>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2F9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B37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7A9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三公经费控制率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431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A80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F0E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14:paraId="63C79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0E6D"/>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50F6"/>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C730"/>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8F8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预算结余率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2D7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569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6F2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14:paraId="080AE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E138"/>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257E"/>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997B"/>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705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9E5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220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27E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bl>
    <w:p w14:paraId="014922B4">
      <w:pPr>
        <w:pStyle w:val="14"/>
        <w:shd w:val="clear" w:color="auto" w:fill="FFFFFF"/>
        <w:spacing w:beforeAutospacing="0" w:afterAutospacing="0" w:line="576" w:lineRule="exact"/>
        <w:rPr>
          <w:rFonts w:ascii="仿宋_GB2312" w:eastAsia="仿宋_GB2312"/>
          <w:b/>
          <w:color w:val="000000"/>
          <w:sz w:val="32"/>
          <w:szCs w:val="32"/>
        </w:rPr>
      </w:pPr>
    </w:p>
    <w:p w14:paraId="1B4015C9">
      <w:pPr>
        <w:widowControl/>
        <w:adjustRightInd w:val="0"/>
        <w:snapToGrid w:val="0"/>
        <w:spacing w:line="540" w:lineRule="exact"/>
        <w:jc w:val="left"/>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028280-FC77-4768-B906-EDD2AEF7CE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C1DD4F28-0F8B-4EE9-B0BF-C6B94AD684E6}"/>
  </w:font>
  <w:font w:name="仿宋_GB2312">
    <w:panose1 w:val="02010609030101010101"/>
    <w:charset w:val="86"/>
    <w:family w:val="modern"/>
    <w:pitch w:val="default"/>
    <w:sig w:usb0="00000001" w:usb1="080E0000" w:usb2="00000000" w:usb3="00000000" w:csb0="00040000" w:csb1="00000000"/>
    <w:embedRegular r:id="rId3" w:fontKey="{4A651BB6-4468-4F19-BBC7-0CFBF2A0ADF2}"/>
  </w:font>
  <w:font w:name="仿宋">
    <w:panose1 w:val="02010609060101010101"/>
    <w:charset w:val="86"/>
    <w:family w:val="modern"/>
    <w:pitch w:val="default"/>
    <w:sig w:usb0="800002BF" w:usb1="38CF7CFA" w:usb2="00000016" w:usb3="00000000" w:csb0="00040001" w:csb1="00000000"/>
    <w:embedRegular r:id="rId4" w:fontKey="{B036E02A-99AC-40E2-9704-707ECA85A52F}"/>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RomanS"/>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embedRegular r:id="rId5" w:fontKey="{4415E1E3-7763-4DEB-9BB1-B366AED44EF1}"/>
  </w:font>
  <w:font w:name="方正仿宋_GB2312">
    <w:panose1 w:val="02000000000000000000"/>
    <w:charset w:val="86"/>
    <w:family w:val="auto"/>
    <w:pitch w:val="default"/>
    <w:sig w:usb0="A00002BF" w:usb1="184F6CFA" w:usb2="00000012" w:usb3="00000000" w:csb0="00040001" w:csb1="00000000"/>
    <w:embedRegular r:id="rId6" w:fontKey="{4172262F-4CEA-4668-B963-42721695E288}"/>
  </w:font>
  <w:font w:name="RomanS">
    <w:panose1 w:val="02000400000000000000"/>
    <w:charset w:val="00"/>
    <w:family w:val="auto"/>
    <w:pitch w:val="default"/>
    <w:sig w:usb0="0000020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900972"/>
      <w:docPartList>
        <w:docPartGallery w:val="Quick Parts"/>
      </w:docPartList>
    </w:sdtPr>
    <w:sdtContent>
      <w:p w14:paraId="69CCA8DE">
        <w:pPr>
          <w:pStyle w:val="8"/>
          <w:jc w:val="center"/>
        </w:pPr>
        <w:r>
          <w:fldChar w:fldCharType="begin"/>
        </w:r>
        <w:r>
          <w:instrText xml:space="preserve">PAGE   \* MERGEFORMAT</w:instrText>
        </w:r>
        <w:r>
          <w:fldChar w:fldCharType="separate"/>
        </w:r>
        <w:r>
          <w:rPr>
            <w:lang w:val="zh-CN"/>
          </w:rPr>
          <w:t>13</w:t>
        </w:r>
        <w:r>
          <w:fldChar w:fldCharType="end"/>
        </w:r>
      </w:p>
    </w:sdtContent>
  </w:sdt>
  <w:p w14:paraId="3AE54EFC">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2D18F">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433"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
  <w:docVars>
    <w:docVar w:name="commondata" w:val="eyJoZGlkIjoiMzM0Y2IyYmM2NWM0NDNkZTA3MWRhZGQzOWM1YTg1ZjIifQ=="/>
  </w:docVars>
  <w:rsids>
    <w:rsidRoot w:val="00000000"/>
    <w:rsid w:val="125E755F"/>
    <w:rsid w:val="5C7A33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autoRedefine/>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before="30" w:beforeLines="30"/>
    </w:pPr>
    <w:rPr>
      <w:rFonts w:ascii="仿宋_GB2312" w:eastAsia="仿宋_GB2312"/>
      <w:kern w:val="0"/>
      <w:sz w:val="30"/>
    </w:rPr>
  </w:style>
  <w:style w:type="paragraph" w:styleId="6">
    <w:name w:val="toc 3"/>
    <w:basedOn w:val="1"/>
    <w:next w:val="1"/>
    <w:autoRedefine/>
    <w:qFormat/>
    <w:uiPriority w:val="0"/>
    <w:pPr>
      <w:tabs>
        <w:tab w:val="right" w:leader="dot" w:pos="8296"/>
      </w:tabs>
      <w:ind w:left="400" w:leftChars="400"/>
    </w:pPr>
  </w:style>
  <w:style w:type="paragraph" w:styleId="7">
    <w:name w:val="Balloon Text"/>
    <w:basedOn w:val="1"/>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able of figures"/>
    <w:basedOn w:val="1"/>
    <w:next w:val="1"/>
    <w:qFormat/>
    <w:uiPriority w:val="0"/>
    <w:pPr>
      <w:widowControl w:val="0"/>
      <w:suppressAutoHyphens/>
      <w:spacing w:before="100" w:beforeAutospacing="1" w:after="100" w:afterAutospacing="1"/>
      <w:ind w:left="400" w:leftChars="200" w:hanging="200" w:hangingChars="200"/>
      <w:jc w:val="both"/>
    </w:pPr>
    <w:rPr>
      <w:rFonts w:ascii="Calibri" w:hAnsi="Calibri" w:eastAsia="仿宋_GB2312" w:cs="Times New Roman"/>
      <w:kern w:val="2"/>
      <w:sz w:val="32"/>
      <w:szCs w:val="21"/>
      <w:lang w:val="en-US" w:eastAsia="zh-CN" w:bidi="ar-SA"/>
    </w:rPr>
  </w:style>
  <w:style w:type="paragraph" w:styleId="12">
    <w:name w:val="toc 2"/>
    <w:basedOn w:val="1"/>
    <w:next w:val="1"/>
    <w:autoRedefine/>
    <w:qFormat/>
    <w:uiPriority w:val="0"/>
    <w:pPr>
      <w:tabs>
        <w:tab w:val="right" w:leader="dot" w:pos="8296"/>
      </w:tabs>
      <w:ind w:left="200" w:leftChars="200"/>
    </w:pPr>
  </w:style>
  <w:style w:type="paragraph" w:styleId="13">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Times New Roman"/>
      <w:kern w:val="0"/>
      <w:sz w:val="24"/>
      <w:szCs w:val="24"/>
      <w:lang w:val="en-US" w:eastAsia="zh-CN" w:bidi="ar-SA"/>
    </w:rPr>
  </w:style>
  <w:style w:type="paragraph" w:styleId="14">
    <w:name w:val="Normal (Web)"/>
    <w:basedOn w:val="1"/>
    <w:autoRedefine/>
    <w:qFormat/>
    <w:uiPriority w:val="0"/>
    <w:pPr>
      <w:widowControl/>
      <w:spacing w:beforeAutospacing="1" w:afterAutospacing="1"/>
      <w:jc w:val="left"/>
    </w:pPr>
    <w:rPr>
      <w:rFonts w:ascii="宋体"/>
      <w:kern w:val="0"/>
      <w:sz w:val="24"/>
    </w:rPr>
  </w:style>
  <w:style w:type="paragraph" w:styleId="15">
    <w:name w:val="Body Text First Indent 2"/>
    <w:qFormat/>
    <w:uiPriority w:val="0"/>
    <w:pPr>
      <w:widowControl w:val="0"/>
      <w:spacing w:after="120"/>
      <w:ind w:left="200" w:leftChars="200" w:firstLine="200" w:firstLineChars="200"/>
      <w:jc w:val="both"/>
    </w:pPr>
    <w:rPr>
      <w:rFonts w:ascii="仿宋_GB2312" w:hAnsi="Times New Roman" w:eastAsia="仿宋_GB2312" w:cs="Times New Roman"/>
      <w:kern w:val="2"/>
      <w:sz w:val="32"/>
      <w:szCs w:val="32"/>
      <w:lang w:val="en-US" w:eastAsia="zh-CN" w:bidi="ar-SA"/>
    </w:rPr>
  </w:style>
  <w:style w:type="character" w:styleId="18">
    <w:name w:val="Strong"/>
    <w:basedOn w:val="17"/>
    <w:qFormat/>
    <w:uiPriority w:val="0"/>
    <w:rPr>
      <w:b/>
    </w:rPr>
  </w:style>
  <w:style w:type="character" w:styleId="19">
    <w:name w:val="Hyperlink"/>
    <w:basedOn w:val="17"/>
    <w:autoRedefine/>
    <w:qFormat/>
    <w:uiPriority w:val="0"/>
    <w:rPr>
      <w:color w:val="0000FF"/>
      <w:u w:val="single"/>
    </w:rPr>
  </w:style>
  <w:style w:type="character" w:customStyle="1" w:styleId="20">
    <w:name w:val="heading 1 Char"/>
    <w:basedOn w:val="17"/>
    <w:link w:val="3"/>
    <w:autoRedefine/>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4"/>
    <w:qFormat/>
    <w:uiPriority w:val="0"/>
    <w:rPr>
      <w:rFonts w:ascii="Cambria" w:hAnsi="Cambria" w:eastAsia="宋体" w:cs="Times New Roman"/>
      <w:b/>
      <w:bCs/>
      <w:kern w:val="2"/>
      <w:sz w:val="32"/>
      <w:szCs w:val="32"/>
      <w:lang w:val="en-US" w:eastAsia="zh-CN" w:bidi="ar-SA"/>
    </w:rPr>
  </w:style>
  <w:style w:type="paragraph" w:customStyle="1" w:styleId="22">
    <w:name w:val="图表目录1"/>
    <w:basedOn w:val="1"/>
    <w:next w:val="1"/>
    <w:autoRedefine/>
    <w:qFormat/>
    <w:uiPriority w:val="0"/>
    <w:pPr>
      <w:spacing w:before="100" w:beforeAutospacing="1" w:after="100" w:afterAutospacing="1"/>
      <w:ind w:left="400" w:leftChars="200" w:hanging="200" w:hangingChars="200"/>
    </w:p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autoRedefine/>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3"/>
    <w:next w:val="1"/>
    <w:autoRedefine/>
    <w:qFormat/>
    <w:uiPriority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283.17</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473.44</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283.17</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473.44</c:v>
                </c:pt>
              </c:numCache>
            </c:numRef>
          </c:val>
        </c:ser>
        <c:dLbls>
          <c:showLegendKey val="0"/>
          <c:showVal val="1"/>
          <c:showCatName val="0"/>
          <c:showSerName val="0"/>
          <c:showPercent val="0"/>
          <c:showBubbleSize val="0"/>
        </c:dLbls>
        <c:gapWidth val="65"/>
        <c:axId val="0"/>
        <c:axId val="1"/>
      </c:barChart>
      <c:catAx>
        <c:axId val="0"/>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manualLayout>
          <c:xMode val="edge"/>
          <c:yMode val="edge"/>
          <c:x val="0.6319375"/>
          <c:y val="0.9033686"/>
        </c:manualLayout>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44e3366b-4a52-4ad2-81ba-d365976e38d1}"/>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283.17</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100%</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473.44</c:v>
                </c:pt>
                <c:pt idx="1">
                  <c:v>0</c:v>
                </c:pt>
              </c:numCache>
            </c:numRef>
          </c:val>
        </c:ser>
        <c:dLbls>
          <c:showLegendKey val="0"/>
          <c:showVal val="1"/>
          <c:showCatName val="0"/>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474b8350-2a92-4f10-8cd5-4a8d1b787bc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r>
                      <a:rPr lang="zh-CN"/>
                      <a:t>215.2</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r>
                      <a:rPr lang="zh-CN"/>
                      <a:t>67.69</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215.2</c:v>
                </c:pt>
                <c:pt idx="1">
                  <c:v>67.69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dc0dbc49-8ff4-453d-b77f-9de7649e305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收支对比图</a:t>
            </a:r>
            <a:endParaRPr lang="zh-CN"/>
          </a:p>
        </c:rich>
      </c:tx>
      <c:layout/>
      <c:overlay val="0"/>
      <c:spPr>
        <a:noFill/>
        <a:ln>
          <a:noFill/>
        </a:ln>
      </c:spPr>
    </c:title>
    <c:autoTitleDeleted val="0"/>
    <c:plotArea>
      <c:layout/>
      <c:barChart>
        <c:barDir val="col"/>
        <c:grouping val="clustered"/>
        <c:varyColors val="0"/>
        <c:ser>
          <c:idx val="0"/>
          <c:order val="0"/>
          <c:tx>
            <c:strRef>
              <c:f>'Sheet1 (4)'!$B$1</c:f>
              <c:strCache>
                <c:ptCount val="1"/>
                <c:pt idx="0">
                  <c:v>财政拨款收入</c:v>
                </c:pt>
              </c:strCache>
            </c:strRef>
          </c:tx>
          <c:spPr>
            <a:solidFill>
              <a:srgbClr val="4F81B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2023年</c:v>
                </c:pt>
                <c:pt idx="1">
                  <c:v>2024年</c:v>
                </c:pt>
              </c:strCache>
            </c:strRef>
          </c:cat>
          <c:val>
            <c:numRef>
              <c:f>'Sheet1 (4)'!$B$2:$B$3</c:f>
              <c:numCache>
                <c:formatCode>General</c:formatCode>
                <c:ptCount val="2"/>
                <c:pt idx="0">
                  <c:v>473.44</c:v>
                </c:pt>
                <c:pt idx="1">
                  <c:v>283.16</c:v>
                </c:pt>
              </c:numCache>
            </c:numRef>
          </c:val>
        </c:ser>
        <c:ser>
          <c:idx val="1"/>
          <c:order val="1"/>
          <c:tx>
            <c:strRef>
              <c:f>'Sheet1 (4)'!$C$1</c:f>
              <c:strCache>
                <c:ptCount val="1"/>
                <c:pt idx="0">
                  <c:v>财政拨款支出</c:v>
                </c:pt>
              </c:strCache>
            </c:strRef>
          </c:tx>
          <c:spPr>
            <a:solidFill>
              <a:srgbClr val="C0504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2023年</c:v>
                </c:pt>
                <c:pt idx="1">
                  <c:v>2024年</c:v>
                </c:pt>
              </c:strCache>
            </c:strRef>
          </c:cat>
          <c:val>
            <c:numRef>
              <c:f>'Sheet1 (4)'!$C$2:$C$3</c:f>
              <c:numCache>
                <c:formatCode>General</c:formatCode>
                <c:ptCount val="2"/>
                <c:pt idx="0">
                  <c:v>473.44</c:v>
                </c:pt>
                <c:pt idx="1">
                  <c:v>283.16</c:v>
                </c:pt>
              </c:numCache>
            </c:numRef>
          </c:val>
        </c:ser>
        <c:ser>
          <c:idx val="2"/>
          <c:order val="2"/>
          <c:spPr>
            <a:solidFill>
              <a:srgbClr val="9BBB59"/>
            </a:solidFill>
            <a:ln>
              <a:noFill/>
            </a:ln>
          </c:spPr>
          <c:invertIfNegative val="0"/>
          <c:dLbls>
            <c:dLbl>
              <c:idx val="0"/>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2023年</c:v>
                </c:pt>
                <c:pt idx="1">
                  <c:v>2024年</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7cafe9d8-78ce-494c-a647-9c6e46f108c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21</Pages>
  <Words>7628</Words>
  <Characters>8227</Characters>
  <Lines>444</Lines>
  <Paragraphs>218</Paragraphs>
  <TotalTime>19</TotalTime>
  <ScaleCrop>false</ScaleCrop>
  <LinksUpToDate>false</LinksUpToDate>
  <CharactersWithSpaces>8331</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2023-02-16T10:37:00Z</dcterms:created>
  <dc:creator>张彬茜</dc:creator>
  <cp:lastModifiedBy>沈哥</cp:lastModifiedBy>
  <cp:lastPrinted>2020-09-29T10:36:00Z</cp:lastPrinted>
  <dcterms:modified xsi:type="dcterms:W3CDTF">2025-09-02T07:33:08Z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086AADDA551D4C54888A9148838E99E6_13</vt:lpwstr>
  </property>
  <property fmtid="{D5CDD505-2E9C-101B-9397-08002B2CF9AE}" pid="4" name="KSOTemplateDocerSaveRecord">
    <vt:lpwstr>eyJoZGlkIjoiMmY5MWM4NWJhZGMyNWVhZDBmNTBjYWFlNTNlYzBiNzgiLCJ1c2VySWQiOiI1NzQ5NTYxNDQifQ==</vt:lpwstr>
  </property>
</Properties>
</file>