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Autospacing="0" w:line="600" w:lineRule="exact"/>
        <w:jc w:val="center"/>
        <w:textAlignment w:val="auto"/>
        <w:outlineLvl w:val="9"/>
        <w:rPr>
          <w:rFonts w:ascii="Times New Roman" w:hAnsi="Times New Roman" w:eastAsia="方正小标宋简体" w:cs="Times New Roman"/>
          <w:kern w:val="2"/>
          <w:sz w:val="52"/>
          <w:szCs w:val="52"/>
          <w:lang w:bidi="ar-SA"/>
        </w:rPr>
      </w:pPr>
      <w:r>
        <w:rPr>
          <w:rFonts w:ascii="Times New Roman" w:hAnsi="Times New Roman" w:eastAsia="方正小标宋简体" w:cs="Times New Roman"/>
          <w:kern w:val="2"/>
          <w:sz w:val="52"/>
          <w:szCs w:val="52"/>
          <w:lang w:bidi="ar-SA"/>
        </w:rPr>
        <w:t>2022年度</w:t>
      </w:r>
    </w:p>
    <w:p>
      <w:pPr>
        <w:keepNext w:val="0"/>
        <w:keepLines w:val="0"/>
        <w:pageBreakBefore w:val="0"/>
        <w:widowControl w:val="0"/>
        <w:kinsoku/>
        <w:wordWrap/>
        <w:overflowPunct/>
        <w:topLinePunct w:val="0"/>
        <w:autoSpaceDE/>
        <w:autoSpaceDN/>
        <w:bidi w:val="0"/>
        <w:adjustRightInd/>
        <w:snapToGrid/>
        <w:spacing w:afterAutospacing="0" w:line="600" w:lineRule="exact"/>
        <w:jc w:val="center"/>
        <w:textAlignment w:val="auto"/>
        <w:outlineLvl w:val="9"/>
        <w:rPr>
          <w:rFonts w:ascii="Times New Roman" w:hAnsi="Times New Roman" w:eastAsia="方正小标宋简体" w:cs="Times New Roman"/>
          <w:kern w:val="2"/>
          <w:sz w:val="52"/>
          <w:szCs w:val="52"/>
          <w:lang w:bidi="ar-SA"/>
        </w:rPr>
      </w:pPr>
      <w:r>
        <w:rPr>
          <w:rFonts w:ascii="Times New Roman" w:hAnsi="Times New Roman" w:eastAsia="方正小标宋简体" w:cs="Times New Roman"/>
          <w:kern w:val="2"/>
          <w:sz w:val="52"/>
          <w:szCs w:val="52"/>
          <w:lang w:bidi="ar-SA"/>
        </w:rPr>
        <w:t>金川县观音桥景区工作中心</w:t>
      </w:r>
    </w:p>
    <w:p>
      <w:pPr>
        <w:keepNext w:val="0"/>
        <w:keepLines w:val="0"/>
        <w:pageBreakBefore w:val="0"/>
        <w:widowControl w:val="0"/>
        <w:kinsoku/>
        <w:wordWrap/>
        <w:overflowPunct/>
        <w:topLinePunct w:val="0"/>
        <w:autoSpaceDE/>
        <w:autoSpaceDN/>
        <w:bidi w:val="0"/>
        <w:adjustRightInd/>
        <w:snapToGrid/>
        <w:spacing w:afterAutospacing="0" w:line="600" w:lineRule="exact"/>
        <w:jc w:val="center"/>
        <w:textAlignment w:val="auto"/>
        <w:outlineLvl w:val="9"/>
        <w:rPr>
          <w:rFonts w:ascii="Times New Roman" w:hAnsi="Times New Roman" w:eastAsia="方正小标宋简体" w:cs="Times New Roman"/>
          <w:kern w:val="2"/>
          <w:sz w:val="52"/>
          <w:szCs w:val="52"/>
          <w:lang w:bidi="ar-SA"/>
        </w:rPr>
      </w:pPr>
      <w:r>
        <w:rPr>
          <w:rFonts w:ascii="Times New Roman" w:hAnsi="Times New Roman" w:eastAsia="方正小标宋简体" w:cs="Times New Roman"/>
          <w:kern w:val="2"/>
          <w:sz w:val="52"/>
          <w:szCs w:val="52"/>
          <w:lang w:bidi="ar-SA"/>
        </w:rPr>
        <w:t>部门决算</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jc w:val="center"/>
        <w:textAlignment w:val="auto"/>
        <w:outlineLvl w:val="9"/>
      </w:pPr>
      <w:r>
        <w:rPr>
          <w:shd w:val="clear" w:fill="FFFFFF"/>
        </w:rPr>
        <w:t> </w:t>
      </w:r>
    </w:p>
    <w:p>
      <w:pPr>
        <w:pStyle w:val="9"/>
        <w:keepNext w:val="0"/>
        <w:keepLines w:val="0"/>
        <w:widowControl/>
        <w:suppressLineNumbers w:val="0"/>
        <w:spacing w:before="0" w:beforeAutospacing="0"/>
        <w:ind w:left="0"/>
        <w:jc w:val="center"/>
      </w:pPr>
      <w:r>
        <w:rPr>
          <w:shd w:val="clear" w:fill="FFFFFF"/>
        </w:rPr>
        <w:t> </w:t>
      </w:r>
    </w:p>
    <w:p>
      <w:pPr>
        <w:pStyle w:val="9"/>
        <w:keepNext w:val="0"/>
        <w:keepLines w:val="0"/>
        <w:widowControl/>
        <w:suppressLineNumbers w:val="0"/>
        <w:spacing w:before="0" w:beforeAutospacing="0"/>
        <w:ind w:left="0"/>
        <w:jc w:val="center"/>
      </w:pPr>
      <w:r>
        <w:rPr>
          <w:shd w:val="clear" w:fill="FFFFFF"/>
        </w:rPr>
        <w:t> </w:t>
      </w:r>
    </w:p>
    <w:p>
      <w:pPr>
        <w:pStyle w:val="9"/>
        <w:keepNext w:val="0"/>
        <w:keepLines w:val="0"/>
        <w:widowControl/>
        <w:suppressLineNumbers w:val="0"/>
        <w:spacing w:before="0" w:beforeAutospacing="0"/>
        <w:ind w:left="0"/>
        <w:jc w:val="center"/>
      </w:pPr>
      <w:r>
        <w:rPr>
          <w:shd w:val="clear" w:fill="FFFFFF"/>
        </w:rPr>
        <w:t> </w:t>
      </w:r>
    </w:p>
    <w:p>
      <w:pPr>
        <w:pStyle w:val="9"/>
        <w:keepNext w:val="0"/>
        <w:keepLines w:val="0"/>
        <w:widowControl/>
        <w:suppressLineNumbers w:val="0"/>
        <w:spacing w:before="0" w:beforeAutospacing="0"/>
        <w:ind w:left="0"/>
        <w:jc w:val="center"/>
      </w:pPr>
      <w:r>
        <w:rPr>
          <w:shd w:val="clear" w:fill="FFFFFF"/>
        </w:rPr>
        <w:t> </w:t>
      </w:r>
    </w:p>
    <w:p>
      <w:pPr>
        <w:pStyle w:val="9"/>
        <w:keepNext w:val="0"/>
        <w:keepLines w:val="0"/>
        <w:widowControl/>
        <w:suppressLineNumbers w:val="0"/>
        <w:spacing w:before="0" w:beforeAutospacing="0"/>
        <w:ind w:left="0"/>
        <w:jc w:val="center"/>
        <w:rPr>
          <w:shd w:val="clear" w:fill="FFFFFF"/>
        </w:rPr>
      </w:pPr>
    </w:p>
    <w:p>
      <w:pPr>
        <w:pStyle w:val="9"/>
        <w:keepNext w:val="0"/>
        <w:keepLines w:val="0"/>
        <w:widowControl/>
        <w:suppressLineNumbers w:val="0"/>
        <w:spacing w:before="0" w:beforeAutospacing="0"/>
        <w:ind w:left="0"/>
        <w:jc w:val="center"/>
        <w:rPr>
          <w:shd w:val="clear" w:fill="FFFFFF"/>
        </w:rPr>
      </w:pPr>
    </w:p>
    <w:p>
      <w:pPr>
        <w:pStyle w:val="9"/>
        <w:keepNext w:val="0"/>
        <w:keepLines w:val="0"/>
        <w:widowControl/>
        <w:suppressLineNumbers w:val="0"/>
        <w:spacing w:before="0" w:beforeAutospacing="0"/>
        <w:ind w:left="0"/>
        <w:jc w:val="center"/>
        <w:rPr>
          <w:shd w:val="clear" w:fill="FFFFFF"/>
        </w:rPr>
      </w:pPr>
    </w:p>
    <w:p>
      <w:pPr>
        <w:pStyle w:val="9"/>
        <w:keepNext w:val="0"/>
        <w:keepLines w:val="0"/>
        <w:widowControl/>
        <w:suppressLineNumbers w:val="0"/>
        <w:spacing w:before="0" w:beforeAutospacing="0"/>
        <w:ind w:left="0"/>
        <w:jc w:val="center"/>
        <w:rPr>
          <w:shd w:val="clear" w:fill="FFFFFF"/>
        </w:rPr>
      </w:pPr>
    </w:p>
    <w:p>
      <w:pPr>
        <w:pStyle w:val="9"/>
        <w:keepNext w:val="0"/>
        <w:keepLines w:val="0"/>
        <w:widowControl/>
        <w:suppressLineNumbers w:val="0"/>
        <w:spacing w:before="0" w:beforeAutospacing="0"/>
        <w:ind w:left="0"/>
        <w:jc w:val="center"/>
        <w:rPr>
          <w:shd w:val="clear" w:fill="FFFFFF"/>
        </w:rPr>
      </w:pPr>
    </w:p>
    <w:p>
      <w:pPr>
        <w:pStyle w:val="9"/>
        <w:keepNext w:val="0"/>
        <w:keepLines w:val="0"/>
        <w:widowControl/>
        <w:suppressLineNumbers w:val="0"/>
        <w:spacing w:before="0" w:beforeAutospacing="0"/>
        <w:ind w:left="0"/>
        <w:jc w:val="center"/>
      </w:pPr>
      <w:r>
        <w:rPr>
          <w:shd w:val="clear" w:fill="FFFFFF"/>
        </w:rPr>
        <w:t> </w:t>
      </w:r>
    </w:p>
    <w:p>
      <w:pPr>
        <w:pStyle w:val="9"/>
        <w:keepNext w:val="0"/>
        <w:keepLines w:val="0"/>
        <w:widowControl/>
        <w:suppressLineNumbers w:val="0"/>
        <w:spacing w:before="0" w:beforeAutospacing="0"/>
        <w:ind w:left="0"/>
        <w:jc w:val="center"/>
      </w:pPr>
      <w:r>
        <w:rPr>
          <w:shd w:val="clear" w:fill="FFFFFF"/>
        </w:rPr>
        <w:t> </w:t>
      </w:r>
    </w:p>
    <w:p>
      <w:pPr>
        <w:pStyle w:val="9"/>
        <w:keepNext w:val="0"/>
        <w:keepLines w:val="0"/>
        <w:widowControl/>
        <w:suppressLineNumbers w:val="0"/>
        <w:spacing w:before="0" w:beforeAutospacing="0"/>
        <w:ind w:left="0"/>
        <w:jc w:val="center"/>
        <w:rPr>
          <w:rFonts w:hint="eastAsia" w:ascii="仿宋" w:hAnsi="仿宋" w:eastAsia="仿宋" w:cs="仿宋"/>
          <w:sz w:val="32"/>
          <w:szCs w:val="32"/>
        </w:rPr>
      </w:pPr>
      <w:r>
        <w:rPr>
          <w:rFonts w:hint="eastAsia" w:ascii="仿宋" w:hAnsi="仿宋" w:eastAsia="仿宋" w:cs="仿宋"/>
          <w:sz w:val="32"/>
          <w:szCs w:val="32"/>
          <w:shd w:val="clear" w:fill="FFFFFF"/>
        </w:rPr>
        <w:t>已经保密审查、内容审定，同意对外公开</w:t>
      </w:r>
    </w:p>
    <w:p>
      <w:pPr>
        <w:pStyle w:val="9"/>
        <w:keepNext w:val="0"/>
        <w:keepLines w:val="0"/>
        <w:widowControl/>
        <w:suppressLineNumbers w:val="0"/>
        <w:spacing w:before="0" w:beforeAutospacing="0"/>
        <w:ind w:left="0"/>
        <w:jc w:val="left"/>
      </w:pPr>
      <w:r>
        <w:rPr>
          <w:shd w:val="clear" w:fill="FFFFFF"/>
        </w:rPr>
        <w:t> </w:t>
      </w:r>
    </w:p>
    <w:p>
      <w:pPr>
        <w:pStyle w:val="9"/>
        <w:keepNext w:val="0"/>
        <w:keepLines w:val="0"/>
        <w:widowControl/>
        <w:suppressLineNumbers w:val="0"/>
        <w:spacing w:before="0" w:beforeAutospacing="0"/>
        <w:ind w:left="0"/>
        <w:jc w:val="left"/>
      </w:pPr>
      <w:r>
        <w:rPr>
          <w:shd w:val="clear" w:fill="FFFFFF"/>
        </w:rPr>
        <w:t> </w:t>
      </w:r>
    </w:p>
    <w:p>
      <w:pPr>
        <w:pStyle w:val="9"/>
        <w:keepNext w:val="0"/>
        <w:keepLines w:val="0"/>
        <w:widowControl/>
        <w:suppressLineNumbers w:val="0"/>
        <w:spacing w:before="0" w:beforeAutospacing="0"/>
        <w:ind w:left="0"/>
        <w:jc w:val="center"/>
      </w:pPr>
      <w:r>
        <w:rPr>
          <w:shd w:val="clear" w:fill="FFFFFF"/>
        </w:rPr>
        <w:t> </w:t>
      </w:r>
    </w:p>
    <w:p>
      <w:pPr>
        <w:pStyle w:val="9"/>
        <w:keepNext w:val="0"/>
        <w:keepLines w:val="0"/>
        <w:widowControl/>
        <w:suppressLineNumbers w:val="0"/>
        <w:spacing w:before="0" w:beforeAutospacing="0"/>
        <w:ind w:left="0"/>
        <w:jc w:val="left"/>
      </w:pPr>
      <w:r>
        <w:rPr>
          <w:shd w:val="clear" w:fill="FFFFFF"/>
        </w:rPr>
        <w:t> </w:t>
      </w:r>
    </w:p>
    <w:p>
      <w:pPr>
        <w:pStyle w:val="9"/>
        <w:keepNext w:val="0"/>
        <w:keepLines w:val="0"/>
        <w:widowControl/>
        <w:suppressLineNumbers w:val="0"/>
        <w:spacing w:before="0" w:beforeAutospacing="0"/>
        <w:ind w:left="0"/>
        <w:jc w:val="center"/>
        <w:rPr>
          <w:shd w:val="clear" w:fill="FFFFFF"/>
        </w:rPr>
      </w:pPr>
      <w:r>
        <w:rPr>
          <w:shd w:val="clear" w:fill="FFFFFF"/>
        </w:rPr>
        <w:t> </w:t>
      </w:r>
    </w:p>
    <w:p>
      <w:pPr>
        <w:pStyle w:val="9"/>
        <w:keepNext w:val="0"/>
        <w:keepLines w:val="0"/>
        <w:widowControl/>
        <w:suppressLineNumbers w:val="0"/>
        <w:spacing w:before="0" w:beforeAutospacing="0"/>
        <w:ind w:left="0"/>
        <w:jc w:val="left"/>
        <w:rPr>
          <w:shd w:val="clear" w:fill="FFFFFF"/>
        </w:rPr>
      </w:pPr>
    </w:p>
    <w:p>
      <w:pPr>
        <w:pStyle w:val="9"/>
        <w:keepNext w:val="0"/>
        <w:keepLines w:val="0"/>
        <w:widowControl/>
        <w:suppressLineNumbers w:val="0"/>
        <w:spacing w:before="0" w:beforeAutospacing="0"/>
        <w:ind w:left="0"/>
        <w:jc w:val="left"/>
        <w:rPr>
          <w:shd w:val="clear" w:fill="FFFFFF"/>
        </w:rPr>
      </w:pPr>
    </w:p>
    <w:sdt>
      <w:sdtPr>
        <w:rPr>
          <w:rFonts w:ascii="宋体" w:hAnsi="宋体" w:eastAsia="宋体" w:cstheme="minorEastAsia"/>
          <w:kern w:val="0"/>
          <w:sz w:val="40"/>
          <w:szCs w:val="48"/>
          <w:lang w:val="en-US" w:eastAsia="zh-CN" w:bidi="ar"/>
        </w:rPr>
        <w:id w:val="147455489"/>
        <w15:color w:val="DBDBDB"/>
        <w:docPartObj>
          <w:docPartGallery w:val="Table of Contents"/>
          <w:docPartUnique/>
        </w:docPartObj>
      </w:sdtPr>
      <w:sdtEndPr>
        <w:rPr>
          <w:rFonts w:asciiTheme="minorEastAsia" w:hAnsiTheme="minorEastAsia" w:eastAsiaTheme="minorEastAsia" w:cstheme="minorEastAsia"/>
          <w:b/>
          <w:kern w:val="0"/>
          <w:sz w:val="24"/>
          <w:szCs w:val="24"/>
          <w:shd w:val="clear" w:fill="FFFFFF"/>
          <w:lang w:val="en-US" w:eastAsia="zh-CN" w:bidi="ar"/>
        </w:rPr>
      </w:sdtEndPr>
      <w:sdtContent>
        <w:p>
          <w:pPr>
            <w:spacing w:before="0" w:beforeLines="0" w:after="0" w:afterLines="0" w:line="240" w:lineRule="auto"/>
            <w:ind w:left="0" w:leftChars="0" w:right="0" w:rightChars="0" w:firstLine="0" w:firstLineChars="0"/>
            <w:jc w:val="center"/>
            <w:rPr>
              <w:sz w:val="48"/>
              <w:szCs w:val="48"/>
            </w:rPr>
          </w:pPr>
          <w:bookmarkStart w:id="34" w:name="_GoBack"/>
          <w:bookmarkEnd w:id="34"/>
          <w:r>
            <w:rPr>
              <w:rFonts w:ascii="宋体" w:hAnsi="宋体" w:eastAsia="宋体"/>
              <w:sz w:val="40"/>
              <w:szCs w:val="48"/>
            </w:rPr>
            <w:t>目录</w:t>
          </w:r>
        </w:p>
        <w:p>
          <w:pPr>
            <w:pStyle w:val="7"/>
            <w:tabs>
              <w:tab w:val="right" w:leader="dot" w:pos="8315"/>
            </w:tabs>
          </w:pPr>
          <w:r>
            <w:rPr>
              <w:shd w:val="clear" w:fill="FFFFFF"/>
            </w:rPr>
            <w:fldChar w:fldCharType="begin"/>
          </w:r>
          <w:r>
            <w:rPr>
              <w:shd w:val="clear" w:fill="FFFFFF"/>
            </w:rPr>
            <w:instrText xml:space="preserve">TOC \o "1-2" \h \u </w:instrText>
          </w:r>
          <w:r>
            <w:rPr>
              <w:shd w:val="clear" w:fill="FFFFFF"/>
            </w:rPr>
            <w:fldChar w:fldCharType="separate"/>
          </w:r>
          <w:r>
            <w:rPr>
              <w:shd w:val="clear" w:fill="FFFFFF"/>
            </w:rPr>
            <w:fldChar w:fldCharType="begin"/>
          </w:r>
          <w:r>
            <w:rPr>
              <w:shd w:val="clear" w:fill="FFFFFF"/>
            </w:rPr>
            <w:instrText xml:space="preserve"> HYPERLINK \l _Toc7548 </w:instrText>
          </w:r>
          <w:r>
            <w:rPr>
              <w:shd w:val="clear" w:fill="FFFFFF"/>
            </w:rPr>
            <w:fldChar w:fldCharType="separate"/>
          </w:r>
          <w:r>
            <w:rPr>
              <w:shd w:val="clear" w:fill="FFFFFF"/>
            </w:rPr>
            <w:t>第一部分 部门概况</w:t>
          </w:r>
          <w:r>
            <w:tab/>
          </w:r>
          <w:r>
            <w:fldChar w:fldCharType="begin"/>
          </w:r>
          <w:r>
            <w:instrText xml:space="preserve"> PAGEREF _Toc7548 \h </w:instrText>
          </w:r>
          <w:r>
            <w:fldChar w:fldCharType="separate"/>
          </w:r>
          <w:r>
            <w:t>3</w:t>
          </w:r>
          <w:r>
            <w:fldChar w:fldCharType="end"/>
          </w:r>
          <w:r>
            <w:rPr>
              <w:shd w:val="clear" w:fill="FFFFFF"/>
            </w:rPr>
            <w:fldChar w:fldCharType="end"/>
          </w:r>
        </w:p>
        <w:p>
          <w:pPr>
            <w:pStyle w:val="8"/>
            <w:tabs>
              <w:tab w:val="right" w:leader="dot" w:pos="8315"/>
            </w:tabs>
          </w:pPr>
          <w:r>
            <w:rPr>
              <w:shd w:val="clear" w:fill="FFFFFF"/>
            </w:rPr>
            <w:fldChar w:fldCharType="begin"/>
          </w:r>
          <w:r>
            <w:rPr>
              <w:shd w:val="clear" w:fill="FFFFFF"/>
            </w:rPr>
            <w:instrText xml:space="preserve"> HYPERLINK \l _Toc15658 </w:instrText>
          </w:r>
          <w:r>
            <w:rPr>
              <w:shd w:val="clear" w:fill="FFFFFF"/>
            </w:rPr>
            <w:fldChar w:fldCharType="separate"/>
          </w:r>
          <w:r>
            <w:rPr>
              <w:shd w:val="clear" w:fill="FFFFFF"/>
            </w:rPr>
            <w:t>一、基本职能及主要工作</w:t>
          </w:r>
          <w:r>
            <w:tab/>
          </w:r>
          <w:r>
            <w:fldChar w:fldCharType="begin"/>
          </w:r>
          <w:r>
            <w:instrText xml:space="preserve"> PAGEREF _Toc15658 \h </w:instrText>
          </w:r>
          <w:r>
            <w:fldChar w:fldCharType="separate"/>
          </w:r>
          <w:r>
            <w:t>3</w:t>
          </w:r>
          <w:r>
            <w:fldChar w:fldCharType="end"/>
          </w:r>
          <w:r>
            <w:rPr>
              <w:shd w:val="clear" w:fill="FFFFFF"/>
            </w:rPr>
            <w:fldChar w:fldCharType="end"/>
          </w:r>
        </w:p>
        <w:p>
          <w:pPr>
            <w:pStyle w:val="8"/>
            <w:tabs>
              <w:tab w:val="right" w:leader="dot" w:pos="8315"/>
            </w:tabs>
          </w:pPr>
          <w:r>
            <w:rPr>
              <w:shd w:val="clear" w:fill="FFFFFF"/>
            </w:rPr>
            <w:fldChar w:fldCharType="begin"/>
          </w:r>
          <w:r>
            <w:rPr>
              <w:shd w:val="clear" w:fill="FFFFFF"/>
            </w:rPr>
            <w:instrText xml:space="preserve"> HYPERLINK \l _Toc20478 </w:instrText>
          </w:r>
          <w:r>
            <w:rPr>
              <w:shd w:val="clear" w:fill="FFFFFF"/>
            </w:rPr>
            <w:fldChar w:fldCharType="separate"/>
          </w:r>
          <w:r>
            <w:rPr>
              <w:shd w:val="clear" w:fill="FFFFFF"/>
            </w:rPr>
            <w:t>二、机构设置</w:t>
          </w:r>
          <w:r>
            <w:tab/>
          </w:r>
          <w:r>
            <w:fldChar w:fldCharType="begin"/>
          </w:r>
          <w:r>
            <w:instrText xml:space="preserve"> PAGEREF _Toc20478 \h </w:instrText>
          </w:r>
          <w:r>
            <w:fldChar w:fldCharType="separate"/>
          </w:r>
          <w:r>
            <w:t>4</w:t>
          </w:r>
          <w:r>
            <w:fldChar w:fldCharType="end"/>
          </w:r>
          <w:r>
            <w:rPr>
              <w:shd w:val="clear" w:fill="FFFFFF"/>
            </w:rPr>
            <w:fldChar w:fldCharType="end"/>
          </w:r>
        </w:p>
        <w:p>
          <w:pPr>
            <w:pStyle w:val="7"/>
            <w:tabs>
              <w:tab w:val="right" w:leader="dot" w:pos="8315"/>
            </w:tabs>
          </w:pPr>
          <w:r>
            <w:rPr>
              <w:shd w:val="clear" w:fill="FFFFFF"/>
            </w:rPr>
            <w:fldChar w:fldCharType="begin"/>
          </w:r>
          <w:r>
            <w:rPr>
              <w:shd w:val="clear" w:fill="FFFFFF"/>
            </w:rPr>
            <w:instrText xml:space="preserve"> HYPERLINK \l _Toc18140 </w:instrText>
          </w:r>
          <w:r>
            <w:rPr>
              <w:shd w:val="clear" w:fill="FFFFFF"/>
            </w:rPr>
            <w:fldChar w:fldCharType="separate"/>
          </w:r>
          <w:r>
            <w:rPr>
              <w:shd w:val="clear" w:fill="FFFFFF"/>
            </w:rPr>
            <w:t> </w:t>
          </w:r>
          <w:r>
            <w:rPr>
              <w:rFonts w:hint="eastAsia" w:ascii="宋体" w:hAnsi="宋体" w:eastAsia="宋体" w:cs="宋体"/>
              <w:bCs/>
              <w:kern w:val="44"/>
              <w:szCs w:val="48"/>
              <w:shd w:val="clear" w:fill="FFFFFF"/>
              <w:lang w:val="en-US" w:eastAsia="zh-CN" w:bidi="ar"/>
            </w:rPr>
            <w:t>第二部分 2022年度部门决算情况说明</w:t>
          </w:r>
          <w:r>
            <w:tab/>
          </w:r>
          <w:r>
            <w:fldChar w:fldCharType="begin"/>
          </w:r>
          <w:r>
            <w:instrText xml:space="preserve"> PAGEREF _Toc18140 \h </w:instrText>
          </w:r>
          <w:r>
            <w:fldChar w:fldCharType="separate"/>
          </w:r>
          <w:r>
            <w:t>4</w:t>
          </w:r>
          <w:r>
            <w:fldChar w:fldCharType="end"/>
          </w:r>
          <w:r>
            <w:rPr>
              <w:shd w:val="clear" w:fill="FFFFFF"/>
            </w:rPr>
            <w:fldChar w:fldCharType="end"/>
          </w:r>
        </w:p>
        <w:p>
          <w:pPr>
            <w:pStyle w:val="8"/>
            <w:tabs>
              <w:tab w:val="right" w:leader="dot" w:pos="8315"/>
            </w:tabs>
          </w:pPr>
          <w:r>
            <w:rPr>
              <w:shd w:val="clear" w:fill="FFFFFF"/>
            </w:rPr>
            <w:fldChar w:fldCharType="begin"/>
          </w:r>
          <w:r>
            <w:rPr>
              <w:shd w:val="clear" w:fill="FFFFFF"/>
            </w:rPr>
            <w:instrText xml:space="preserve"> HYPERLINK \l _Toc1378 </w:instrText>
          </w:r>
          <w:r>
            <w:rPr>
              <w:shd w:val="clear" w:fill="FFFFFF"/>
            </w:rPr>
            <w:fldChar w:fldCharType="separate"/>
          </w:r>
          <w:r>
            <w:rPr>
              <w:shd w:val="clear" w:fill="FFFFFF"/>
            </w:rPr>
            <w:t> 一、收入支出决算总体情况说明</w:t>
          </w:r>
          <w:r>
            <w:tab/>
          </w:r>
          <w:r>
            <w:fldChar w:fldCharType="begin"/>
          </w:r>
          <w:r>
            <w:instrText xml:space="preserve"> PAGEREF _Toc1378 \h </w:instrText>
          </w:r>
          <w:r>
            <w:fldChar w:fldCharType="separate"/>
          </w:r>
          <w:r>
            <w:t>4</w:t>
          </w:r>
          <w:r>
            <w:fldChar w:fldCharType="end"/>
          </w:r>
          <w:r>
            <w:rPr>
              <w:shd w:val="clear" w:fill="FFFFFF"/>
            </w:rPr>
            <w:fldChar w:fldCharType="end"/>
          </w:r>
        </w:p>
        <w:p>
          <w:pPr>
            <w:pStyle w:val="8"/>
            <w:tabs>
              <w:tab w:val="right" w:leader="dot" w:pos="8315"/>
            </w:tabs>
          </w:pPr>
          <w:r>
            <w:rPr>
              <w:shd w:val="clear" w:fill="FFFFFF"/>
            </w:rPr>
            <w:fldChar w:fldCharType="begin"/>
          </w:r>
          <w:r>
            <w:rPr>
              <w:shd w:val="clear" w:fill="FFFFFF"/>
            </w:rPr>
            <w:instrText xml:space="preserve"> HYPERLINK \l _Toc3296 </w:instrText>
          </w:r>
          <w:r>
            <w:rPr>
              <w:shd w:val="clear" w:fill="FFFFFF"/>
            </w:rPr>
            <w:fldChar w:fldCharType="separate"/>
          </w:r>
          <w:r>
            <w:rPr>
              <w:shd w:val="clear" w:fill="FFFFFF"/>
            </w:rPr>
            <w:t>二、收入决算情况说明</w:t>
          </w:r>
          <w:r>
            <w:tab/>
          </w:r>
          <w:r>
            <w:fldChar w:fldCharType="begin"/>
          </w:r>
          <w:r>
            <w:instrText xml:space="preserve"> PAGEREF _Toc3296 \h </w:instrText>
          </w:r>
          <w:r>
            <w:fldChar w:fldCharType="separate"/>
          </w:r>
          <w:r>
            <w:t>5</w:t>
          </w:r>
          <w:r>
            <w:fldChar w:fldCharType="end"/>
          </w:r>
          <w:r>
            <w:rPr>
              <w:shd w:val="clear" w:fill="FFFFFF"/>
            </w:rPr>
            <w:fldChar w:fldCharType="end"/>
          </w:r>
        </w:p>
        <w:p>
          <w:pPr>
            <w:pStyle w:val="8"/>
            <w:tabs>
              <w:tab w:val="right" w:leader="dot" w:pos="8315"/>
            </w:tabs>
          </w:pPr>
          <w:r>
            <w:rPr>
              <w:shd w:val="clear" w:fill="FFFFFF"/>
            </w:rPr>
            <w:fldChar w:fldCharType="begin"/>
          </w:r>
          <w:r>
            <w:rPr>
              <w:shd w:val="clear" w:fill="FFFFFF"/>
            </w:rPr>
            <w:instrText xml:space="preserve"> HYPERLINK \l _Toc26602 </w:instrText>
          </w:r>
          <w:r>
            <w:rPr>
              <w:shd w:val="clear" w:fill="FFFFFF"/>
            </w:rPr>
            <w:fldChar w:fldCharType="separate"/>
          </w:r>
          <w:r>
            <w:rPr>
              <w:shd w:val="clear" w:fill="FFFFFF"/>
            </w:rPr>
            <w:t> 三、支出决算情况说明</w:t>
          </w:r>
          <w:r>
            <w:tab/>
          </w:r>
          <w:r>
            <w:fldChar w:fldCharType="begin"/>
          </w:r>
          <w:r>
            <w:instrText xml:space="preserve"> PAGEREF _Toc26602 \h </w:instrText>
          </w:r>
          <w:r>
            <w:fldChar w:fldCharType="separate"/>
          </w:r>
          <w:r>
            <w:t>6</w:t>
          </w:r>
          <w:r>
            <w:fldChar w:fldCharType="end"/>
          </w:r>
          <w:r>
            <w:rPr>
              <w:shd w:val="clear" w:fill="FFFFFF"/>
            </w:rPr>
            <w:fldChar w:fldCharType="end"/>
          </w:r>
        </w:p>
        <w:p>
          <w:pPr>
            <w:pStyle w:val="8"/>
            <w:tabs>
              <w:tab w:val="right" w:leader="dot" w:pos="8315"/>
            </w:tabs>
          </w:pPr>
          <w:r>
            <w:rPr>
              <w:shd w:val="clear" w:fill="FFFFFF"/>
            </w:rPr>
            <w:fldChar w:fldCharType="begin"/>
          </w:r>
          <w:r>
            <w:rPr>
              <w:shd w:val="clear" w:fill="FFFFFF"/>
            </w:rPr>
            <w:instrText xml:space="preserve"> HYPERLINK \l _Toc4657 </w:instrText>
          </w:r>
          <w:r>
            <w:rPr>
              <w:shd w:val="clear" w:fill="FFFFFF"/>
            </w:rPr>
            <w:fldChar w:fldCharType="separate"/>
          </w:r>
          <w:r>
            <w:rPr>
              <w:shd w:val="clear" w:fill="FFFFFF"/>
            </w:rPr>
            <w:t> 四、财政拨款收入支出决算总体情况说明</w:t>
          </w:r>
          <w:r>
            <w:tab/>
          </w:r>
          <w:r>
            <w:fldChar w:fldCharType="begin"/>
          </w:r>
          <w:r>
            <w:instrText xml:space="preserve"> PAGEREF _Toc4657 \h </w:instrText>
          </w:r>
          <w:r>
            <w:fldChar w:fldCharType="separate"/>
          </w:r>
          <w:r>
            <w:t>6</w:t>
          </w:r>
          <w:r>
            <w:fldChar w:fldCharType="end"/>
          </w:r>
          <w:r>
            <w:rPr>
              <w:shd w:val="clear" w:fill="FFFFFF"/>
            </w:rPr>
            <w:fldChar w:fldCharType="end"/>
          </w:r>
        </w:p>
        <w:p>
          <w:pPr>
            <w:pStyle w:val="8"/>
            <w:tabs>
              <w:tab w:val="right" w:leader="dot" w:pos="8315"/>
            </w:tabs>
          </w:pPr>
          <w:r>
            <w:rPr>
              <w:shd w:val="clear" w:fill="FFFFFF"/>
            </w:rPr>
            <w:fldChar w:fldCharType="begin"/>
          </w:r>
          <w:r>
            <w:rPr>
              <w:shd w:val="clear" w:fill="FFFFFF"/>
            </w:rPr>
            <w:instrText xml:space="preserve"> HYPERLINK \l _Toc29015 </w:instrText>
          </w:r>
          <w:r>
            <w:rPr>
              <w:shd w:val="clear" w:fill="FFFFFF"/>
            </w:rPr>
            <w:fldChar w:fldCharType="separate"/>
          </w:r>
          <w:r>
            <w:rPr>
              <w:shd w:val="clear" w:fill="FFFFFF"/>
            </w:rPr>
            <w:t> 五、一般公共预算财政拨款支出决算情况说明</w:t>
          </w:r>
          <w:r>
            <w:tab/>
          </w:r>
          <w:r>
            <w:fldChar w:fldCharType="begin"/>
          </w:r>
          <w:r>
            <w:instrText xml:space="preserve"> PAGEREF _Toc29015 \h </w:instrText>
          </w:r>
          <w:r>
            <w:fldChar w:fldCharType="separate"/>
          </w:r>
          <w:r>
            <w:t>7</w:t>
          </w:r>
          <w:r>
            <w:fldChar w:fldCharType="end"/>
          </w:r>
          <w:r>
            <w:rPr>
              <w:shd w:val="clear" w:fill="FFFFFF"/>
            </w:rPr>
            <w:fldChar w:fldCharType="end"/>
          </w:r>
        </w:p>
        <w:p>
          <w:pPr>
            <w:pStyle w:val="8"/>
            <w:tabs>
              <w:tab w:val="right" w:leader="dot" w:pos="8315"/>
            </w:tabs>
          </w:pPr>
          <w:r>
            <w:rPr>
              <w:shd w:val="clear" w:fill="FFFFFF"/>
            </w:rPr>
            <w:fldChar w:fldCharType="begin"/>
          </w:r>
          <w:r>
            <w:rPr>
              <w:shd w:val="clear" w:fill="FFFFFF"/>
            </w:rPr>
            <w:instrText xml:space="preserve"> HYPERLINK \l _Toc18783 </w:instrText>
          </w:r>
          <w:r>
            <w:rPr>
              <w:shd w:val="clear" w:fill="FFFFFF"/>
            </w:rPr>
            <w:fldChar w:fldCharType="separate"/>
          </w:r>
          <w:r>
            <w:rPr>
              <w:shd w:val="clear" w:fill="FFFFFF"/>
            </w:rPr>
            <w:t>六、一般公共预算财政拨款基本支出决算情况说明   </w:t>
          </w:r>
          <w:r>
            <w:tab/>
          </w:r>
          <w:r>
            <w:fldChar w:fldCharType="begin"/>
          </w:r>
          <w:r>
            <w:instrText xml:space="preserve"> PAGEREF _Toc18783 \h </w:instrText>
          </w:r>
          <w:r>
            <w:fldChar w:fldCharType="separate"/>
          </w:r>
          <w:r>
            <w:t>9</w:t>
          </w:r>
          <w:r>
            <w:fldChar w:fldCharType="end"/>
          </w:r>
          <w:r>
            <w:rPr>
              <w:shd w:val="clear" w:fill="FFFFFF"/>
            </w:rPr>
            <w:fldChar w:fldCharType="end"/>
          </w:r>
        </w:p>
        <w:p>
          <w:pPr>
            <w:pStyle w:val="8"/>
            <w:tabs>
              <w:tab w:val="right" w:leader="dot" w:pos="8315"/>
            </w:tabs>
          </w:pPr>
          <w:r>
            <w:rPr>
              <w:shd w:val="clear" w:fill="FFFFFF"/>
            </w:rPr>
            <w:fldChar w:fldCharType="begin"/>
          </w:r>
          <w:r>
            <w:rPr>
              <w:shd w:val="clear" w:fill="FFFFFF"/>
            </w:rPr>
            <w:instrText xml:space="preserve"> HYPERLINK \l _Toc29327 </w:instrText>
          </w:r>
          <w:r>
            <w:rPr>
              <w:shd w:val="clear" w:fill="FFFFFF"/>
            </w:rPr>
            <w:fldChar w:fldCharType="separate"/>
          </w:r>
          <w:r>
            <w:rPr>
              <w:shd w:val="clear" w:fill="FFFFFF"/>
            </w:rPr>
            <w:t>七、“三公”经费财政拨款支出决算情况说明</w:t>
          </w:r>
          <w:r>
            <w:tab/>
          </w:r>
          <w:r>
            <w:fldChar w:fldCharType="begin"/>
          </w:r>
          <w:r>
            <w:instrText xml:space="preserve"> PAGEREF _Toc29327 \h </w:instrText>
          </w:r>
          <w:r>
            <w:fldChar w:fldCharType="separate"/>
          </w:r>
          <w:r>
            <w:t>9</w:t>
          </w:r>
          <w:r>
            <w:fldChar w:fldCharType="end"/>
          </w:r>
          <w:r>
            <w:rPr>
              <w:shd w:val="clear" w:fill="FFFFFF"/>
            </w:rPr>
            <w:fldChar w:fldCharType="end"/>
          </w:r>
        </w:p>
        <w:p>
          <w:pPr>
            <w:pStyle w:val="8"/>
            <w:tabs>
              <w:tab w:val="right" w:leader="dot" w:pos="8315"/>
            </w:tabs>
          </w:pPr>
          <w:r>
            <w:rPr>
              <w:shd w:val="clear" w:fill="FFFFFF"/>
            </w:rPr>
            <w:fldChar w:fldCharType="begin"/>
          </w:r>
          <w:r>
            <w:rPr>
              <w:shd w:val="clear" w:fill="FFFFFF"/>
            </w:rPr>
            <w:instrText xml:space="preserve"> HYPERLINK \l _Toc28188 </w:instrText>
          </w:r>
          <w:r>
            <w:rPr>
              <w:shd w:val="clear" w:fill="FFFFFF"/>
            </w:rPr>
            <w:fldChar w:fldCharType="separate"/>
          </w:r>
          <w:r>
            <w:rPr>
              <w:shd w:val="clear" w:fill="FFFFFF"/>
            </w:rPr>
            <w:t>八、政府性基金预算支出决算情况说明</w:t>
          </w:r>
          <w:r>
            <w:tab/>
          </w:r>
          <w:r>
            <w:fldChar w:fldCharType="begin"/>
          </w:r>
          <w:r>
            <w:instrText xml:space="preserve"> PAGEREF _Toc28188 \h </w:instrText>
          </w:r>
          <w:r>
            <w:fldChar w:fldCharType="separate"/>
          </w:r>
          <w:r>
            <w:t>10</w:t>
          </w:r>
          <w:r>
            <w:fldChar w:fldCharType="end"/>
          </w:r>
          <w:r>
            <w:rPr>
              <w:shd w:val="clear" w:fill="FFFFFF"/>
            </w:rPr>
            <w:fldChar w:fldCharType="end"/>
          </w:r>
        </w:p>
        <w:p>
          <w:pPr>
            <w:pStyle w:val="8"/>
            <w:tabs>
              <w:tab w:val="right" w:leader="dot" w:pos="8315"/>
            </w:tabs>
          </w:pPr>
          <w:r>
            <w:rPr>
              <w:shd w:val="clear" w:fill="FFFFFF"/>
            </w:rPr>
            <w:fldChar w:fldCharType="begin"/>
          </w:r>
          <w:r>
            <w:rPr>
              <w:shd w:val="clear" w:fill="FFFFFF"/>
            </w:rPr>
            <w:instrText xml:space="preserve"> HYPERLINK \l _Toc13642 </w:instrText>
          </w:r>
          <w:r>
            <w:rPr>
              <w:shd w:val="clear" w:fill="FFFFFF"/>
            </w:rPr>
            <w:fldChar w:fldCharType="separate"/>
          </w:r>
          <w:r>
            <w:rPr>
              <w:shd w:val="clear" w:fill="FFFFFF"/>
            </w:rPr>
            <w:t>九、国有资本经营预算支出决算情况说明</w:t>
          </w:r>
          <w:r>
            <w:tab/>
          </w:r>
          <w:r>
            <w:fldChar w:fldCharType="begin"/>
          </w:r>
          <w:r>
            <w:instrText xml:space="preserve"> PAGEREF _Toc13642 \h </w:instrText>
          </w:r>
          <w:r>
            <w:fldChar w:fldCharType="separate"/>
          </w:r>
          <w:r>
            <w:t>10</w:t>
          </w:r>
          <w:r>
            <w:fldChar w:fldCharType="end"/>
          </w:r>
          <w:r>
            <w:rPr>
              <w:shd w:val="clear" w:fill="FFFFFF"/>
            </w:rPr>
            <w:fldChar w:fldCharType="end"/>
          </w:r>
        </w:p>
        <w:p>
          <w:pPr>
            <w:pStyle w:val="8"/>
            <w:tabs>
              <w:tab w:val="right" w:leader="dot" w:pos="8315"/>
            </w:tabs>
          </w:pPr>
          <w:r>
            <w:rPr>
              <w:shd w:val="clear" w:fill="FFFFFF"/>
            </w:rPr>
            <w:fldChar w:fldCharType="begin"/>
          </w:r>
          <w:r>
            <w:rPr>
              <w:shd w:val="clear" w:fill="FFFFFF"/>
            </w:rPr>
            <w:instrText xml:space="preserve"> HYPERLINK \l _Toc5295 </w:instrText>
          </w:r>
          <w:r>
            <w:rPr>
              <w:shd w:val="clear" w:fill="FFFFFF"/>
            </w:rPr>
            <w:fldChar w:fldCharType="separate"/>
          </w:r>
          <w:r>
            <w:rPr>
              <w:shd w:val="clear" w:fill="FFFFFF"/>
            </w:rPr>
            <w:t>十、其他重要事项的情况说明</w:t>
          </w:r>
          <w:r>
            <w:tab/>
          </w:r>
          <w:r>
            <w:fldChar w:fldCharType="begin"/>
          </w:r>
          <w:r>
            <w:instrText xml:space="preserve"> PAGEREF _Toc5295 \h </w:instrText>
          </w:r>
          <w:r>
            <w:fldChar w:fldCharType="separate"/>
          </w:r>
          <w:r>
            <w:t>10</w:t>
          </w:r>
          <w:r>
            <w:fldChar w:fldCharType="end"/>
          </w:r>
          <w:r>
            <w:rPr>
              <w:shd w:val="clear" w:fill="FFFFFF"/>
            </w:rPr>
            <w:fldChar w:fldCharType="end"/>
          </w:r>
        </w:p>
        <w:p>
          <w:pPr>
            <w:pStyle w:val="7"/>
            <w:tabs>
              <w:tab w:val="right" w:leader="dot" w:pos="8315"/>
            </w:tabs>
          </w:pPr>
          <w:r>
            <w:rPr>
              <w:shd w:val="clear" w:fill="FFFFFF"/>
            </w:rPr>
            <w:fldChar w:fldCharType="begin"/>
          </w:r>
          <w:r>
            <w:rPr>
              <w:shd w:val="clear" w:fill="FFFFFF"/>
            </w:rPr>
            <w:instrText xml:space="preserve"> HYPERLINK \l _Toc28772 </w:instrText>
          </w:r>
          <w:r>
            <w:rPr>
              <w:shd w:val="clear" w:fill="FFFFFF"/>
            </w:rPr>
            <w:fldChar w:fldCharType="separate"/>
          </w:r>
          <w:r>
            <w:rPr>
              <w:szCs w:val="39"/>
              <w:shd w:val="clear" w:fill="FFFFFF"/>
            </w:rPr>
            <w:t>第三部分 名词解释</w:t>
          </w:r>
          <w:r>
            <w:tab/>
          </w:r>
          <w:r>
            <w:fldChar w:fldCharType="begin"/>
          </w:r>
          <w:r>
            <w:instrText xml:space="preserve"> PAGEREF _Toc28772 \h </w:instrText>
          </w:r>
          <w:r>
            <w:fldChar w:fldCharType="separate"/>
          </w:r>
          <w:r>
            <w:t>11</w:t>
          </w:r>
          <w:r>
            <w:fldChar w:fldCharType="end"/>
          </w:r>
          <w:r>
            <w:rPr>
              <w:shd w:val="clear" w:fill="FFFFFF"/>
            </w:rPr>
            <w:fldChar w:fldCharType="end"/>
          </w:r>
        </w:p>
        <w:p>
          <w:pPr>
            <w:pStyle w:val="7"/>
            <w:tabs>
              <w:tab w:val="right" w:leader="dot" w:pos="8315"/>
            </w:tabs>
          </w:pPr>
          <w:r>
            <w:rPr>
              <w:shd w:val="clear" w:fill="FFFFFF"/>
            </w:rPr>
            <w:fldChar w:fldCharType="begin"/>
          </w:r>
          <w:r>
            <w:rPr>
              <w:shd w:val="clear" w:fill="FFFFFF"/>
            </w:rPr>
            <w:instrText xml:space="preserve"> HYPERLINK \l _Toc25992 </w:instrText>
          </w:r>
          <w:r>
            <w:rPr>
              <w:shd w:val="clear" w:fill="FFFFFF"/>
            </w:rPr>
            <w:fldChar w:fldCharType="separate"/>
          </w:r>
          <w:r>
            <w:rPr>
              <w:szCs w:val="39"/>
              <w:shd w:val="clear" w:fill="FFFFFF"/>
            </w:rPr>
            <w:t>第四部分 附件</w:t>
          </w:r>
          <w:r>
            <w:tab/>
          </w:r>
          <w:r>
            <w:fldChar w:fldCharType="begin"/>
          </w:r>
          <w:r>
            <w:instrText xml:space="preserve"> PAGEREF _Toc25992 \h </w:instrText>
          </w:r>
          <w:r>
            <w:fldChar w:fldCharType="separate"/>
          </w:r>
          <w:r>
            <w:t>13</w:t>
          </w:r>
          <w:r>
            <w:fldChar w:fldCharType="end"/>
          </w:r>
          <w:r>
            <w:rPr>
              <w:shd w:val="clear" w:fill="FFFFFF"/>
            </w:rPr>
            <w:fldChar w:fldCharType="end"/>
          </w:r>
        </w:p>
        <w:p>
          <w:pPr>
            <w:pStyle w:val="8"/>
            <w:tabs>
              <w:tab w:val="right" w:leader="dot" w:pos="8315"/>
            </w:tabs>
          </w:pPr>
          <w:r>
            <w:rPr>
              <w:shd w:val="clear" w:fill="FFFFFF"/>
            </w:rPr>
            <w:fldChar w:fldCharType="begin"/>
          </w:r>
          <w:r>
            <w:rPr>
              <w:shd w:val="clear" w:fill="FFFFFF"/>
            </w:rPr>
            <w:instrText xml:space="preserve"> HYPERLINK \l _Toc19335 </w:instrText>
          </w:r>
          <w:r>
            <w:rPr>
              <w:shd w:val="clear" w:fill="FFFFFF"/>
            </w:rPr>
            <w:fldChar w:fldCharType="separate"/>
          </w:r>
          <w:r>
            <w:rPr>
              <w:shd w:val="clear" w:fill="FFFFFF"/>
            </w:rPr>
            <w:t>附件</w:t>
          </w:r>
          <w:r>
            <w:tab/>
          </w:r>
          <w:r>
            <w:fldChar w:fldCharType="begin"/>
          </w:r>
          <w:r>
            <w:instrText xml:space="preserve"> PAGEREF _Toc19335 \h </w:instrText>
          </w:r>
          <w:r>
            <w:fldChar w:fldCharType="separate"/>
          </w:r>
          <w:r>
            <w:t>13</w:t>
          </w:r>
          <w:r>
            <w:fldChar w:fldCharType="end"/>
          </w:r>
          <w:r>
            <w:rPr>
              <w:shd w:val="clear" w:fill="FFFFFF"/>
            </w:rPr>
            <w:fldChar w:fldCharType="end"/>
          </w:r>
        </w:p>
        <w:p>
          <w:pPr>
            <w:pStyle w:val="8"/>
            <w:tabs>
              <w:tab w:val="right" w:leader="dot" w:pos="8315"/>
            </w:tabs>
          </w:pPr>
          <w:r>
            <w:rPr>
              <w:shd w:val="clear" w:fill="FFFFFF"/>
            </w:rPr>
            <w:fldChar w:fldCharType="begin"/>
          </w:r>
          <w:r>
            <w:rPr>
              <w:shd w:val="clear" w:fill="FFFFFF"/>
            </w:rPr>
            <w:instrText xml:space="preserve"> HYPERLINK \l _Toc28345 </w:instrText>
          </w:r>
          <w:r>
            <w:rPr>
              <w:shd w:val="clear" w:fill="FFFFFF"/>
            </w:rPr>
            <w:fldChar w:fldCharType="separate"/>
          </w:r>
          <w:r>
            <w:rPr>
              <w:shd w:val="clear" w:fill="FFFFFF"/>
            </w:rPr>
            <w:t>一、部门（单位）基本情况</w:t>
          </w:r>
          <w:r>
            <w:tab/>
          </w:r>
          <w:r>
            <w:fldChar w:fldCharType="begin"/>
          </w:r>
          <w:r>
            <w:instrText xml:space="preserve"> PAGEREF _Toc28345 \h </w:instrText>
          </w:r>
          <w:r>
            <w:fldChar w:fldCharType="separate"/>
          </w:r>
          <w:r>
            <w:t>13</w:t>
          </w:r>
          <w:r>
            <w:fldChar w:fldCharType="end"/>
          </w:r>
          <w:r>
            <w:rPr>
              <w:shd w:val="clear" w:fill="FFFFFF"/>
            </w:rPr>
            <w:fldChar w:fldCharType="end"/>
          </w:r>
        </w:p>
        <w:p>
          <w:pPr>
            <w:pStyle w:val="8"/>
            <w:tabs>
              <w:tab w:val="right" w:leader="dot" w:pos="8315"/>
            </w:tabs>
          </w:pPr>
          <w:r>
            <w:rPr>
              <w:shd w:val="clear" w:fill="FFFFFF"/>
            </w:rPr>
            <w:fldChar w:fldCharType="begin"/>
          </w:r>
          <w:r>
            <w:rPr>
              <w:shd w:val="clear" w:fill="FFFFFF"/>
            </w:rPr>
            <w:instrText xml:space="preserve"> HYPERLINK \l _Toc21826 </w:instrText>
          </w:r>
          <w:r>
            <w:rPr>
              <w:shd w:val="clear" w:fill="FFFFFF"/>
            </w:rPr>
            <w:fldChar w:fldCharType="separate"/>
          </w:r>
          <w:r>
            <w:rPr>
              <w:shd w:val="clear" w:fill="FFFFFF"/>
            </w:rPr>
            <w:t>二、部门财政资金收支情况</w:t>
          </w:r>
          <w:r>
            <w:tab/>
          </w:r>
          <w:r>
            <w:fldChar w:fldCharType="begin"/>
          </w:r>
          <w:r>
            <w:instrText xml:space="preserve"> PAGEREF _Toc21826 \h </w:instrText>
          </w:r>
          <w:r>
            <w:fldChar w:fldCharType="separate"/>
          </w:r>
          <w:r>
            <w:t>15</w:t>
          </w:r>
          <w:r>
            <w:fldChar w:fldCharType="end"/>
          </w:r>
          <w:r>
            <w:rPr>
              <w:shd w:val="clear" w:fill="FFFFFF"/>
            </w:rPr>
            <w:fldChar w:fldCharType="end"/>
          </w:r>
        </w:p>
        <w:p>
          <w:pPr>
            <w:pStyle w:val="8"/>
            <w:tabs>
              <w:tab w:val="right" w:leader="dot" w:pos="8315"/>
            </w:tabs>
          </w:pPr>
          <w:r>
            <w:rPr>
              <w:shd w:val="clear" w:fill="FFFFFF"/>
            </w:rPr>
            <w:fldChar w:fldCharType="begin"/>
          </w:r>
          <w:r>
            <w:rPr>
              <w:shd w:val="clear" w:fill="FFFFFF"/>
            </w:rPr>
            <w:instrText xml:space="preserve"> HYPERLINK \l _Toc569 </w:instrText>
          </w:r>
          <w:r>
            <w:rPr>
              <w:shd w:val="clear" w:fill="FFFFFF"/>
            </w:rPr>
            <w:fldChar w:fldCharType="separate"/>
          </w:r>
          <w:r>
            <w:rPr>
              <w:shd w:val="clear" w:fill="FFFFFF"/>
            </w:rPr>
            <w:t>四、评价结论及建议</w:t>
          </w:r>
          <w:r>
            <w:tab/>
          </w:r>
          <w:r>
            <w:fldChar w:fldCharType="begin"/>
          </w:r>
          <w:r>
            <w:instrText xml:space="preserve"> PAGEREF _Toc569 \h </w:instrText>
          </w:r>
          <w:r>
            <w:fldChar w:fldCharType="separate"/>
          </w:r>
          <w:r>
            <w:t>15</w:t>
          </w:r>
          <w:r>
            <w:fldChar w:fldCharType="end"/>
          </w:r>
          <w:r>
            <w:rPr>
              <w:shd w:val="clear" w:fill="FFFFFF"/>
            </w:rPr>
            <w:fldChar w:fldCharType="end"/>
          </w:r>
        </w:p>
        <w:p>
          <w:pPr>
            <w:pStyle w:val="7"/>
            <w:tabs>
              <w:tab w:val="right" w:leader="dot" w:pos="8315"/>
            </w:tabs>
          </w:pPr>
          <w:r>
            <w:rPr>
              <w:shd w:val="clear" w:fill="FFFFFF"/>
            </w:rPr>
            <w:fldChar w:fldCharType="begin"/>
          </w:r>
          <w:r>
            <w:rPr>
              <w:shd w:val="clear" w:fill="FFFFFF"/>
            </w:rPr>
            <w:instrText xml:space="preserve"> HYPERLINK \l _Toc9936 </w:instrText>
          </w:r>
          <w:r>
            <w:rPr>
              <w:shd w:val="clear" w:fill="FFFFFF"/>
            </w:rPr>
            <w:fldChar w:fldCharType="separate"/>
          </w:r>
          <w:r>
            <w:rPr>
              <w:szCs w:val="39"/>
              <w:shd w:val="clear" w:fill="FFFFFF"/>
            </w:rPr>
            <w:t>第五部分 附表</w:t>
          </w:r>
          <w:r>
            <w:tab/>
          </w:r>
          <w:r>
            <w:fldChar w:fldCharType="begin"/>
          </w:r>
          <w:r>
            <w:instrText xml:space="preserve"> PAGEREF _Toc9936 \h </w:instrText>
          </w:r>
          <w:r>
            <w:fldChar w:fldCharType="separate"/>
          </w:r>
          <w:r>
            <w:t>16</w:t>
          </w:r>
          <w:r>
            <w:fldChar w:fldCharType="end"/>
          </w:r>
          <w:r>
            <w:rPr>
              <w:shd w:val="clear" w:fill="FFFFFF"/>
            </w:rPr>
            <w:fldChar w:fldCharType="end"/>
          </w:r>
        </w:p>
        <w:p>
          <w:pPr>
            <w:pStyle w:val="8"/>
            <w:tabs>
              <w:tab w:val="right" w:leader="dot" w:pos="8315"/>
            </w:tabs>
          </w:pPr>
          <w:r>
            <w:rPr>
              <w:shd w:val="clear" w:fill="FFFFFF"/>
            </w:rPr>
            <w:fldChar w:fldCharType="begin"/>
          </w:r>
          <w:r>
            <w:rPr>
              <w:shd w:val="clear" w:fill="FFFFFF"/>
            </w:rPr>
            <w:instrText xml:space="preserve"> HYPERLINK \l _Toc3847 </w:instrText>
          </w:r>
          <w:r>
            <w:rPr>
              <w:shd w:val="clear" w:fill="FFFFFF"/>
            </w:rPr>
            <w:fldChar w:fldCharType="separate"/>
          </w:r>
          <w:r>
            <w:rPr>
              <w:shd w:val="clear" w:fill="FFFFFF"/>
            </w:rPr>
            <w:t>一、收入支出决算总表</w:t>
          </w:r>
          <w:r>
            <w:tab/>
          </w:r>
          <w:r>
            <w:fldChar w:fldCharType="begin"/>
          </w:r>
          <w:r>
            <w:instrText xml:space="preserve"> PAGEREF _Toc3847 \h </w:instrText>
          </w:r>
          <w:r>
            <w:fldChar w:fldCharType="separate"/>
          </w:r>
          <w:r>
            <w:t>16</w:t>
          </w:r>
          <w:r>
            <w:fldChar w:fldCharType="end"/>
          </w:r>
          <w:r>
            <w:rPr>
              <w:shd w:val="clear" w:fill="FFFFFF"/>
            </w:rPr>
            <w:fldChar w:fldCharType="end"/>
          </w:r>
        </w:p>
        <w:p>
          <w:pPr>
            <w:pStyle w:val="8"/>
            <w:tabs>
              <w:tab w:val="right" w:leader="dot" w:pos="8315"/>
            </w:tabs>
          </w:pPr>
          <w:r>
            <w:rPr>
              <w:shd w:val="clear" w:fill="FFFFFF"/>
            </w:rPr>
            <w:fldChar w:fldCharType="begin"/>
          </w:r>
          <w:r>
            <w:rPr>
              <w:shd w:val="clear" w:fill="FFFFFF"/>
            </w:rPr>
            <w:instrText xml:space="preserve"> HYPERLINK \l _Toc2841 </w:instrText>
          </w:r>
          <w:r>
            <w:rPr>
              <w:shd w:val="clear" w:fill="FFFFFF"/>
            </w:rPr>
            <w:fldChar w:fldCharType="separate"/>
          </w:r>
          <w:r>
            <w:rPr>
              <w:shd w:val="clear" w:fill="FFFFFF"/>
            </w:rPr>
            <w:t>二、收入决算表</w:t>
          </w:r>
          <w:r>
            <w:tab/>
          </w:r>
          <w:r>
            <w:fldChar w:fldCharType="begin"/>
          </w:r>
          <w:r>
            <w:instrText xml:space="preserve"> PAGEREF _Toc2841 \h </w:instrText>
          </w:r>
          <w:r>
            <w:fldChar w:fldCharType="separate"/>
          </w:r>
          <w:r>
            <w:t>16</w:t>
          </w:r>
          <w:r>
            <w:fldChar w:fldCharType="end"/>
          </w:r>
          <w:r>
            <w:rPr>
              <w:shd w:val="clear" w:fill="FFFFFF"/>
            </w:rPr>
            <w:fldChar w:fldCharType="end"/>
          </w:r>
        </w:p>
        <w:p>
          <w:pPr>
            <w:pStyle w:val="8"/>
            <w:tabs>
              <w:tab w:val="right" w:leader="dot" w:pos="8315"/>
            </w:tabs>
          </w:pPr>
          <w:r>
            <w:rPr>
              <w:shd w:val="clear" w:fill="FFFFFF"/>
            </w:rPr>
            <w:fldChar w:fldCharType="begin"/>
          </w:r>
          <w:r>
            <w:rPr>
              <w:shd w:val="clear" w:fill="FFFFFF"/>
            </w:rPr>
            <w:instrText xml:space="preserve"> HYPERLINK \l _Toc5297 </w:instrText>
          </w:r>
          <w:r>
            <w:rPr>
              <w:shd w:val="clear" w:fill="FFFFFF"/>
            </w:rPr>
            <w:fldChar w:fldCharType="separate"/>
          </w:r>
          <w:r>
            <w:rPr>
              <w:shd w:val="clear" w:fill="FFFFFF"/>
            </w:rPr>
            <w:t>三、支出决算表</w:t>
          </w:r>
          <w:r>
            <w:tab/>
          </w:r>
          <w:r>
            <w:fldChar w:fldCharType="begin"/>
          </w:r>
          <w:r>
            <w:instrText xml:space="preserve"> PAGEREF _Toc5297 \h </w:instrText>
          </w:r>
          <w:r>
            <w:fldChar w:fldCharType="separate"/>
          </w:r>
          <w:r>
            <w:t>16</w:t>
          </w:r>
          <w:r>
            <w:fldChar w:fldCharType="end"/>
          </w:r>
          <w:r>
            <w:rPr>
              <w:shd w:val="clear" w:fill="FFFFFF"/>
            </w:rPr>
            <w:fldChar w:fldCharType="end"/>
          </w:r>
        </w:p>
        <w:p>
          <w:pPr>
            <w:pStyle w:val="8"/>
            <w:tabs>
              <w:tab w:val="right" w:leader="dot" w:pos="8315"/>
            </w:tabs>
          </w:pPr>
          <w:r>
            <w:rPr>
              <w:shd w:val="clear" w:fill="FFFFFF"/>
            </w:rPr>
            <w:fldChar w:fldCharType="begin"/>
          </w:r>
          <w:r>
            <w:rPr>
              <w:shd w:val="clear" w:fill="FFFFFF"/>
            </w:rPr>
            <w:instrText xml:space="preserve"> HYPERLINK \l _Toc27312 </w:instrText>
          </w:r>
          <w:r>
            <w:rPr>
              <w:shd w:val="clear" w:fill="FFFFFF"/>
            </w:rPr>
            <w:fldChar w:fldCharType="separate"/>
          </w:r>
          <w:r>
            <w:rPr>
              <w:shd w:val="clear" w:fill="FFFFFF"/>
            </w:rPr>
            <w:t>四、财政拨款收入支出决算总表</w:t>
          </w:r>
          <w:r>
            <w:tab/>
          </w:r>
          <w:r>
            <w:fldChar w:fldCharType="begin"/>
          </w:r>
          <w:r>
            <w:instrText xml:space="preserve"> PAGEREF _Toc27312 \h </w:instrText>
          </w:r>
          <w:r>
            <w:fldChar w:fldCharType="separate"/>
          </w:r>
          <w:r>
            <w:t>16</w:t>
          </w:r>
          <w:r>
            <w:fldChar w:fldCharType="end"/>
          </w:r>
          <w:r>
            <w:rPr>
              <w:shd w:val="clear" w:fill="FFFFFF"/>
            </w:rPr>
            <w:fldChar w:fldCharType="end"/>
          </w:r>
        </w:p>
        <w:p>
          <w:pPr>
            <w:pStyle w:val="8"/>
            <w:tabs>
              <w:tab w:val="right" w:leader="dot" w:pos="8315"/>
            </w:tabs>
          </w:pPr>
          <w:r>
            <w:rPr>
              <w:shd w:val="clear" w:fill="FFFFFF"/>
            </w:rPr>
            <w:fldChar w:fldCharType="begin"/>
          </w:r>
          <w:r>
            <w:rPr>
              <w:shd w:val="clear" w:fill="FFFFFF"/>
            </w:rPr>
            <w:instrText xml:space="preserve"> HYPERLINK \l _Toc3020 </w:instrText>
          </w:r>
          <w:r>
            <w:rPr>
              <w:shd w:val="clear" w:fill="FFFFFF"/>
            </w:rPr>
            <w:fldChar w:fldCharType="separate"/>
          </w:r>
          <w:r>
            <w:rPr>
              <w:shd w:val="clear" w:fill="FFFFFF"/>
            </w:rPr>
            <w:t>五、财政拨款支出决算明细表</w:t>
          </w:r>
          <w:r>
            <w:tab/>
          </w:r>
          <w:r>
            <w:fldChar w:fldCharType="begin"/>
          </w:r>
          <w:r>
            <w:instrText xml:space="preserve"> PAGEREF _Toc3020 \h </w:instrText>
          </w:r>
          <w:r>
            <w:fldChar w:fldCharType="separate"/>
          </w:r>
          <w:r>
            <w:t>17</w:t>
          </w:r>
          <w:r>
            <w:fldChar w:fldCharType="end"/>
          </w:r>
          <w:r>
            <w:rPr>
              <w:shd w:val="clear" w:fill="FFFFFF"/>
            </w:rPr>
            <w:fldChar w:fldCharType="end"/>
          </w:r>
        </w:p>
        <w:p>
          <w:pPr>
            <w:pStyle w:val="8"/>
            <w:tabs>
              <w:tab w:val="right" w:leader="dot" w:pos="8315"/>
            </w:tabs>
          </w:pPr>
          <w:r>
            <w:rPr>
              <w:shd w:val="clear" w:fill="FFFFFF"/>
            </w:rPr>
            <w:fldChar w:fldCharType="begin"/>
          </w:r>
          <w:r>
            <w:rPr>
              <w:shd w:val="clear" w:fill="FFFFFF"/>
            </w:rPr>
            <w:instrText xml:space="preserve"> HYPERLINK \l _Toc3298 </w:instrText>
          </w:r>
          <w:r>
            <w:rPr>
              <w:shd w:val="clear" w:fill="FFFFFF"/>
            </w:rPr>
            <w:fldChar w:fldCharType="separate"/>
          </w:r>
          <w:r>
            <w:rPr>
              <w:shd w:val="clear" w:fill="FFFFFF"/>
            </w:rPr>
            <w:t>六、一般公共预算财政拨款支出决算表</w:t>
          </w:r>
          <w:r>
            <w:tab/>
          </w:r>
          <w:r>
            <w:fldChar w:fldCharType="begin"/>
          </w:r>
          <w:r>
            <w:instrText xml:space="preserve"> PAGEREF _Toc3298 \h </w:instrText>
          </w:r>
          <w:r>
            <w:fldChar w:fldCharType="separate"/>
          </w:r>
          <w:r>
            <w:t>17</w:t>
          </w:r>
          <w:r>
            <w:fldChar w:fldCharType="end"/>
          </w:r>
          <w:r>
            <w:rPr>
              <w:shd w:val="clear" w:fill="FFFFFF"/>
            </w:rPr>
            <w:fldChar w:fldCharType="end"/>
          </w:r>
        </w:p>
        <w:p>
          <w:pPr>
            <w:pStyle w:val="8"/>
            <w:tabs>
              <w:tab w:val="right" w:leader="dot" w:pos="8315"/>
            </w:tabs>
          </w:pPr>
          <w:r>
            <w:rPr>
              <w:shd w:val="clear" w:fill="FFFFFF"/>
            </w:rPr>
            <w:fldChar w:fldCharType="begin"/>
          </w:r>
          <w:r>
            <w:rPr>
              <w:shd w:val="clear" w:fill="FFFFFF"/>
            </w:rPr>
            <w:instrText xml:space="preserve"> HYPERLINK \l _Toc13141 </w:instrText>
          </w:r>
          <w:r>
            <w:rPr>
              <w:shd w:val="clear" w:fill="FFFFFF"/>
            </w:rPr>
            <w:fldChar w:fldCharType="separate"/>
          </w:r>
          <w:r>
            <w:rPr>
              <w:shd w:val="clear" w:fill="FFFFFF"/>
            </w:rPr>
            <w:t>七、一般公共预算财政拨款支出决算明细表</w:t>
          </w:r>
          <w:r>
            <w:tab/>
          </w:r>
          <w:r>
            <w:fldChar w:fldCharType="begin"/>
          </w:r>
          <w:r>
            <w:instrText xml:space="preserve"> PAGEREF _Toc13141 \h </w:instrText>
          </w:r>
          <w:r>
            <w:fldChar w:fldCharType="separate"/>
          </w:r>
          <w:r>
            <w:t>17</w:t>
          </w:r>
          <w:r>
            <w:fldChar w:fldCharType="end"/>
          </w:r>
          <w:r>
            <w:rPr>
              <w:shd w:val="clear" w:fill="FFFFFF"/>
            </w:rPr>
            <w:fldChar w:fldCharType="end"/>
          </w:r>
        </w:p>
        <w:p>
          <w:pPr>
            <w:pStyle w:val="8"/>
            <w:tabs>
              <w:tab w:val="right" w:leader="dot" w:pos="8315"/>
            </w:tabs>
          </w:pPr>
          <w:r>
            <w:rPr>
              <w:shd w:val="clear" w:fill="FFFFFF"/>
            </w:rPr>
            <w:fldChar w:fldCharType="begin"/>
          </w:r>
          <w:r>
            <w:rPr>
              <w:shd w:val="clear" w:fill="FFFFFF"/>
            </w:rPr>
            <w:instrText xml:space="preserve"> HYPERLINK \l _Toc32268 </w:instrText>
          </w:r>
          <w:r>
            <w:rPr>
              <w:shd w:val="clear" w:fill="FFFFFF"/>
            </w:rPr>
            <w:fldChar w:fldCharType="separate"/>
          </w:r>
          <w:r>
            <w:rPr>
              <w:shd w:val="clear" w:fill="FFFFFF"/>
            </w:rPr>
            <w:t>八、一般公共预算财政拨款基本支出决算表</w:t>
          </w:r>
          <w:r>
            <w:tab/>
          </w:r>
          <w:r>
            <w:fldChar w:fldCharType="begin"/>
          </w:r>
          <w:r>
            <w:instrText xml:space="preserve"> PAGEREF _Toc32268 \h </w:instrText>
          </w:r>
          <w:r>
            <w:fldChar w:fldCharType="separate"/>
          </w:r>
          <w:r>
            <w:t>17</w:t>
          </w:r>
          <w:r>
            <w:fldChar w:fldCharType="end"/>
          </w:r>
          <w:r>
            <w:rPr>
              <w:shd w:val="clear" w:fill="FFFFFF"/>
            </w:rPr>
            <w:fldChar w:fldCharType="end"/>
          </w:r>
        </w:p>
        <w:p>
          <w:pPr>
            <w:pStyle w:val="8"/>
            <w:tabs>
              <w:tab w:val="right" w:leader="dot" w:pos="8315"/>
            </w:tabs>
          </w:pPr>
          <w:r>
            <w:rPr>
              <w:shd w:val="clear" w:fill="FFFFFF"/>
            </w:rPr>
            <w:fldChar w:fldCharType="begin"/>
          </w:r>
          <w:r>
            <w:rPr>
              <w:shd w:val="clear" w:fill="FFFFFF"/>
            </w:rPr>
            <w:instrText xml:space="preserve"> HYPERLINK \l _Toc29220 </w:instrText>
          </w:r>
          <w:r>
            <w:rPr>
              <w:shd w:val="clear" w:fill="FFFFFF"/>
            </w:rPr>
            <w:fldChar w:fldCharType="separate"/>
          </w:r>
          <w:r>
            <w:rPr>
              <w:shd w:val="clear" w:fill="FFFFFF"/>
            </w:rPr>
            <w:t>九、一般公共预算财政拨款项目支出决算表</w:t>
          </w:r>
          <w:r>
            <w:tab/>
          </w:r>
          <w:r>
            <w:fldChar w:fldCharType="begin"/>
          </w:r>
          <w:r>
            <w:instrText xml:space="preserve"> PAGEREF _Toc29220 \h </w:instrText>
          </w:r>
          <w:r>
            <w:fldChar w:fldCharType="separate"/>
          </w:r>
          <w:r>
            <w:t>17</w:t>
          </w:r>
          <w:r>
            <w:fldChar w:fldCharType="end"/>
          </w:r>
          <w:r>
            <w:rPr>
              <w:shd w:val="clear" w:fill="FFFFFF"/>
            </w:rPr>
            <w:fldChar w:fldCharType="end"/>
          </w:r>
        </w:p>
        <w:p>
          <w:pPr>
            <w:pStyle w:val="8"/>
            <w:tabs>
              <w:tab w:val="right" w:leader="dot" w:pos="8315"/>
            </w:tabs>
          </w:pPr>
          <w:r>
            <w:rPr>
              <w:shd w:val="clear" w:fill="FFFFFF"/>
            </w:rPr>
            <w:fldChar w:fldCharType="begin"/>
          </w:r>
          <w:r>
            <w:rPr>
              <w:shd w:val="clear" w:fill="FFFFFF"/>
            </w:rPr>
            <w:instrText xml:space="preserve"> HYPERLINK \l _Toc11732 </w:instrText>
          </w:r>
          <w:r>
            <w:rPr>
              <w:shd w:val="clear" w:fill="FFFFFF"/>
            </w:rPr>
            <w:fldChar w:fldCharType="separate"/>
          </w:r>
          <w:r>
            <w:rPr>
              <w:shd w:val="clear" w:fill="FFFFFF"/>
            </w:rPr>
            <w:t>十、政府性基金预算财政拨款收入支出决算表</w:t>
          </w:r>
          <w:r>
            <w:tab/>
          </w:r>
          <w:r>
            <w:fldChar w:fldCharType="begin"/>
          </w:r>
          <w:r>
            <w:instrText xml:space="preserve"> PAGEREF _Toc11732 \h </w:instrText>
          </w:r>
          <w:r>
            <w:fldChar w:fldCharType="separate"/>
          </w:r>
          <w:r>
            <w:t>17</w:t>
          </w:r>
          <w:r>
            <w:fldChar w:fldCharType="end"/>
          </w:r>
          <w:r>
            <w:rPr>
              <w:shd w:val="clear" w:fill="FFFFFF"/>
            </w:rPr>
            <w:fldChar w:fldCharType="end"/>
          </w:r>
        </w:p>
        <w:p>
          <w:pPr>
            <w:pStyle w:val="8"/>
            <w:tabs>
              <w:tab w:val="right" w:leader="dot" w:pos="8315"/>
            </w:tabs>
          </w:pPr>
          <w:r>
            <w:rPr>
              <w:shd w:val="clear" w:fill="FFFFFF"/>
            </w:rPr>
            <w:fldChar w:fldCharType="begin"/>
          </w:r>
          <w:r>
            <w:rPr>
              <w:shd w:val="clear" w:fill="FFFFFF"/>
            </w:rPr>
            <w:instrText xml:space="preserve"> HYPERLINK \l _Toc13516 </w:instrText>
          </w:r>
          <w:r>
            <w:rPr>
              <w:shd w:val="clear" w:fill="FFFFFF"/>
            </w:rPr>
            <w:fldChar w:fldCharType="separate"/>
          </w:r>
          <w:r>
            <w:rPr>
              <w:shd w:val="clear" w:fill="FFFFFF"/>
            </w:rPr>
            <w:t>十一、国有资本经营预算财政拨款收入支出决算表</w:t>
          </w:r>
          <w:r>
            <w:tab/>
          </w:r>
          <w:r>
            <w:fldChar w:fldCharType="begin"/>
          </w:r>
          <w:r>
            <w:instrText xml:space="preserve"> PAGEREF _Toc13516 \h </w:instrText>
          </w:r>
          <w:r>
            <w:fldChar w:fldCharType="separate"/>
          </w:r>
          <w:r>
            <w:t>17</w:t>
          </w:r>
          <w:r>
            <w:fldChar w:fldCharType="end"/>
          </w:r>
          <w:r>
            <w:rPr>
              <w:shd w:val="clear" w:fill="FFFFFF"/>
            </w:rPr>
            <w:fldChar w:fldCharType="end"/>
          </w:r>
        </w:p>
        <w:p>
          <w:pPr>
            <w:pStyle w:val="8"/>
            <w:tabs>
              <w:tab w:val="right" w:leader="dot" w:pos="8315"/>
            </w:tabs>
          </w:pPr>
          <w:r>
            <w:rPr>
              <w:shd w:val="clear" w:fill="FFFFFF"/>
            </w:rPr>
            <w:fldChar w:fldCharType="begin"/>
          </w:r>
          <w:r>
            <w:rPr>
              <w:shd w:val="clear" w:fill="FFFFFF"/>
            </w:rPr>
            <w:instrText xml:space="preserve"> HYPERLINK \l _Toc11259 </w:instrText>
          </w:r>
          <w:r>
            <w:rPr>
              <w:shd w:val="clear" w:fill="FFFFFF"/>
            </w:rPr>
            <w:fldChar w:fldCharType="separate"/>
          </w:r>
          <w:r>
            <w:rPr>
              <w:shd w:val="clear" w:fill="FFFFFF"/>
            </w:rPr>
            <w:t>十二、国有资本经营预算财政拨款支出决算表</w:t>
          </w:r>
          <w:r>
            <w:tab/>
          </w:r>
          <w:r>
            <w:fldChar w:fldCharType="begin"/>
          </w:r>
          <w:r>
            <w:instrText xml:space="preserve"> PAGEREF _Toc11259 \h </w:instrText>
          </w:r>
          <w:r>
            <w:fldChar w:fldCharType="separate"/>
          </w:r>
          <w:r>
            <w:t>17</w:t>
          </w:r>
          <w:r>
            <w:fldChar w:fldCharType="end"/>
          </w:r>
          <w:r>
            <w:rPr>
              <w:shd w:val="clear" w:fill="FFFFFF"/>
            </w:rPr>
            <w:fldChar w:fldCharType="end"/>
          </w:r>
        </w:p>
        <w:p>
          <w:pPr>
            <w:pStyle w:val="8"/>
            <w:tabs>
              <w:tab w:val="right" w:leader="dot" w:pos="8315"/>
            </w:tabs>
          </w:pPr>
          <w:r>
            <w:rPr>
              <w:shd w:val="clear" w:fill="FFFFFF"/>
            </w:rPr>
            <w:fldChar w:fldCharType="begin"/>
          </w:r>
          <w:r>
            <w:rPr>
              <w:shd w:val="clear" w:fill="FFFFFF"/>
            </w:rPr>
            <w:instrText xml:space="preserve"> HYPERLINK \l _Toc13212 </w:instrText>
          </w:r>
          <w:r>
            <w:rPr>
              <w:shd w:val="clear" w:fill="FFFFFF"/>
            </w:rPr>
            <w:fldChar w:fldCharType="separate"/>
          </w:r>
          <w:r>
            <w:rPr>
              <w:shd w:val="clear" w:fill="FFFFFF"/>
            </w:rPr>
            <w:t>十三、财政拨款“三公”经费支出决算表</w:t>
          </w:r>
          <w:r>
            <w:tab/>
          </w:r>
          <w:r>
            <w:fldChar w:fldCharType="begin"/>
          </w:r>
          <w:r>
            <w:instrText xml:space="preserve"> PAGEREF _Toc13212 \h </w:instrText>
          </w:r>
          <w:r>
            <w:fldChar w:fldCharType="separate"/>
          </w:r>
          <w:r>
            <w:t>17</w:t>
          </w:r>
          <w:r>
            <w:fldChar w:fldCharType="end"/>
          </w:r>
          <w:r>
            <w:rPr>
              <w:shd w:val="clear" w:fill="FFFFFF"/>
            </w:rPr>
            <w:fldChar w:fldCharType="end"/>
          </w:r>
        </w:p>
        <w:p>
          <w:pPr>
            <w:pStyle w:val="9"/>
            <w:keepNext w:val="0"/>
            <w:keepLines w:val="0"/>
            <w:widowControl/>
            <w:suppressLineNumbers w:val="0"/>
            <w:spacing w:before="0" w:beforeAutospacing="0"/>
            <w:ind w:left="0"/>
            <w:jc w:val="left"/>
            <w:rPr>
              <w:shd w:val="clear" w:fill="FFFFFF"/>
            </w:rPr>
          </w:pPr>
          <w:r>
            <w:rPr>
              <w:shd w:val="clear" w:fill="FFFFFF"/>
            </w:rPr>
            <w:fldChar w:fldCharType="end"/>
          </w:r>
        </w:p>
      </w:sdtContent>
    </w:sdt>
    <w:p>
      <w:pPr>
        <w:pStyle w:val="9"/>
        <w:keepNext w:val="0"/>
        <w:keepLines w:val="0"/>
        <w:widowControl/>
        <w:suppressLineNumbers w:val="0"/>
        <w:spacing w:before="0" w:beforeAutospacing="0"/>
        <w:ind w:left="0"/>
        <w:jc w:val="left"/>
        <w:rPr>
          <w:shd w:val="clear" w:fill="FFFFFF"/>
        </w:rPr>
      </w:pPr>
    </w:p>
    <w:p>
      <w:pPr>
        <w:pStyle w:val="9"/>
        <w:keepNext w:val="0"/>
        <w:keepLines w:val="0"/>
        <w:widowControl/>
        <w:suppressLineNumbers w:val="0"/>
        <w:spacing w:before="0" w:beforeAutospacing="0"/>
        <w:ind w:left="0"/>
        <w:jc w:val="left"/>
        <w:rPr>
          <w:shd w:val="clear" w:fill="FFFFFF"/>
        </w:rPr>
      </w:pPr>
    </w:p>
    <w:p>
      <w:pPr>
        <w:pStyle w:val="9"/>
        <w:keepNext w:val="0"/>
        <w:keepLines w:val="0"/>
        <w:widowControl/>
        <w:suppressLineNumbers w:val="0"/>
        <w:spacing w:before="0" w:beforeAutospacing="0"/>
        <w:ind w:left="0"/>
        <w:jc w:val="left"/>
        <w:rPr>
          <w:shd w:val="clear" w:fill="FFFFFF"/>
        </w:rPr>
      </w:pPr>
    </w:p>
    <w:p>
      <w:pPr>
        <w:pStyle w:val="9"/>
        <w:keepNext w:val="0"/>
        <w:keepLines w:val="0"/>
        <w:widowControl/>
        <w:suppressLineNumbers w:val="0"/>
        <w:spacing w:before="0" w:beforeAutospacing="0"/>
        <w:ind w:left="0"/>
        <w:jc w:val="left"/>
        <w:rPr>
          <w:shd w:val="clear" w:fill="FFFFFF"/>
        </w:rPr>
      </w:pPr>
    </w:p>
    <w:p>
      <w:pPr>
        <w:pStyle w:val="3"/>
        <w:keepNext w:val="0"/>
        <w:keepLines w:val="0"/>
        <w:widowControl/>
        <w:suppressLineNumbers w:val="0"/>
        <w:spacing w:before="0" w:beforeAutospacing="0"/>
        <w:ind w:left="0"/>
        <w:jc w:val="center"/>
      </w:pPr>
      <w:bookmarkStart w:id="0" w:name="_Toc7548"/>
      <w:r>
        <w:rPr>
          <w:shd w:val="clear" w:fill="FFFFFF"/>
        </w:rPr>
        <w:t>第一部分 部门概况</w:t>
      </w:r>
      <w:bookmarkEnd w:id="0"/>
    </w:p>
    <w:p>
      <w:pPr>
        <w:pStyle w:val="9"/>
        <w:keepNext w:val="0"/>
        <w:keepLines w:val="0"/>
        <w:widowControl/>
        <w:suppressLineNumbers w:val="0"/>
        <w:spacing w:before="0" w:beforeAutospacing="0"/>
        <w:ind w:left="0"/>
        <w:jc w:val="left"/>
      </w:pPr>
      <w:r>
        <w:rPr>
          <w:shd w:val="clear" w:fill="FFFFFF"/>
        </w:rPr>
        <w:t> </w:t>
      </w:r>
    </w:p>
    <w:p>
      <w:pPr>
        <w:pStyle w:val="4"/>
        <w:keepNext w:val="0"/>
        <w:keepLines w:val="0"/>
        <w:widowControl/>
        <w:suppressLineNumbers w:val="0"/>
        <w:spacing w:before="0" w:beforeAutospacing="0"/>
        <w:ind w:left="0"/>
        <w:jc w:val="left"/>
      </w:pPr>
      <w:bookmarkStart w:id="1" w:name="_Toc15658"/>
      <w:r>
        <w:rPr>
          <w:shd w:val="clear" w:fill="FFFFFF"/>
        </w:rPr>
        <w:t>一、基本职能及主要工作</w:t>
      </w:r>
      <w:bookmarkEnd w:id="1"/>
    </w:p>
    <w:p>
      <w:pPr>
        <w:pStyle w:val="9"/>
        <w:keepNext w:val="0"/>
        <w:keepLines w:val="0"/>
        <w:widowControl/>
        <w:suppressLineNumbers w:val="0"/>
        <w:spacing w:before="0" w:beforeAutospacing="0"/>
        <w:ind w:left="0"/>
        <w:jc w:val="left"/>
        <w:rPr>
          <w:shd w:val="clear" w:fill="FFFFFF"/>
        </w:rPr>
      </w:pPr>
      <w:r>
        <w:rPr>
          <w:shd w:val="clear" w:fill="FFFFFF"/>
        </w:rPr>
        <w:t>（一）主要职能。</w:t>
      </w:r>
    </w:p>
    <w:p>
      <w:pPr>
        <w:pStyle w:val="9"/>
        <w:widowControl/>
        <w:shd w:val="clear" w:color="auto" w:fill="FFFFFF"/>
        <w:wordWrap w:val="0"/>
        <w:spacing w:beforeAutospacing="0" w:afterAutospacing="0"/>
        <w:ind w:firstLine="42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1.编制旅游规划。组织编制旅游发展规划、旅游景区、景点规划和旅游专项规划等旅游规划并监督实施；负责旅游业发展的组织协调和行业指导、监督管理工作。</w:t>
      </w:r>
    </w:p>
    <w:p>
      <w:pPr>
        <w:pStyle w:val="9"/>
        <w:widowControl/>
        <w:shd w:val="clear" w:color="auto" w:fill="FFFFFF"/>
        <w:wordWrap w:val="0"/>
        <w:spacing w:beforeAutospacing="0" w:afterAutospacing="0"/>
        <w:ind w:firstLine="42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2.实施旅游执法。负责贯彻执行旅游管理的法律、法规和规章，履行旅游行业行政管理职能；负责旅游服务质量执法监督和旅游投诉处理；参与旅游市场价格检查工作；负责旅游安全，参与重大旅游安全事故的救援与处理；指导旅游文化工作和旅游行业精神文明建设。</w:t>
      </w:r>
    </w:p>
    <w:p>
      <w:pPr>
        <w:pStyle w:val="9"/>
        <w:widowControl/>
        <w:shd w:val="clear" w:color="auto" w:fill="FFFFFF"/>
        <w:wordWrap w:val="0"/>
        <w:spacing w:beforeAutospacing="0" w:afterAutospacing="0"/>
        <w:ind w:firstLine="42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3.实施行业管理。拟制旅游发展产业政策并指导实施；组织实施国家标准和国家、省、市制定的行业标准；审核、申报经营旅游业务的旅行社(公司)、A级旅游景区、星级宾馆、饭店等，负责日常管理工作并协助评定和复核工作;培育和完善旅游市场；建立旅游资源信息库；组织、指导旅游商品的开发；指导直属企事业单位和旅游行业协会工作；组织、指导旅游统计工作。</w:t>
      </w:r>
    </w:p>
    <w:p>
      <w:pPr>
        <w:pStyle w:val="9"/>
        <w:widowControl/>
        <w:shd w:val="clear" w:color="auto" w:fill="FFFFFF"/>
        <w:wordWrap w:val="0"/>
        <w:spacing w:beforeAutospacing="0" w:afterAutospacing="0"/>
        <w:ind w:firstLine="42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4.组织市场开发。拟制国际、国内旅游市场开发战略；组织实施旅游主题形象策划，对内、对外宣传国内外旅游市场重大促销活动；管理旅游涉外事务和旅游对外交流与合作；负责规范旅游业市场开发，链接旅游线路，制定开发计划、措施及相关政策。</w:t>
      </w:r>
    </w:p>
    <w:p>
      <w:pPr>
        <w:pStyle w:val="9"/>
        <w:widowControl/>
        <w:shd w:val="clear" w:color="auto" w:fill="FFFFFF"/>
        <w:wordWrap w:val="0"/>
        <w:spacing w:beforeAutospacing="0" w:afterAutospacing="0"/>
        <w:ind w:firstLine="42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5.组织教育培训。指导旅游教育培训工作，组织实施旅游从业人员资格制度和等级制度。</w:t>
      </w:r>
    </w:p>
    <w:p>
      <w:pPr>
        <w:pStyle w:val="9"/>
        <w:keepNext w:val="0"/>
        <w:keepLines w:val="0"/>
        <w:widowControl/>
        <w:suppressLineNumbers w:val="0"/>
        <w:spacing w:before="0" w:beforeAutospacing="0"/>
        <w:ind w:left="0"/>
        <w:jc w:val="left"/>
        <w:rPr>
          <w:shd w:val="clear" w:fill="FFFFFF"/>
        </w:rPr>
      </w:pPr>
      <w:r>
        <w:rPr>
          <w:rFonts w:hint="eastAsia" w:ascii="仿宋_GB2312" w:hAnsi="仿宋_GB2312" w:eastAsia="仿宋_GB2312" w:cs="仿宋_GB2312"/>
          <w:kern w:val="2"/>
          <w:sz w:val="32"/>
          <w:szCs w:val="32"/>
        </w:rPr>
        <w:t>6.履行相关</w:t>
      </w:r>
      <w:r>
        <w:fldChar w:fldCharType="begin"/>
      </w:r>
      <w:r>
        <w:instrText xml:space="preserve"> HYPERLINK "http://www.zhize8.com/" \t "http://www.zhize8.com/zhize/_blank" </w:instrText>
      </w:r>
      <w:r>
        <w:fldChar w:fldCharType="separate"/>
      </w:r>
      <w:r>
        <w:rPr>
          <w:rFonts w:hint="eastAsia" w:ascii="仿宋_GB2312" w:hAnsi="仿宋_GB2312" w:eastAsia="仿宋_GB2312" w:cs="仿宋_GB2312"/>
          <w:kern w:val="2"/>
          <w:sz w:val="32"/>
          <w:szCs w:val="32"/>
        </w:rPr>
        <w:t>职责</w:t>
      </w:r>
      <w:r>
        <w:rPr>
          <w:rFonts w:hint="eastAsia" w:ascii="仿宋_GB2312" w:hAnsi="仿宋_GB2312" w:eastAsia="仿宋_GB2312" w:cs="仿宋_GB2312"/>
          <w:kern w:val="2"/>
          <w:sz w:val="32"/>
          <w:szCs w:val="32"/>
        </w:rPr>
        <w:fldChar w:fldCharType="end"/>
      </w:r>
      <w:r>
        <w:rPr>
          <w:rFonts w:hint="eastAsia" w:ascii="仿宋_GB2312" w:hAnsi="仿宋_GB2312" w:eastAsia="仿宋_GB2312" w:cs="仿宋_GB2312"/>
          <w:kern w:val="2"/>
          <w:sz w:val="32"/>
          <w:szCs w:val="32"/>
        </w:rPr>
        <w:t>。受上级委托对旅游集团和直属旅游企业国有资产的保值增值进行监督管理，负责局机关党群工作，承办上级交办的其他事项。</w:t>
      </w:r>
    </w:p>
    <w:p>
      <w:pPr>
        <w:pStyle w:val="9"/>
        <w:keepNext w:val="0"/>
        <w:keepLines w:val="0"/>
        <w:widowControl/>
        <w:suppressLineNumbers w:val="0"/>
        <w:spacing w:before="0" w:beforeAutospacing="0"/>
        <w:ind w:left="0"/>
        <w:jc w:val="left"/>
        <w:rPr>
          <w:shd w:val="clear" w:fill="FFFFFF"/>
        </w:rPr>
      </w:pPr>
      <w:r>
        <w:rPr>
          <w:shd w:val="clear" w:fill="FFFFFF"/>
        </w:rPr>
        <w:t>（二）2022年重点工作完成情况。</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深入开展机关效能建设活动，</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加强党建工作。</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加强</w:t>
      </w:r>
      <w:r>
        <w:rPr>
          <w:rFonts w:hint="eastAsia" w:ascii="仿宋_GB2312" w:hAnsi="仿宋_GB2312" w:eastAsia="仿宋_GB2312" w:cs="仿宋_GB2312"/>
          <w:sz w:val="32"/>
          <w:szCs w:val="32"/>
          <w:lang w:val="en-US" w:eastAsia="zh-CN"/>
        </w:rPr>
        <w:t>景区管理</w:t>
      </w:r>
      <w:r>
        <w:rPr>
          <w:rFonts w:hint="eastAsia" w:ascii="仿宋_GB2312" w:hAnsi="仿宋_GB2312" w:eastAsia="仿宋_GB2312" w:cs="仿宋_GB2312"/>
          <w:sz w:val="32"/>
          <w:szCs w:val="32"/>
        </w:rPr>
        <w:t>工作。</w:t>
      </w:r>
      <w:r>
        <w:rPr>
          <w:rFonts w:hint="eastAsia" w:ascii="仿宋_GB2312" w:hAnsi="仿宋_GB2312" w:eastAsia="仿宋_GB2312" w:cs="仿宋_GB2312"/>
          <w:b/>
          <w:bCs/>
          <w:sz w:val="32"/>
          <w:szCs w:val="32"/>
        </w:rPr>
        <w:t>四是</w:t>
      </w:r>
      <w:r>
        <w:rPr>
          <w:rFonts w:hint="eastAsia" w:ascii="仿宋_GB2312" w:hAnsi="仿宋_GB2312" w:eastAsia="仿宋_GB2312" w:cs="仿宋_GB2312"/>
          <w:sz w:val="32"/>
          <w:szCs w:val="32"/>
        </w:rPr>
        <w:t>切实加强维稳工作。</w:t>
      </w:r>
      <w:r>
        <w:rPr>
          <w:rFonts w:hint="eastAsia" w:ascii="仿宋_GB2312" w:hAnsi="仿宋_GB2312" w:eastAsia="仿宋_GB2312" w:cs="仿宋_GB2312"/>
          <w:b/>
          <w:bCs/>
          <w:sz w:val="32"/>
          <w:szCs w:val="32"/>
        </w:rPr>
        <w:t>五是</w:t>
      </w:r>
      <w:r>
        <w:rPr>
          <w:rFonts w:hint="eastAsia" w:ascii="仿宋_GB2312" w:hAnsi="仿宋_GB2312" w:eastAsia="仿宋_GB2312" w:cs="仿宋_GB2312"/>
          <w:sz w:val="32"/>
          <w:szCs w:val="32"/>
        </w:rPr>
        <w:t>进一步加大</w:t>
      </w:r>
      <w:r>
        <w:rPr>
          <w:rFonts w:hint="eastAsia" w:ascii="仿宋_GB2312" w:hAnsi="仿宋_GB2312" w:eastAsia="仿宋_GB2312" w:cs="仿宋_GB2312"/>
          <w:sz w:val="32"/>
          <w:szCs w:val="32"/>
          <w:lang w:val="en-US" w:eastAsia="zh-CN"/>
        </w:rPr>
        <w:t>景区基础设施建设</w:t>
      </w:r>
      <w:r>
        <w:rPr>
          <w:rFonts w:hint="eastAsia" w:ascii="仿宋_GB2312" w:hAnsi="仿宋_GB2312" w:eastAsia="仿宋_GB2312" w:cs="仿宋_GB2312"/>
          <w:sz w:val="32"/>
          <w:szCs w:val="32"/>
        </w:rPr>
        <w:t>力度，千方百计增加农牧民收入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提升游客体验感</w:t>
      </w:r>
      <w:r>
        <w:rPr>
          <w:rFonts w:hint="eastAsia" w:ascii="仿宋_GB2312" w:hAnsi="仿宋_GB2312" w:eastAsia="仿宋_GB2312" w:cs="仿宋_GB2312"/>
          <w:sz w:val="32"/>
          <w:szCs w:val="32"/>
        </w:rPr>
        <w:t>；继续关注民生，全力申报项目；</w:t>
      </w:r>
      <w:r>
        <w:rPr>
          <w:rFonts w:hint="eastAsia" w:ascii="仿宋_GB2312" w:hAnsi="仿宋_GB2312" w:eastAsia="仿宋_GB2312" w:cs="仿宋_GB2312"/>
          <w:b/>
          <w:bCs/>
          <w:sz w:val="32"/>
          <w:szCs w:val="32"/>
        </w:rPr>
        <w:t>六是</w:t>
      </w:r>
      <w:r>
        <w:rPr>
          <w:rFonts w:hint="eastAsia" w:ascii="仿宋_GB2312" w:hAnsi="仿宋_GB2312" w:eastAsia="仿宋_GB2312" w:cs="仿宋_GB2312"/>
          <w:sz w:val="32"/>
          <w:szCs w:val="32"/>
        </w:rPr>
        <w:t>抓好了其他目标工作。</w:t>
      </w:r>
    </w:p>
    <w:p>
      <w:pPr>
        <w:pStyle w:val="4"/>
        <w:keepNext w:val="0"/>
        <w:keepLines w:val="0"/>
        <w:widowControl/>
        <w:suppressLineNumbers w:val="0"/>
        <w:spacing w:before="0" w:beforeAutospacing="0"/>
        <w:ind w:left="0"/>
        <w:jc w:val="left"/>
      </w:pPr>
      <w:bookmarkStart w:id="2" w:name="_Toc20478"/>
      <w:r>
        <w:rPr>
          <w:shd w:val="clear" w:fill="FFFFFF"/>
        </w:rPr>
        <w:t>二、机构设置</w:t>
      </w:r>
      <w:bookmarkEnd w:id="2"/>
    </w:p>
    <w:p>
      <w:pPr>
        <w:pStyle w:val="9"/>
        <w:keepNext w:val="0"/>
        <w:keepLines w:val="0"/>
        <w:widowControl/>
        <w:suppressLineNumbers w:val="0"/>
        <w:spacing w:before="0" w:beforeAutospacing="0"/>
        <w:ind w:left="0"/>
        <w:jc w:val="left"/>
      </w:pPr>
      <w:r>
        <w:rPr>
          <w:shd w:val="clear" w:fill="FFFFFF"/>
        </w:rPr>
        <w:t>阿坝州金川县观音桥景区工作中心下属二级单位</w:t>
      </w:r>
      <w:r>
        <w:rPr>
          <w:rFonts w:hint="eastAsia"/>
          <w:shd w:val="clear" w:fill="FFFFFF"/>
          <w:lang w:val="en-US" w:eastAsia="zh-CN"/>
        </w:rPr>
        <w:t>1</w:t>
      </w:r>
      <w:r>
        <w:rPr>
          <w:shd w:val="clear" w:fill="FFFFFF"/>
        </w:rPr>
        <w:t>个，其中行政单位</w:t>
      </w:r>
      <w:r>
        <w:rPr>
          <w:rFonts w:hint="eastAsia"/>
          <w:shd w:val="clear" w:fill="FFFFFF"/>
          <w:lang w:val="en-US" w:eastAsia="zh-CN"/>
        </w:rPr>
        <w:t>0</w:t>
      </w:r>
      <w:r>
        <w:rPr>
          <w:shd w:val="clear" w:fill="FFFFFF"/>
        </w:rPr>
        <w:t>个，参照公务员法管理的事业单位</w:t>
      </w:r>
      <w:r>
        <w:rPr>
          <w:rFonts w:hint="eastAsia"/>
          <w:shd w:val="clear" w:fill="FFFFFF"/>
          <w:lang w:val="en-US" w:eastAsia="zh-CN"/>
        </w:rPr>
        <w:t>0</w:t>
      </w:r>
      <w:r>
        <w:rPr>
          <w:shd w:val="clear" w:fill="FFFFFF"/>
        </w:rPr>
        <w:t>个，其他事业单位</w:t>
      </w:r>
      <w:r>
        <w:rPr>
          <w:rFonts w:hint="eastAsia"/>
          <w:shd w:val="clear" w:fill="FFFFFF"/>
          <w:lang w:val="en-US" w:eastAsia="zh-CN"/>
        </w:rPr>
        <w:t>1</w:t>
      </w:r>
      <w:r>
        <w:rPr>
          <w:shd w:val="clear" w:fill="FFFFFF"/>
        </w:rPr>
        <w:t>个。</w:t>
      </w:r>
    </w:p>
    <w:p>
      <w:pPr>
        <w:pStyle w:val="9"/>
        <w:keepNext w:val="0"/>
        <w:keepLines w:val="0"/>
        <w:widowControl/>
        <w:suppressLineNumbers w:val="0"/>
        <w:spacing w:before="0" w:beforeAutospacing="0"/>
        <w:ind w:left="0"/>
        <w:jc w:val="left"/>
      </w:pPr>
      <w:r>
        <w:rPr>
          <w:shd w:val="clear" w:fill="FFFFFF"/>
        </w:rPr>
        <w:t>纳入阿坝州金川县观音桥景区工作中心2022年度部门决算编制范围的二级预算单位包括：</w:t>
      </w:r>
    </w:p>
    <w:p>
      <w:pPr>
        <w:keepNext w:val="0"/>
        <w:keepLines w:val="0"/>
        <w:widowControl/>
        <w:numPr>
          <w:ilvl w:val="0"/>
          <w:numId w:val="1"/>
        </w:numPr>
        <w:suppressLineNumbers w:val="0"/>
        <w:spacing w:before="0" w:beforeAutospacing="0" w:after="0" w:afterAutospacing="1"/>
        <w:ind w:left="720" w:hanging="360"/>
        <w:jc w:val="left"/>
      </w:pPr>
      <w:r>
        <w:rPr>
          <w:rFonts w:hint="eastAsia"/>
          <w:shd w:val="clear" w:fill="FFFFFF"/>
          <w:lang w:val="en-US" w:eastAsia="zh-CN"/>
        </w:rPr>
        <w:t>金川县观音桥景区工作中心</w:t>
      </w:r>
    </w:p>
    <w:p>
      <w:pPr>
        <w:pStyle w:val="9"/>
        <w:keepNext w:val="0"/>
        <w:keepLines w:val="0"/>
        <w:widowControl/>
        <w:suppressLineNumbers w:val="0"/>
        <w:spacing w:before="0" w:beforeAutospacing="0"/>
        <w:ind w:left="0"/>
        <w:jc w:val="left"/>
        <w:outlineLvl w:val="0"/>
        <w:rPr>
          <w:rFonts w:hint="eastAsia" w:ascii="宋体" w:hAnsi="宋体" w:eastAsia="宋体" w:cs="宋体"/>
          <w:b/>
          <w:bCs/>
          <w:kern w:val="44"/>
          <w:sz w:val="48"/>
          <w:szCs w:val="48"/>
          <w:shd w:val="clear" w:fill="FFFFFF"/>
          <w:lang w:val="en-US" w:eastAsia="zh-CN" w:bidi="ar"/>
        </w:rPr>
      </w:pPr>
      <w:bookmarkStart w:id="3" w:name="_Toc18140"/>
      <w:r>
        <w:rPr>
          <w:shd w:val="clear" w:fill="FFFFFF"/>
        </w:rPr>
        <w:t> </w:t>
      </w:r>
      <w:r>
        <w:rPr>
          <w:rFonts w:hint="eastAsia" w:ascii="宋体" w:hAnsi="宋体" w:eastAsia="宋体" w:cs="宋体"/>
          <w:b/>
          <w:bCs/>
          <w:kern w:val="44"/>
          <w:sz w:val="48"/>
          <w:szCs w:val="48"/>
          <w:shd w:val="clear" w:fill="FFFFFF"/>
          <w:lang w:val="en-US" w:eastAsia="zh-CN" w:bidi="ar"/>
        </w:rPr>
        <w:t>第二部分 2022年度部门决算情况说明</w:t>
      </w:r>
      <w:bookmarkEnd w:id="3"/>
    </w:p>
    <w:p>
      <w:pPr>
        <w:pStyle w:val="9"/>
        <w:keepNext w:val="0"/>
        <w:keepLines w:val="0"/>
        <w:widowControl/>
        <w:suppressLineNumbers w:val="0"/>
        <w:spacing w:before="0" w:beforeAutospacing="0"/>
        <w:ind w:left="0"/>
        <w:jc w:val="left"/>
        <w:outlineLvl w:val="1"/>
      </w:pPr>
      <w:bookmarkStart w:id="4" w:name="_Toc1378"/>
      <w:r>
        <w:rPr>
          <w:shd w:val="clear" w:fill="FFFFFF"/>
        </w:rPr>
        <w:t> 一、收入支出决算总体情况说明</w:t>
      </w:r>
      <w:bookmarkEnd w:id="4"/>
    </w:p>
    <w:p>
      <w:pPr>
        <w:pStyle w:val="9"/>
        <w:keepNext w:val="0"/>
        <w:keepLines w:val="0"/>
        <w:widowControl/>
        <w:suppressLineNumbers w:val="0"/>
        <w:spacing w:before="0" w:beforeAutospacing="0"/>
        <w:ind w:left="0"/>
        <w:jc w:val="left"/>
        <w:rPr>
          <w:rFonts w:hint="eastAsia"/>
          <w:shd w:val="clear" w:fill="FFFFFF"/>
          <w:lang w:val="en-US" w:eastAsia="zh-CN"/>
        </w:rPr>
      </w:pPr>
      <w:r>
        <w:rPr>
          <w:shd w:val="clear" w:fill="FFFFFF"/>
        </w:rPr>
        <w:t>2022年度收、支总计255.30万元。与2021年相比，收、支总计各增加59.78万元，增长30.57%。主要变动原因是</w:t>
      </w:r>
      <w:r>
        <w:rPr>
          <w:rFonts w:hint="eastAsia"/>
          <w:shd w:val="clear" w:fill="FFFFFF"/>
          <w:lang w:val="en-US" w:eastAsia="zh-CN"/>
        </w:rPr>
        <w:t>2022年我单位新增项目1个。</w:t>
      </w:r>
    </w:p>
    <w:p>
      <w:pPr>
        <w:pStyle w:val="9"/>
        <w:keepNext w:val="0"/>
        <w:keepLines w:val="0"/>
        <w:widowControl/>
        <w:suppressLineNumbers w:val="0"/>
        <w:spacing w:before="0" w:beforeAutospacing="0"/>
        <w:ind w:left="0"/>
        <w:jc w:val="left"/>
        <w:rPr>
          <w:rFonts w:hint="default"/>
          <w:shd w:val="clear" w:fill="FFFFFF"/>
          <w:lang w:val="en-US" w:eastAsia="zh-CN"/>
        </w:rPr>
      </w:pPr>
      <w:r>
        <w:rPr>
          <w:rFonts w:hint="default"/>
          <w:shd w:val="clear" w:fill="FFFFFF"/>
          <w:lang w:val="en-US" w:eastAsia="zh-CN"/>
        </w:rPr>
        <w:drawing>
          <wp:inline distT="0" distB="0" distL="114300" distR="114300">
            <wp:extent cx="5325745" cy="2162810"/>
            <wp:effectExtent l="4445" t="4445" r="22860" b="2349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9"/>
        <w:keepNext w:val="0"/>
        <w:keepLines w:val="0"/>
        <w:widowControl/>
        <w:suppressLineNumbers w:val="0"/>
        <w:spacing w:before="0" w:beforeAutospacing="0"/>
        <w:ind w:left="0"/>
        <w:jc w:val="left"/>
      </w:pPr>
      <w:r>
        <w:rPr>
          <w:shd w:val="clear" w:fill="FFFFFF"/>
        </w:rPr>
        <w:t>（图1：收、支决算总计变动情况图）（柱状图）</w:t>
      </w:r>
    </w:p>
    <w:p>
      <w:pPr>
        <w:pStyle w:val="9"/>
        <w:keepNext w:val="0"/>
        <w:keepLines w:val="0"/>
        <w:widowControl/>
        <w:suppressLineNumbers w:val="0"/>
        <w:spacing w:before="0" w:beforeAutospacing="0"/>
        <w:ind w:left="0"/>
        <w:jc w:val="left"/>
      </w:pPr>
      <w:r>
        <w:rPr>
          <w:shd w:val="clear" w:fill="FFFFFF"/>
        </w:rPr>
        <w:t> </w:t>
      </w:r>
    </w:p>
    <w:p>
      <w:pPr>
        <w:pStyle w:val="9"/>
        <w:keepNext w:val="0"/>
        <w:keepLines w:val="0"/>
        <w:widowControl/>
        <w:suppressLineNumbers w:val="0"/>
        <w:spacing w:before="0" w:beforeAutospacing="0"/>
        <w:ind w:left="0"/>
        <w:jc w:val="left"/>
        <w:outlineLvl w:val="1"/>
      </w:pPr>
      <w:bookmarkStart w:id="5" w:name="_Toc3296"/>
      <w:r>
        <w:rPr>
          <w:shd w:val="clear" w:fill="FFFFFF"/>
        </w:rPr>
        <w:t>二、收入决算情况说明</w:t>
      </w:r>
      <w:bookmarkEnd w:id="5"/>
    </w:p>
    <w:p>
      <w:pPr>
        <w:pStyle w:val="9"/>
        <w:keepNext w:val="0"/>
        <w:keepLines w:val="0"/>
        <w:widowControl/>
        <w:suppressLineNumbers w:val="0"/>
        <w:spacing w:before="0" w:beforeAutospacing="0"/>
        <w:ind w:left="0"/>
        <w:jc w:val="left"/>
      </w:pPr>
      <w:r>
        <w:rPr>
          <w:shd w:val="clear" w:fill="FFFFFF"/>
        </w:rPr>
        <w:t>2022年本年收入合计255.30万元，其中：一般公共预算财政拨款收入255.30万元，占100.00%；政府性基金预算财政拨款收入0.00万元，占0.00%；国有资本经营预算财政拨款收入0.00万元，占0.00%；上级补助收入0.00万元，占0.00%；事业收入0.00万元，占0.00%%；经营收入0.00万元，占0.00%%；附属单位上缴收入0.00万元，占0.00%；其他收入0.00万元，占0.00%。</w:t>
      </w:r>
    </w:p>
    <w:p>
      <w:pPr>
        <w:pStyle w:val="9"/>
        <w:keepNext w:val="0"/>
        <w:keepLines w:val="0"/>
        <w:widowControl/>
        <w:suppressLineNumbers w:val="0"/>
        <w:spacing w:before="0" w:beforeAutospacing="0"/>
        <w:ind w:left="0"/>
        <w:jc w:val="left"/>
        <w:rPr>
          <w:rFonts w:hint="eastAsia" w:eastAsiaTheme="minorEastAsia"/>
          <w:lang w:eastAsia="zh-CN"/>
        </w:rPr>
      </w:pPr>
      <w:r>
        <w:rPr>
          <w:shd w:val="clear" w:fill="FFFFFF"/>
        </w:rPr>
        <w:t> </w:t>
      </w:r>
      <w:r>
        <w:rPr>
          <w:rFonts w:hint="eastAsia" w:eastAsiaTheme="minorEastAsia"/>
          <w:lang w:eastAsia="zh-CN"/>
        </w:rPr>
        <w:drawing>
          <wp:inline distT="0" distB="0" distL="114300" distR="114300">
            <wp:extent cx="5080000" cy="2533650"/>
            <wp:effectExtent l="4445" t="4445" r="20955" b="1460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9"/>
        <w:keepNext w:val="0"/>
        <w:keepLines w:val="0"/>
        <w:widowControl/>
        <w:suppressLineNumbers w:val="0"/>
        <w:spacing w:before="0" w:beforeAutospacing="0"/>
        <w:ind w:left="0"/>
        <w:jc w:val="left"/>
      </w:pPr>
      <w:r>
        <w:rPr>
          <w:shd w:val="clear" w:fill="FFFFFF"/>
        </w:rPr>
        <w:t>（图2：收入决算结构图）（饼状图）</w:t>
      </w:r>
    </w:p>
    <w:p>
      <w:pPr>
        <w:pStyle w:val="9"/>
        <w:keepNext w:val="0"/>
        <w:keepLines w:val="0"/>
        <w:widowControl/>
        <w:suppressLineNumbers w:val="0"/>
        <w:spacing w:before="0" w:beforeAutospacing="0"/>
        <w:ind w:left="0"/>
        <w:jc w:val="left"/>
        <w:outlineLvl w:val="1"/>
      </w:pPr>
      <w:bookmarkStart w:id="6" w:name="_Toc26602"/>
      <w:r>
        <w:rPr>
          <w:shd w:val="clear" w:fill="FFFFFF"/>
        </w:rPr>
        <w:t> 三、支出决算情况说明</w:t>
      </w:r>
      <w:bookmarkEnd w:id="6"/>
    </w:p>
    <w:p>
      <w:pPr>
        <w:pStyle w:val="9"/>
        <w:keepNext w:val="0"/>
        <w:keepLines w:val="0"/>
        <w:widowControl/>
        <w:suppressLineNumbers w:val="0"/>
        <w:spacing w:before="0" w:beforeAutospacing="0"/>
        <w:ind w:left="0"/>
        <w:jc w:val="left"/>
      </w:pPr>
      <w:r>
        <w:rPr>
          <w:shd w:val="clear" w:fill="FFFFFF"/>
        </w:rPr>
        <w:t>2022年本年支出合计255.30万元，其中：基本支出205.87万元，占80.64%；项目支出49.43万元，占19.36%；上缴上级支出0.00万元，占0.00%；经营支出0.00万元，占经营支出0.00万元，占 0.00%；对附属单位补助支出0.00万元，占0.00%。</w:t>
      </w:r>
    </w:p>
    <w:p>
      <w:pPr>
        <w:pStyle w:val="9"/>
        <w:keepNext w:val="0"/>
        <w:keepLines w:val="0"/>
        <w:widowControl/>
        <w:suppressLineNumbers w:val="0"/>
        <w:spacing w:before="0" w:beforeAutospacing="0"/>
        <w:ind w:left="0"/>
        <w:jc w:val="left"/>
        <w:rPr>
          <w:rFonts w:hint="eastAsia" w:eastAsiaTheme="minorEastAsia"/>
          <w:lang w:eastAsia="zh-CN"/>
        </w:rPr>
      </w:pPr>
      <w:r>
        <w:rPr>
          <w:shd w:val="clear" w:fill="FFFFFF"/>
        </w:rPr>
        <w:t> </w:t>
      </w:r>
      <w:r>
        <w:rPr>
          <w:rFonts w:hint="eastAsia" w:eastAsiaTheme="minorEastAsia"/>
          <w:lang w:eastAsia="zh-CN"/>
        </w:rPr>
        <w:drawing>
          <wp:inline distT="0" distB="0" distL="114300" distR="114300">
            <wp:extent cx="5098415" cy="2317750"/>
            <wp:effectExtent l="4445" t="4445" r="21590" b="2095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9"/>
        <w:keepNext w:val="0"/>
        <w:keepLines w:val="0"/>
        <w:widowControl/>
        <w:suppressLineNumbers w:val="0"/>
        <w:spacing w:before="0" w:beforeAutospacing="0"/>
        <w:ind w:left="0"/>
        <w:jc w:val="left"/>
      </w:pPr>
      <w:r>
        <w:rPr>
          <w:shd w:val="clear" w:fill="FFFFFF"/>
        </w:rPr>
        <w:t>（图3：支出决算结构图）（饼状图）</w:t>
      </w:r>
    </w:p>
    <w:p>
      <w:pPr>
        <w:pStyle w:val="9"/>
        <w:keepNext w:val="0"/>
        <w:keepLines w:val="0"/>
        <w:widowControl/>
        <w:suppressLineNumbers w:val="0"/>
        <w:spacing w:before="0" w:beforeAutospacing="0"/>
        <w:ind w:left="0"/>
        <w:jc w:val="left"/>
        <w:outlineLvl w:val="1"/>
      </w:pPr>
      <w:bookmarkStart w:id="7" w:name="_Toc4657"/>
      <w:r>
        <w:rPr>
          <w:shd w:val="clear" w:fill="FFFFFF"/>
        </w:rPr>
        <w:t> 四、财政拨款收入支出决算总体情况说明</w:t>
      </w:r>
      <w:bookmarkEnd w:id="7"/>
    </w:p>
    <w:p>
      <w:pPr>
        <w:pStyle w:val="9"/>
        <w:keepNext w:val="0"/>
        <w:keepLines w:val="0"/>
        <w:widowControl/>
        <w:suppressLineNumbers w:val="0"/>
        <w:spacing w:before="0" w:beforeAutospacing="0"/>
        <w:ind w:left="0"/>
        <w:jc w:val="left"/>
        <w:rPr>
          <w:rFonts w:hint="default" w:eastAsiaTheme="minorEastAsia"/>
          <w:lang w:val="en-US" w:eastAsia="zh-CN"/>
        </w:rPr>
      </w:pPr>
      <w:r>
        <w:rPr>
          <w:shd w:val="clear" w:fill="FFFFFF"/>
        </w:rPr>
        <w:t>2022年财政拨款收、支总计255.30万元。与2021年相比，财政拨款收、支总计各增加59.78万元，增长30.57%。主要变动原因是</w:t>
      </w:r>
      <w:r>
        <w:rPr>
          <w:rFonts w:hint="eastAsia"/>
          <w:shd w:val="clear" w:fill="FFFFFF"/>
          <w:lang w:val="en-US" w:eastAsia="zh-CN"/>
        </w:rPr>
        <w:t>2022年新增项目一个。</w:t>
      </w:r>
    </w:p>
    <w:p>
      <w:pPr>
        <w:pStyle w:val="9"/>
        <w:keepNext w:val="0"/>
        <w:keepLines w:val="0"/>
        <w:widowControl/>
        <w:suppressLineNumbers w:val="0"/>
        <w:spacing w:before="0" w:beforeAutospacing="0"/>
        <w:ind w:left="0"/>
        <w:jc w:val="left"/>
        <w:rPr>
          <w:rFonts w:hint="eastAsia" w:eastAsiaTheme="minorEastAsia"/>
          <w:lang w:eastAsia="zh-CN"/>
        </w:rPr>
      </w:pPr>
      <w:r>
        <w:rPr>
          <w:shd w:val="clear" w:fill="FFFFFF"/>
        </w:rPr>
        <w:t> </w:t>
      </w:r>
      <w:r>
        <w:rPr>
          <w:rFonts w:hint="eastAsia" w:eastAsiaTheme="minorEastAsia"/>
          <w:lang w:eastAsia="zh-CN"/>
        </w:rPr>
        <w:drawing>
          <wp:inline distT="0" distB="0" distL="114300" distR="114300">
            <wp:extent cx="5193665" cy="2639060"/>
            <wp:effectExtent l="4445" t="4445" r="21590" b="2349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9"/>
        <w:keepNext w:val="0"/>
        <w:keepLines w:val="0"/>
        <w:widowControl/>
        <w:suppressLineNumbers w:val="0"/>
        <w:spacing w:before="0" w:beforeAutospacing="0"/>
        <w:ind w:left="0"/>
        <w:jc w:val="left"/>
      </w:pPr>
      <w:r>
        <w:rPr>
          <w:shd w:val="clear" w:fill="FFFFFF"/>
        </w:rPr>
        <w:t>（图4：财政拨款收、支决算总计变动情况）（柱状图）</w:t>
      </w:r>
    </w:p>
    <w:p>
      <w:pPr>
        <w:pStyle w:val="9"/>
        <w:keepNext w:val="0"/>
        <w:keepLines w:val="0"/>
        <w:widowControl/>
        <w:suppressLineNumbers w:val="0"/>
        <w:spacing w:before="0" w:beforeAutospacing="0"/>
        <w:ind w:left="0"/>
        <w:jc w:val="left"/>
        <w:outlineLvl w:val="1"/>
      </w:pPr>
      <w:bookmarkStart w:id="8" w:name="_Toc29015"/>
      <w:r>
        <w:rPr>
          <w:shd w:val="clear" w:fill="FFFFFF"/>
        </w:rPr>
        <w:t> 五、</w:t>
      </w:r>
      <w:r>
        <w:rPr>
          <w:rStyle w:val="12"/>
          <w:shd w:val="clear" w:fill="FFFFFF"/>
        </w:rPr>
        <w:t>一</w:t>
      </w:r>
      <w:r>
        <w:rPr>
          <w:shd w:val="clear" w:fill="FFFFFF"/>
        </w:rPr>
        <w:t>般公共预算财政拨款支出决算情况说明</w:t>
      </w:r>
      <w:bookmarkEnd w:id="8"/>
    </w:p>
    <w:p>
      <w:pPr>
        <w:pStyle w:val="9"/>
        <w:keepNext w:val="0"/>
        <w:keepLines w:val="0"/>
        <w:widowControl/>
        <w:suppressLineNumbers w:val="0"/>
        <w:spacing w:before="0" w:beforeAutospacing="0"/>
        <w:ind w:left="0"/>
        <w:jc w:val="left"/>
      </w:pPr>
      <w:r>
        <w:rPr>
          <w:rStyle w:val="12"/>
          <w:shd w:val="clear" w:fill="FFFFFF"/>
        </w:rPr>
        <w:t>（一）一般公共预算财政拨款支出决算总体情况</w:t>
      </w:r>
    </w:p>
    <w:p>
      <w:pPr>
        <w:pStyle w:val="9"/>
        <w:keepNext w:val="0"/>
        <w:keepLines w:val="0"/>
        <w:widowControl/>
        <w:suppressLineNumbers w:val="0"/>
        <w:spacing w:before="0" w:beforeAutospacing="0"/>
        <w:ind w:left="0"/>
        <w:jc w:val="left"/>
        <w:rPr>
          <w:rFonts w:hint="default" w:eastAsiaTheme="minorEastAsia"/>
          <w:lang w:val="en-US" w:eastAsia="zh-CN"/>
        </w:rPr>
      </w:pPr>
      <w:r>
        <w:rPr>
          <w:shd w:val="clear" w:fill="FFFFFF"/>
        </w:rPr>
        <w:t>2022年一般公共预算财政拨款支出255.30万元，占本年支出合计的100.00%。与2021年相比，一般公共预算财政拨款支出增加59.78万元，增长30.57%。主要变动原因是</w:t>
      </w:r>
      <w:r>
        <w:rPr>
          <w:rFonts w:hint="eastAsia"/>
          <w:shd w:val="clear" w:fill="FFFFFF"/>
          <w:lang w:val="en-US" w:eastAsia="zh-CN"/>
        </w:rPr>
        <w:t>2022年我单位新增项目一个。</w:t>
      </w:r>
    </w:p>
    <w:p>
      <w:pPr>
        <w:pStyle w:val="9"/>
        <w:keepNext w:val="0"/>
        <w:keepLines w:val="0"/>
        <w:widowControl/>
        <w:suppressLineNumbers w:val="0"/>
        <w:spacing w:before="0" w:beforeAutospacing="0"/>
        <w:ind w:left="0"/>
        <w:jc w:val="left"/>
        <w:rPr>
          <w:rFonts w:hint="eastAsia" w:eastAsiaTheme="minorEastAsia"/>
          <w:lang w:eastAsia="zh-CN"/>
        </w:rPr>
      </w:pPr>
      <w:r>
        <w:rPr>
          <w:shd w:val="clear" w:fill="FFFFFF"/>
        </w:rPr>
        <w:t> </w:t>
      </w:r>
      <w:r>
        <w:rPr>
          <w:rFonts w:hint="eastAsia" w:eastAsiaTheme="minorEastAsia"/>
          <w:lang w:eastAsia="zh-CN"/>
        </w:rPr>
        <w:drawing>
          <wp:inline distT="0" distB="0" distL="114300" distR="114300">
            <wp:extent cx="5193030" cy="2057400"/>
            <wp:effectExtent l="4445" t="4445" r="22225" b="1460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9"/>
        <w:keepNext w:val="0"/>
        <w:keepLines w:val="0"/>
        <w:widowControl/>
        <w:suppressLineNumbers w:val="0"/>
        <w:spacing w:before="0" w:beforeAutospacing="0"/>
        <w:ind w:left="0"/>
        <w:jc w:val="left"/>
      </w:pPr>
      <w:r>
        <w:rPr>
          <w:shd w:val="clear" w:fill="FFFFFF"/>
        </w:rPr>
        <w:t>（图5：一般公共预算财政拨款支出决算变动情况）（柱状图）</w:t>
      </w:r>
    </w:p>
    <w:p>
      <w:pPr>
        <w:pStyle w:val="9"/>
        <w:keepNext w:val="0"/>
        <w:keepLines w:val="0"/>
        <w:widowControl/>
        <w:suppressLineNumbers w:val="0"/>
        <w:spacing w:before="0" w:beforeAutospacing="0"/>
        <w:ind w:left="0"/>
        <w:jc w:val="left"/>
      </w:pPr>
      <w:r>
        <w:rPr>
          <w:shd w:val="clear" w:fill="FFFFFF"/>
        </w:rPr>
        <w:t> </w:t>
      </w:r>
    </w:p>
    <w:p>
      <w:pPr>
        <w:pStyle w:val="9"/>
        <w:keepNext w:val="0"/>
        <w:keepLines w:val="0"/>
        <w:widowControl/>
        <w:suppressLineNumbers w:val="0"/>
        <w:spacing w:before="0" w:beforeAutospacing="0"/>
        <w:ind w:left="0"/>
        <w:jc w:val="left"/>
      </w:pPr>
      <w:r>
        <w:rPr>
          <w:rStyle w:val="12"/>
          <w:shd w:val="clear" w:fill="FFFFFF"/>
        </w:rPr>
        <w:t>（二）一般公共预算财政拨款支出决算结构情况</w:t>
      </w:r>
    </w:p>
    <w:p>
      <w:pPr>
        <w:pStyle w:val="9"/>
        <w:keepNext w:val="0"/>
        <w:keepLines w:val="0"/>
        <w:widowControl/>
        <w:suppressLineNumbers w:val="0"/>
        <w:spacing w:before="0" w:beforeAutospacing="0"/>
        <w:ind w:left="0"/>
        <w:jc w:val="left"/>
      </w:pPr>
      <w:r>
        <w:rPr>
          <w:shd w:val="clear" w:fill="FFFFFF"/>
        </w:rPr>
        <w:t>2022年一般公共预算财政拨款支出255.30万元，主要用于以下方面:</w:t>
      </w:r>
      <w:r>
        <w:rPr>
          <w:rStyle w:val="12"/>
          <w:shd w:val="clear" w:fill="FFFFFF"/>
        </w:rPr>
        <w:t>一般公共服务（类）</w:t>
      </w:r>
      <w:r>
        <w:rPr>
          <w:shd w:val="clear" w:fill="FFFFFF"/>
        </w:rPr>
        <w:t>支出0.00万元，占0.00%；</w:t>
      </w:r>
      <w:r>
        <w:rPr>
          <w:rStyle w:val="12"/>
          <w:shd w:val="clear" w:fill="FFFFFF"/>
        </w:rPr>
        <w:t>教育支出（类）</w:t>
      </w:r>
      <w:r>
        <w:rPr>
          <w:shd w:val="clear" w:fill="FFFFFF"/>
        </w:rPr>
        <w:t>0.00万元，占0.00%；</w:t>
      </w:r>
      <w:r>
        <w:rPr>
          <w:rStyle w:val="12"/>
          <w:shd w:val="clear" w:fill="FFFFFF"/>
        </w:rPr>
        <w:t>科学技术（类）</w:t>
      </w:r>
      <w:r>
        <w:rPr>
          <w:shd w:val="clear" w:fill="FFFFFF"/>
        </w:rPr>
        <w:t>支出0.00万元，占0.00%；</w:t>
      </w:r>
      <w:r>
        <w:rPr>
          <w:rStyle w:val="12"/>
          <w:shd w:val="clear" w:fill="FFFFFF"/>
        </w:rPr>
        <w:t>文化旅游体育与传媒（类）支出158.35万元，占62.03%；社会保障和就业（类）</w:t>
      </w:r>
      <w:r>
        <w:rPr>
          <w:shd w:val="clear" w:fill="FFFFFF"/>
        </w:rPr>
        <w:t>支出23.85万元，占9.34%；</w:t>
      </w:r>
      <w:r>
        <w:rPr>
          <w:rStyle w:val="12"/>
          <w:shd w:val="clear" w:fill="FFFFFF"/>
        </w:rPr>
        <w:t>卫生健康支出</w:t>
      </w:r>
      <w:r>
        <w:rPr>
          <w:shd w:val="clear" w:fill="FFFFFF"/>
        </w:rPr>
        <w:t>10.17万元，占3.98%；</w:t>
      </w:r>
      <w:r>
        <w:rPr>
          <w:b/>
          <w:bCs/>
          <w:shd w:val="clear" w:fill="FFFFFF"/>
        </w:rPr>
        <w:t>住房保障支出</w:t>
      </w:r>
      <w:r>
        <w:rPr>
          <w:shd w:val="clear" w:fill="FFFFFF"/>
        </w:rPr>
        <w:t>13.50万元，占5.29%；</w:t>
      </w:r>
      <w:r>
        <w:rPr>
          <w:rFonts w:hint="eastAsia"/>
          <w:b/>
          <w:bCs/>
          <w:shd w:val="clear" w:fill="FFFFFF"/>
          <w:lang w:val="en-US" w:eastAsia="zh-CN"/>
        </w:rPr>
        <w:t>项目支出</w:t>
      </w:r>
      <w:r>
        <w:rPr>
          <w:rFonts w:hint="eastAsia"/>
          <w:shd w:val="clear" w:fill="FFFFFF"/>
          <w:lang w:val="en-US" w:eastAsia="zh-CN"/>
        </w:rPr>
        <w:t>49.43万元，占20%</w:t>
      </w:r>
      <w:r>
        <w:rPr>
          <w:shd w:val="clear" w:fill="FFFFFF"/>
        </w:rPr>
        <w:t>。</w:t>
      </w:r>
    </w:p>
    <w:p>
      <w:pPr>
        <w:pStyle w:val="9"/>
        <w:keepNext w:val="0"/>
        <w:keepLines w:val="0"/>
        <w:widowControl/>
        <w:suppressLineNumbers w:val="0"/>
        <w:spacing w:before="0" w:beforeAutospacing="0"/>
        <w:ind w:left="0"/>
        <w:jc w:val="left"/>
      </w:pPr>
      <w:r>
        <w:rPr>
          <w:shd w:val="clear" w:fill="FFFFFF"/>
        </w:rPr>
        <w:drawing>
          <wp:inline distT="0" distB="0" distL="114300" distR="114300">
            <wp:extent cx="5127625" cy="2324100"/>
            <wp:effectExtent l="4445" t="4445" r="11430" b="1460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Pr>
          <w:shd w:val="clear" w:fill="FFFFFF"/>
        </w:rPr>
        <w:t> </w:t>
      </w:r>
    </w:p>
    <w:p>
      <w:pPr>
        <w:pStyle w:val="9"/>
        <w:keepNext w:val="0"/>
        <w:keepLines w:val="0"/>
        <w:widowControl/>
        <w:suppressLineNumbers w:val="0"/>
        <w:spacing w:before="0" w:beforeAutospacing="0"/>
        <w:ind w:left="0"/>
        <w:jc w:val="left"/>
      </w:pPr>
      <w:r>
        <w:rPr>
          <w:shd w:val="clear" w:fill="FFFFFF"/>
        </w:rPr>
        <w:t>（图6：一般公共预算财政拨款支出决算结构）（饼状图）</w:t>
      </w:r>
    </w:p>
    <w:p>
      <w:pPr>
        <w:pStyle w:val="9"/>
        <w:keepNext w:val="0"/>
        <w:keepLines w:val="0"/>
        <w:widowControl/>
        <w:suppressLineNumbers w:val="0"/>
        <w:spacing w:before="0" w:beforeAutospacing="0"/>
        <w:ind w:left="0"/>
        <w:jc w:val="left"/>
      </w:pPr>
      <w:r>
        <w:rPr>
          <w:shd w:val="clear" w:fill="FFFFFF"/>
        </w:rPr>
        <w:t> </w:t>
      </w:r>
    </w:p>
    <w:p>
      <w:pPr>
        <w:pStyle w:val="9"/>
        <w:keepNext w:val="0"/>
        <w:keepLines w:val="0"/>
        <w:widowControl/>
        <w:suppressLineNumbers w:val="0"/>
        <w:spacing w:before="0" w:beforeAutospacing="0"/>
        <w:ind w:left="0"/>
        <w:jc w:val="left"/>
      </w:pPr>
      <w:r>
        <w:rPr>
          <w:rStyle w:val="12"/>
          <w:shd w:val="clear" w:fill="FFFFFF"/>
        </w:rPr>
        <w:t>（三）一般公共预算财政拨款支出决算具体情况</w:t>
      </w:r>
    </w:p>
    <w:p>
      <w:pPr>
        <w:pStyle w:val="9"/>
        <w:keepNext w:val="0"/>
        <w:keepLines w:val="0"/>
        <w:widowControl/>
        <w:suppressLineNumbers w:val="0"/>
        <w:spacing w:before="0" w:beforeAutospacing="0"/>
        <w:ind w:left="0"/>
        <w:jc w:val="left"/>
      </w:pPr>
      <w:r>
        <w:rPr>
          <w:rStyle w:val="12"/>
          <w:shd w:val="clear" w:fill="FFFFFF"/>
        </w:rPr>
        <w:t>2022年一般公共预算支出决算数为255.30</w:t>
      </w:r>
      <w:r>
        <w:rPr>
          <w:shd w:val="clear" w:fill="FFFFFF"/>
        </w:rPr>
        <w:t>，</w:t>
      </w:r>
      <w:r>
        <w:rPr>
          <w:rStyle w:val="12"/>
          <w:shd w:val="clear" w:fill="FFFFFF"/>
        </w:rPr>
        <w:t>完成预算100.00%。其中：</w:t>
      </w:r>
    </w:p>
    <w:p>
      <w:pPr>
        <w:pStyle w:val="9"/>
        <w:keepNext w:val="0"/>
        <w:keepLines w:val="0"/>
        <w:widowControl/>
        <w:suppressLineNumbers w:val="0"/>
        <w:spacing w:before="0" w:beforeAutospacing="0"/>
        <w:ind w:left="0"/>
        <w:jc w:val="left"/>
      </w:pPr>
      <w:r>
        <w:rPr>
          <w:rStyle w:val="12"/>
          <w:shd w:val="clear" w:fill="FFFFFF"/>
        </w:rPr>
        <w:t>1.一般公共服务（类）***（款）***（项）: 支出决算为</w:t>
      </w:r>
      <w:r>
        <w:rPr>
          <w:rStyle w:val="12"/>
          <w:rFonts w:hint="eastAsia"/>
          <w:shd w:val="clear" w:fill="FFFFFF"/>
          <w:lang w:val="en-US" w:eastAsia="zh-CN"/>
        </w:rPr>
        <w:t>0</w:t>
      </w:r>
      <w:r>
        <w:rPr>
          <w:rStyle w:val="12"/>
          <w:shd w:val="clear" w:fill="FFFFFF"/>
        </w:rPr>
        <w:t>万元，完成预算**%，决算数小于/等于预算数的主要原因是</w:t>
      </w:r>
      <w:r>
        <w:rPr>
          <w:rStyle w:val="12"/>
          <w:rFonts w:hint="eastAsia"/>
          <w:shd w:val="clear" w:fill="FFFFFF"/>
          <w:lang w:val="en-US" w:eastAsia="zh-CN"/>
        </w:rPr>
        <w:t>我单位不涉及相关支出</w:t>
      </w:r>
      <w:r>
        <w:rPr>
          <w:rStyle w:val="12"/>
          <w:shd w:val="clear" w:fill="FFFFFF"/>
        </w:rPr>
        <w:t>。</w:t>
      </w:r>
    </w:p>
    <w:p>
      <w:pPr>
        <w:pStyle w:val="9"/>
        <w:keepNext w:val="0"/>
        <w:keepLines w:val="0"/>
        <w:widowControl/>
        <w:suppressLineNumbers w:val="0"/>
        <w:spacing w:before="0" w:beforeAutospacing="0"/>
        <w:ind w:left="0"/>
        <w:jc w:val="left"/>
      </w:pPr>
      <w:r>
        <w:rPr>
          <w:rStyle w:val="12"/>
          <w:shd w:val="clear" w:fill="FFFFFF"/>
        </w:rPr>
        <w:t>2.教育（类）***（款）***（项）: 支出决算为</w:t>
      </w:r>
      <w:r>
        <w:rPr>
          <w:rStyle w:val="12"/>
          <w:rFonts w:hint="eastAsia"/>
          <w:shd w:val="clear" w:fill="FFFFFF"/>
          <w:lang w:val="en-US" w:eastAsia="zh-CN"/>
        </w:rPr>
        <w:t>0</w:t>
      </w:r>
      <w:r>
        <w:rPr>
          <w:rStyle w:val="12"/>
          <w:shd w:val="clear" w:fill="FFFFFF"/>
        </w:rPr>
        <w:t>万元，完成预算**%，决算数小于/等于预算数的主要原因是</w:t>
      </w:r>
      <w:r>
        <w:rPr>
          <w:rStyle w:val="12"/>
          <w:rFonts w:hint="eastAsia"/>
          <w:shd w:val="clear" w:fill="FFFFFF"/>
          <w:lang w:val="en-US" w:eastAsia="zh-CN"/>
        </w:rPr>
        <w:t>我单位不涉及相关支出</w:t>
      </w:r>
      <w:r>
        <w:rPr>
          <w:rStyle w:val="12"/>
          <w:shd w:val="clear" w:fill="FFFFFF"/>
        </w:rPr>
        <w:t>。</w:t>
      </w:r>
    </w:p>
    <w:p>
      <w:pPr>
        <w:pStyle w:val="9"/>
        <w:keepNext w:val="0"/>
        <w:keepLines w:val="0"/>
        <w:widowControl/>
        <w:suppressLineNumbers w:val="0"/>
        <w:spacing w:before="0" w:beforeAutospacing="0"/>
        <w:ind w:left="0"/>
        <w:jc w:val="left"/>
      </w:pPr>
      <w:r>
        <w:rPr>
          <w:rStyle w:val="12"/>
          <w:shd w:val="clear" w:fill="FFFFFF"/>
        </w:rPr>
        <w:t>3.科学技术（类）***（款）***（项）: 支出决算为</w:t>
      </w:r>
      <w:r>
        <w:rPr>
          <w:rStyle w:val="12"/>
          <w:rFonts w:hint="eastAsia"/>
          <w:shd w:val="clear" w:fill="FFFFFF"/>
          <w:lang w:val="en-US" w:eastAsia="zh-CN"/>
        </w:rPr>
        <w:t>0</w:t>
      </w:r>
      <w:r>
        <w:rPr>
          <w:rStyle w:val="12"/>
          <w:shd w:val="clear" w:fill="FFFFFF"/>
        </w:rPr>
        <w:t>万元，完成预算**%，决算数小于/等于预算数的主要原因是</w:t>
      </w:r>
      <w:r>
        <w:rPr>
          <w:rStyle w:val="12"/>
          <w:rFonts w:hint="eastAsia"/>
          <w:shd w:val="clear" w:fill="FFFFFF"/>
          <w:lang w:val="en-US" w:eastAsia="zh-CN"/>
        </w:rPr>
        <w:t>我单位不涉及相关支出</w:t>
      </w:r>
      <w:r>
        <w:rPr>
          <w:rStyle w:val="12"/>
          <w:shd w:val="clear" w:fill="FFFFFF"/>
        </w:rPr>
        <w:t>。</w:t>
      </w:r>
    </w:p>
    <w:p>
      <w:pPr>
        <w:pStyle w:val="9"/>
        <w:keepNext w:val="0"/>
        <w:keepLines w:val="0"/>
        <w:widowControl/>
        <w:suppressLineNumbers w:val="0"/>
        <w:spacing w:before="0" w:beforeAutospacing="0"/>
        <w:ind w:left="0"/>
        <w:jc w:val="left"/>
      </w:pPr>
      <w:r>
        <w:rPr>
          <w:rStyle w:val="12"/>
          <w:shd w:val="clear" w:fill="FFFFFF"/>
        </w:rPr>
        <w:t>4.文化旅游体育与传媒（类）</w:t>
      </w:r>
      <w:r>
        <w:rPr>
          <w:rStyle w:val="12"/>
          <w:rFonts w:hint="eastAsia"/>
          <w:shd w:val="clear" w:fill="FFFFFF"/>
          <w:lang w:val="en-US" w:eastAsia="zh-CN"/>
        </w:rPr>
        <w:t>207</w:t>
      </w:r>
      <w:r>
        <w:rPr>
          <w:rStyle w:val="12"/>
          <w:shd w:val="clear" w:fill="FFFFFF"/>
        </w:rPr>
        <w:t>（款）</w:t>
      </w:r>
      <w:r>
        <w:rPr>
          <w:rStyle w:val="12"/>
          <w:rFonts w:hint="eastAsia"/>
          <w:shd w:val="clear" w:fill="FFFFFF"/>
          <w:lang w:val="en-US" w:eastAsia="zh-CN"/>
        </w:rPr>
        <w:t>01</w:t>
      </w:r>
      <w:r>
        <w:rPr>
          <w:rStyle w:val="12"/>
          <w:shd w:val="clear" w:fill="FFFFFF"/>
        </w:rPr>
        <w:t>（项）</w:t>
      </w:r>
      <w:r>
        <w:rPr>
          <w:rStyle w:val="12"/>
          <w:rFonts w:hint="eastAsia"/>
          <w:shd w:val="clear" w:fill="FFFFFF"/>
          <w:lang w:val="en-US" w:eastAsia="zh-CN"/>
        </w:rPr>
        <w:t>03</w:t>
      </w:r>
      <w:r>
        <w:rPr>
          <w:rStyle w:val="12"/>
          <w:shd w:val="clear" w:fill="FFFFFF"/>
        </w:rPr>
        <w:t>: 支出决算为</w:t>
      </w:r>
      <w:r>
        <w:rPr>
          <w:rStyle w:val="12"/>
          <w:rFonts w:hint="eastAsia"/>
          <w:shd w:val="clear" w:fill="FFFFFF"/>
          <w:lang w:val="en-US" w:eastAsia="zh-CN"/>
        </w:rPr>
        <w:t>158.35</w:t>
      </w:r>
      <w:r>
        <w:rPr>
          <w:rStyle w:val="12"/>
          <w:shd w:val="clear" w:fill="FFFFFF"/>
        </w:rPr>
        <w:t>万元，完成预算</w:t>
      </w:r>
      <w:r>
        <w:rPr>
          <w:rStyle w:val="12"/>
          <w:rFonts w:hint="eastAsia"/>
          <w:shd w:val="clear" w:fill="FFFFFF"/>
          <w:lang w:val="en-US" w:eastAsia="zh-CN"/>
        </w:rPr>
        <w:t>100</w:t>
      </w:r>
      <w:r>
        <w:rPr>
          <w:rStyle w:val="12"/>
          <w:shd w:val="clear" w:fill="FFFFFF"/>
        </w:rPr>
        <w:t>%，决算数等于预算数。</w:t>
      </w:r>
    </w:p>
    <w:p>
      <w:pPr>
        <w:pStyle w:val="9"/>
        <w:keepNext w:val="0"/>
        <w:keepLines w:val="0"/>
        <w:widowControl/>
        <w:suppressLineNumbers w:val="0"/>
        <w:spacing w:before="0" w:beforeAutospacing="0"/>
        <w:ind w:left="0"/>
        <w:jc w:val="left"/>
      </w:pPr>
      <w:r>
        <w:rPr>
          <w:rStyle w:val="12"/>
          <w:shd w:val="clear" w:fill="FFFFFF"/>
        </w:rPr>
        <w:t>5.社会保障和就业（类）</w:t>
      </w:r>
      <w:r>
        <w:rPr>
          <w:rStyle w:val="12"/>
          <w:rFonts w:hint="eastAsia"/>
          <w:shd w:val="clear" w:fill="FFFFFF"/>
          <w:lang w:val="en-US" w:eastAsia="zh-CN"/>
        </w:rPr>
        <w:t>208</w:t>
      </w:r>
      <w:r>
        <w:rPr>
          <w:rStyle w:val="12"/>
          <w:shd w:val="clear" w:fill="FFFFFF"/>
        </w:rPr>
        <w:t>（款）</w:t>
      </w:r>
      <w:r>
        <w:rPr>
          <w:rStyle w:val="12"/>
          <w:rFonts w:hint="eastAsia"/>
          <w:shd w:val="clear" w:fill="FFFFFF"/>
          <w:lang w:val="en-US" w:eastAsia="zh-CN"/>
        </w:rPr>
        <w:t>05</w:t>
      </w:r>
      <w:r>
        <w:rPr>
          <w:rStyle w:val="12"/>
          <w:shd w:val="clear" w:fill="FFFFFF"/>
        </w:rPr>
        <w:t>（项）: 支出决算为</w:t>
      </w:r>
      <w:r>
        <w:rPr>
          <w:rStyle w:val="12"/>
          <w:rFonts w:hint="eastAsia"/>
          <w:shd w:val="clear" w:fill="FFFFFF"/>
          <w:lang w:val="en-US" w:eastAsia="zh-CN"/>
        </w:rPr>
        <w:t>23.85</w:t>
      </w:r>
      <w:r>
        <w:rPr>
          <w:rStyle w:val="12"/>
          <w:shd w:val="clear" w:fill="FFFFFF"/>
        </w:rPr>
        <w:t>万元，完成预算</w:t>
      </w:r>
      <w:r>
        <w:rPr>
          <w:rStyle w:val="12"/>
          <w:rFonts w:hint="eastAsia"/>
          <w:shd w:val="clear" w:fill="FFFFFF"/>
          <w:lang w:val="en-US" w:eastAsia="zh-CN"/>
        </w:rPr>
        <w:t>100</w:t>
      </w:r>
      <w:r>
        <w:rPr>
          <w:rStyle w:val="12"/>
          <w:shd w:val="clear" w:fill="FFFFFF"/>
        </w:rPr>
        <w:t>%，决算数等于预算数。</w:t>
      </w:r>
    </w:p>
    <w:p>
      <w:pPr>
        <w:pStyle w:val="9"/>
        <w:keepNext w:val="0"/>
        <w:keepLines w:val="0"/>
        <w:widowControl/>
        <w:suppressLineNumbers w:val="0"/>
        <w:spacing w:before="0" w:beforeAutospacing="0"/>
        <w:ind w:left="0"/>
        <w:jc w:val="left"/>
      </w:pPr>
      <w:r>
        <w:rPr>
          <w:rStyle w:val="12"/>
          <w:shd w:val="clear" w:fill="FFFFFF"/>
        </w:rPr>
        <w:t>6.卫生健康（类）</w:t>
      </w:r>
      <w:r>
        <w:rPr>
          <w:rStyle w:val="12"/>
          <w:rFonts w:hint="eastAsia"/>
          <w:shd w:val="clear" w:fill="FFFFFF"/>
          <w:lang w:val="en-US" w:eastAsia="zh-CN"/>
        </w:rPr>
        <w:t>210</w:t>
      </w:r>
      <w:r>
        <w:rPr>
          <w:rStyle w:val="12"/>
          <w:shd w:val="clear" w:fill="FFFFFF"/>
        </w:rPr>
        <w:t>（款）</w:t>
      </w:r>
      <w:r>
        <w:rPr>
          <w:rStyle w:val="12"/>
          <w:rFonts w:hint="eastAsia"/>
          <w:shd w:val="clear" w:fill="FFFFFF"/>
          <w:lang w:val="en-US" w:eastAsia="zh-CN"/>
        </w:rPr>
        <w:t>11</w:t>
      </w:r>
      <w:r>
        <w:rPr>
          <w:rStyle w:val="12"/>
          <w:shd w:val="clear" w:fill="FFFFFF"/>
        </w:rPr>
        <w:t>（项）:支出决算为</w:t>
      </w:r>
      <w:r>
        <w:rPr>
          <w:rStyle w:val="12"/>
          <w:rFonts w:hint="eastAsia"/>
          <w:shd w:val="clear" w:fill="FFFFFF"/>
          <w:lang w:val="en-US" w:eastAsia="zh-CN"/>
        </w:rPr>
        <w:t>10.17</w:t>
      </w:r>
      <w:r>
        <w:rPr>
          <w:rStyle w:val="12"/>
          <w:shd w:val="clear" w:fill="FFFFFF"/>
        </w:rPr>
        <w:t>万元，完成预算</w:t>
      </w:r>
      <w:r>
        <w:rPr>
          <w:rStyle w:val="12"/>
          <w:rFonts w:hint="eastAsia"/>
          <w:shd w:val="clear" w:fill="FFFFFF"/>
          <w:lang w:val="en-US" w:eastAsia="zh-CN"/>
        </w:rPr>
        <w:t>100</w:t>
      </w:r>
      <w:r>
        <w:rPr>
          <w:rStyle w:val="12"/>
          <w:shd w:val="clear" w:fill="FFFFFF"/>
        </w:rPr>
        <w:t>%，决算数等于预算数。</w:t>
      </w:r>
    </w:p>
    <w:p>
      <w:pPr>
        <w:pStyle w:val="9"/>
        <w:keepNext w:val="0"/>
        <w:keepLines w:val="0"/>
        <w:widowControl/>
        <w:suppressLineNumbers w:val="0"/>
        <w:spacing w:before="0" w:beforeAutospacing="0"/>
        <w:ind w:left="0"/>
        <w:jc w:val="left"/>
        <w:rPr>
          <w:rStyle w:val="12"/>
          <w:shd w:val="clear" w:fill="FFFFFF"/>
        </w:rPr>
      </w:pPr>
      <w:r>
        <w:rPr>
          <w:rFonts w:hint="eastAsia"/>
          <w:b/>
          <w:bCs/>
          <w:lang w:val="en-US" w:eastAsia="zh-CN"/>
        </w:rPr>
        <w:t>7</w:t>
      </w:r>
      <w:r>
        <w:rPr>
          <w:rFonts w:hint="eastAsia"/>
          <w:lang w:val="en-US" w:eastAsia="zh-CN"/>
        </w:rPr>
        <w:t>.</w:t>
      </w:r>
      <w:r>
        <w:rPr>
          <w:rStyle w:val="12"/>
          <w:rFonts w:hint="eastAsia" w:asciiTheme="minorHAnsi" w:hAnsiTheme="minorHAnsi" w:cstheme="minorBidi"/>
          <w:shd w:val="clear" w:fill="FFFFFF"/>
          <w:lang w:val="en-US" w:eastAsia="zh-CN"/>
        </w:rPr>
        <w:t>住房保障支出（</w:t>
      </w:r>
      <w:r>
        <w:rPr>
          <w:rStyle w:val="12"/>
          <w:rFonts w:asciiTheme="minorHAnsi" w:hAnsiTheme="minorHAnsi" w:cstheme="minorBidi"/>
          <w:shd w:val="clear" w:fill="FFFFFF"/>
        </w:rPr>
        <w:t>类</w:t>
      </w:r>
      <w:r>
        <w:rPr>
          <w:rStyle w:val="12"/>
          <w:shd w:val="clear" w:fill="FFFFFF"/>
        </w:rPr>
        <w:t>）</w:t>
      </w:r>
      <w:r>
        <w:rPr>
          <w:rStyle w:val="12"/>
          <w:rFonts w:hint="eastAsia"/>
          <w:shd w:val="clear" w:fill="FFFFFF"/>
          <w:lang w:val="en-US" w:eastAsia="zh-CN"/>
        </w:rPr>
        <w:t>221</w:t>
      </w:r>
      <w:r>
        <w:rPr>
          <w:rStyle w:val="12"/>
          <w:shd w:val="clear" w:fill="FFFFFF"/>
        </w:rPr>
        <w:t>（款）</w:t>
      </w:r>
      <w:r>
        <w:rPr>
          <w:rStyle w:val="12"/>
          <w:rFonts w:hint="eastAsia"/>
          <w:shd w:val="clear" w:fill="FFFFFF"/>
          <w:lang w:val="en-US" w:eastAsia="zh-CN"/>
        </w:rPr>
        <w:t>02</w:t>
      </w:r>
      <w:r>
        <w:rPr>
          <w:rStyle w:val="12"/>
          <w:shd w:val="clear" w:fill="FFFFFF"/>
        </w:rPr>
        <w:t>（项）</w:t>
      </w:r>
      <w:r>
        <w:rPr>
          <w:rStyle w:val="12"/>
          <w:rFonts w:hint="eastAsia"/>
          <w:shd w:val="clear" w:fill="FFFFFF"/>
          <w:lang w:val="en-US" w:eastAsia="zh-CN"/>
        </w:rPr>
        <w:t>01</w:t>
      </w:r>
      <w:r>
        <w:rPr>
          <w:rFonts w:hint="eastAsia"/>
          <w:lang w:val="en-US" w:eastAsia="zh-CN"/>
        </w:rPr>
        <w:t>：</w:t>
      </w:r>
      <w:r>
        <w:rPr>
          <w:rStyle w:val="12"/>
          <w:shd w:val="clear" w:fill="FFFFFF"/>
        </w:rPr>
        <w:t>支出决算为</w:t>
      </w:r>
      <w:r>
        <w:rPr>
          <w:rStyle w:val="12"/>
          <w:rFonts w:hint="eastAsia"/>
          <w:shd w:val="clear" w:fill="FFFFFF"/>
          <w:lang w:val="en-US" w:eastAsia="zh-CN"/>
        </w:rPr>
        <w:t>13.5</w:t>
      </w:r>
      <w:r>
        <w:rPr>
          <w:rStyle w:val="12"/>
          <w:shd w:val="clear" w:fill="FFFFFF"/>
        </w:rPr>
        <w:t>万元，完成预算</w:t>
      </w:r>
      <w:r>
        <w:rPr>
          <w:rStyle w:val="12"/>
          <w:rFonts w:hint="eastAsia"/>
          <w:shd w:val="clear" w:fill="FFFFFF"/>
          <w:lang w:val="en-US" w:eastAsia="zh-CN"/>
        </w:rPr>
        <w:t>100</w:t>
      </w:r>
      <w:r>
        <w:rPr>
          <w:rStyle w:val="12"/>
          <w:shd w:val="clear" w:fill="FFFFFF"/>
        </w:rPr>
        <w:t>%，决算数等于预算数。</w:t>
      </w:r>
    </w:p>
    <w:p>
      <w:pPr>
        <w:pStyle w:val="9"/>
        <w:keepNext w:val="0"/>
        <w:keepLines w:val="0"/>
        <w:widowControl/>
        <w:suppressLineNumbers w:val="0"/>
        <w:spacing w:before="0" w:beforeAutospacing="0"/>
        <w:ind w:left="0"/>
        <w:jc w:val="left"/>
      </w:pPr>
      <w:r>
        <w:rPr>
          <w:rStyle w:val="12"/>
          <w:rFonts w:hint="eastAsia"/>
          <w:shd w:val="clear" w:fill="FFFFFF"/>
          <w:lang w:val="en-US" w:eastAsia="zh-CN"/>
        </w:rPr>
        <w:t>8.项目支出</w:t>
      </w:r>
      <w:r>
        <w:rPr>
          <w:rStyle w:val="12"/>
          <w:rFonts w:hint="eastAsia" w:asciiTheme="minorHAnsi" w:hAnsiTheme="minorHAnsi" w:cstheme="minorBidi"/>
          <w:shd w:val="clear" w:fill="FFFFFF"/>
          <w:lang w:val="en-US" w:eastAsia="zh-CN"/>
        </w:rPr>
        <w:t>（</w:t>
      </w:r>
      <w:r>
        <w:rPr>
          <w:rStyle w:val="12"/>
          <w:rFonts w:asciiTheme="minorHAnsi" w:hAnsiTheme="minorHAnsi" w:cstheme="minorBidi"/>
          <w:shd w:val="clear" w:fill="FFFFFF"/>
        </w:rPr>
        <w:t>类</w:t>
      </w:r>
      <w:r>
        <w:rPr>
          <w:rStyle w:val="12"/>
          <w:shd w:val="clear" w:fill="FFFFFF"/>
        </w:rPr>
        <w:t>）</w:t>
      </w:r>
      <w:r>
        <w:rPr>
          <w:rStyle w:val="12"/>
          <w:rFonts w:hint="eastAsia"/>
          <w:shd w:val="clear" w:fill="FFFFFF"/>
          <w:lang w:val="en-US" w:eastAsia="zh-CN"/>
        </w:rPr>
        <w:t>221</w:t>
      </w:r>
      <w:r>
        <w:rPr>
          <w:rStyle w:val="12"/>
          <w:shd w:val="clear" w:fill="FFFFFF"/>
        </w:rPr>
        <w:t>（款）</w:t>
      </w:r>
      <w:r>
        <w:rPr>
          <w:rStyle w:val="12"/>
          <w:rFonts w:hint="eastAsia"/>
          <w:shd w:val="clear" w:fill="FFFFFF"/>
          <w:lang w:val="en-US" w:eastAsia="zh-CN"/>
        </w:rPr>
        <w:t>04</w:t>
      </w:r>
      <w:r>
        <w:rPr>
          <w:rStyle w:val="12"/>
          <w:shd w:val="clear" w:fill="FFFFFF"/>
        </w:rPr>
        <w:t>（项）</w:t>
      </w:r>
      <w:r>
        <w:rPr>
          <w:rStyle w:val="12"/>
          <w:rFonts w:hint="eastAsia"/>
          <w:shd w:val="clear" w:fill="FFFFFF"/>
          <w:lang w:val="en-US" w:eastAsia="zh-CN"/>
        </w:rPr>
        <w:t>01</w:t>
      </w:r>
      <w:r>
        <w:rPr>
          <w:rStyle w:val="12"/>
          <w:rFonts w:hint="eastAsia"/>
          <w:shd w:val="clear" w:fill="FFFFFF"/>
          <w:lang w:eastAsia="zh-CN"/>
        </w:rPr>
        <w:t>：</w:t>
      </w:r>
      <w:r>
        <w:rPr>
          <w:rStyle w:val="12"/>
          <w:shd w:val="clear" w:fill="FFFFFF"/>
        </w:rPr>
        <w:t>支出决算为</w:t>
      </w:r>
      <w:r>
        <w:rPr>
          <w:rStyle w:val="12"/>
          <w:rFonts w:hint="eastAsia"/>
          <w:shd w:val="clear" w:fill="FFFFFF"/>
          <w:lang w:val="en-US" w:eastAsia="zh-CN"/>
        </w:rPr>
        <w:t>49.43</w:t>
      </w:r>
      <w:r>
        <w:rPr>
          <w:rStyle w:val="12"/>
          <w:shd w:val="clear" w:fill="FFFFFF"/>
        </w:rPr>
        <w:t>万元，完成预算</w:t>
      </w:r>
      <w:r>
        <w:rPr>
          <w:rStyle w:val="12"/>
          <w:rFonts w:hint="eastAsia"/>
          <w:shd w:val="clear" w:fill="FFFFFF"/>
          <w:lang w:val="en-US" w:eastAsia="zh-CN"/>
        </w:rPr>
        <w:t>100</w:t>
      </w:r>
      <w:r>
        <w:rPr>
          <w:rStyle w:val="12"/>
          <w:shd w:val="clear" w:fill="FFFFFF"/>
        </w:rPr>
        <w:t>%，决算数等于预算数。</w:t>
      </w:r>
      <w:r>
        <w:rPr>
          <w:shd w:val="clear" w:fill="FFFFFF"/>
        </w:rPr>
        <w:t> </w:t>
      </w:r>
    </w:p>
    <w:p>
      <w:pPr>
        <w:pStyle w:val="9"/>
        <w:keepNext w:val="0"/>
        <w:keepLines w:val="0"/>
        <w:widowControl/>
        <w:suppressLineNumbers w:val="0"/>
        <w:spacing w:before="0" w:beforeAutospacing="0"/>
        <w:ind w:left="0"/>
        <w:jc w:val="left"/>
        <w:outlineLvl w:val="1"/>
      </w:pPr>
      <w:bookmarkStart w:id="9" w:name="_Toc18783"/>
      <w:r>
        <w:rPr>
          <w:shd w:val="clear" w:fill="FFFFFF"/>
        </w:rPr>
        <w:t>六</w:t>
      </w:r>
      <w:r>
        <w:rPr>
          <w:rStyle w:val="12"/>
          <w:shd w:val="clear" w:fill="FFFFFF"/>
        </w:rPr>
        <w:t>、一</w:t>
      </w:r>
      <w:r>
        <w:rPr>
          <w:shd w:val="clear" w:fill="FFFFFF"/>
        </w:rPr>
        <w:t>般公共预算财政拨款基本支出决算情况说明   </w:t>
      </w:r>
      <w:bookmarkEnd w:id="9"/>
    </w:p>
    <w:p>
      <w:pPr>
        <w:pStyle w:val="9"/>
        <w:keepNext w:val="0"/>
        <w:keepLines w:val="0"/>
        <w:widowControl/>
        <w:suppressLineNumbers w:val="0"/>
        <w:spacing w:before="0" w:beforeAutospacing="0"/>
        <w:ind w:left="0"/>
        <w:jc w:val="left"/>
      </w:pPr>
      <w:r>
        <w:rPr>
          <w:shd w:val="clear" w:fill="FFFFFF"/>
        </w:rPr>
        <w:t>2022年一般公共预算财政拨款基本支出205.87万元，其中：</w:t>
      </w:r>
    </w:p>
    <w:p>
      <w:pPr>
        <w:pStyle w:val="9"/>
        <w:keepNext w:val="0"/>
        <w:keepLines w:val="0"/>
        <w:widowControl/>
        <w:suppressLineNumbers w:val="0"/>
        <w:spacing w:before="0" w:beforeAutospacing="0"/>
        <w:ind w:left="0"/>
        <w:jc w:val="left"/>
      </w:pPr>
      <w:r>
        <w:rPr>
          <w:shd w:val="clear" w:fill="FFFFFF"/>
        </w:rPr>
        <w:t>人员经费195.12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pStyle w:val="9"/>
        <w:keepNext w:val="0"/>
        <w:keepLines w:val="0"/>
        <w:widowControl/>
        <w:suppressLineNumbers w:val="0"/>
        <w:spacing w:before="0" w:beforeAutospacing="0"/>
        <w:ind w:left="0"/>
        <w:jc w:val="left"/>
      </w:pPr>
      <w:r>
        <w:rPr>
          <w:shd w:val="clear" w:fill="FFFFFF"/>
        </w:rPr>
        <w:t>　　公用经费10.75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 </w:t>
      </w:r>
    </w:p>
    <w:p>
      <w:pPr>
        <w:pStyle w:val="9"/>
        <w:keepNext w:val="0"/>
        <w:keepLines w:val="0"/>
        <w:widowControl/>
        <w:suppressLineNumbers w:val="0"/>
        <w:spacing w:before="0" w:beforeAutospacing="0"/>
        <w:ind w:left="0"/>
        <w:jc w:val="left"/>
        <w:outlineLvl w:val="1"/>
      </w:pPr>
      <w:bookmarkStart w:id="10" w:name="_Toc29327"/>
      <w:r>
        <w:rPr>
          <w:shd w:val="clear" w:fill="FFFFFF"/>
        </w:rPr>
        <w:t>七、“三公”经费财政拨款支出决算情况说明</w:t>
      </w:r>
      <w:bookmarkEnd w:id="10"/>
    </w:p>
    <w:p>
      <w:pPr>
        <w:pStyle w:val="9"/>
        <w:keepNext w:val="0"/>
        <w:keepLines w:val="0"/>
        <w:widowControl/>
        <w:suppressLineNumbers w:val="0"/>
        <w:spacing w:before="0" w:beforeAutospacing="0"/>
        <w:ind w:left="0"/>
        <w:jc w:val="left"/>
      </w:pPr>
      <w:r>
        <w:rPr>
          <w:rStyle w:val="12"/>
          <w:shd w:val="clear" w:fill="FFFFFF"/>
        </w:rPr>
        <w:t>（一）“三公”经费财政拨款支出决算总体情况说明</w:t>
      </w:r>
    </w:p>
    <w:p>
      <w:pPr>
        <w:pStyle w:val="9"/>
        <w:keepNext w:val="0"/>
        <w:keepLines w:val="0"/>
        <w:widowControl/>
        <w:suppressLineNumbers w:val="0"/>
        <w:spacing w:before="0" w:beforeAutospacing="0"/>
        <w:ind w:left="0"/>
        <w:jc w:val="left"/>
      </w:pPr>
      <w:r>
        <w:rPr>
          <w:shd w:val="clear" w:fill="FFFFFF"/>
        </w:rPr>
        <w:t>2022年“三公”经费财政拨款支出决算为0.42万元，完成预算100.00%，决算数与预算数持平。</w:t>
      </w:r>
    </w:p>
    <w:p>
      <w:pPr>
        <w:pStyle w:val="9"/>
        <w:keepNext w:val="0"/>
        <w:keepLines w:val="0"/>
        <w:widowControl/>
        <w:suppressLineNumbers w:val="0"/>
        <w:spacing w:before="0" w:beforeAutospacing="0"/>
        <w:ind w:left="0"/>
        <w:jc w:val="left"/>
      </w:pPr>
      <w:r>
        <w:rPr>
          <w:rStyle w:val="12"/>
          <w:shd w:val="clear" w:fill="FFFFFF"/>
        </w:rPr>
        <w:t>（二）“三公”经费财政拨款支出决算具体情况说明</w:t>
      </w:r>
    </w:p>
    <w:p>
      <w:pPr>
        <w:pStyle w:val="9"/>
        <w:keepNext w:val="0"/>
        <w:keepLines w:val="0"/>
        <w:widowControl/>
        <w:suppressLineNumbers w:val="0"/>
        <w:spacing w:before="0" w:beforeAutospacing="0"/>
        <w:ind w:left="0"/>
        <w:jc w:val="left"/>
        <w:rPr>
          <w:shd w:val="clear" w:fill="FFFFFF"/>
        </w:rPr>
      </w:pPr>
      <w:r>
        <w:rPr>
          <w:shd w:val="clear" w:fill="FFFFFF"/>
        </w:rPr>
        <w:t>2022年“三公”经费财政拨款支出决算中，因公出国（境）费支出决算0.00万元，占0.00%；公务用车购置及运行维护费支出决算0.42万元，占100.00%；公务接待费支出决算0.00万元，占0.00%。具体情况如下：</w:t>
      </w:r>
    </w:p>
    <w:p>
      <w:pPr>
        <w:pStyle w:val="9"/>
        <w:keepNext w:val="0"/>
        <w:keepLines w:val="0"/>
        <w:widowControl/>
        <w:suppressLineNumbers w:val="0"/>
        <w:spacing w:before="0" w:beforeAutospacing="0"/>
        <w:ind w:left="0"/>
        <w:jc w:val="left"/>
        <w:rPr>
          <w:rFonts w:hint="eastAsia" w:eastAsiaTheme="minorEastAsia"/>
          <w:shd w:val="clear" w:fill="FFFFFF"/>
          <w:lang w:eastAsia="zh-CN"/>
        </w:rPr>
      </w:pPr>
      <w:r>
        <w:rPr>
          <w:rFonts w:hint="eastAsia" w:eastAsiaTheme="minorEastAsia"/>
          <w:shd w:val="clear" w:fill="FFFFFF"/>
          <w:lang w:eastAsia="zh-CN"/>
        </w:rPr>
        <w:drawing>
          <wp:inline distT="0" distB="0" distL="114300" distR="114300">
            <wp:extent cx="5127625" cy="2334260"/>
            <wp:effectExtent l="5080" t="4445" r="10795" b="2349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Style w:val="9"/>
        <w:keepNext w:val="0"/>
        <w:keepLines w:val="0"/>
        <w:widowControl/>
        <w:suppressLineNumbers w:val="0"/>
        <w:spacing w:before="0" w:beforeAutospacing="0"/>
        <w:ind w:left="0"/>
        <w:jc w:val="left"/>
      </w:pPr>
      <w:r>
        <w:rPr>
          <w:shd w:val="clear" w:fill="FFFFFF"/>
        </w:rPr>
        <w:t>（图7：“三公”经费财政拨款支出结构）（饼状图）</w:t>
      </w:r>
    </w:p>
    <w:p>
      <w:pPr>
        <w:pStyle w:val="9"/>
        <w:keepNext w:val="0"/>
        <w:keepLines w:val="0"/>
        <w:widowControl/>
        <w:suppressLineNumbers w:val="0"/>
        <w:spacing w:before="0" w:beforeAutospacing="0"/>
        <w:ind w:left="0"/>
        <w:jc w:val="left"/>
      </w:pPr>
      <w:r>
        <w:rPr>
          <w:rStyle w:val="12"/>
          <w:shd w:val="clear" w:fill="FFFFFF"/>
        </w:rPr>
        <w:t>1.因公出国（境）经费支出</w:t>
      </w:r>
      <w:r>
        <w:rPr>
          <w:shd w:val="clear" w:fill="FFFFFF"/>
        </w:rPr>
        <w:t>0.00万元，</w:t>
      </w:r>
      <w:r>
        <w:rPr>
          <w:rStyle w:val="12"/>
          <w:shd w:val="clear" w:fill="FFFFFF"/>
        </w:rPr>
        <w:t>完成预算0.00%。</w:t>
      </w:r>
      <w:r>
        <w:rPr>
          <w:shd w:val="clear" w:fill="FFFFFF"/>
        </w:rPr>
        <w:t>全年安排因公出国（境）团组0次，出国（境）0人。因公出国（境）支出决算比2021年增加0.00万元，增长0.00%。主要原因是</w:t>
      </w:r>
      <w:r>
        <w:rPr>
          <w:rFonts w:hint="eastAsia"/>
          <w:shd w:val="clear" w:fill="FFFFFF"/>
          <w:lang w:val="en-US" w:eastAsia="zh-CN"/>
        </w:rPr>
        <w:t>我单位不涉及相关支出</w:t>
      </w:r>
      <w:r>
        <w:rPr>
          <w:shd w:val="clear" w:fill="FFFFFF"/>
        </w:rPr>
        <w:t>。</w:t>
      </w:r>
    </w:p>
    <w:p>
      <w:pPr>
        <w:pStyle w:val="9"/>
        <w:keepNext w:val="0"/>
        <w:keepLines w:val="0"/>
        <w:widowControl/>
        <w:suppressLineNumbers w:val="0"/>
        <w:spacing w:before="0" w:beforeAutospacing="0"/>
        <w:ind w:left="0"/>
        <w:jc w:val="left"/>
      </w:pPr>
      <w:r>
        <w:rPr>
          <w:rStyle w:val="12"/>
          <w:shd w:val="clear" w:fill="FFFFFF"/>
        </w:rPr>
        <w:t>2.公务用车购置及运行维护费支出</w:t>
      </w:r>
      <w:r>
        <w:rPr>
          <w:shd w:val="clear" w:fill="FFFFFF"/>
        </w:rPr>
        <w:t>0.42万元,</w:t>
      </w:r>
      <w:r>
        <w:rPr>
          <w:rStyle w:val="12"/>
          <w:shd w:val="clear" w:fill="FFFFFF"/>
        </w:rPr>
        <w:t>完成预算100.00%。</w:t>
      </w:r>
      <w:r>
        <w:rPr>
          <w:shd w:val="clear" w:fill="FFFFFF"/>
        </w:rPr>
        <w:t>公务用车购置及运行维护费支出决算比2021年增加-1.95万元，增长-82.41%。主要原因是</w:t>
      </w:r>
      <w:r>
        <w:rPr>
          <w:rFonts w:hint="eastAsia"/>
          <w:shd w:val="clear" w:fill="FFFFFF"/>
          <w:lang w:val="en-US" w:eastAsia="zh-CN"/>
        </w:rPr>
        <w:t>2022年预算错误</w:t>
      </w:r>
      <w:r>
        <w:rPr>
          <w:shd w:val="clear" w:fill="FFFFFF"/>
        </w:rPr>
        <w:t>。</w:t>
      </w:r>
    </w:p>
    <w:p>
      <w:pPr>
        <w:pStyle w:val="9"/>
        <w:keepNext w:val="0"/>
        <w:keepLines w:val="0"/>
        <w:widowControl/>
        <w:suppressLineNumbers w:val="0"/>
        <w:spacing w:before="0" w:beforeAutospacing="0"/>
        <w:ind w:left="0"/>
        <w:jc w:val="left"/>
      </w:pPr>
      <w:r>
        <w:rPr>
          <w:shd w:val="clear" w:fill="FFFFFF"/>
        </w:rPr>
        <w:t>其中：</w:t>
      </w:r>
      <w:r>
        <w:rPr>
          <w:rStyle w:val="12"/>
          <w:shd w:val="clear" w:fill="FFFFFF"/>
        </w:rPr>
        <w:t>公务用车购置支出</w:t>
      </w:r>
      <w:r>
        <w:rPr>
          <w:shd w:val="clear" w:fill="FFFFFF"/>
        </w:rPr>
        <w:t>0.00万元。全年按规定更新购置公务用车0辆，其中：轿车</w:t>
      </w:r>
      <w:r>
        <w:rPr>
          <w:rFonts w:hint="eastAsia"/>
          <w:shd w:val="clear" w:fill="FFFFFF"/>
          <w:lang w:val="en-US" w:eastAsia="zh-CN"/>
        </w:rPr>
        <w:t>0</w:t>
      </w:r>
      <w:r>
        <w:rPr>
          <w:shd w:val="clear" w:fill="FFFFFF"/>
        </w:rPr>
        <w:t>辆、金额</w:t>
      </w:r>
      <w:r>
        <w:rPr>
          <w:rFonts w:hint="eastAsia"/>
          <w:shd w:val="clear" w:fill="FFFFFF"/>
          <w:lang w:val="en-US" w:eastAsia="zh-CN"/>
        </w:rPr>
        <w:t>0</w:t>
      </w:r>
      <w:r>
        <w:rPr>
          <w:shd w:val="clear" w:fill="FFFFFF"/>
        </w:rPr>
        <w:t>万元，越野车</w:t>
      </w:r>
      <w:r>
        <w:rPr>
          <w:rFonts w:hint="eastAsia"/>
          <w:shd w:val="clear" w:fill="FFFFFF"/>
          <w:lang w:val="en-US" w:eastAsia="zh-CN"/>
        </w:rPr>
        <w:t>0</w:t>
      </w:r>
      <w:r>
        <w:rPr>
          <w:shd w:val="clear" w:fill="FFFFFF"/>
        </w:rPr>
        <w:t>辆、金额</w:t>
      </w:r>
      <w:r>
        <w:rPr>
          <w:rFonts w:hint="eastAsia"/>
          <w:shd w:val="clear" w:fill="FFFFFF"/>
          <w:lang w:val="en-US" w:eastAsia="zh-CN"/>
        </w:rPr>
        <w:t>0</w:t>
      </w:r>
      <w:r>
        <w:rPr>
          <w:shd w:val="clear" w:fill="FFFFFF"/>
        </w:rPr>
        <w:t>万元，载客汽车</w:t>
      </w:r>
      <w:r>
        <w:rPr>
          <w:rFonts w:hint="eastAsia"/>
          <w:shd w:val="clear" w:fill="FFFFFF"/>
          <w:lang w:val="en-US" w:eastAsia="zh-CN"/>
        </w:rPr>
        <w:t>0</w:t>
      </w:r>
      <w:r>
        <w:rPr>
          <w:shd w:val="clear" w:fill="FFFFFF"/>
        </w:rPr>
        <w:t>辆、金额</w:t>
      </w:r>
      <w:r>
        <w:rPr>
          <w:rFonts w:hint="eastAsia"/>
          <w:shd w:val="clear" w:fill="FFFFFF"/>
          <w:lang w:val="en-US" w:eastAsia="zh-CN"/>
        </w:rPr>
        <w:t>0</w:t>
      </w:r>
      <w:r>
        <w:rPr>
          <w:shd w:val="clear" w:fill="FFFFFF"/>
        </w:rPr>
        <w:t>万元。</w:t>
      </w:r>
      <w:r>
        <w:rPr>
          <w:rStyle w:val="12"/>
          <w:shd w:val="clear" w:fill="FFFFFF"/>
        </w:rPr>
        <w:t>公务用车运行维护费支出</w:t>
      </w:r>
      <w:r>
        <w:rPr>
          <w:shd w:val="clear" w:fill="FFFFFF"/>
        </w:rPr>
        <w:t>0.42万元。主要用于</w:t>
      </w:r>
      <w:r>
        <w:rPr>
          <w:rFonts w:hint="eastAsia"/>
          <w:shd w:val="clear" w:fill="FFFFFF"/>
          <w:lang w:val="en-US" w:eastAsia="zh-CN"/>
        </w:rPr>
        <w:t>车辆燃料费</w:t>
      </w:r>
      <w:r>
        <w:rPr>
          <w:shd w:val="clear" w:fill="FFFFFF"/>
        </w:rPr>
        <w:t>支出。</w:t>
      </w:r>
    </w:p>
    <w:p>
      <w:pPr>
        <w:pStyle w:val="9"/>
        <w:keepNext w:val="0"/>
        <w:keepLines w:val="0"/>
        <w:widowControl/>
        <w:suppressLineNumbers w:val="0"/>
        <w:spacing w:before="0" w:beforeAutospacing="0"/>
        <w:ind w:left="0"/>
        <w:jc w:val="left"/>
      </w:pPr>
      <w:r>
        <w:rPr>
          <w:rStyle w:val="12"/>
          <w:shd w:val="clear" w:fill="FFFFFF"/>
        </w:rPr>
        <w:t>3.公务接待费支出</w:t>
      </w:r>
      <w:r>
        <w:rPr>
          <w:shd w:val="clear" w:fill="FFFFFF"/>
        </w:rPr>
        <w:t>0.00万元，</w:t>
      </w:r>
      <w:r>
        <w:rPr>
          <w:rStyle w:val="12"/>
          <w:shd w:val="clear" w:fill="FFFFFF"/>
        </w:rPr>
        <w:t>完成预算100%。</w:t>
      </w:r>
      <w:r>
        <w:rPr>
          <w:shd w:val="clear" w:fill="FFFFFF"/>
        </w:rPr>
        <w:t>公务接待费支出决算比2021年增加0.00万元，增长0.00%。主要原因是</w:t>
      </w:r>
      <w:r>
        <w:rPr>
          <w:rFonts w:hint="eastAsia"/>
          <w:shd w:val="clear" w:fill="FFFFFF"/>
          <w:lang w:val="en-US" w:eastAsia="zh-CN"/>
        </w:rPr>
        <w:t>我单位不涉及相关支出</w:t>
      </w:r>
      <w:r>
        <w:rPr>
          <w:shd w:val="clear" w:fill="FFFFFF"/>
        </w:rPr>
        <w:t>。</w:t>
      </w:r>
    </w:p>
    <w:p>
      <w:pPr>
        <w:pStyle w:val="9"/>
        <w:keepNext w:val="0"/>
        <w:keepLines w:val="0"/>
        <w:widowControl/>
        <w:suppressLineNumbers w:val="0"/>
        <w:spacing w:before="0" w:beforeAutospacing="0"/>
        <w:ind w:left="0"/>
        <w:jc w:val="left"/>
        <w:rPr>
          <w:shd w:val="clear" w:fill="FFFFFF"/>
        </w:rPr>
      </w:pPr>
    </w:p>
    <w:p>
      <w:pPr>
        <w:pStyle w:val="9"/>
        <w:keepNext w:val="0"/>
        <w:keepLines w:val="0"/>
        <w:widowControl/>
        <w:suppressLineNumbers w:val="0"/>
        <w:spacing w:before="0" w:beforeAutospacing="0"/>
        <w:ind w:left="0"/>
        <w:jc w:val="left"/>
        <w:outlineLvl w:val="1"/>
      </w:pPr>
      <w:bookmarkStart w:id="11" w:name="_Toc28188"/>
      <w:r>
        <w:rPr>
          <w:shd w:val="clear" w:fill="FFFFFF"/>
        </w:rPr>
        <w:t>八、政府性基金预算支出决算情况说明</w:t>
      </w:r>
      <w:bookmarkEnd w:id="11"/>
    </w:p>
    <w:p>
      <w:pPr>
        <w:pStyle w:val="9"/>
        <w:keepNext w:val="0"/>
        <w:keepLines w:val="0"/>
        <w:widowControl/>
        <w:suppressLineNumbers w:val="0"/>
        <w:spacing w:before="0" w:beforeAutospacing="0"/>
        <w:ind w:left="0"/>
        <w:jc w:val="left"/>
      </w:pPr>
      <w:r>
        <w:rPr>
          <w:shd w:val="clear" w:fill="FFFFFF"/>
        </w:rPr>
        <w:t>2022年政府性基金预算财政拨款支出0.00万元。</w:t>
      </w:r>
    </w:p>
    <w:p>
      <w:pPr>
        <w:pStyle w:val="9"/>
        <w:keepNext w:val="0"/>
        <w:keepLines w:val="0"/>
        <w:widowControl/>
        <w:suppressLineNumbers w:val="0"/>
        <w:spacing w:before="0" w:beforeAutospacing="0"/>
        <w:ind w:left="0"/>
        <w:jc w:val="left"/>
      </w:pPr>
      <w:r>
        <w:rPr>
          <w:shd w:val="clear" w:fill="FFFFFF"/>
        </w:rPr>
        <w:t> </w:t>
      </w:r>
    </w:p>
    <w:p>
      <w:pPr>
        <w:pStyle w:val="9"/>
        <w:keepNext w:val="0"/>
        <w:keepLines w:val="0"/>
        <w:widowControl/>
        <w:suppressLineNumbers w:val="0"/>
        <w:spacing w:before="0" w:beforeAutospacing="0"/>
        <w:ind w:left="0"/>
        <w:jc w:val="left"/>
        <w:outlineLvl w:val="1"/>
      </w:pPr>
      <w:bookmarkStart w:id="12" w:name="_Toc13642"/>
      <w:r>
        <w:rPr>
          <w:shd w:val="clear" w:fill="FFFFFF"/>
        </w:rPr>
        <w:t>九、国有资本经营预算支出决算情况说明</w:t>
      </w:r>
      <w:bookmarkEnd w:id="12"/>
    </w:p>
    <w:p>
      <w:pPr>
        <w:pStyle w:val="9"/>
        <w:keepNext w:val="0"/>
        <w:keepLines w:val="0"/>
        <w:widowControl/>
        <w:suppressLineNumbers w:val="0"/>
        <w:spacing w:before="0" w:beforeAutospacing="0"/>
        <w:ind w:left="0"/>
        <w:jc w:val="left"/>
      </w:pPr>
      <w:r>
        <w:rPr>
          <w:shd w:val="clear" w:fill="FFFFFF"/>
        </w:rPr>
        <w:t>2022年国有资本经营预算财政拨款支出0.00万元。</w:t>
      </w:r>
    </w:p>
    <w:p>
      <w:pPr>
        <w:pStyle w:val="9"/>
        <w:keepNext w:val="0"/>
        <w:keepLines w:val="0"/>
        <w:widowControl/>
        <w:suppressLineNumbers w:val="0"/>
        <w:spacing w:before="0" w:beforeAutospacing="0"/>
        <w:ind w:left="0"/>
        <w:jc w:val="center"/>
      </w:pPr>
      <w:r>
        <w:rPr>
          <w:shd w:val="clear" w:fill="FFFFFF"/>
        </w:rPr>
        <w:t> </w:t>
      </w:r>
    </w:p>
    <w:p>
      <w:pPr>
        <w:pStyle w:val="9"/>
        <w:keepNext w:val="0"/>
        <w:keepLines w:val="0"/>
        <w:widowControl/>
        <w:suppressLineNumbers w:val="0"/>
        <w:spacing w:before="0" w:beforeAutospacing="0"/>
        <w:ind w:left="0"/>
        <w:jc w:val="left"/>
        <w:outlineLvl w:val="1"/>
      </w:pPr>
      <w:bookmarkStart w:id="13" w:name="_Toc5295"/>
      <w:r>
        <w:rPr>
          <w:shd w:val="clear" w:fill="FFFFFF"/>
        </w:rPr>
        <w:t>十、其他重要事项的情况说明</w:t>
      </w:r>
      <w:bookmarkEnd w:id="13"/>
    </w:p>
    <w:p>
      <w:pPr>
        <w:pStyle w:val="9"/>
        <w:keepNext w:val="0"/>
        <w:keepLines w:val="0"/>
        <w:widowControl/>
        <w:suppressLineNumbers w:val="0"/>
        <w:spacing w:before="0" w:beforeAutospacing="0"/>
        <w:ind w:left="0"/>
        <w:jc w:val="left"/>
      </w:pPr>
      <w:r>
        <w:rPr>
          <w:rStyle w:val="12"/>
          <w:shd w:val="clear" w:fill="FFFFFF"/>
        </w:rPr>
        <w:t>（一）机关运行经费支出情况</w:t>
      </w:r>
    </w:p>
    <w:p>
      <w:pPr>
        <w:pStyle w:val="9"/>
        <w:keepNext w:val="0"/>
        <w:keepLines w:val="0"/>
        <w:widowControl/>
        <w:suppressLineNumbers w:val="0"/>
        <w:spacing w:before="0" w:beforeAutospacing="0"/>
        <w:ind w:left="0"/>
        <w:jc w:val="left"/>
      </w:pPr>
      <w:r>
        <w:rPr>
          <w:shd w:val="clear" w:fill="FFFFFF"/>
        </w:rPr>
        <w:t>2022年，阿坝州金川县观音桥景区工作中心机关运行经费支出0.00万元，比2021年增加0.00万元，增长0.00%（或与2021年决算数持平）。主要原因是</w:t>
      </w:r>
      <w:r>
        <w:rPr>
          <w:rFonts w:hint="eastAsia"/>
          <w:shd w:val="clear" w:fill="FFFFFF"/>
          <w:lang w:val="en-US" w:eastAsia="zh-CN"/>
        </w:rPr>
        <w:t>我单位不涉及相关支出。</w:t>
      </w:r>
    </w:p>
    <w:p>
      <w:pPr>
        <w:pStyle w:val="9"/>
        <w:keepNext w:val="0"/>
        <w:keepLines w:val="0"/>
        <w:widowControl/>
        <w:suppressLineNumbers w:val="0"/>
        <w:spacing w:before="0" w:beforeAutospacing="0"/>
        <w:ind w:left="0"/>
        <w:jc w:val="left"/>
      </w:pPr>
      <w:r>
        <w:rPr>
          <w:rStyle w:val="12"/>
          <w:shd w:val="clear" w:fill="FFFFFF"/>
        </w:rPr>
        <w:t>（二）政府采购支出情况</w:t>
      </w:r>
    </w:p>
    <w:p>
      <w:pPr>
        <w:pStyle w:val="9"/>
        <w:keepNext w:val="0"/>
        <w:keepLines w:val="0"/>
        <w:widowControl/>
        <w:suppressLineNumbers w:val="0"/>
        <w:spacing w:before="0" w:beforeAutospacing="0"/>
        <w:ind w:left="0"/>
        <w:jc w:val="left"/>
      </w:pPr>
      <w:r>
        <w:rPr>
          <w:shd w:val="clear" w:fill="FFFFFF"/>
        </w:rPr>
        <w:t>2022年，阿坝州金川县观音桥景区工作中心政府采购支出总额0.00万元，其中：政府采购货物支出0.00万元、政府采购工程支出0.00万元、政府采购服务支出0.00万元。主要用于…（具体工作）。授予中小企业合同金额0.00万元，占政府采购支出总额的0.00%，其中：授予小微企业合同金额0.00万元，占政府采购支出总额的0.00%。</w:t>
      </w:r>
    </w:p>
    <w:p>
      <w:pPr>
        <w:pStyle w:val="9"/>
        <w:keepNext w:val="0"/>
        <w:keepLines w:val="0"/>
        <w:widowControl/>
        <w:suppressLineNumbers w:val="0"/>
        <w:spacing w:before="0" w:beforeAutospacing="0"/>
        <w:ind w:left="0"/>
        <w:jc w:val="left"/>
      </w:pPr>
      <w:r>
        <w:rPr>
          <w:shd w:val="clear" w:fill="FFFFFF"/>
        </w:rPr>
        <w:t> </w:t>
      </w:r>
      <w:r>
        <w:rPr>
          <w:rStyle w:val="12"/>
          <w:shd w:val="clear" w:fill="FFFFFF"/>
        </w:rPr>
        <w:t>（三）国有资产占有使用情况</w:t>
      </w:r>
    </w:p>
    <w:p>
      <w:pPr>
        <w:pStyle w:val="9"/>
        <w:keepNext w:val="0"/>
        <w:keepLines w:val="0"/>
        <w:widowControl/>
        <w:suppressLineNumbers w:val="0"/>
        <w:spacing w:before="0" w:beforeAutospacing="0"/>
        <w:ind w:left="0"/>
        <w:jc w:val="left"/>
      </w:pPr>
      <w:r>
        <w:rPr>
          <w:shd w:val="clear" w:fill="FFFFFF"/>
        </w:rPr>
        <w:t>截至2022年12月31日，阿坝州金川县观音桥景区工作中心共有车辆1辆，其中：主要领导干部用车0辆、机要通信用车0辆、应急保障用车1辆、其他用车0辆</w:t>
      </w:r>
      <w:r>
        <w:rPr>
          <w:rFonts w:hint="eastAsia"/>
          <w:shd w:val="clear" w:fill="FFFFFF"/>
          <w:lang w:eastAsia="zh-CN"/>
        </w:rPr>
        <w:t>，</w:t>
      </w:r>
      <w:r>
        <w:rPr>
          <w:shd w:val="clear" w:fill="FFFFFF"/>
        </w:rPr>
        <w:t>单价100万元（含）以上设备（不含车辆）0台（套）。</w:t>
      </w:r>
    </w:p>
    <w:p>
      <w:pPr>
        <w:pStyle w:val="9"/>
        <w:keepNext w:val="0"/>
        <w:keepLines w:val="0"/>
        <w:widowControl/>
        <w:suppressLineNumbers w:val="0"/>
        <w:spacing w:before="0" w:beforeAutospacing="0"/>
        <w:ind w:left="0"/>
        <w:jc w:val="left"/>
      </w:pPr>
      <w:r>
        <w:rPr>
          <w:rStyle w:val="12"/>
          <w:shd w:val="clear" w:fill="FFFFFF"/>
        </w:rPr>
        <w:t>（四）预算绩效管理情况</w:t>
      </w:r>
    </w:p>
    <w:p>
      <w:pPr>
        <w:pStyle w:val="9"/>
        <w:keepNext w:val="0"/>
        <w:keepLines w:val="0"/>
        <w:widowControl/>
        <w:suppressLineNumbers w:val="0"/>
        <w:spacing w:before="0" w:beforeAutospacing="0"/>
        <w:ind w:left="0"/>
        <w:jc w:val="left"/>
      </w:pPr>
      <w:r>
        <w:rPr>
          <w:shd w:val="clear" w:fill="FFFFFF"/>
        </w:rPr>
        <w:t>根据预算绩效管理要求，本部门在2022年度预算编制阶段，组织对</w:t>
      </w:r>
      <w:r>
        <w:rPr>
          <w:rFonts w:hint="eastAsia"/>
          <w:shd w:val="clear" w:fill="FFFFFF"/>
          <w:lang w:val="en-US" w:eastAsia="zh-CN"/>
        </w:rPr>
        <w:t>0</w:t>
      </w:r>
      <w:r>
        <w:rPr>
          <w:shd w:val="clear" w:fill="FFFFFF"/>
        </w:rPr>
        <w:t>个项目开展了预算事前绩效评估，对</w:t>
      </w:r>
      <w:r>
        <w:rPr>
          <w:rFonts w:hint="eastAsia"/>
          <w:shd w:val="clear" w:fill="FFFFFF"/>
          <w:lang w:val="en-US" w:eastAsia="zh-CN"/>
        </w:rPr>
        <w:t>0</w:t>
      </w:r>
      <w:r>
        <w:rPr>
          <w:shd w:val="clear" w:fill="FFFFFF"/>
        </w:rPr>
        <w:t>个项目编制了绩效目标，预算执行过程中，选取</w:t>
      </w:r>
      <w:r>
        <w:rPr>
          <w:rFonts w:hint="eastAsia"/>
          <w:shd w:val="clear" w:fill="FFFFFF"/>
          <w:lang w:val="en-US" w:eastAsia="zh-CN"/>
        </w:rPr>
        <w:t>0</w:t>
      </w:r>
      <w:r>
        <w:rPr>
          <w:shd w:val="clear" w:fill="FFFFFF"/>
        </w:rPr>
        <w:t>个项目开展绩效监控。</w:t>
      </w:r>
    </w:p>
    <w:p>
      <w:pPr>
        <w:widowControl/>
        <w:adjustRightInd w:val="0"/>
        <w:snapToGrid w:val="0"/>
        <w:spacing w:line="480" w:lineRule="exact"/>
        <w:ind w:firstLine="720"/>
        <w:jc w:val="left"/>
        <w:rPr>
          <w:rFonts w:ascii="仿宋_GB2312" w:hAnsi="宋体" w:cs="宋体"/>
          <w:color w:val="000000"/>
          <w:kern w:val="0"/>
          <w:lang w:val="zh-CN"/>
        </w:rPr>
      </w:pPr>
      <w:r>
        <w:rPr>
          <w:shd w:val="clear" w:fill="FFFFFF"/>
        </w:rPr>
        <w:t>组织对2022年度一般公共预算、政府性基金预算、国有资本经营预算、社会保险基金预算以及资本资产、债券资金等全面开展绩效自评，形成</w:t>
      </w:r>
      <w:r>
        <w:rPr>
          <w:rFonts w:hint="eastAsia"/>
          <w:shd w:val="clear" w:fill="FFFFFF"/>
          <w:lang w:val="en-US" w:eastAsia="zh-CN"/>
        </w:rPr>
        <w:t>金川县观音桥景区工作中心</w:t>
      </w:r>
      <w:r>
        <w:rPr>
          <w:shd w:val="clear" w:fill="FFFFFF"/>
        </w:rPr>
        <w:t>部门整体绩效自评报告，其中，</w:t>
      </w:r>
      <w:r>
        <w:rPr>
          <w:rFonts w:hint="eastAsia"/>
          <w:shd w:val="clear" w:fill="FFFFFF"/>
          <w:lang w:val="en-US" w:eastAsia="zh-CN"/>
        </w:rPr>
        <w:t>金川县观音桥景区工作中心</w:t>
      </w:r>
      <w:r>
        <w:rPr>
          <w:shd w:val="clear" w:fill="FFFFFF"/>
        </w:rPr>
        <w:t>部门整体绩效自评得分为</w:t>
      </w:r>
      <w:r>
        <w:rPr>
          <w:rFonts w:hint="eastAsia"/>
          <w:shd w:val="clear" w:fill="FFFFFF"/>
          <w:lang w:val="en-US" w:eastAsia="zh-CN"/>
        </w:rPr>
        <w:t>76</w:t>
      </w:r>
      <w:r>
        <w:rPr>
          <w:shd w:val="clear" w:fill="FFFFFF"/>
        </w:rPr>
        <w:t>分，绩效自评综述：</w:t>
      </w:r>
      <w:r>
        <w:rPr>
          <w:rFonts w:hint="eastAsia" w:ascii="仿宋_GB2312" w:hAnsi="宋体" w:cs="宋体"/>
          <w:color w:val="000000"/>
          <w:kern w:val="0"/>
          <w:lang w:val="zh-CN"/>
        </w:rPr>
        <w:t>我中心严格按照县财政通知要求公开预算、决算、部门整体绩效；严格按照县财政局要求对部门整体全面进行绩效评价，并及时上报财政，对绩效评价发现问题制定整改措施，并整改落实到位；严格按照县财政局文件要求及时进行自查，并上报材料，未发现违纪违规问题。2根据部门职能职责，认真完成县委县政府安排的各项专项工作任务及其他年度重点工作任务。</w:t>
      </w:r>
    </w:p>
    <w:p>
      <w:pPr>
        <w:pStyle w:val="9"/>
        <w:keepNext w:val="0"/>
        <w:keepLines w:val="0"/>
        <w:widowControl/>
        <w:suppressLineNumbers w:val="0"/>
        <w:spacing w:before="0" w:beforeAutospacing="0"/>
        <w:ind w:left="0"/>
        <w:jc w:val="left"/>
      </w:pPr>
    </w:p>
    <w:p>
      <w:pPr>
        <w:pStyle w:val="9"/>
        <w:keepNext w:val="0"/>
        <w:keepLines w:val="0"/>
        <w:widowControl/>
        <w:suppressLineNumbers w:val="0"/>
        <w:spacing w:before="0" w:beforeAutospacing="0"/>
        <w:ind w:left="0"/>
        <w:jc w:val="left"/>
      </w:pPr>
    </w:p>
    <w:p>
      <w:pPr>
        <w:pStyle w:val="9"/>
        <w:keepNext w:val="0"/>
        <w:keepLines w:val="0"/>
        <w:widowControl/>
        <w:suppressLineNumbers w:val="0"/>
        <w:spacing w:before="0" w:beforeAutospacing="0"/>
        <w:ind w:left="0"/>
        <w:jc w:val="left"/>
      </w:pPr>
      <w:r>
        <w:rPr>
          <w:shd w:val="clear" w:fill="FFFFFF"/>
        </w:rPr>
        <w:t> </w:t>
      </w:r>
    </w:p>
    <w:p>
      <w:pPr>
        <w:pStyle w:val="9"/>
        <w:keepNext w:val="0"/>
        <w:keepLines w:val="0"/>
        <w:widowControl/>
        <w:suppressLineNumbers w:val="0"/>
        <w:spacing w:before="0" w:beforeAutospacing="0"/>
        <w:ind w:left="0"/>
        <w:jc w:val="center"/>
        <w:outlineLvl w:val="0"/>
      </w:pPr>
      <w:bookmarkStart w:id="14" w:name="_Toc28772"/>
      <w:r>
        <w:rPr>
          <w:rStyle w:val="12"/>
          <w:sz w:val="39"/>
          <w:szCs w:val="39"/>
          <w:shd w:val="clear" w:fill="FFFFFF"/>
        </w:rPr>
        <w:t>第三部分 名词解释</w:t>
      </w:r>
      <w:bookmarkEnd w:id="14"/>
    </w:p>
    <w:p>
      <w:pPr>
        <w:pStyle w:val="9"/>
        <w:keepNext w:val="0"/>
        <w:keepLines w:val="0"/>
        <w:widowControl/>
        <w:suppressLineNumbers w:val="0"/>
        <w:spacing w:before="0" w:beforeAutospacing="0"/>
        <w:ind w:left="0"/>
        <w:jc w:val="left"/>
      </w:pPr>
      <w:r>
        <w:rPr>
          <w:shd w:val="clear" w:fill="FFFFFF"/>
        </w:rPr>
        <w:t> </w:t>
      </w:r>
    </w:p>
    <w:p>
      <w:pPr>
        <w:pStyle w:val="13"/>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1.财政拨款收入：指单位从同级财政部门取得的财政预算资金。</w:t>
      </w:r>
    </w:p>
    <w:p>
      <w:pPr>
        <w:pStyle w:val="13"/>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2.事业收入：指事业单位开展专业业务活动及辅助活动取得的收入。</w:t>
      </w:r>
    </w:p>
    <w:p>
      <w:pPr>
        <w:pStyle w:val="13"/>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3.经营收入：指事业单位在专业业务活动及其辅助活动之外开展非独立核算经营活动取得的收入</w:t>
      </w:r>
    </w:p>
    <w:p>
      <w:pPr>
        <w:pStyle w:val="13"/>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4.其他收入：指单位取得的除上述收入以外的各项收入。主要是利息收入等。 </w:t>
      </w:r>
    </w:p>
    <w:p>
      <w:pPr>
        <w:pStyle w:val="13"/>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5.使用非财政拨款结余：指事业单位使用以前年度积累的非财政拨款结余弥补当年收支差额的金额。 </w:t>
      </w:r>
    </w:p>
    <w:p>
      <w:pPr>
        <w:pStyle w:val="13"/>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6.年初结转和结余：指以前年度尚未完成、结转到本年按有关规定继续使用的资金。 </w:t>
      </w:r>
    </w:p>
    <w:p>
      <w:pPr>
        <w:pStyle w:val="13"/>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7.结余分配：指事业单位按照会计制度规定缴纳的所得税、提取的专用结余以及转入非财政拨款结余的金额等。</w:t>
      </w:r>
    </w:p>
    <w:p>
      <w:pPr>
        <w:pStyle w:val="13"/>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8、年末结转和结余：指单位按有关规定结转到下年或以后年度继续使用的资金。</w:t>
      </w:r>
    </w:p>
    <w:p>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9.</w:t>
      </w:r>
      <w:r>
        <w:rPr>
          <w:rFonts w:ascii="Times New Roman" w:hAnsi="Times New Roman" w:eastAsia="仿宋_GB2312" w:cs="Times New Roman"/>
          <w:bCs/>
          <w:kern w:val="0"/>
          <w:sz w:val="32"/>
          <w:szCs w:val="32"/>
        </w:rPr>
        <w:t>一般公共服务：行政运行</w:t>
      </w:r>
      <w:r>
        <w:rPr>
          <w:rFonts w:ascii="Times New Roman" w:hAnsi="Times New Roman" w:eastAsia="仿宋_GB2312" w:cs="Times New Roman"/>
          <w:bCs/>
          <w:kern w:val="0"/>
          <w:sz w:val="32"/>
          <w:szCs w:val="32"/>
          <w:lang w:eastAsia="zh-CN"/>
        </w:rPr>
        <w:t>，</w:t>
      </w:r>
      <w:r>
        <w:rPr>
          <w:rFonts w:ascii="Times New Roman" w:hAnsi="Times New Roman" w:eastAsia="仿宋_GB2312" w:cs="Times New Roman"/>
          <w:bCs/>
          <w:kern w:val="0"/>
          <w:sz w:val="32"/>
          <w:szCs w:val="32"/>
        </w:rPr>
        <w:t>反映党委办公厅（室）及相关机构的支出；一般行政管理事务</w:t>
      </w:r>
      <w:r>
        <w:rPr>
          <w:rFonts w:ascii="Times New Roman" w:hAnsi="Times New Roman" w:eastAsia="仿宋_GB2312" w:cs="Times New Roman"/>
          <w:bCs/>
          <w:kern w:val="0"/>
          <w:sz w:val="32"/>
          <w:szCs w:val="32"/>
          <w:lang w:eastAsia="zh-CN"/>
        </w:rPr>
        <w:t>，</w:t>
      </w:r>
      <w:r>
        <w:rPr>
          <w:rFonts w:ascii="Times New Roman" w:hAnsi="Times New Roman" w:eastAsia="仿宋_GB2312" w:cs="Times New Roman"/>
          <w:bCs/>
          <w:kern w:val="0"/>
          <w:sz w:val="32"/>
          <w:szCs w:val="32"/>
        </w:rPr>
        <w:t>反映行政单位（包括实行公务员管理的事业单位）未单独设置项级科目的其他项目支出。</w:t>
      </w:r>
    </w:p>
    <w:p>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10.</w:t>
      </w:r>
      <w:r>
        <w:rPr>
          <w:rFonts w:ascii="Times New Roman" w:hAnsi="Times New Roman" w:eastAsia="仿宋_GB2312" w:cs="Times New Roman"/>
          <w:bCs/>
          <w:kern w:val="0"/>
          <w:sz w:val="32"/>
          <w:szCs w:val="32"/>
        </w:rPr>
        <w:t>社会保障和就业：反映</w:t>
      </w:r>
      <w:r>
        <w:rPr>
          <w:rFonts w:hint="eastAsia" w:ascii="Times New Roman" w:hAnsi="Times New Roman" w:eastAsia="仿宋_GB2312" w:cs="Times New Roman"/>
          <w:bCs/>
          <w:kern w:val="0"/>
          <w:sz w:val="32"/>
          <w:szCs w:val="32"/>
          <w:lang w:val="en-US" w:eastAsia="zh-CN"/>
        </w:rPr>
        <w:t>单位</w:t>
      </w:r>
      <w:r>
        <w:rPr>
          <w:rFonts w:ascii="Times New Roman" w:hAnsi="Times New Roman" w:eastAsia="仿宋_GB2312" w:cs="Times New Roman"/>
          <w:bCs/>
          <w:kern w:val="0"/>
          <w:sz w:val="32"/>
          <w:szCs w:val="32"/>
        </w:rPr>
        <w:t>在社会保障与就业方面的支出</w:t>
      </w:r>
      <w:r>
        <w:rPr>
          <w:rFonts w:ascii="Times New Roman" w:hAnsi="Times New Roman" w:eastAsia="仿宋_GB2312" w:cs="Times New Roman"/>
          <w:bCs/>
          <w:kern w:val="0"/>
          <w:sz w:val="32"/>
          <w:szCs w:val="32"/>
          <w:lang w:eastAsia="zh-CN"/>
        </w:rPr>
        <w:t>。</w:t>
      </w:r>
    </w:p>
    <w:p>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11.</w:t>
      </w:r>
      <w:r>
        <w:rPr>
          <w:rFonts w:ascii="Times New Roman" w:hAnsi="Times New Roman" w:eastAsia="仿宋_GB2312" w:cs="Times New Roman"/>
          <w:bCs/>
          <w:sz w:val="32"/>
          <w:szCs w:val="32"/>
        </w:rPr>
        <w:t>医疗卫生与计划生育：反映</w:t>
      </w:r>
      <w:r>
        <w:rPr>
          <w:rFonts w:hint="eastAsia" w:ascii="Times New Roman" w:hAnsi="Times New Roman" w:eastAsia="仿宋_GB2312" w:cs="Times New Roman"/>
          <w:bCs/>
          <w:sz w:val="32"/>
          <w:szCs w:val="32"/>
          <w:lang w:val="en-US" w:eastAsia="zh-CN"/>
        </w:rPr>
        <w:t>单位</w:t>
      </w:r>
      <w:r>
        <w:rPr>
          <w:rFonts w:ascii="Times New Roman" w:hAnsi="Times New Roman" w:eastAsia="仿宋_GB2312" w:cs="Times New Roman"/>
          <w:bCs/>
          <w:sz w:val="32"/>
          <w:szCs w:val="32"/>
        </w:rPr>
        <w:t>医疗卫生计划生育管理方面的支出</w:t>
      </w:r>
      <w:r>
        <w:rPr>
          <w:rFonts w:ascii="Times New Roman" w:hAnsi="Times New Roman" w:eastAsia="仿宋_GB2312" w:cs="Times New Roman"/>
          <w:bCs/>
          <w:sz w:val="32"/>
          <w:szCs w:val="32"/>
          <w:lang w:eastAsia="zh-CN"/>
        </w:rPr>
        <w:t>。</w:t>
      </w:r>
    </w:p>
    <w:p>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12.住房保障支出：集中反映</w:t>
      </w:r>
      <w:r>
        <w:rPr>
          <w:rFonts w:hint="eastAsia" w:ascii="Times New Roman" w:hAnsi="Times New Roman" w:eastAsia="仿宋_GB2312" w:cs="Times New Roman"/>
          <w:sz w:val="32"/>
          <w:szCs w:val="32"/>
          <w:lang w:val="en-US" w:eastAsia="zh-CN"/>
        </w:rPr>
        <w:t>单位</w:t>
      </w:r>
      <w:r>
        <w:rPr>
          <w:rFonts w:ascii="Times New Roman" w:hAnsi="Times New Roman" w:eastAsia="仿宋_GB2312" w:cs="Times New Roman"/>
          <w:sz w:val="32"/>
          <w:szCs w:val="32"/>
        </w:rPr>
        <w:t>用于住房方面的支出。</w:t>
      </w:r>
    </w:p>
    <w:p>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13.基本支出：指为保障机构正常运转、完成日常工作任务而发生的人员支出和公用支出。</w:t>
      </w:r>
    </w:p>
    <w:p>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14.项目支出：指在基本支出之外为完成特定行政任务和事业发展目标所发生的支出。 </w:t>
      </w:r>
    </w:p>
    <w:p>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15.经营支出：指事业单位在专业业务活动及其辅助活动之外开展非独立核算经营活动发生的支出。</w:t>
      </w:r>
    </w:p>
    <w:p>
      <w:pPr>
        <w:pStyle w:val="13"/>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3"/>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9"/>
        <w:keepNext w:val="0"/>
        <w:keepLines w:val="0"/>
        <w:widowControl/>
        <w:suppressLineNumbers w:val="0"/>
        <w:spacing w:before="0" w:beforeAutospacing="0"/>
        <w:ind w:left="0"/>
        <w:jc w:val="center"/>
        <w:outlineLvl w:val="0"/>
      </w:pPr>
      <w:bookmarkStart w:id="15" w:name="_Toc25992"/>
      <w:r>
        <w:rPr>
          <w:rStyle w:val="12"/>
          <w:sz w:val="39"/>
          <w:szCs w:val="39"/>
          <w:shd w:val="clear" w:fill="FFFFFF"/>
        </w:rPr>
        <w:t>第四部分 附件</w:t>
      </w:r>
      <w:bookmarkEnd w:id="15"/>
    </w:p>
    <w:p>
      <w:pPr>
        <w:pStyle w:val="9"/>
        <w:keepNext w:val="0"/>
        <w:keepLines w:val="0"/>
        <w:widowControl/>
        <w:suppressLineNumbers w:val="0"/>
        <w:spacing w:before="0" w:beforeAutospacing="0"/>
        <w:ind w:left="0"/>
        <w:jc w:val="left"/>
        <w:outlineLvl w:val="1"/>
      </w:pPr>
      <w:bookmarkStart w:id="16" w:name="_Toc19335"/>
      <w:r>
        <w:rPr>
          <w:shd w:val="clear" w:fill="FFFFFF"/>
        </w:rPr>
        <w:t>附件</w:t>
      </w:r>
      <w:bookmarkEnd w:id="16"/>
    </w:p>
    <w:p>
      <w:pPr>
        <w:pStyle w:val="9"/>
        <w:keepNext w:val="0"/>
        <w:keepLines w:val="0"/>
        <w:widowControl/>
        <w:suppressLineNumbers w:val="0"/>
        <w:spacing w:before="0" w:beforeAutospacing="0"/>
        <w:ind w:left="0"/>
        <w:jc w:val="center"/>
        <w:rPr>
          <w:rFonts w:hint="eastAsia"/>
          <w:sz w:val="39"/>
          <w:szCs w:val="39"/>
          <w:shd w:val="clear" w:fill="FFFFFF"/>
          <w:lang w:val="en-US" w:eastAsia="zh-CN"/>
        </w:rPr>
      </w:pPr>
      <w:r>
        <w:rPr>
          <w:sz w:val="39"/>
          <w:szCs w:val="39"/>
          <w:shd w:val="clear" w:fill="FFFFFF"/>
        </w:rPr>
        <w:t>2022年</w:t>
      </w:r>
      <w:r>
        <w:rPr>
          <w:rFonts w:hint="eastAsia"/>
          <w:sz w:val="39"/>
          <w:szCs w:val="39"/>
          <w:shd w:val="clear" w:fill="FFFFFF"/>
          <w:lang w:val="en-US" w:eastAsia="zh-CN"/>
        </w:rPr>
        <w:t>金川县观音桥景区工作中心</w:t>
      </w:r>
    </w:p>
    <w:p>
      <w:pPr>
        <w:pStyle w:val="9"/>
        <w:keepNext w:val="0"/>
        <w:keepLines w:val="0"/>
        <w:widowControl/>
        <w:suppressLineNumbers w:val="0"/>
        <w:spacing w:before="0" w:beforeAutospacing="0"/>
        <w:ind w:left="0"/>
        <w:jc w:val="center"/>
      </w:pPr>
      <w:r>
        <w:rPr>
          <w:sz w:val="39"/>
          <w:szCs w:val="39"/>
          <w:shd w:val="clear" w:fill="FFFFFF"/>
        </w:rPr>
        <w:t>整体绩效评价报告</w:t>
      </w:r>
    </w:p>
    <w:p>
      <w:pPr>
        <w:pStyle w:val="9"/>
        <w:keepNext w:val="0"/>
        <w:keepLines w:val="0"/>
        <w:widowControl/>
        <w:suppressLineNumbers w:val="0"/>
        <w:spacing w:before="0" w:beforeAutospacing="0"/>
        <w:ind w:left="0"/>
        <w:jc w:val="left"/>
      </w:pPr>
      <w:r>
        <w:rPr>
          <w:shd w:val="clear" w:fill="FFFFFF"/>
        </w:rPr>
        <w:t> </w:t>
      </w:r>
    </w:p>
    <w:p>
      <w:pPr>
        <w:pStyle w:val="9"/>
        <w:keepNext w:val="0"/>
        <w:keepLines w:val="0"/>
        <w:widowControl/>
        <w:suppressLineNumbers w:val="0"/>
        <w:spacing w:before="0" w:beforeAutospacing="0"/>
        <w:ind w:left="0"/>
        <w:jc w:val="left"/>
        <w:outlineLvl w:val="1"/>
      </w:pPr>
      <w:bookmarkStart w:id="17" w:name="_Toc28345"/>
      <w:r>
        <w:rPr>
          <w:shd w:val="clear" w:fill="FFFFFF"/>
        </w:rPr>
        <w:t>一、部门（单位）基本情况</w:t>
      </w:r>
      <w:bookmarkEnd w:id="17"/>
    </w:p>
    <w:p>
      <w:pPr>
        <w:pStyle w:val="9"/>
        <w:keepNext w:val="0"/>
        <w:keepLines w:val="0"/>
        <w:widowControl/>
        <w:suppressLineNumbers w:val="0"/>
        <w:spacing w:before="0" w:beforeAutospacing="0"/>
        <w:ind w:left="0"/>
        <w:jc w:val="left"/>
        <w:rPr>
          <w:shd w:val="clear" w:fill="FFFFFF"/>
        </w:rPr>
      </w:pPr>
      <w:r>
        <w:rPr>
          <w:shd w:val="clear" w:fill="FFFFFF"/>
        </w:rPr>
        <w:t>（一）机构组成。</w:t>
      </w:r>
    </w:p>
    <w:p>
      <w:pPr>
        <w:pStyle w:val="9"/>
        <w:keepNext w:val="0"/>
        <w:keepLines w:val="0"/>
        <w:widowControl/>
        <w:suppressLineNumbers w:val="0"/>
        <w:spacing w:before="0" w:beforeAutospacing="0"/>
        <w:ind w:left="0" w:firstLine="480" w:firstLineChars="200"/>
        <w:jc w:val="left"/>
        <w:rPr>
          <w:shd w:val="clear" w:fill="FFFFFF"/>
        </w:rPr>
      </w:pPr>
      <w:r>
        <w:rPr>
          <w:rFonts w:hint="eastAsia"/>
          <w:shd w:val="clear" w:fill="FFFFFF"/>
          <w:lang w:val="zh-CN" w:eastAsia="zh-CN"/>
        </w:rPr>
        <w:t>我单位是由金川县人民政府举办的事业单位，下辖游人中心、办公室、规划建设股、宣传营销股四个股室。</w:t>
      </w:r>
    </w:p>
    <w:p>
      <w:pPr>
        <w:pStyle w:val="9"/>
        <w:keepNext w:val="0"/>
        <w:keepLines w:val="0"/>
        <w:widowControl/>
        <w:numPr>
          <w:ilvl w:val="0"/>
          <w:numId w:val="2"/>
        </w:numPr>
        <w:suppressLineNumbers w:val="0"/>
        <w:spacing w:before="0" w:beforeAutospacing="0"/>
        <w:ind w:left="0"/>
        <w:jc w:val="left"/>
        <w:rPr>
          <w:shd w:val="clear" w:fill="FFFFFF"/>
        </w:rPr>
      </w:pPr>
      <w:r>
        <w:rPr>
          <w:shd w:val="clear" w:fill="FFFFFF"/>
        </w:rPr>
        <w:t>机构职能和人员概况。</w:t>
      </w:r>
    </w:p>
    <w:p>
      <w:pPr>
        <w:pStyle w:val="9"/>
        <w:keepNext w:val="0"/>
        <w:keepLines w:val="0"/>
        <w:widowControl/>
        <w:suppressLineNumbers w:val="0"/>
        <w:spacing w:before="0" w:beforeAutospacing="0"/>
        <w:ind w:left="0" w:firstLine="480" w:firstLineChars="200"/>
        <w:jc w:val="left"/>
        <w:rPr>
          <w:rFonts w:hint="eastAsia"/>
          <w:shd w:val="clear" w:fill="FFFFFF"/>
          <w:lang w:val="zh-CN" w:eastAsia="zh-CN"/>
        </w:rPr>
      </w:pPr>
      <w:r>
        <w:rPr>
          <w:rFonts w:hint="eastAsia"/>
          <w:shd w:val="clear" w:fill="FFFFFF"/>
          <w:lang w:val="zh-CN" w:eastAsia="zh-CN"/>
        </w:rPr>
        <w:t>1.编制旅游规划。组织编制旅游发展规划、旅游景区、景点规划和旅游专项规划等旅游规划并监督实施；负责旅游业发展的组织协调和行业指导、监督管理工作。</w:t>
      </w:r>
    </w:p>
    <w:p>
      <w:pPr>
        <w:pStyle w:val="9"/>
        <w:keepNext w:val="0"/>
        <w:keepLines w:val="0"/>
        <w:widowControl/>
        <w:suppressLineNumbers w:val="0"/>
        <w:spacing w:before="0" w:beforeAutospacing="0"/>
        <w:ind w:left="0" w:firstLine="480" w:firstLineChars="200"/>
        <w:jc w:val="left"/>
        <w:rPr>
          <w:rFonts w:hint="eastAsia"/>
          <w:shd w:val="clear" w:fill="FFFFFF"/>
          <w:lang w:val="zh-CN" w:eastAsia="zh-CN"/>
        </w:rPr>
      </w:pPr>
      <w:r>
        <w:rPr>
          <w:rFonts w:hint="eastAsia"/>
          <w:shd w:val="clear" w:fill="FFFFFF"/>
          <w:lang w:val="zh-CN" w:eastAsia="zh-CN"/>
        </w:rPr>
        <w:t>2.实施旅游执法。负责贯彻执行旅游管理的法律、法规和规章，履行旅游行业行政管理职能；负责旅游服务质量执法监督和旅游投诉处理；参与旅游市场价格检查工作；负责旅游安全，参与重大旅游安全事故的救援与处理；指导旅游文化工作和旅游行业精神文明建设。</w:t>
      </w:r>
    </w:p>
    <w:p>
      <w:pPr>
        <w:pStyle w:val="9"/>
        <w:keepNext w:val="0"/>
        <w:keepLines w:val="0"/>
        <w:widowControl/>
        <w:suppressLineNumbers w:val="0"/>
        <w:spacing w:before="0" w:beforeAutospacing="0"/>
        <w:ind w:left="0" w:firstLine="480" w:firstLineChars="200"/>
        <w:jc w:val="left"/>
        <w:rPr>
          <w:rFonts w:hint="eastAsia"/>
          <w:shd w:val="clear" w:fill="FFFFFF"/>
          <w:lang w:val="zh-CN" w:eastAsia="zh-CN"/>
        </w:rPr>
      </w:pPr>
      <w:r>
        <w:rPr>
          <w:rFonts w:hint="eastAsia"/>
          <w:shd w:val="clear" w:fill="FFFFFF"/>
          <w:lang w:val="zh-CN" w:eastAsia="zh-CN"/>
        </w:rPr>
        <w:t>3.实施行业管理。拟制旅游发展产业政策并指导实施；组织实施国家标准和国家、省、市制定的行业标准；审核、申报经营旅游业务的旅行社(公司)、A级旅游景区、星级宾馆、饭店等，负责日常管理工作并协助评定和复核工作;培育和完善旅游市场；建立旅游资源信息库；组织、指导旅游商品的开发；指导直属企事业单位和旅游行业协会工作；组织、指导旅游统计工作。</w:t>
      </w:r>
    </w:p>
    <w:p>
      <w:pPr>
        <w:pStyle w:val="9"/>
        <w:keepNext w:val="0"/>
        <w:keepLines w:val="0"/>
        <w:widowControl/>
        <w:suppressLineNumbers w:val="0"/>
        <w:spacing w:before="0" w:beforeAutospacing="0"/>
        <w:ind w:left="0" w:firstLine="480" w:firstLineChars="200"/>
        <w:jc w:val="left"/>
        <w:rPr>
          <w:rFonts w:hint="eastAsia"/>
          <w:shd w:val="clear" w:fill="FFFFFF"/>
          <w:lang w:val="zh-CN" w:eastAsia="zh-CN"/>
        </w:rPr>
      </w:pPr>
      <w:r>
        <w:rPr>
          <w:rFonts w:hint="eastAsia"/>
          <w:shd w:val="clear" w:fill="FFFFFF"/>
          <w:lang w:val="zh-CN" w:eastAsia="zh-CN"/>
        </w:rPr>
        <w:t>4.组织市场开发。拟制国际、国内旅游市场开发战略；组织实施旅游主题形象策划，对内、对外宣传国内外旅游市场重大促销活动；管理旅游涉外事务和旅游对外交流与合作；负责规范旅游业市场开发，链接旅游线路，制定开发计划、措施及相关政策。</w:t>
      </w:r>
    </w:p>
    <w:p>
      <w:pPr>
        <w:pStyle w:val="9"/>
        <w:keepNext w:val="0"/>
        <w:keepLines w:val="0"/>
        <w:widowControl/>
        <w:suppressLineNumbers w:val="0"/>
        <w:spacing w:before="0" w:beforeAutospacing="0"/>
        <w:ind w:left="0" w:firstLine="480" w:firstLineChars="200"/>
        <w:jc w:val="left"/>
        <w:rPr>
          <w:rFonts w:hint="eastAsia"/>
          <w:shd w:val="clear" w:fill="FFFFFF"/>
          <w:lang w:val="zh-CN" w:eastAsia="zh-CN"/>
        </w:rPr>
      </w:pPr>
      <w:r>
        <w:rPr>
          <w:rFonts w:hint="eastAsia"/>
          <w:shd w:val="clear" w:fill="FFFFFF"/>
          <w:lang w:val="zh-CN" w:eastAsia="zh-CN"/>
        </w:rPr>
        <w:t>5.组织教育培训。指导旅游教育培训工作，组织实施旅游从业人员资格制度和等级制度。</w:t>
      </w:r>
    </w:p>
    <w:p>
      <w:pPr>
        <w:pStyle w:val="9"/>
        <w:keepNext w:val="0"/>
        <w:keepLines w:val="0"/>
        <w:widowControl/>
        <w:suppressLineNumbers w:val="0"/>
        <w:spacing w:before="0" w:beforeAutospacing="0"/>
        <w:ind w:left="0" w:firstLine="480" w:firstLineChars="200"/>
        <w:jc w:val="left"/>
        <w:rPr>
          <w:rFonts w:hint="eastAsia"/>
          <w:shd w:val="clear" w:fill="FFFFFF"/>
          <w:lang w:val="zh-CN" w:eastAsia="zh-CN"/>
        </w:rPr>
      </w:pPr>
      <w:r>
        <w:rPr>
          <w:rFonts w:hint="eastAsia"/>
          <w:shd w:val="clear" w:fill="FFFFFF"/>
          <w:lang w:val="zh-CN" w:eastAsia="zh-CN"/>
        </w:rPr>
        <w:t>6.履行相关</w:t>
      </w:r>
      <w:r>
        <w:rPr>
          <w:rFonts w:hint="eastAsia"/>
          <w:shd w:val="clear" w:fill="FFFFFF"/>
          <w:lang w:val="zh-CN" w:eastAsia="zh-CN"/>
        </w:rPr>
        <w:fldChar w:fldCharType="begin"/>
      </w:r>
      <w:r>
        <w:rPr>
          <w:rFonts w:hint="eastAsia"/>
          <w:shd w:val="clear" w:fill="FFFFFF"/>
          <w:lang w:val="zh-CN" w:eastAsia="zh-CN"/>
        </w:rPr>
        <w:instrText xml:space="preserve"> HYPERLINK "http://www.zhize8.com/" \t "http://www.zhize8.com/zhize/_blank" </w:instrText>
      </w:r>
      <w:r>
        <w:rPr>
          <w:rFonts w:hint="eastAsia"/>
          <w:shd w:val="clear" w:fill="FFFFFF"/>
          <w:lang w:val="zh-CN" w:eastAsia="zh-CN"/>
        </w:rPr>
        <w:fldChar w:fldCharType="separate"/>
      </w:r>
      <w:r>
        <w:rPr>
          <w:rFonts w:hint="eastAsia"/>
          <w:shd w:val="clear" w:fill="FFFFFF"/>
          <w:lang w:val="zh-CN" w:eastAsia="zh-CN"/>
        </w:rPr>
        <w:t>职责</w:t>
      </w:r>
      <w:r>
        <w:rPr>
          <w:rFonts w:hint="eastAsia"/>
          <w:shd w:val="clear" w:fill="FFFFFF"/>
          <w:lang w:val="zh-CN" w:eastAsia="zh-CN"/>
        </w:rPr>
        <w:fldChar w:fldCharType="end"/>
      </w:r>
      <w:r>
        <w:rPr>
          <w:rFonts w:hint="eastAsia"/>
          <w:shd w:val="clear" w:fill="FFFFFF"/>
          <w:lang w:val="zh-CN" w:eastAsia="zh-CN"/>
        </w:rPr>
        <w:t>。受上级委托对旅游集团和直属旅游企业国有资产的保值增值进行监督管理，负责局机关党群工作，承办上级交办的其他事项。</w:t>
      </w:r>
    </w:p>
    <w:p>
      <w:pPr>
        <w:pStyle w:val="9"/>
        <w:keepNext w:val="0"/>
        <w:keepLines w:val="0"/>
        <w:widowControl/>
        <w:suppressLineNumbers w:val="0"/>
        <w:spacing w:before="0" w:beforeAutospacing="0"/>
        <w:ind w:left="0" w:firstLine="480" w:firstLineChars="200"/>
        <w:jc w:val="left"/>
        <w:rPr>
          <w:rFonts w:hint="default"/>
          <w:shd w:val="clear" w:fill="FFFFFF"/>
          <w:lang w:val="en-US" w:eastAsia="zh-CN"/>
        </w:rPr>
      </w:pPr>
      <w:r>
        <w:rPr>
          <w:rFonts w:hint="eastAsia"/>
          <w:shd w:val="clear" w:fill="FFFFFF"/>
          <w:lang w:val="en-US" w:eastAsia="zh-CN"/>
        </w:rPr>
        <w:t xml:space="preserve">  金川县观音桥景区工作中心属于事业单位，执行的是行政事业单位会计制度，编制人数为13人，实有人数12人。退休人数0人，遗嘱0人.</w:t>
      </w:r>
    </w:p>
    <w:p>
      <w:pPr>
        <w:pStyle w:val="9"/>
        <w:keepNext w:val="0"/>
        <w:keepLines w:val="0"/>
        <w:widowControl/>
        <w:numPr>
          <w:ilvl w:val="0"/>
          <w:numId w:val="0"/>
        </w:numPr>
        <w:suppressLineNumbers w:val="0"/>
        <w:spacing w:before="0" w:beforeAutospacing="0"/>
        <w:ind w:right="0" w:rightChars="0"/>
        <w:jc w:val="left"/>
        <w:rPr>
          <w:rFonts w:hint="default" w:eastAsiaTheme="minorEastAsia"/>
          <w:shd w:val="clear" w:fill="FFFFFF"/>
          <w:lang w:val="en-US" w:eastAsia="zh-CN"/>
        </w:rPr>
      </w:pPr>
    </w:p>
    <w:p>
      <w:pPr>
        <w:pStyle w:val="9"/>
        <w:keepNext w:val="0"/>
        <w:keepLines w:val="0"/>
        <w:widowControl/>
        <w:numPr>
          <w:ilvl w:val="0"/>
          <w:numId w:val="2"/>
        </w:numPr>
        <w:suppressLineNumbers w:val="0"/>
        <w:spacing w:before="0" w:beforeAutospacing="0"/>
        <w:ind w:left="0" w:leftChars="0" w:firstLine="0" w:firstLineChars="0"/>
        <w:jc w:val="left"/>
        <w:rPr>
          <w:shd w:val="clear" w:fill="FFFFFF"/>
        </w:rPr>
      </w:pPr>
      <w:r>
        <w:rPr>
          <w:shd w:val="clear" w:fill="FFFFFF"/>
        </w:rPr>
        <w:t>年度主要工作任务。</w:t>
      </w:r>
    </w:p>
    <w:p>
      <w:pPr>
        <w:pStyle w:val="9"/>
        <w:keepNext w:val="0"/>
        <w:keepLines w:val="0"/>
        <w:widowControl/>
        <w:numPr>
          <w:ilvl w:val="0"/>
          <w:numId w:val="0"/>
        </w:numPr>
        <w:suppressLineNumbers w:val="0"/>
        <w:spacing w:before="0" w:beforeAutospacing="0"/>
        <w:ind w:leftChars="0" w:right="0" w:rightChars="0" w:firstLine="480" w:firstLineChars="200"/>
        <w:jc w:val="left"/>
      </w:pPr>
      <w:r>
        <w:rPr>
          <w:rFonts w:hint="eastAsia" w:ascii="仿宋_GB2312" w:hAnsi="宋体" w:cs="宋体"/>
          <w:color w:val="000000"/>
          <w:kern w:val="0"/>
          <w:lang w:val="zh-CN"/>
        </w:rPr>
        <w:t>严格按照县级部门预算编制通知和有关要求，按时完成基础库、项目库报送工作，按时完成2022年预算编制工作，并按时提交部门预算草案。按规定编制政府采购预算，预算编制全面、科学。按时完成基础库、项目库报送工作；预算编制准确，预工委审查后提出未提出修改的问题；部门整体绩效目标能完整、合理反映部门年度职责履行情况；</w:t>
      </w:r>
    </w:p>
    <w:p>
      <w:pPr>
        <w:pStyle w:val="9"/>
        <w:keepNext w:val="0"/>
        <w:keepLines w:val="0"/>
        <w:widowControl/>
        <w:numPr>
          <w:ilvl w:val="0"/>
          <w:numId w:val="2"/>
        </w:numPr>
        <w:suppressLineNumbers w:val="0"/>
        <w:spacing w:before="0" w:beforeAutospacing="0"/>
        <w:ind w:left="0" w:leftChars="0" w:firstLine="0" w:firstLineChars="0"/>
        <w:jc w:val="left"/>
        <w:rPr>
          <w:shd w:val="clear" w:fill="FFFFFF"/>
        </w:rPr>
      </w:pPr>
      <w:r>
        <w:rPr>
          <w:shd w:val="clear" w:fill="FFFFFF"/>
        </w:rPr>
        <w:t>部门整体支出绩效目标。</w:t>
      </w:r>
    </w:p>
    <w:p>
      <w:pPr>
        <w:widowControl/>
        <w:adjustRightInd w:val="0"/>
        <w:snapToGrid w:val="0"/>
        <w:spacing w:line="480" w:lineRule="exact"/>
        <w:ind w:firstLine="720"/>
        <w:jc w:val="left"/>
        <w:rPr>
          <w:rFonts w:ascii="仿宋_GB2312" w:hAnsi="宋体" w:cs="宋体"/>
          <w:color w:val="000000"/>
          <w:kern w:val="0"/>
          <w:lang w:val="zh-CN"/>
        </w:rPr>
      </w:pPr>
      <w:r>
        <w:rPr>
          <w:rFonts w:hint="eastAsia" w:ascii="仿宋_GB2312" w:hAnsi="宋体" w:cs="宋体"/>
          <w:color w:val="000000"/>
          <w:kern w:val="0"/>
          <w:lang w:val="zh-CN"/>
        </w:rPr>
        <w:t>严格按照县财政通知要求公开预算、决算、部门整体绩效；严格按照县财政局要求对部门整体全面进行绩效评价，并及时上报财政，对绩效评价发现问题制定整改措施，并整改落实到位；严格按照县财政局文件要求及时进行自查，并上报材料，未发现违纪违规问题。2根据部门职能职责，认真完成县委县政府安排的各项专项工作任务及其他年度重点工作任务。</w:t>
      </w:r>
    </w:p>
    <w:p>
      <w:pPr>
        <w:pStyle w:val="9"/>
        <w:keepNext w:val="0"/>
        <w:keepLines w:val="0"/>
        <w:widowControl/>
        <w:numPr>
          <w:ilvl w:val="0"/>
          <w:numId w:val="0"/>
        </w:numPr>
        <w:suppressLineNumbers w:val="0"/>
        <w:spacing w:before="0" w:beforeAutospacing="0"/>
        <w:ind w:leftChars="0" w:right="0" w:rightChars="0"/>
        <w:jc w:val="left"/>
        <w:rPr>
          <w:shd w:val="clear" w:fill="FFFFFF"/>
        </w:rPr>
      </w:pPr>
    </w:p>
    <w:p>
      <w:pPr>
        <w:pStyle w:val="9"/>
        <w:keepNext w:val="0"/>
        <w:keepLines w:val="0"/>
        <w:widowControl/>
        <w:suppressLineNumbers w:val="0"/>
        <w:spacing w:before="0" w:beforeAutospacing="0"/>
        <w:ind w:left="0"/>
        <w:jc w:val="left"/>
        <w:outlineLvl w:val="1"/>
      </w:pPr>
      <w:bookmarkStart w:id="18" w:name="_Toc21826"/>
      <w:r>
        <w:rPr>
          <w:shd w:val="clear" w:fill="FFFFFF"/>
        </w:rPr>
        <w:t>二、部门财政资金收支情况</w:t>
      </w:r>
      <w:bookmarkEnd w:id="18"/>
    </w:p>
    <w:p>
      <w:pPr>
        <w:pStyle w:val="9"/>
        <w:keepNext w:val="0"/>
        <w:keepLines w:val="0"/>
        <w:widowControl/>
        <w:suppressLineNumbers w:val="0"/>
        <w:spacing w:before="0" w:beforeAutospacing="0"/>
        <w:ind w:left="0"/>
        <w:jc w:val="left"/>
        <w:rPr>
          <w:shd w:val="clear" w:fill="FFFFFF"/>
        </w:rPr>
      </w:pPr>
      <w:r>
        <w:rPr>
          <w:shd w:val="clear" w:fill="FFFFFF"/>
        </w:rPr>
        <w:t>（一）部门财政资金收入情况。</w:t>
      </w:r>
    </w:p>
    <w:p>
      <w:pPr>
        <w:pStyle w:val="9"/>
        <w:keepNext w:val="0"/>
        <w:keepLines w:val="0"/>
        <w:widowControl/>
        <w:suppressLineNumbers w:val="0"/>
        <w:spacing w:before="0" w:beforeAutospacing="0"/>
        <w:ind w:left="0" w:firstLine="480" w:firstLineChars="200"/>
        <w:jc w:val="left"/>
        <w:rPr>
          <w:shd w:val="clear" w:fill="FFFFFF"/>
        </w:rPr>
      </w:pPr>
      <w:r>
        <w:rPr>
          <w:rFonts w:hint="eastAsia" w:asciiTheme="minorEastAsia" w:hAnsiTheme="minorEastAsia" w:eastAsiaTheme="minorEastAsia" w:cstheme="minorEastAsia"/>
          <w:kern w:val="0"/>
          <w:sz w:val="24"/>
          <w:szCs w:val="24"/>
          <w:shd w:val="clear" w:fill="FFFFFF"/>
          <w:lang w:val="en-US" w:eastAsia="zh-CN" w:bidi="ar"/>
        </w:rPr>
        <w:t>2022年财政拨款年初预算收入130.13万元，财政拨款收入130.13万元</w:t>
      </w:r>
      <w:r>
        <w:rPr>
          <w:rFonts w:hint="eastAsia" w:ascii="宋体" w:hAnsi="宋体" w:cs="宋体"/>
          <w:color w:val="000000"/>
          <w:sz w:val="32"/>
          <w:szCs w:val="32"/>
        </w:rPr>
        <w:t>；</w:t>
      </w:r>
    </w:p>
    <w:p>
      <w:pPr>
        <w:pStyle w:val="9"/>
        <w:keepNext w:val="0"/>
        <w:keepLines w:val="0"/>
        <w:widowControl/>
        <w:numPr>
          <w:ilvl w:val="0"/>
          <w:numId w:val="3"/>
        </w:numPr>
        <w:suppressLineNumbers w:val="0"/>
        <w:spacing w:before="0" w:beforeAutospacing="0"/>
        <w:ind w:left="0"/>
        <w:jc w:val="left"/>
        <w:rPr>
          <w:shd w:val="clear" w:fill="FFFFFF"/>
        </w:rPr>
      </w:pPr>
      <w:r>
        <w:rPr>
          <w:shd w:val="clear" w:fill="FFFFFF"/>
        </w:rPr>
        <w:t>部门财政资金支出情况。</w:t>
      </w:r>
    </w:p>
    <w:p>
      <w:pPr>
        <w:pStyle w:val="9"/>
        <w:keepNext w:val="0"/>
        <w:keepLines w:val="0"/>
        <w:widowControl/>
        <w:suppressLineNumbers w:val="0"/>
        <w:spacing w:before="0" w:beforeAutospacing="0"/>
        <w:ind w:left="0" w:firstLine="480" w:firstLineChars="200"/>
        <w:jc w:val="left"/>
        <w:rPr>
          <w:rFonts w:hint="eastAsia"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2022年总收入130.13万元，总支出205.87万元</w:t>
      </w:r>
    </w:p>
    <w:p>
      <w:pPr>
        <w:pStyle w:val="9"/>
        <w:keepNext w:val="0"/>
        <w:keepLines w:val="0"/>
        <w:widowControl/>
        <w:suppressLineNumbers w:val="0"/>
        <w:spacing w:before="0" w:beforeAutospacing="0"/>
        <w:ind w:left="0"/>
        <w:jc w:val="left"/>
      </w:pPr>
      <w:r>
        <w:rPr>
          <w:shd w:val="clear" w:fill="FFFFFF"/>
        </w:rPr>
        <w:t>（二）结果应用情况。</w:t>
      </w:r>
    </w:p>
    <w:p>
      <w:pPr>
        <w:widowControl/>
        <w:adjustRightInd w:val="0"/>
        <w:snapToGrid w:val="0"/>
        <w:spacing w:line="480" w:lineRule="exact"/>
        <w:ind w:firstLine="720"/>
        <w:jc w:val="left"/>
        <w:rPr>
          <w:rFonts w:ascii="仿宋_GB2312" w:hAnsi="宋体" w:cs="宋体"/>
          <w:color w:val="000000"/>
          <w:kern w:val="0"/>
          <w:lang w:val="zh-CN"/>
        </w:rPr>
      </w:pPr>
      <w:r>
        <w:rPr>
          <w:rFonts w:hint="eastAsia" w:ascii="仿宋_GB2312" w:hAnsi="宋体" w:cs="宋体"/>
          <w:color w:val="000000"/>
          <w:kern w:val="0"/>
          <w:lang w:val="zh-CN"/>
        </w:rPr>
        <w:t>我中心严格按照县财政通知要求公开预算、决算、部门整体绩效；严格按照县财政局要求对部门整体全面进行绩效评价，并及时上报财政，对绩效评价发现问题制定整改措施，并整改落实到位；严格按照县财政局文件要求及时进行自查，并上报材料，未发现违纪违规问题。2根据部门职能职责，认真完成县委县政府安排的各项专项工作任务及其他年度重点工作任务。</w:t>
      </w:r>
    </w:p>
    <w:p>
      <w:pPr>
        <w:pStyle w:val="9"/>
        <w:keepNext w:val="0"/>
        <w:keepLines w:val="0"/>
        <w:widowControl/>
        <w:suppressLineNumbers w:val="0"/>
        <w:spacing w:before="0" w:beforeAutospacing="0"/>
        <w:ind w:left="0"/>
        <w:jc w:val="left"/>
        <w:outlineLvl w:val="1"/>
      </w:pPr>
      <w:bookmarkStart w:id="19" w:name="_Toc569"/>
      <w:r>
        <w:rPr>
          <w:shd w:val="clear" w:fill="FFFFFF"/>
        </w:rPr>
        <w:t>四、评价结论及建议</w:t>
      </w:r>
      <w:bookmarkEnd w:id="19"/>
    </w:p>
    <w:p>
      <w:pPr>
        <w:pStyle w:val="9"/>
        <w:keepNext w:val="0"/>
        <w:keepLines w:val="0"/>
        <w:widowControl/>
        <w:suppressLineNumbers w:val="0"/>
        <w:spacing w:before="0" w:beforeAutospacing="0"/>
        <w:ind w:left="0"/>
        <w:jc w:val="left"/>
        <w:rPr>
          <w:shd w:val="clear" w:fill="FFFFFF"/>
        </w:rPr>
      </w:pPr>
      <w:r>
        <w:rPr>
          <w:shd w:val="clear" w:fill="FFFFFF"/>
        </w:rPr>
        <w:t>（一）评价结论。</w:t>
      </w:r>
    </w:p>
    <w:p>
      <w:pPr>
        <w:ind w:firstLine="480" w:firstLineChars="200"/>
        <w:rPr>
          <w:rFonts w:hint="eastAsia" w:asciiTheme="minorEastAsia" w:hAnsiTheme="minorEastAsia" w:eastAsiaTheme="minorEastAsia" w:cstheme="minorEastAsia"/>
          <w:kern w:val="0"/>
          <w:sz w:val="24"/>
          <w:szCs w:val="24"/>
          <w:shd w:val="clear" w:fill="FFFFFF"/>
          <w:lang w:val="zh-CN" w:eastAsia="zh-CN" w:bidi="ar"/>
        </w:rPr>
      </w:pPr>
      <w:r>
        <w:rPr>
          <w:rFonts w:hint="eastAsia" w:asciiTheme="minorEastAsia" w:hAnsiTheme="minorEastAsia" w:eastAsiaTheme="minorEastAsia" w:cstheme="minorEastAsia"/>
          <w:kern w:val="0"/>
          <w:sz w:val="24"/>
          <w:szCs w:val="24"/>
          <w:shd w:val="clear" w:fill="FFFFFF"/>
          <w:lang w:val="en-US" w:eastAsia="zh-CN" w:bidi="ar"/>
        </w:rPr>
        <w:t>我中心开展了整体支出绩效评价，本部门对2022年整体支出开展绩效自评，自评得分76分</w:t>
      </w:r>
      <w:r>
        <w:rPr>
          <w:rFonts w:hint="eastAsia" w:asciiTheme="minorEastAsia" w:hAnsiTheme="minorEastAsia" w:eastAsiaTheme="minorEastAsia" w:cstheme="minorEastAsia"/>
          <w:kern w:val="0"/>
          <w:sz w:val="24"/>
          <w:szCs w:val="24"/>
          <w:shd w:val="clear" w:fill="FFFFFF"/>
          <w:lang w:val="zh-CN" w:eastAsia="zh-CN" w:bidi="ar"/>
        </w:rPr>
        <w:t>，部门整体绩效运行良好。</w:t>
      </w:r>
    </w:p>
    <w:p>
      <w:pPr>
        <w:pStyle w:val="9"/>
        <w:keepNext w:val="0"/>
        <w:keepLines w:val="0"/>
        <w:widowControl/>
        <w:suppressLineNumbers w:val="0"/>
        <w:spacing w:before="0" w:beforeAutospacing="0"/>
        <w:ind w:left="0"/>
        <w:jc w:val="left"/>
        <w:rPr>
          <w:rFonts w:asciiTheme="minorEastAsia" w:hAnsiTheme="minorEastAsia" w:eastAsiaTheme="minorEastAsia" w:cstheme="minorEastAsia"/>
          <w:kern w:val="0"/>
          <w:sz w:val="24"/>
          <w:szCs w:val="24"/>
          <w:shd w:val="clear" w:fill="FFFFFF"/>
          <w:lang w:val="en-US" w:eastAsia="zh-CN" w:bidi="ar"/>
        </w:rPr>
      </w:pPr>
    </w:p>
    <w:p>
      <w:pPr>
        <w:pStyle w:val="9"/>
        <w:keepNext w:val="0"/>
        <w:keepLines w:val="0"/>
        <w:widowControl/>
        <w:numPr>
          <w:ilvl w:val="0"/>
          <w:numId w:val="3"/>
        </w:numPr>
        <w:suppressLineNumbers w:val="0"/>
        <w:spacing w:before="0" w:beforeAutospacing="0"/>
        <w:ind w:left="0" w:leftChars="0" w:firstLine="0" w:firstLineChars="0"/>
        <w:jc w:val="left"/>
        <w:rPr>
          <w:rFonts w:asciiTheme="minorEastAsia" w:hAnsiTheme="minorEastAsia" w:eastAsiaTheme="minorEastAsia" w:cstheme="minorEastAsia"/>
          <w:kern w:val="0"/>
          <w:sz w:val="24"/>
          <w:szCs w:val="24"/>
          <w:shd w:val="clear" w:fill="FFFFFF"/>
          <w:lang w:val="en-US" w:eastAsia="zh-CN" w:bidi="ar"/>
        </w:rPr>
      </w:pPr>
      <w:r>
        <w:rPr>
          <w:rFonts w:asciiTheme="minorEastAsia" w:hAnsiTheme="minorEastAsia" w:eastAsiaTheme="minorEastAsia" w:cstheme="minorEastAsia"/>
          <w:kern w:val="0"/>
          <w:sz w:val="24"/>
          <w:szCs w:val="24"/>
          <w:shd w:val="clear" w:fill="FFFFFF"/>
          <w:lang w:val="en-US" w:eastAsia="zh-CN" w:bidi="ar"/>
        </w:rPr>
        <w:t>存在问题。</w:t>
      </w:r>
    </w:p>
    <w:p>
      <w:pPr>
        <w:pStyle w:val="9"/>
        <w:keepNext w:val="0"/>
        <w:keepLines w:val="0"/>
        <w:widowControl/>
        <w:numPr>
          <w:ilvl w:val="0"/>
          <w:numId w:val="0"/>
        </w:numPr>
        <w:suppressLineNumbers w:val="0"/>
        <w:spacing w:before="0" w:beforeAutospacing="0"/>
        <w:ind w:leftChars="0" w:right="0" w:rightChars="0"/>
        <w:jc w:val="left"/>
        <w:rPr>
          <w:rFonts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一是履职成效不高，二是内部控制管理不健全，三是目标任务不明确。</w:t>
      </w:r>
    </w:p>
    <w:p>
      <w:pPr>
        <w:pStyle w:val="9"/>
        <w:keepNext w:val="0"/>
        <w:keepLines w:val="0"/>
        <w:widowControl/>
        <w:numPr>
          <w:ilvl w:val="0"/>
          <w:numId w:val="3"/>
        </w:numPr>
        <w:suppressLineNumbers w:val="0"/>
        <w:spacing w:before="0" w:beforeAutospacing="0"/>
        <w:ind w:left="0" w:leftChars="0" w:firstLine="0" w:firstLineChars="0"/>
        <w:jc w:val="left"/>
        <w:rPr>
          <w:rFonts w:asciiTheme="minorEastAsia" w:hAnsiTheme="minorEastAsia" w:eastAsiaTheme="minorEastAsia" w:cstheme="minorEastAsia"/>
          <w:kern w:val="0"/>
          <w:sz w:val="24"/>
          <w:szCs w:val="24"/>
          <w:shd w:val="clear" w:fill="FFFFFF"/>
          <w:lang w:val="en-US" w:eastAsia="zh-CN" w:bidi="ar"/>
        </w:rPr>
      </w:pPr>
      <w:r>
        <w:rPr>
          <w:rFonts w:asciiTheme="minorEastAsia" w:hAnsiTheme="minorEastAsia" w:eastAsiaTheme="minorEastAsia" w:cstheme="minorEastAsia"/>
          <w:kern w:val="0"/>
          <w:sz w:val="24"/>
          <w:szCs w:val="24"/>
          <w:shd w:val="clear" w:fill="FFFFFF"/>
          <w:lang w:val="en-US" w:eastAsia="zh-CN" w:bidi="ar"/>
        </w:rPr>
        <w:t>改进建议。</w:t>
      </w:r>
    </w:p>
    <w:p>
      <w:pPr>
        <w:spacing w:line="560" w:lineRule="exact"/>
        <w:ind w:firstLine="240" w:firstLineChars="100"/>
        <w:rPr>
          <w:rFonts w:hint="eastAsia" w:asciiTheme="minorEastAsia" w:hAnsiTheme="minorEastAsia" w:eastAsiaTheme="minorEastAsia" w:cstheme="minorEastAsia"/>
          <w:kern w:val="0"/>
          <w:sz w:val="24"/>
          <w:szCs w:val="24"/>
          <w:shd w:val="clear" w:fill="FFFFFF"/>
          <w:lang w:val="zh-CN" w:eastAsia="zh-CN" w:bidi="ar"/>
        </w:rPr>
      </w:pPr>
      <w:r>
        <w:rPr>
          <w:rFonts w:hint="eastAsia" w:asciiTheme="minorEastAsia" w:hAnsiTheme="minorEastAsia" w:eastAsiaTheme="minorEastAsia" w:cstheme="minorEastAsia"/>
          <w:kern w:val="0"/>
          <w:sz w:val="24"/>
          <w:szCs w:val="24"/>
          <w:shd w:val="clear" w:fill="FFFFFF"/>
          <w:lang w:val="zh-CN" w:eastAsia="zh-CN" w:bidi="ar"/>
        </w:rPr>
        <w:t>针对我中心预算存在的问题，提出以下建议：</w:t>
      </w:r>
    </w:p>
    <w:p>
      <w:pPr>
        <w:spacing w:line="560" w:lineRule="exact"/>
        <w:ind w:firstLine="480" w:firstLineChars="200"/>
        <w:rPr>
          <w:rFonts w:hint="eastAsia" w:asciiTheme="minorEastAsia" w:hAnsiTheme="minorEastAsia" w:eastAsiaTheme="minorEastAsia" w:cstheme="minorEastAsia"/>
          <w:kern w:val="0"/>
          <w:sz w:val="24"/>
          <w:szCs w:val="24"/>
          <w:shd w:val="clear" w:fill="FFFFFF"/>
          <w:lang w:val="zh-CN" w:eastAsia="zh-CN" w:bidi="ar"/>
        </w:rPr>
      </w:pPr>
      <w:r>
        <w:rPr>
          <w:rFonts w:hint="eastAsia" w:asciiTheme="minorEastAsia" w:hAnsiTheme="minorEastAsia" w:eastAsiaTheme="minorEastAsia" w:cstheme="minorEastAsia"/>
          <w:kern w:val="0"/>
          <w:sz w:val="24"/>
          <w:szCs w:val="24"/>
          <w:shd w:val="clear" w:fill="FFFFFF"/>
          <w:lang w:val="en-US" w:eastAsia="zh-CN" w:bidi="ar"/>
        </w:rPr>
        <w:t>一是改进工作方式，明确预算目标任务，做到相关性、合理性；二是加大对内部控制的管理，建立健全内部控制度，提高绩效管理履职成效。</w:t>
      </w:r>
      <w:r>
        <w:rPr>
          <w:rFonts w:hint="eastAsia" w:asciiTheme="minorEastAsia" w:hAnsiTheme="minorEastAsia" w:eastAsiaTheme="minorEastAsia" w:cstheme="minorEastAsia"/>
          <w:kern w:val="0"/>
          <w:sz w:val="24"/>
          <w:szCs w:val="24"/>
          <w:shd w:val="clear" w:fill="FFFFFF"/>
          <w:lang w:val="zh-CN" w:eastAsia="zh-CN" w:bidi="ar"/>
        </w:rPr>
        <w:t> </w:t>
      </w:r>
    </w:p>
    <w:p>
      <w:pPr>
        <w:pStyle w:val="9"/>
        <w:keepNext w:val="0"/>
        <w:keepLines w:val="0"/>
        <w:widowControl/>
        <w:numPr>
          <w:ilvl w:val="0"/>
          <w:numId w:val="0"/>
        </w:numPr>
        <w:suppressLineNumbers w:val="0"/>
        <w:spacing w:before="0" w:beforeAutospacing="0"/>
        <w:ind w:leftChars="0" w:right="0" w:rightChars="0"/>
        <w:jc w:val="left"/>
        <w:rPr>
          <w:shd w:val="clear" w:fill="FFFFFF"/>
        </w:rPr>
      </w:pPr>
    </w:p>
    <w:p>
      <w:pPr>
        <w:pStyle w:val="9"/>
        <w:keepNext w:val="0"/>
        <w:keepLines w:val="0"/>
        <w:widowControl/>
        <w:suppressLineNumbers w:val="0"/>
        <w:spacing w:before="0" w:beforeAutospacing="0"/>
        <w:ind w:left="0"/>
        <w:jc w:val="left"/>
        <w:rPr>
          <w:shd w:val="clear" w:fill="FFFFFF"/>
        </w:rPr>
      </w:pPr>
      <w:r>
        <w:rPr>
          <w:shd w:val="clear" w:fill="FFFFFF"/>
        </w:rPr>
        <w:t> </w:t>
      </w:r>
    </w:p>
    <w:p>
      <w:pPr>
        <w:pStyle w:val="9"/>
        <w:keepNext w:val="0"/>
        <w:keepLines w:val="0"/>
        <w:widowControl/>
        <w:suppressLineNumbers w:val="0"/>
        <w:spacing w:before="0" w:beforeAutospacing="0"/>
        <w:ind w:left="0"/>
        <w:jc w:val="left"/>
        <w:rPr>
          <w:shd w:val="clear" w:fill="FFFFFF"/>
        </w:rPr>
      </w:pPr>
    </w:p>
    <w:p>
      <w:pPr>
        <w:pStyle w:val="9"/>
        <w:keepNext w:val="0"/>
        <w:keepLines w:val="0"/>
        <w:widowControl/>
        <w:suppressLineNumbers w:val="0"/>
        <w:spacing w:before="0" w:beforeAutospacing="0"/>
        <w:ind w:left="0"/>
        <w:jc w:val="left"/>
        <w:rPr>
          <w:shd w:val="clear" w:fill="FFFFFF"/>
        </w:rPr>
      </w:pPr>
    </w:p>
    <w:p>
      <w:pPr>
        <w:pStyle w:val="9"/>
        <w:keepNext w:val="0"/>
        <w:keepLines w:val="0"/>
        <w:widowControl/>
        <w:suppressLineNumbers w:val="0"/>
        <w:spacing w:before="0" w:beforeAutospacing="0"/>
        <w:ind w:left="0"/>
        <w:jc w:val="left"/>
        <w:rPr>
          <w:shd w:val="clear" w:fill="FFFFFF"/>
        </w:rPr>
      </w:pPr>
    </w:p>
    <w:p>
      <w:pPr>
        <w:pStyle w:val="9"/>
        <w:keepNext w:val="0"/>
        <w:keepLines w:val="0"/>
        <w:widowControl/>
        <w:suppressLineNumbers w:val="0"/>
        <w:spacing w:before="0" w:beforeAutospacing="0"/>
        <w:ind w:left="0"/>
        <w:jc w:val="left"/>
        <w:rPr>
          <w:shd w:val="clear" w:fill="FFFFFF"/>
        </w:rPr>
      </w:pPr>
    </w:p>
    <w:p>
      <w:pPr>
        <w:pStyle w:val="9"/>
        <w:keepNext w:val="0"/>
        <w:keepLines w:val="0"/>
        <w:widowControl/>
        <w:suppressLineNumbers w:val="0"/>
        <w:spacing w:before="0" w:beforeAutospacing="0"/>
        <w:ind w:left="0"/>
        <w:jc w:val="left"/>
        <w:rPr>
          <w:shd w:val="clear" w:fill="FFFFFF"/>
        </w:rPr>
      </w:pPr>
    </w:p>
    <w:p>
      <w:pPr>
        <w:pStyle w:val="9"/>
        <w:keepNext w:val="0"/>
        <w:keepLines w:val="0"/>
        <w:widowControl/>
        <w:suppressLineNumbers w:val="0"/>
        <w:spacing w:before="0" w:beforeAutospacing="0"/>
        <w:ind w:left="0"/>
        <w:jc w:val="left"/>
        <w:rPr>
          <w:shd w:val="clear" w:fill="FFFFFF"/>
        </w:rPr>
      </w:pPr>
    </w:p>
    <w:p>
      <w:pPr>
        <w:pStyle w:val="9"/>
        <w:keepNext w:val="0"/>
        <w:keepLines w:val="0"/>
        <w:widowControl/>
        <w:suppressLineNumbers w:val="0"/>
        <w:spacing w:before="0" w:beforeAutospacing="0"/>
        <w:ind w:left="0"/>
        <w:jc w:val="left"/>
        <w:rPr>
          <w:shd w:val="clear" w:fill="FFFFFF"/>
        </w:rPr>
      </w:pPr>
    </w:p>
    <w:p>
      <w:pPr>
        <w:pStyle w:val="9"/>
        <w:keepNext w:val="0"/>
        <w:keepLines w:val="0"/>
        <w:widowControl/>
        <w:suppressLineNumbers w:val="0"/>
        <w:spacing w:before="0" w:beforeAutospacing="0"/>
        <w:ind w:left="0"/>
        <w:jc w:val="left"/>
        <w:rPr>
          <w:shd w:val="clear" w:fill="FFFFFF"/>
        </w:rPr>
      </w:pPr>
    </w:p>
    <w:p>
      <w:pPr>
        <w:pStyle w:val="9"/>
        <w:keepNext w:val="0"/>
        <w:keepLines w:val="0"/>
        <w:widowControl/>
        <w:suppressLineNumbers w:val="0"/>
        <w:spacing w:before="0" w:beforeAutospacing="0"/>
        <w:ind w:left="0"/>
        <w:jc w:val="left"/>
      </w:pPr>
      <w:r>
        <w:rPr>
          <w:shd w:val="clear" w:fill="FFFFFF"/>
        </w:rPr>
        <w:t> </w:t>
      </w:r>
    </w:p>
    <w:p>
      <w:pPr>
        <w:pStyle w:val="9"/>
        <w:keepNext w:val="0"/>
        <w:keepLines w:val="0"/>
        <w:widowControl/>
        <w:suppressLineNumbers w:val="0"/>
        <w:spacing w:before="0" w:beforeAutospacing="0"/>
        <w:ind w:left="0"/>
        <w:jc w:val="left"/>
      </w:pPr>
      <w:r>
        <w:rPr>
          <w:shd w:val="clear" w:fill="FFFFFF"/>
        </w:rPr>
        <w:t> </w:t>
      </w:r>
    </w:p>
    <w:p>
      <w:pPr>
        <w:pStyle w:val="9"/>
        <w:keepNext w:val="0"/>
        <w:keepLines w:val="0"/>
        <w:widowControl/>
        <w:suppressLineNumbers w:val="0"/>
        <w:spacing w:before="0" w:beforeAutospacing="0"/>
        <w:ind w:left="0"/>
        <w:jc w:val="left"/>
      </w:pPr>
      <w:r>
        <w:rPr>
          <w:shd w:val="clear" w:fill="FFFFFF"/>
        </w:rPr>
        <w:t> </w:t>
      </w:r>
    </w:p>
    <w:p>
      <w:pPr>
        <w:pStyle w:val="9"/>
        <w:keepNext w:val="0"/>
        <w:keepLines w:val="0"/>
        <w:widowControl/>
        <w:suppressLineNumbers w:val="0"/>
        <w:spacing w:before="0" w:beforeAutospacing="0"/>
        <w:ind w:left="0"/>
        <w:jc w:val="center"/>
        <w:outlineLvl w:val="0"/>
      </w:pPr>
      <w:bookmarkStart w:id="20" w:name="_Toc9936"/>
      <w:r>
        <w:rPr>
          <w:rStyle w:val="12"/>
          <w:sz w:val="39"/>
          <w:szCs w:val="39"/>
          <w:shd w:val="clear" w:fill="FFFFFF"/>
        </w:rPr>
        <w:t>第五部分 附表</w:t>
      </w:r>
      <w:bookmarkEnd w:id="20"/>
    </w:p>
    <w:p>
      <w:pPr>
        <w:pStyle w:val="4"/>
        <w:keepNext w:val="0"/>
        <w:keepLines w:val="0"/>
        <w:widowControl/>
        <w:suppressLineNumbers w:val="0"/>
        <w:spacing w:before="0" w:beforeAutospacing="0"/>
        <w:ind w:left="0"/>
        <w:jc w:val="left"/>
      </w:pPr>
      <w:bookmarkStart w:id="21" w:name="_Toc3847"/>
      <w:r>
        <w:rPr>
          <w:shd w:val="clear" w:fill="FFFFFF"/>
        </w:rPr>
        <w:t>一、收入支出决算总表</w:t>
      </w:r>
      <w:bookmarkEnd w:id="21"/>
    </w:p>
    <w:p>
      <w:pPr>
        <w:pStyle w:val="4"/>
        <w:keepNext w:val="0"/>
        <w:keepLines w:val="0"/>
        <w:widowControl/>
        <w:suppressLineNumbers w:val="0"/>
        <w:spacing w:before="0" w:beforeAutospacing="0"/>
        <w:ind w:left="0"/>
        <w:jc w:val="left"/>
      </w:pPr>
      <w:bookmarkStart w:id="22" w:name="_Toc2841"/>
      <w:r>
        <w:rPr>
          <w:shd w:val="clear" w:fill="FFFFFF"/>
        </w:rPr>
        <w:t>二、收入决算表</w:t>
      </w:r>
      <w:bookmarkEnd w:id="22"/>
    </w:p>
    <w:p>
      <w:pPr>
        <w:pStyle w:val="4"/>
        <w:keepNext w:val="0"/>
        <w:keepLines w:val="0"/>
        <w:widowControl/>
        <w:suppressLineNumbers w:val="0"/>
        <w:spacing w:before="0" w:beforeAutospacing="0"/>
        <w:ind w:left="0"/>
        <w:jc w:val="left"/>
      </w:pPr>
      <w:bookmarkStart w:id="23" w:name="_Toc5297"/>
      <w:r>
        <w:rPr>
          <w:shd w:val="clear" w:fill="FFFFFF"/>
        </w:rPr>
        <w:t>三、支出决算表</w:t>
      </w:r>
      <w:bookmarkEnd w:id="23"/>
    </w:p>
    <w:p>
      <w:pPr>
        <w:pStyle w:val="4"/>
        <w:keepNext w:val="0"/>
        <w:keepLines w:val="0"/>
        <w:widowControl/>
        <w:suppressLineNumbers w:val="0"/>
        <w:spacing w:before="0" w:beforeAutospacing="0"/>
        <w:ind w:left="0"/>
        <w:jc w:val="left"/>
      </w:pPr>
      <w:bookmarkStart w:id="24" w:name="_Toc27312"/>
      <w:r>
        <w:rPr>
          <w:shd w:val="clear" w:fill="FFFFFF"/>
        </w:rPr>
        <w:t>四、财政拨款收入支出决算总表</w:t>
      </w:r>
      <w:bookmarkEnd w:id="24"/>
    </w:p>
    <w:p>
      <w:pPr>
        <w:pStyle w:val="4"/>
        <w:keepNext w:val="0"/>
        <w:keepLines w:val="0"/>
        <w:widowControl/>
        <w:suppressLineNumbers w:val="0"/>
        <w:spacing w:before="0" w:beforeAutospacing="0"/>
        <w:ind w:left="0"/>
        <w:jc w:val="left"/>
      </w:pPr>
      <w:bookmarkStart w:id="25" w:name="_Toc3020"/>
      <w:r>
        <w:rPr>
          <w:shd w:val="clear" w:fill="FFFFFF"/>
        </w:rPr>
        <w:t>五、财政拨款支出决算明细表</w:t>
      </w:r>
      <w:bookmarkEnd w:id="25"/>
    </w:p>
    <w:p>
      <w:pPr>
        <w:pStyle w:val="4"/>
        <w:keepNext w:val="0"/>
        <w:keepLines w:val="0"/>
        <w:widowControl/>
        <w:suppressLineNumbers w:val="0"/>
        <w:spacing w:before="0" w:beforeAutospacing="0"/>
        <w:ind w:left="0"/>
        <w:jc w:val="left"/>
      </w:pPr>
      <w:bookmarkStart w:id="26" w:name="_Toc3298"/>
      <w:r>
        <w:rPr>
          <w:shd w:val="clear" w:fill="FFFFFF"/>
        </w:rPr>
        <w:t>六、一般公共预算财政拨款支出决算表</w:t>
      </w:r>
      <w:bookmarkEnd w:id="26"/>
    </w:p>
    <w:p>
      <w:pPr>
        <w:pStyle w:val="4"/>
        <w:keepNext w:val="0"/>
        <w:keepLines w:val="0"/>
        <w:widowControl/>
        <w:suppressLineNumbers w:val="0"/>
        <w:spacing w:before="0" w:beforeAutospacing="0"/>
        <w:ind w:left="0"/>
        <w:jc w:val="left"/>
      </w:pPr>
      <w:bookmarkStart w:id="27" w:name="_Toc13141"/>
      <w:r>
        <w:rPr>
          <w:shd w:val="clear" w:fill="FFFFFF"/>
        </w:rPr>
        <w:t>七、一般公共预算财政拨款支出决算明细表</w:t>
      </w:r>
      <w:bookmarkEnd w:id="27"/>
    </w:p>
    <w:p>
      <w:pPr>
        <w:pStyle w:val="4"/>
        <w:keepNext w:val="0"/>
        <w:keepLines w:val="0"/>
        <w:widowControl/>
        <w:suppressLineNumbers w:val="0"/>
        <w:spacing w:before="0" w:beforeAutospacing="0"/>
        <w:ind w:left="0"/>
        <w:jc w:val="left"/>
      </w:pPr>
      <w:bookmarkStart w:id="28" w:name="_Toc32268"/>
      <w:r>
        <w:rPr>
          <w:shd w:val="clear" w:fill="FFFFFF"/>
        </w:rPr>
        <w:t>八、一般公共预算财政拨款基本支出决算表</w:t>
      </w:r>
      <w:bookmarkEnd w:id="28"/>
    </w:p>
    <w:p>
      <w:pPr>
        <w:pStyle w:val="4"/>
        <w:keepNext w:val="0"/>
        <w:keepLines w:val="0"/>
        <w:widowControl/>
        <w:suppressLineNumbers w:val="0"/>
        <w:spacing w:before="0" w:beforeAutospacing="0"/>
        <w:ind w:left="0"/>
        <w:jc w:val="left"/>
      </w:pPr>
      <w:bookmarkStart w:id="29" w:name="_Toc29220"/>
      <w:r>
        <w:rPr>
          <w:shd w:val="clear" w:fill="FFFFFF"/>
        </w:rPr>
        <w:t>九、一般公共预算财政拨款项目支出决算表</w:t>
      </w:r>
      <w:bookmarkEnd w:id="29"/>
    </w:p>
    <w:p>
      <w:pPr>
        <w:pStyle w:val="4"/>
        <w:keepNext w:val="0"/>
        <w:keepLines w:val="0"/>
        <w:widowControl/>
        <w:suppressLineNumbers w:val="0"/>
        <w:spacing w:before="0" w:beforeAutospacing="0"/>
        <w:ind w:left="0"/>
        <w:jc w:val="left"/>
      </w:pPr>
      <w:bookmarkStart w:id="30" w:name="_Toc11732"/>
      <w:r>
        <w:rPr>
          <w:shd w:val="clear" w:fill="FFFFFF"/>
        </w:rPr>
        <w:t>十、政府性基金预算财政拨款收入支出决算表</w:t>
      </w:r>
      <w:bookmarkEnd w:id="30"/>
    </w:p>
    <w:p>
      <w:pPr>
        <w:pStyle w:val="4"/>
        <w:keepNext w:val="0"/>
        <w:keepLines w:val="0"/>
        <w:widowControl/>
        <w:suppressLineNumbers w:val="0"/>
        <w:spacing w:before="0" w:beforeAutospacing="0"/>
        <w:ind w:left="0"/>
        <w:jc w:val="left"/>
      </w:pPr>
      <w:bookmarkStart w:id="31" w:name="_Toc13516"/>
      <w:r>
        <w:rPr>
          <w:shd w:val="clear" w:fill="FFFFFF"/>
        </w:rPr>
        <w:t>十一、国有资本经营预算财政拨款收入支出决算表</w:t>
      </w:r>
      <w:bookmarkEnd w:id="31"/>
    </w:p>
    <w:p>
      <w:pPr>
        <w:pStyle w:val="4"/>
        <w:keepNext w:val="0"/>
        <w:keepLines w:val="0"/>
        <w:widowControl/>
        <w:suppressLineNumbers w:val="0"/>
        <w:spacing w:before="0" w:beforeAutospacing="0"/>
        <w:ind w:left="0"/>
        <w:jc w:val="left"/>
      </w:pPr>
      <w:bookmarkStart w:id="32" w:name="_Toc11259"/>
      <w:r>
        <w:rPr>
          <w:shd w:val="clear" w:fill="FFFFFF"/>
        </w:rPr>
        <w:t>十二、国有资本经营预算财政拨款支出决算表</w:t>
      </w:r>
      <w:bookmarkEnd w:id="32"/>
    </w:p>
    <w:p>
      <w:pPr>
        <w:pStyle w:val="4"/>
        <w:keepNext w:val="0"/>
        <w:keepLines w:val="0"/>
        <w:widowControl/>
        <w:suppressLineNumbers w:val="0"/>
        <w:spacing w:before="0" w:beforeAutospacing="0"/>
        <w:ind w:left="0"/>
        <w:jc w:val="left"/>
      </w:pPr>
      <w:bookmarkStart w:id="33" w:name="_Toc13212"/>
      <w:r>
        <w:rPr>
          <w:shd w:val="clear" w:fill="FFFFFF"/>
        </w:rPr>
        <w:t>十三、财政拨款“三公”经费支出决算表</w:t>
      </w:r>
      <w:bookmarkEnd w:id="33"/>
    </w:p>
    <w:p/>
    <w:sectPr>
      <w:headerReference r:id="rId3" w:type="default"/>
      <w:footerReference r:id="rId4" w:type="default"/>
      <w:pgSz w:w="11915" w:h="16851"/>
      <w:pgMar w:top="1440" w:right="1800" w:bottom="1440" w:left="1800" w:header="851" w:footer="992" w:gutter="0"/>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5DCEF9"/>
    <w:multiLevelType w:val="singleLevel"/>
    <w:tmpl w:val="D05DCEF9"/>
    <w:lvl w:ilvl="0" w:tentative="0">
      <w:start w:val="2"/>
      <w:numFmt w:val="chineseCounting"/>
      <w:suff w:val="nothing"/>
      <w:lvlText w:val="（%1）"/>
      <w:lvlJc w:val="left"/>
      <w:rPr>
        <w:rFonts w:hint="eastAsia"/>
      </w:rPr>
    </w:lvl>
  </w:abstractNum>
  <w:abstractNum w:abstractNumId="1">
    <w:nsid w:val="3F60DC7F"/>
    <w:multiLevelType w:val="multilevel"/>
    <w:tmpl w:val="3F60DC7F"/>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4B8D3F40"/>
    <w:multiLevelType w:val="singleLevel"/>
    <w:tmpl w:val="4B8D3F40"/>
    <w:lvl w:ilvl="0" w:tentative="0">
      <w:start w:val="2"/>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5ODEyNmVkYWE4NjQ0ODE3MGI4ZmIzZmEyYTRlMGQifQ=="/>
  </w:docVars>
  <w:rsids>
    <w:rsidRoot w:val="74C14670"/>
    <w:rsid w:val="07F9339E"/>
    <w:rsid w:val="09E129AD"/>
    <w:rsid w:val="26246D08"/>
    <w:rsid w:val="2AAC125A"/>
    <w:rsid w:val="3E406FDB"/>
    <w:rsid w:val="4A6D73C0"/>
    <w:rsid w:val="4CB54308"/>
    <w:rsid w:val="4FEC399A"/>
    <w:rsid w:val="50297114"/>
    <w:rsid w:val="612207EB"/>
    <w:rsid w:val="636338D2"/>
    <w:rsid w:val="74C146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left"/>
    </w:pPr>
    <w:rPr>
      <w:rFonts w:asciiTheme="minorEastAsia" w:hAnsiTheme="minorEastAsia" w:eastAsiaTheme="minorEastAsia" w:cstheme="minorEastAsia"/>
      <w:kern w:val="0"/>
      <w:sz w:val="24"/>
      <w:szCs w:val="24"/>
      <w:lang w:val="en-US" w:eastAsia="zh-CN" w:bidi="ar"/>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30" w:beforeLines="30"/>
    </w:pPr>
    <w:rPr>
      <w:rFonts w:ascii="仿宋_GB2312" w:eastAsia="仿宋_GB2312"/>
      <w:kern w:val="0"/>
      <w:sz w:val="3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uiPriority w:val="0"/>
  </w:style>
  <w:style w:type="paragraph" w:styleId="8">
    <w:name w:val="toc 2"/>
    <w:basedOn w:val="1"/>
    <w:next w:val="1"/>
    <w:uiPriority w:val="0"/>
    <w:pPr>
      <w:ind w:left="420" w:leftChars="200"/>
    </w:p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2">
    <w:name w:val="Strong"/>
    <w:basedOn w:val="11"/>
    <w:qFormat/>
    <w:uiPriority w:val="0"/>
    <w:rPr>
      <w:b/>
    </w:rPr>
  </w:style>
  <w:style w:type="paragraph" w:customStyle="1" w:styleId="13">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14">
    <w:name w:val="WPSOffice手动目录 1"/>
    <w:uiPriority w:val="0"/>
    <w:pPr>
      <w:ind w:leftChars="0"/>
    </w:pPr>
    <w:rPr>
      <w:sz w:val="20"/>
      <w:szCs w:val="20"/>
    </w:rPr>
  </w:style>
  <w:style w:type="paragraph" w:customStyle="1" w:styleId="15">
    <w:name w:val="WPSOffice手动目录 2"/>
    <w:uiPriority w:val="0"/>
    <w:pPr>
      <w:ind w:leftChars="200"/>
    </w:pPr>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dk1">
                    <a:lumMod val="75000"/>
                    <a:lumOff val="25000"/>
                  </a:schemeClr>
                </a:solidFill>
                <a:latin typeface="+mn-lt"/>
                <a:ea typeface="+mn-ea"/>
                <a:cs typeface="+mn-cs"/>
              </a:defRPr>
            </a:pPr>
            <a:r>
              <a:rPr altLang="en-US" sz="1600"/>
              <a:t>图</a:t>
            </a:r>
            <a:r>
              <a:rPr lang="en-US" altLang="zh-CN" sz="1600"/>
              <a:t>1</a:t>
            </a:r>
            <a:r>
              <a:rPr altLang="en-US" sz="1600"/>
              <a:t>（单位：万元</a:t>
            </a:r>
            <a:r>
              <a:rPr altLang="en-US"/>
              <a:t>）</a:t>
            </a:r>
            <a:endParaRPr lang="en-US" altLang="zh-CN"/>
          </a:p>
        </c:rich>
      </c:tx>
      <c:layout/>
      <c:overlay val="0"/>
      <c:spPr>
        <a:noFill/>
        <a:ln>
          <a:noFill/>
        </a:ln>
        <a:effectLst/>
      </c:spPr>
    </c:title>
    <c:autoTitleDeleted val="0"/>
    <c:plotArea>
      <c:layout>
        <c:manualLayout>
          <c:layoutTarget val="inner"/>
          <c:xMode val="edge"/>
          <c:yMode val="edge"/>
          <c:x val="0.03125"/>
          <c:y val="0.143"/>
          <c:w val="0.945"/>
          <c:h val="0.7009"/>
        </c:manualLayout>
      </c:layout>
      <c:barChart>
        <c:barDir val="col"/>
        <c:grouping val="clustered"/>
        <c:varyColors val="0"/>
        <c:ser>
          <c:idx val="0"/>
          <c:order val="0"/>
          <c:tx>
            <c:strRef>
              <c:f>Sheet1!$B$1</c:f>
              <c:strCache>
                <c:ptCount val="1"/>
                <c:pt idx="0">
                  <c:v>2021</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Sheet1!$A$2:$A$5</c:f>
              <c:strCache>
                <c:ptCount val="4"/>
                <c:pt idx="0">
                  <c:v>收入</c:v>
                </c:pt>
                <c:pt idx="1">
                  <c:v>支出</c:v>
                </c:pt>
              </c:strCache>
            </c:strRef>
          </c:cat>
          <c:val>
            <c:numRef>
              <c:f>Sheet1!$B$2:$B$5</c:f>
              <c:numCache>
                <c:formatCode>General</c:formatCode>
                <c:ptCount val="4"/>
                <c:pt idx="0">
                  <c:v>195.52</c:v>
                </c:pt>
                <c:pt idx="1">
                  <c:v>195.52</c:v>
                </c:pt>
              </c:numCache>
            </c:numRef>
          </c:val>
        </c:ser>
        <c:ser>
          <c:idx val="1"/>
          <c:order val="1"/>
          <c:tx>
            <c:strRef>
              <c:f>Sheet1!$C$1</c:f>
              <c:strCache>
                <c:ptCount val="1"/>
                <c:pt idx="0">
                  <c:v>2022</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Sheet1!$A$2:$A$5</c:f>
              <c:strCache>
                <c:ptCount val="4"/>
                <c:pt idx="0">
                  <c:v>收入</c:v>
                </c:pt>
                <c:pt idx="1">
                  <c:v>支出</c:v>
                </c:pt>
              </c:strCache>
            </c:strRef>
          </c:cat>
          <c:val>
            <c:numRef>
              <c:f>Sheet1!$C$2:$C$5</c:f>
              <c:numCache>
                <c:formatCode>General</c:formatCode>
                <c:ptCount val="4"/>
                <c:pt idx="0">
                  <c:v>255.3</c:v>
                </c:pt>
                <c:pt idx="1">
                  <c:v>255.3</c:v>
                </c:pt>
              </c:numCache>
            </c:numRef>
          </c:val>
        </c:ser>
        <c:ser>
          <c:idx val="2"/>
          <c:order val="2"/>
          <c:tx>
            <c:strRef>
              <c:f>Sheet1!$D$1</c:f>
              <c:strCache>
                <c:ptCount val="1"/>
                <c:pt idx="0">
                  <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Sheet1!$A$2:$A$5</c:f>
              <c:strCache>
                <c:ptCount val="4"/>
                <c:pt idx="0">
                  <c:v>收入</c:v>
                </c:pt>
                <c:pt idx="1">
                  <c:v>支出</c:v>
                </c:pt>
              </c:strCache>
            </c:strRef>
          </c:cat>
          <c:val>
            <c:numRef>
              <c:f>Sheet1!$D$2:$D$5</c:f>
              <c:numCache>
                <c:formatCode>General</c:formatCode>
                <c:ptCount val="4"/>
              </c:numCache>
            </c:numRef>
          </c:val>
        </c:ser>
        <c:dLbls>
          <c:showLegendKey val="0"/>
          <c:showVal val="1"/>
          <c:showCatName val="0"/>
          <c:showSerName val="0"/>
          <c:showPercent val="0"/>
          <c:showBubbleSize val="0"/>
        </c:dLbls>
        <c:gapWidth val="65"/>
        <c:overlap val="0"/>
        <c:axId val="695828713"/>
        <c:axId val="584611400"/>
      </c:barChart>
      <c:catAx>
        <c:axId val="695828713"/>
        <c:scaling>
          <c:orientation val="minMax"/>
        </c:scaling>
        <c:delete val="0"/>
        <c:axPos val="b"/>
        <c:majorTickMark val="none"/>
        <c:minorTickMark val="none"/>
        <c:tickLblPos val="nextTo"/>
        <c:spPr>
          <a:noFill/>
          <a:ln w="19050" cap="flat" cmpd="sng" algn="ctr">
            <a:solidFill>
              <a:schemeClr val="dk1">
                <a:lumMod val="75000"/>
                <a:lumOff val="25000"/>
              </a:schemeClr>
            </a:solidFill>
            <a:round/>
          </a:ln>
          <a:effectLst/>
        </c:spPr>
        <c:txPr>
          <a:bodyPr rot="-60000000" spcFirstLastPara="0" vertOverflow="ellipsis" vert="horz" wrap="square" anchor="ctr" anchorCtr="1"/>
          <a:lstStyle/>
          <a:p>
            <a:pPr>
              <a:defRPr lang="zh-CN" sz="900" b="0" i="0" u="none" strike="noStrike" kern="1200" cap="all" baseline="0">
                <a:solidFill>
                  <a:schemeClr val="dk1">
                    <a:lumMod val="75000"/>
                    <a:lumOff val="25000"/>
                  </a:schemeClr>
                </a:solidFill>
                <a:latin typeface="+mn-lt"/>
                <a:ea typeface="+mn-ea"/>
                <a:cs typeface="+mn-cs"/>
              </a:defRPr>
            </a:pPr>
          </a:p>
        </c:txPr>
        <c:crossAx val="584611400"/>
        <c:crosses val="autoZero"/>
        <c:auto val="1"/>
        <c:lblAlgn val="ctr"/>
        <c:lblOffset val="100"/>
        <c:noMultiLvlLbl val="0"/>
      </c:catAx>
      <c:valAx>
        <c:axId val="58461140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crossAx val="695828713"/>
        <c:crosses val="autoZero"/>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dk1">
                    <a:lumMod val="75000"/>
                    <a:lumOff val="25000"/>
                  </a:schemeClr>
                </a:solidFill>
                <a:latin typeface="+mn-lt"/>
                <a:ea typeface="+mn-ea"/>
                <a:cs typeface="+mn-cs"/>
              </a:defRPr>
            </a:pPr>
            <a:r>
              <a:t>图</a:t>
            </a:r>
            <a:r>
              <a:rPr lang="en-US" altLang="zh-CN"/>
              <a:t>2</a:t>
            </a:r>
            <a:endParaRPr lang="en-US" altLang="zh-CN"/>
          </a:p>
        </c:rich>
      </c:tx>
      <c:layout/>
      <c:overlay val="0"/>
      <c:spPr>
        <a:noFill/>
        <a:ln>
          <a:noFill/>
        </a:ln>
        <a:effectLst/>
      </c:spPr>
    </c:title>
    <c:autoTitleDeleted val="0"/>
    <c:plotArea>
      <c:layout/>
      <c:pieChart>
        <c:varyColors val="1"/>
        <c:ser>
          <c:idx val="0"/>
          <c:order val="0"/>
          <c:tx>
            <c:strRef>
              <c:f>Sheet1!$B$1</c:f>
              <c:strCache>
                <c:ptCount val="1"/>
                <c:pt idx="0">
                  <c:v>收入</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Sheet1!$A$2:$A$5</c:f>
              <c:strCache>
                <c:ptCount val="4"/>
                <c:pt idx="0">
                  <c:v>一般公共预算财政拨款收入</c:v>
                </c:pt>
                <c:pt idx="1">
                  <c:v>其他拨款收入</c:v>
                </c:pt>
              </c:strCache>
            </c:strRef>
          </c:cat>
          <c:val>
            <c:numRef>
              <c:f>Sheet1!$B$2:$B$5</c:f>
              <c:numCache>
                <c:formatCode>General</c:formatCode>
                <c:ptCount val="4"/>
                <c:pt idx="0">
                  <c:v>255.3</c:v>
                </c:pt>
                <c:pt idx="1">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dk1">
                    <a:lumMod val="65000"/>
                    <a:lumOff val="35000"/>
                  </a:schemeClr>
                </a:solidFill>
                <a:latin typeface="+mn-lt"/>
                <a:ea typeface="+mn-ea"/>
                <a:cs typeface="+mn-cs"/>
              </a:defRPr>
            </a:pPr>
            <a:r>
              <a:t>图</a:t>
            </a:r>
            <a:r>
              <a:rPr lang="en-US" altLang="zh-CN"/>
              <a:t>3</a:t>
            </a:r>
            <a:endParaRPr lang="en-US" altLang="zh-CN"/>
          </a:p>
        </c:rich>
      </c:tx>
      <c:layout/>
      <c:overlay val="0"/>
      <c:spPr>
        <a:noFill/>
        <a:ln>
          <a:noFill/>
        </a:ln>
        <a:effectLst/>
      </c:sp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tx>
            <c:strRef>
              <c:f>Sheet1!$B$1</c:f>
              <c:strCache>
                <c:ptCount val="1"/>
                <c:pt idx="0">
                  <c:v>支出额</c:v>
                </c:pt>
              </c:strCache>
            </c:strRef>
          </c:tx>
          <c:spPr>
            <a:scene3d>
              <a:camera prst="orthographicFront"/>
              <a:lightRig rig="threePt" dir="t"/>
            </a:scene3d>
            <a:sp3d contourW="9525"/>
          </c:spPr>
          <c:explosion val="0"/>
          <c:dPt>
            <c:idx val="0"/>
            <c:bubble3D val="0"/>
            <c:spPr>
              <a:solidFill>
                <a:schemeClr val="accent1"/>
              </a:solidFill>
              <a:ln>
                <a:noFill/>
              </a:ln>
              <a:effectLst>
                <a:outerShdw blurRad="88900" sx="102000" sy="102000" algn="ctr" rotWithShape="0">
                  <a:prstClr val="black">
                    <a:alpha val="20000"/>
                  </a:prstClr>
                </a:outerShdw>
              </a:effectLst>
            </c:spPr>
          </c:dPt>
          <c:dPt>
            <c:idx val="1"/>
            <c:bubble3D val="0"/>
            <c:spPr>
              <a:solidFill>
                <a:schemeClr val="accent2"/>
              </a:solidFill>
              <a:ln>
                <a:noFill/>
              </a:ln>
              <a:effectLst>
                <a:outerShdw blurRad="88900" sx="102000" sy="102000" algn="ctr" rotWithShape="0">
                  <a:prstClr val="black">
                    <a:alpha val="20000"/>
                  </a:prstClr>
                </a:outerShdw>
              </a:effectLst>
            </c:spPr>
          </c:dPt>
          <c:dPt>
            <c:idx val="2"/>
            <c:bubble3D val="0"/>
            <c:spPr>
              <a:solidFill>
                <a:schemeClr val="accent3"/>
              </a:solidFill>
              <a:ln>
                <a:noFill/>
              </a:ln>
              <a:effectLst>
                <a:outerShdw blurRad="88900" sx="102000" sy="102000" algn="ctr" rotWithShape="0">
                  <a:prstClr val="black">
                    <a:alpha val="20000"/>
                  </a:prstClr>
                </a:outerShdw>
              </a:effectLst>
            </c:spPr>
          </c:dPt>
          <c:dPt>
            <c:idx val="3"/>
            <c:bubble3D val="0"/>
            <c:spPr>
              <a:solidFill>
                <a:schemeClr val="accent4"/>
              </a:solidFill>
              <a:ln>
                <a:noFill/>
              </a:ln>
              <a:effectLst>
                <a:outerShdw blurRad="88900" sx="102000" sy="102000" algn="ctr" rotWithShape="0">
                  <a:prstClr val="black">
                    <a:alpha val="20000"/>
                  </a:prstClr>
                </a:outerShdw>
              </a:effectLst>
            </c:spPr>
          </c:dPt>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dk1">
                          <a:lumMod val="35000"/>
                          <a:lumOff val="65000"/>
                        </a:schemeClr>
                      </a:solidFill>
                      <a:round/>
                    </a:ln>
                    <a:effectLst/>
                  </c:spPr>
                </c15:leaderLines>
              </c:ext>
            </c:extLst>
          </c:dLbls>
          <c:cat>
            <c:strRef>
              <c:f>Sheet1!$A$2:$A$5</c:f>
              <c:strCache>
                <c:ptCount val="4"/>
                <c:pt idx="0">
                  <c:v>基本支出</c:v>
                </c:pt>
                <c:pt idx="1">
                  <c:v>项目支出</c:v>
                </c:pt>
              </c:strCache>
            </c:strRef>
          </c:cat>
          <c:val>
            <c:numRef>
              <c:f>Sheet1!$B$2:$B$5</c:f>
              <c:numCache>
                <c:formatCode>General</c:formatCode>
                <c:ptCount val="4"/>
                <c:pt idx="0">
                  <c:v>205.87</c:v>
                </c:pt>
                <c:pt idx="1">
                  <c:v>49.43</c:v>
                </c:pt>
              </c:numCache>
            </c:numRef>
          </c:val>
        </c:ser>
        <c:dLbls>
          <c:showLegendKey val="0"/>
          <c:showVal val="0"/>
          <c:showCatName val="0"/>
          <c:showSerName val="0"/>
          <c:showPercent val="1"/>
          <c:showBubbleSize val="0"/>
        </c:dLbls>
      </c:pie3DChart>
      <c:spPr>
        <a:noFill/>
        <a:ln>
          <a:noFill/>
        </a:ln>
        <a:effectLst/>
      </c:spPr>
    </c:plotArea>
    <c:legend>
      <c:legendPos val="b"/>
      <c:layout/>
      <c:overlay val="0"/>
      <c:spPr>
        <a:solidFill>
          <a:schemeClr val="lt1">
            <a:alpha val="78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600" b="1" i="0" u="none" strike="noStrike" kern="1200" cap="all" spc="120" normalizeH="0" baseline="0">
                <a:solidFill>
                  <a:schemeClr val="tx1">
                    <a:lumMod val="65000"/>
                    <a:lumOff val="35000"/>
                  </a:schemeClr>
                </a:solidFill>
                <a:latin typeface="+mn-lt"/>
                <a:ea typeface="+mn-ea"/>
                <a:cs typeface="+mn-cs"/>
              </a:defRPr>
            </a:pPr>
            <a:r>
              <a:rPr sz="1500"/>
              <a:t>图</a:t>
            </a:r>
            <a:r>
              <a:rPr lang="en-US" altLang="zh-CN" sz="1500"/>
              <a:t>4</a:t>
            </a:r>
            <a:r>
              <a:rPr sz="1500"/>
              <a:t>（单位：万元）</a:t>
            </a:r>
            <a:endParaRPr sz="1500"/>
          </a:p>
        </c:rich>
      </c:tx>
      <c:layout/>
      <c:overlay val="0"/>
      <c:spPr>
        <a:noFill/>
        <a:ln>
          <a:noFill/>
        </a:ln>
        <a:effectLst/>
      </c:spPr>
    </c:title>
    <c:autoTitleDeleted val="0"/>
    <c:plotArea>
      <c:layout>
        <c:manualLayout>
          <c:layoutTarget val="inner"/>
          <c:xMode val="edge"/>
          <c:yMode val="edge"/>
          <c:x val="0.0524462098055998"/>
          <c:y val="0.140760346487007"/>
          <c:w val="0.910925"/>
          <c:h val="0.7164"/>
        </c:manualLayout>
      </c:layout>
      <c:barChart>
        <c:barDir val="col"/>
        <c:grouping val="clustered"/>
        <c:varyColors val="0"/>
        <c:ser>
          <c:idx val="0"/>
          <c:order val="0"/>
          <c:tx>
            <c:strRef>
              <c:f>Sheet1!$B$1</c:f>
              <c:strCache>
                <c:ptCount val="1"/>
                <c:pt idx="0">
                  <c:v>2021年</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lang="zh-CN" sz="800" b="0" i="0" u="none" strike="noStrike" kern="1200" baseline="0">
                    <a:solidFill>
                      <a:schemeClr val="tx1">
                        <a:lumMod val="50000"/>
                        <a:lumOff val="50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Sheet1!$A$2:$A$5</c:f>
              <c:strCache>
                <c:ptCount val="4"/>
                <c:pt idx="0">
                  <c:v>收入</c:v>
                </c:pt>
                <c:pt idx="1">
                  <c:v>支出</c:v>
                </c:pt>
              </c:strCache>
            </c:strRef>
          </c:cat>
          <c:val>
            <c:numRef>
              <c:f>Sheet1!$B$2:$B$5</c:f>
              <c:numCache>
                <c:formatCode>General</c:formatCode>
                <c:ptCount val="4"/>
                <c:pt idx="0">
                  <c:v>195.52</c:v>
                </c:pt>
                <c:pt idx="1">
                  <c:v>195.52</c:v>
                </c:pt>
              </c:numCache>
            </c:numRef>
          </c:val>
        </c:ser>
        <c:ser>
          <c:idx val="1"/>
          <c:order val="1"/>
          <c:tx>
            <c:strRef>
              <c:f>Sheet1!$C$1</c:f>
              <c:strCache>
                <c:ptCount val="1"/>
                <c:pt idx="0">
                  <c:v>2022年</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lang="zh-CN" sz="800" b="0" i="0" u="none" strike="noStrike" kern="1200" baseline="0">
                    <a:solidFill>
                      <a:schemeClr val="tx1">
                        <a:lumMod val="50000"/>
                        <a:lumOff val="50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Sheet1!$A$2:$A$5</c:f>
              <c:strCache>
                <c:ptCount val="4"/>
                <c:pt idx="0">
                  <c:v>收入</c:v>
                </c:pt>
                <c:pt idx="1">
                  <c:v>支出</c:v>
                </c:pt>
              </c:strCache>
            </c:strRef>
          </c:cat>
          <c:val>
            <c:numRef>
              <c:f>Sheet1!$C$2:$C$5</c:f>
              <c:numCache>
                <c:formatCode>General</c:formatCode>
                <c:ptCount val="4"/>
                <c:pt idx="0">
                  <c:v>255.3</c:v>
                </c:pt>
                <c:pt idx="1">
                  <c:v>255.3</c:v>
                </c:pt>
              </c:numCache>
            </c:numRef>
          </c:val>
        </c:ser>
        <c:ser>
          <c:idx val="2"/>
          <c:order val="2"/>
          <c:tx>
            <c:strRef>
              <c:f>Sheet1!$D$1</c:f>
              <c:strCache>
                <c:ptCount val="1"/>
                <c:pt idx="0">
                  <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lang="zh-CN" sz="800" b="0" i="0" u="none" strike="noStrike" kern="1200" baseline="0">
                    <a:solidFill>
                      <a:schemeClr val="tx1">
                        <a:lumMod val="50000"/>
                        <a:lumOff val="50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Sheet1!$A$2:$A$5</c:f>
              <c:strCache>
                <c:ptCount val="4"/>
                <c:pt idx="0">
                  <c:v>收入</c:v>
                </c:pt>
                <c:pt idx="1">
                  <c:v>支出</c:v>
                </c:pt>
              </c:strCache>
            </c:strRef>
          </c:cat>
          <c:val>
            <c:numRef>
              <c:f>Sheet1!$D$2:$D$5</c:f>
              <c:numCache>
                <c:formatCode>General</c:formatCode>
                <c:ptCount val="4"/>
              </c:numCache>
            </c:numRef>
          </c:val>
        </c:ser>
        <c:dLbls>
          <c:showLegendKey val="0"/>
          <c:showVal val="1"/>
          <c:showCatName val="0"/>
          <c:showSerName val="0"/>
          <c:showPercent val="0"/>
          <c:showBubbleSize val="0"/>
        </c:dLbls>
        <c:gapWidth val="444"/>
        <c:overlap val="-90"/>
        <c:axId val="718696988"/>
        <c:axId val="246606247"/>
      </c:barChart>
      <c:catAx>
        <c:axId val="718696988"/>
        <c:scaling>
          <c:orientation val="minMax"/>
        </c:scaling>
        <c:delete val="0"/>
        <c:axPos val="b"/>
        <c:majorGridlines>
          <c:spPr>
            <a:ln w="9525" cap="flat" cmpd="sng" algn="ctr">
              <a:solidFill>
                <a:schemeClr val="tx1">
                  <a:lumMod val="15000"/>
                  <a:lumOff val="85000"/>
                </a:schemeClr>
              </a:solidFill>
              <a:round/>
            </a:ln>
            <a:effectLst/>
          </c:spPr>
        </c:majorGridlines>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800" b="0" i="0" u="none" strike="noStrike" kern="1200" cap="all" spc="120" normalizeH="0" baseline="0">
                <a:solidFill>
                  <a:schemeClr val="tx1">
                    <a:lumMod val="65000"/>
                    <a:lumOff val="35000"/>
                  </a:schemeClr>
                </a:solidFill>
                <a:latin typeface="+mn-lt"/>
                <a:ea typeface="+mn-ea"/>
                <a:cs typeface="+mn-cs"/>
              </a:defRPr>
            </a:pPr>
          </a:p>
        </c:txPr>
        <c:crossAx val="246606247"/>
        <c:crosses val="autoZero"/>
        <c:auto val="1"/>
        <c:lblAlgn val="ctr"/>
        <c:lblOffset val="100"/>
        <c:noMultiLvlLbl val="0"/>
      </c:catAx>
      <c:valAx>
        <c:axId val="246606247"/>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18696988"/>
        <c:crosses val="autoZero"/>
        <c:crossBetween val="between"/>
      </c:valAx>
      <c:spPr>
        <a:noFill/>
        <a:ln>
          <a:noFill/>
        </a:ln>
        <a:effectLst/>
      </c:spPr>
    </c:plotArea>
    <c:legend>
      <c:legendPos val="t"/>
      <c:layout>
        <c:manualLayout>
          <c:xMode val="edge"/>
          <c:yMode val="edge"/>
          <c:x val="0.378625"/>
          <c:y val="0.915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dk1">
                    <a:lumMod val="75000"/>
                    <a:lumOff val="25000"/>
                  </a:schemeClr>
                </a:solidFill>
                <a:latin typeface="+mn-lt"/>
                <a:ea typeface="+mn-ea"/>
                <a:cs typeface="+mn-cs"/>
              </a:defRPr>
            </a:pPr>
            <a:r>
              <a:t>图</a:t>
            </a:r>
            <a:r>
              <a:rPr lang="en-US" altLang="zh-CN"/>
              <a:t>5</a:t>
            </a:r>
            <a:r>
              <a:t>（单位：万元）</a:t>
            </a:r>
          </a:p>
        </c:rich>
      </c:tx>
      <c:layout/>
      <c:overlay val="0"/>
      <c:spPr>
        <a:noFill/>
        <a:ln>
          <a:noFill/>
        </a:ln>
        <a:effectLst/>
      </c:spPr>
    </c:title>
    <c:autoTitleDeleted val="0"/>
    <c:plotArea>
      <c:layout>
        <c:manualLayout>
          <c:layoutTarget val="inner"/>
          <c:xMode val="edge"/>
          <c:yMode val="edge"/>
          <c:x val="0.048325"/>
          <c:y val="0.127"/>
          <c:w val="0.927925"/>
          <c:h val="0.716566666666667"/>
        </c:manualLayout>
      </c:layout>
      <c:barChart>
        <c:barDir val="col"/>
        <c:grouping val="clustered"/>
        <c:varyColors val="0"/>
        <c:ser>
          <c:idx val="0"/>
          <c:order val="0"/>
          <c:tx>
            <c:strRef>
              <c:f>Sheet1!$B$1</c:f>
              <c:strCache>
                <c:ptCount val="1"/>
                <c:pt idx="0">
                  <c:v>支出</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Sheet1!$A$2:$A$5</c:f>
              <c:strCache>
                <c:ptCount val="4"/>
                <c:pt idx="0">
                  <c:v>2021年</c:v>
                </c:pt>
                <c:pt idx="1">
                  <c:v>2022年</c:v>
                </c:pt>
              </c:strCache>
            </c:strRef>
          </c:cat>
          <c:val>
            <c:numRef>
              <c:f>Sheet1!$B$2:$B$5</c:f>
              <c:numCache>
                <c:formatCode>General</c:formatCode>
                <c:ptCount val="4"/>
                <c:pt idx="0">
                  <c:v>195.52</c:v>
                </c:pt>
                <c:pt idx="1">
                  <c:v>255.3</c:v>
                </c:pt>
              </c:numCache>
            </c:numRef>
          </c:val>
        </c:ser>
        <c:ser>
          <c:idx val="1"/>
          <c:order val="1"/>
          <c:tx>
            <c:strRef>
              <c:f>Sheet1!$C$1</c:f>
              <c:strCache>
                <c:ptCount val="1"/>
                <c:pt idx="0">
                  <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Sheet1!$A$2:$A$5</c:f>
              <c:strCache>
                <c:ptCount val="4"/>
                <c:pt idx="0">
                  <c:v>2021年</c:v>
                </c:pt>
                <c:pt idx="1">
                  <c:v>2022年</c:v>
                </c:pt>
              </c:strCache>
            </c:strRef>
          </c:cat>
          <c:val>
            <c:numRef>
              <c:f>Sheet1!$C$2:$C$5</c:f>
              <c:numCache>
                <c:formatCode>General</c:formatCode>
                <c:ptCount val="4"/>
              </c:numCache>
            </c:numRef>
          </c:val>
        </c:ser>
        <c:ser>
          <c:idx val="2"/>
          <c:order val="2"/>
          <c:tx>
            <c:strRef>
              <c:f>Sheet1!$D$1</c:f>
              <c:strCache>
                <c:ptCount val="1"/>
                <c:pt idx="0">
                  <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Sheet1!$A$2:$A$5</c:f>
              <c:strCache>
                <c:ptCount val="4"/>
                <c:pt idx="0">
                  <c:v>2021年</c:v>
                </c:pt>
                <c:pt idx="1">
                  <c:v>2022年</c:v>
                </c:pt>
              </c:strCache>
            </c:strRef>
          </c:cat>
          <c:val>
            <c:numRef>
              <c:f>Sheet1!$D$2:$D$5</c:f>
              <c:numCache>
                <c:formatCode>General</c:formatCode>
                <c:ptCount val="4"/>
              </c:numCache>
            </c:numRef>
          </c:val>
        </c:ser>
        <c:dLbls>
          <c:showLegendKey val="0"/>
          <c:showVal val="1"/>
          <c:showCatName val="0"/>
          <c:showSerName val="0"/>
          <c:showPercent val="0"/>
          <c:showBubbleSize val="0"/>
        </c:dLbls>
        <c:gapWidth val="65"/>
        <c:overlap val="0"/>
        <c:axId val="930876337"/>
        <c:axId val="334346065"/>
      </c:barChart>
      <c:catAx>
        <c:axId val="930876337"/>
        <c:scaling>
          <c:orientation val="minMax"/>
        </c:scaling>
        <c:delete val="0"/>
        <c:axPos val="b"/>
        <c:majorTickMark val="none"/>
        <c:minorTickMark val="none"/>
        <c:tickLblPos val="nextTo"/>
        <c:spPr>
          <a:noFill/>
          <a:ln w="19050" cap="flat" cmpd="sng" algn="ctr">
            <a:solidFill>
              <a:schemeClr val="dk1">
                <a:lumMod val="75000"/>
                <a:lumOff val="25000"/>
              </a:schemeClr>
            </a:solidFill>
            <a:round/>
          </a:ln>
          <a:effectLst/>
        </c:spPr>
        <c:txPr>
          <a:bodyPr rot="-60000000" spcFirstLastPara="0" vertOverflow="ellipsis" vert="horz" wrap="square" anchor="ctr" anchorCtr="1"/>
          <a:lstStyle/>
          <a:p>
            <a:pPr>
              <a:defRPr lang="zh-CN" sz="900" b="0" i="0" u="none" strike="noStrike" kern="1200" cap="all" baseline="0">
                <a:solidFill>
                  <a:schemeClr val="dk1">
                    <a:lumMod val="75000"/>
                    <a:lumOff val="25000"/>
                  </a:schemeClr>
                </a:solidFill>
                <a:latin typeface="+mn-lt"/>
                <a:ea typeface="+mn-ea"/>
                <a:cs typeface="+mn-cs"/>
              </a:defRPr>
            </a:pPr>
          </a:p>
        </c:txPr>
        <c:crossAx val="334346065"/>
        <c:crosses val="autoZero"/>
        <c:auto val="1"/>
        <c:lblAlgn val="ctr"/>
        <c:lblOffset val="100"/>
        <c:noMultiLvlLbl val="0"/>
      </c:catAx>
      <c:valAx>
        <c:axId val="334346065"/>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crossAx val="930876337"/>
        <c:crosses val="autoZero"/>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dk1">
                    <a:lumMod val="75000"/>
                    <a:lumOff val="25000"/>
                  </a:schemeClr>
                </a:solidFill>
                <a:latin typeface="+mn-lt"/>
                <a:ea typeface="+mn-ea"/>
                <a:cs typeface="+mn-cs"/>
              </a:defRPr>
            </a:pPr>
            <a:r>
              <a:t>图6</a:t>
            </a:r>
          </a:p>
        </c:rich>
      </c:tx>
      <c:layout/>
      <c:overlay val="0"/>
      <c:spPr>
        <a:noFill/>
        <a:ln>
          <a:noFill/>
        </a:ln>
        <a:effectLst/>
      </c:spPr>
    </c:title>
    <c:autoTitleDeleted val="0"/>
    <c:plotArea>
      <c:layout/>
      <c:pieChart>
        <c:varyColors val="1"/>
        <c:ser>
          <c:idx val="0"/>
          <c:order val="0"/>
          <c:tx>
            <c:strRef>
              <c:f>Sheet1!$B$1</c:f>
              <c:strCache>
                <c:ptCount val="1"/>
                <c:pt idx="0">
                  <c:v>支出</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Pt>
            <c:idx val="4"/>
            <c:bubble3D val="0"/>
            <c:spPr>
              <a:solidFill>
                <a:schemeClr val="accent5"/>
              </a:solidFill>
              <a:ln>
                <a:noFill/>
              </a:ln>
              <a:effectLst>
                <a:outerShdw blurRad="254000" sx="102000" sy="102000" algn="ctr" rotWithShape="0">
                  <a:prstClr val="black">
                    <a:alpha val="20000"/>
                  </a:prstClr>
                </a:outerShdw>
              </a:effectLst>
            </c:spPr>
          </c:dPt>
          <c:dLbls>
            <c:dLbl>
              <c:idx val="1"/>
              <c:layout>
                <c:manualLayout>
                  <c:x val="-0.0413816898539924"/>
                  <c:y val="0.109748432598985"/>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0570078446059661"/>
                  <c:y val="0.0945997143067565"/>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Sheet1!$A$2:$A$6</c:f>
              <c:strCache>
                <c:ptCount val="5"/>
                <c:pt idx="0">
                  <c:v>社会保障和就业（类）支出</c:v>
                </c:pt>
                <c:pt idx="1">
                  <c:v>卫生健康支出</c:v>
                </c:pt>
                <c:pt idx="2">
                  <c:v>住房保障支出</c:v>
                </c:pt>
                <c:pt idx="3">
                  <c:v>文化旅游体育与传媒（类）支出</c:v>
                </c:pt>
                <c:pt idx="4">
                  <c:v>项目支出</c:v>
                </c:pt>
              </c:strCache>
            </c:strRef>
          </c:cat>
          <c:val>
            <c:numRef>
              <c:f>Sheet1!$B$2:$B$6</c:f>
              <c:numCache>
                <c:formatCode>General</c:formatCode>
                <c:ptCount val="5"/>
                <c:pt idx="0">
                  <c:v>23.85</c:v>
                </c:pt>
                <c:pt idx="1">
                  <c:v>10.17</c:v>
                </c:pt>
                <c:pt idx="2">
                  <c:v>13.5</c:v>
                </c:pt>
                <c:pt idx="3">
                  <c:v>158.35</c:v>
                </c:pt>
                <c:pt idx="4">
                  <c:v>49.43</c:v>
                </c:pt>
              </c:numCache>
            </c:numRef>
          </c:val>
        </c:ser>
        <c:ser>
          <c:idx val="1"/>
          <c:order val="1"/>
          <c:tx>
            <c:strRef>
              <c:f>Sheet1!$C$1</c:f>
              <c:strCache>
                <c:ptCount val="1"/>
                <c:pt idx="0">
                  <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Pt>
            <c:idx val="4"/>
            <c:bubble3D val="0"/>
            <c:spPr>
              <a:solidFill>
                <a:schemeClr val="accent5"/>
              </a:solidFill>
              <a:ln>
                <a:noFill/>
              </a:ln>
              <a:effectLst>
                <a:outerShdw blurRad="254000" sx="102000" sy="102000" algn="ctr" rotWithShape="0">
                  <a:prstClr val="black">
                    <a:alpha val="20000"/>
                  </a:prstClr>
                </a:outerShdw>
              </a:effectLst>
            </c:spPr>
          </c:dPt>
          <c:dLbls>
            <c:numFmt formatCode="General" sourceLinked="1"/>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Sheet1!$A$2:$A$6</c:f>
              <c:strCache>
                <c:ptCount val="5"/>
                <c:pt idx="0">
                  <c:v>社会保障和就业（类）支出</c:v>
                </c:pt>
                <c:pt idx="1">
                  <c:v>卫生健康支出</c:v>
                </c:pt>
                <c:pt idx="2">
                  <c:v>住房保障支出</c:v>
                </c:pt>
                <c:pt idx="3">
                  <c:v>文化旅游体育与传媒（类）支出</c:v>
                </c:pt>
                <c:pt idx="4">
                  <c:v>项目支出</c:v>
                </c:pt>
              </c:strCache>
            </c:strRef>
          </c:cat>
          <c:val>
            <c:numRef>
              <c:f>Sheet1!$C$2:$C$6</c:f>
              <c:numCache>
                <c:formatCode>General</c:formatCode>
                <c:ptCount val="5"/>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dk1">
                    <a:lumMod val="75000"/>
                    <a:lumOff val="25000"/>
                  </a:schemeClr>
                </a:solidFill>
                <a:latin typeface="+mn-lt"/>
                <a:ea typeface="+mn-ea"/>
                <a:cs typeface="+mn-cs"/>
              </a:defRPr>
            </a:pPr>
            <a:r>
              <a:t>图7</a:t>
            </a:r>
          </a:p>
        </c:rich>
      </c:tx>
      <c:layout/>
      <c:overlay val="0"/>
      <c:spPr>
        <a:noFill/>
        <a:ln>
          <a:noFill/>
        </a:ln>
        <a:effectLst/>
      </c:spPr>
    </c:title>
    <c:autoTitleDeleted val="0"/>
    <c:plotArea>
      <c:layout/>
      <c:pieChart>
        <c:varyColors val="1"/>
        <c:ser>
          <c:idx val="0"/>
          <c:order val="0"/>
          <c:tx>
            <c:strRef>
              <c:f>Sheet1!$B$1</c:f>
              <c:strCache>
                <c:ptCount val="1"/>
                <c:pt idx="0">
                  <c:v>支出</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Sheet1!$A$2:$A$5</c:f>
              <c:strCache>
                <c:ptCount val="4"/>
                <c:pt idx="0">
                  <c:v>因公出国（境）费支出</c:v>
                </c:pt>
                <c:pt idx="1">
                  <c:v>公务用车购置及运行维护费支出</c:v>
                </c:pt>
                <c:pt idx="2">
                  <c:v>公务接待费支出</c:v>
                </c:pt>
              </c:strCache>
            </c:strRef>
          </c:cat>
          <c:val>
            <c:numRef>
              <c:f>Sheet1!$B$2:$B$5</c:f>
              <c:numCache>
                <c:formatCode>General</c:formatCode>
                <c:ptCount val="4"/>
                <c:pt idx="0">
                  <c:v>0</c:v>
                </c:pt>
                <c:pt idx="1">
                  <c:v>0.42</c:v>
                </c:pt>
                <c:pt idx="2">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6860</Words>
  <Characters>7509</Characters>
  <Lines>0</Lines>
  <Paragraphs>0</Paragraphs>
  <TotalTime>1</TotalTime>
  <ScaleCrop>false</ScaleCrop>
  <LinksUpToDate>false</LinksUpToDate>
  <CharactersWithSpaces>7586</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2023-08-29T00:55:00Z</dcterms:created>
  <dc:creator>Administrator</dc:creator>
  <cp:lastModifiedBy>Administrator</cp:lastModifiedBy>
  <cp:lastPrinted>2023-08-30T00:54:41Z</cp:lastPrinted>
  <dcterms:modified xsi:type="dcterms:W3CDTF">2023-08-30T01:01:26Z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6736D22A1F4148B8A994FA5285B23564</vt:lpwstr>
  </property>
</Properties>
</file>