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2023年，我单位部门预算207.26万元 ，均严格按绩效管理要求实现项目绩效目标管理，其中重点项目预算0个，现将情况说明如下：</w:t>
      </w:r>
      <w:bookmarkStart w:id="0" w:name="_GoBack"/>
      <w:bookmarkEnd w:id="0"/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AR PL UKai CN"/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OTk5ODEyNmVkYWE4NjQ0ODE3MGI4ZmIzZmEyYTRlMG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1</Pages>
  <Words>336</Words>
  <Characters>347</Characters>
  <Lines>21</Lines>
  <Paragraphs>12</Paragraphs>
  <CharactersWithSpaces>349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cp:lastPrinted>2023-02-10T06:45:00Z</cp:lastPrinted>
  <dcterms:created xsi:type="dcterms:W3CDTF">2023-02-06T06:46:00Z</dcterms:created>
  <dcterms:modified xsi:type="dcterms:W3CDTF">2023-02-13T07:26:12Z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2052-11.1.0.12358</vt:lpwstr>
  </property>
  <property fmtid="{D5CDD505-2E9C-101B-9397-08002B2CF9AE}" pid="3" name="ICV">
    <vt:lpwstr>F19B867358414351A9CC7155555F8BAB</vt:lpwstr>
  </property>
</Properties>
</file>