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9"/>
        <w:keepNext w:val="0"/>
        <w:keepLines w:val="0"/>
        <w:widowControl/>
        <w:suppressLineNumbers w:val="0"/>
        <w:spacing w:before="0" w:beforeAutospacing="0"/>
        <w:ind w:left="0"/>
        <w:jc w:val="center"/>
      </w:pPr>
      <w:r>
        <w:rPr>
          <w:sz w:val="42"/>
          <w:szCs w:val="42"/>
          <w:shd w:val="clear" w:color="auto" w:fill="FFFFFF"/>
        </w:rPr>
        <w:t>2021年度</w:t>
      </w:r>
    </w:p>
    <w:p>
      <w:pPr>
        <w:pStyle w:val="19"/>
        <w:keepNext w:val="0"/>
        <w:keepLines w:val="0"/>
        <w:widowControl/>
        <w:suppressLineNumbers w:val="0"/>
        <w:spacing w:before="0" w:beforeAutospacing="0"/>
        <w:ind w:left="0"/>
        <w:jc w:val="center"/>
        <w:outlineLvl w:val="0"/>
      </w:pPr>
      <w:bookmarkStart w:id="0" w:name="_Toc13778"/>
      <w:bookmarkStart w:id="1" w:name="_Toc4811"/>
      <w:bookmarkStart w:id="2" w:name="_Toc16176"/>
      <w:bookmarkStart w:id="3" w:name="_Toc18410"/>
      <w:r>
        <w:rPr>
          <w:sz w:val="42"/>
          <w:szCs w:val="42"/>
          <w:shd w:val="clear" w:color="auto" w:fill="FFFFFF"/>
        </w:rPr>
        <w:t>阿坝州金川县观音桥景区工作中心部门决算</w:t>
      </w:r>
      <w:bookmarkEnd w:id="0"/>
      <w:bookmarkEnd w:id="1"/>
      <w:bookmarkEnd w:id="2"/>
      <w:bookmarkEnd w:id="3"/>
    </w:p>
    <w:p>
      <w:pPr>
        <w:pStyle w:val="19"/>
        <w:keepNext w:val="0"/>
        <w:keepLines w:val="0"/>
        <w:widowControl/>
        <w:suppressLineNumbers w:val="0"/>
        <w:spacing w:before="0" w:beforeAutospacing="0"/>
        <w:ind w:left="0"/>
        <w:jc w:val="center"/>
      </w:pPr>
      <w:r>
        <w:rPr>
          <w:rFonts w:hint="eastAsia"/>
          <w:sz w:val="42"/>
          <w:szCs w:val="42"/>
          <w:shd w:val="clear" w:color="auto" w:fill="FFFFFF"/>
          <w:lang w:val="en-US" w:eastAsia="zh-CN"/>
        </w:rPr>
        <w:t xml:space="preserve"> </w:t>
      </w:r>
      <w:r>
        <w:rPr>
          <w:shd w:val="clear" w:color="auto" w:fill="FFFFFF"/>
        </w:rPr>
        <w:t> </w:t>
      </w:r>
    </w:p>
    <w:p>
      <w:pPr>
        <w:pStyle w:val="19"/>
        <w:keepNext w:val="0"/>
        <w:keepLines w:val="0"/>
        <w:widowControl/>
        <w:suppressLineNumbers w:val="0"/>
        <w:spacing w:before="0" w:beforeAutospacing="0"/>
        <w:ind w:left="0"/>
        <w:jc w:val="center"/>
      </w:pPr>
      <w:r>
        <w:rPr>
          <w:shd w:val="clear" w:color="auto" w:fill="FFFFFF"/>
        </w:rPr>
        <w:t> </w:t>
      </w:r>
    </w:p>
    <w:p>
      <w:pPr>
        <w:pStyle w:val="19"/>
        <w:keepNext w:val="0"/>
        <w:keepLines w:val="0"/>
        <w:widowControl/>
        <w:suppressLineNumbers w:val="0"/>
        <w:spacing w:before="0" w:beforeAutospacing="0"/>
        <w:ind w:left="0"/>
        <w:jc w:val="center"/>
      </w:pPr>
      <w:r>
        <w:rPr>
          <w:shd w:val="clear" w:color="auto" w:fill="FFFFFF"/>
        </w:rPr>
        <w:t> </w:t>
      </w:r>
    </w:p>
    <w:p>
      <w:pPr>
        <w:pStyle w:val="19"/>
        <w:keepNext w:val="0"/>
        <w:keepLines w:val="0"/>
        <w:widowControl/>
        <w:suppressLineNumbers w:val="0"/>
        <w:spacing w:before="0" w:beforeAutospacing="0"/>
        <w:ind w:left="0"/>
        <w:jc w:val="center"/>
      </w:pPr>
      <w:r>
        <w:rPr>
          <w:shd w:val="clear" w:color="auto" w:fill="FFFFFF"/>
        </w:rPr>
        <w:t> </w:t>
      </w:r>
    </w:p>
    <w:p>
      <w:pPr>
        <w:pStyle w:val="19"/>
        <w:keepNext w:val="0"/>
        <w:keepLines w:val="0"/>
        <w:widowControl/>
        <w:suppressLineNumbers w:val="0"/>
        <w:spacing w:before="0" w:beforeAutospacing="0"/>
        <w:ind w:left="0"/>
        <w:jc w:val="center"/>
      </w:pPr>
      <w:r>
        <w:rPr>
          <w:shd w:val="clear" w:color="auto" w:fill="FFFFFF"/>
        </w:rPr>
        <w:t> </w:t>
      </w:r>
    </w:p>
    <w:p>
      <w:pPr>
        <w:pStyle w:val="19"/>
        <w:keepNext w:val="0"/>
        <w:keepLines w:val="0"/>
        <w:widowControl/>
        <w:suppressLineNumbers w:val="0"/>
        <w:spacing w:before="0" w:beforeAutospacing="0"/>
        <w:ind w:left="0"/>
        <w:jc w:val="center"/>
      </w:pPr>
      <w:r>
        <w:rPr>
          <w:shd w:val="clear" w:color="auto" w:fill="FFFFFF"/>
        </w:rPr>
        <w:t> </w:t>
      </w:r>
    </w:p>
    <w:p>
      <w:pPr>
        <w:pStyle w:val="19"/>
        <w:keepNext w:val="0"/>
        <w:keepLines w:val="0"/>
        <w:widowControl/>
        <w:suppressLineNumbers w:val="0"/>
        <w:spacing w:before="0" w:beforeAutospacing="0"/>
        <w:ind w:left="0"/>
        <w:jc w:val="center"/>
      </w:pPr>
      <w:r>
        <w:rPr>
          <w:shd w:val="clear" w:color="auto" w:fill="FFFFFF"/>
        </w:rPr>
        <w:t> </w:t>
      </w:r>
    </w:p>
    <w:p>
      <w:pPr>
        <w:pStyle w:val="19"/>
        <w:keepNext w:val="0"/>
        <w:keepLines w:val="0"/>
        <w:widowControl/>
        <w:suppressLineNumbers w:val="0"/>
        <w:spacing w:before="0" w:beforeAutospacing="0"/>
        <w:ind w:left="0"/>
        <w:jc w:val="center"/>
      </w:pPr>
      <w:r>
        <w:rPr>
          <w:shd w:val="clear" w:color="auto" w:fill="FFFFFF"/>
        </w:rPr>
        <w:t>已经保密审查、内容审定，同意对外公开</w:t>
      </w:r>
    </w:p>
    <w:p>
      <w:pPr>
        <w:pStyle w:val="19"/>
        <w:keepNext w:val="0"/>
        <w:keepLines w:val="0"/>
        <w:widowControl/>
        <w:suppressLineNumbers w:val="0"/>
        <w:spacing w:before="0" w:beforeAutospacing="0"/>
        <w:ind w:left="0"/>
        <w:jc w:val="left"/>
      </w:pPr>
      <w:r>
        <w:rPr>
          <w:shd w:val="clear" w:color="auto" w:fill="FFFFFF"/>
        </w:rPr>
        <w:t> </w:t>
      </w:r>
    </w:p>
    <w:p>
      <w:pPr>
        <w:pStyle w:val="19"/>
        <w:keepNext w:val="0"/>
        <w:keepLines w:val="0"/>
        <w:widowControl/>
        <w:suppressLineNumbers w:val="0"/>
        <w:spacing w:before="0" w:beforeAutospacing="0"/>
        <w:ind w:left="0"/>
        <w:jc w:val="left"/>
      </w:pPr>
      <w:r>
        <w:rPr>
          <w:shd w:val="clear" w:color="auto" w:fill="FFFFFF"/>
        </w:rPr>
        <w:t> </w:t>
      </w:r>
    </w:p>
    <w:p>
      <w:pPr>
        <w:pStyle w:val="19"/>
        <w:keepNext w:val="0"/>
        <w:keepLines w:val="0"/>
        <w:widowControl/>
        <w:suppressLineNumbers w:val="0"/>
        <w:spacing w:before="0" w:beforeAutospacing="0"/>
        <w:ind w:left="0"/>
        <w:jc w:val="center"/>
      </w:pPr>
      <w:r>
        <w:rPr>
          <w:shd w:val="clear" w:color="auto" w:fill="FFFFFF"/>
        </w:rPr>
        <w:t> </w:t>
      </w:r>
    </w:p>
    <w:p>
      <w:pPr>
        <w:pStyle w:val="19"/>
        <w:keepNext w:val="0"/>
        <w:keepLines w:val="0"/>
        <w:widowControl/>
        <w:suppressLineNumbers w:val="0"/>
        <w:spacing w:before="0" w:beforeAutospacing="0"/>
        <w:ind w:left="0"/>
        <w:jc w:val="left"/>
      </w:pPr>
      <w:r>
        <w:rPr>
          <w:shd w:val="clear" w:color="auto" w:fill="FFFFFF"/>
        </w:rPr>
        <w:t> </w:t>
      </w:r>
    </w:p>
    <w:p>
      <w:pPr>
        <w:pStyle w:val="19"/>
        <w:keepNext w:val="0"/>
        <w:keepLines w:val="0"/>
        <w:widowControl/>
        <w:suppressLineNumbers w:val="0"/>
        <w:spacing w:before="0" w:beforeAutospacing="0"/>
        <w:ind w:left="0"/>
        <w:jc w:val="center"/>
      </w:pPr>
      <w:r>
        <w:rPr>
          <w:shd w:val="clear" w:color="auto" w:fill="FFFFFF"/>
        </w:rPr>
        <w:t> </w:t>
      </w:r>
    </w:p>
    <w:p>
      <w:pPr>
        <w:pStyle w:val="19"/>
        <w:keepNext w:val="0"/>
        <w:keepLines w:val="0"/>
        <w:widowControl/>
        <w:suppressLineNumbers w:val="0"/>
        <w:spacing w:before="0" w:beforeAutospacing="0"/>
        <w:ind w:left="0"/>
        <w:jc w:val="center"/>
      </w:pPr>
      <w:r>
        <w:rPr>
          <w:shd w:val="clear" w:color="auto" w:fill="FFFFFF"/>
        </w:rPr>
        <w:t> </w:t>
      </w:r>
    </w:p>
    <w:p>
      <w:pPr>
        <w:pStyle w:val="19"/>
        <w:keepNext w:val="0"/>
        <w:keepLines w:val="0"/>
        <w:widowControl/>
        <w:suppressLineNumbers w:val="0"/>
        <w:spacing w:before="0" w:beforeAutospacing="0"/>
        <w:ind w:left="0"/>
        <w:jc w:val="center"/>
      </w:pPr>
      <w:r>
        <w:rPr>
          <w:shd w:val="clear" w:color="auto" w:fill="FFFFFF"/>
        </w:rPr>
        <w:t> </w:t>
      </w:r>
    </w:p>
    <w:p>
      <w:pPr>
        <w:pStyle w:val="19"/>
        <w:keepNext w:val="0"/>
        <w:keepLines w:val="0"/>
        <w:widowControl/>
        <w:suppressLineNumbers w:val="0"/>
        <w:spacing w:before="0" w:beforeAutospacing="0"/>
        <w:ind w:left="0"/>
        <w:jc w:val="center"/>
        <w:rPr>
          <w:rFonts w:eastAsia="宋体" w:hint="eastAsia"/>
          <w:shd w:val="clear" w:color="auto" w:fill="FFFFFF"/>
          <w:lang w:eastAsia="zh-CN"/>
        </w:rPr>
      </w:pPr>
    </w:p>
    <w:p>
      <w:pPr>
        <w:pStyle w:val="19"/>
        <w:keepNext w:val="0"/>
        <w:keepLines w:val="0"/>
        <w:widowControl/>
        <w:suppressLineNumbers w:val="0"/>
        <w:spacing w:before="0" w:beforeAutospacing="0"/>
        <w:ind w:left="0"/>
        <w:jc w:val="center"/>
        <w:rPr>
          <w:shd w:val="clear" w:color="auto" w:fill="FFFFFF"/>
        </w:rPr>
      </w:pPr>
    </w:p>
    <w:p>
      <w:pPr>
        <w:pStyle w:val="19"/>
        <w:keepNext w:val="0"/>
        <w:keepLines w:val="0"/>
        <w:widowControl/>
        <w:suppressLineNumbers w:val="0"/>
        <w:spacing w:before="0" w:beforeAutospacing="0"/>
        <w:ind w:left="0"/>
        <w:jc w:val="center"/>
        <w:rPr>
          <w:shd w:val="clear" w:color="auto" w:fill="FFFFFF"/>
        </w:rPr>
      </w:pPr>
    </w:p>
    <w:p>
      <w:pPr>
        <w:pStyle w:val="19"/>
        <w:keepNext w:val="0"/>
        <w:keepLines w:val="0"/>
        <w:widowControl/>
        <w:suppressLineNumbers w:val="0"/>
        <w:spacing w:before="0" w:beforeAutospacing="0"/>
        <w:ind w:left="0"/>
        <w:jc w:val="center"/>
        <w:rPr>
          <w:shd w:val="clear" w:color="auto" w:fill="FFFFFF"/>
        </w:rPr>
      </w:pPr>
    </w:p>
    <w:p>
      <w:pPr>
        <w:pStyle w:val="19"/>
        <w:keepNext w:val="0"/>
        <w:keepLines w:val="0"/>
        <w:widowControl/>
        <w:suppressLineNumbers w:val="0"/>
        <w:spacing w:before="0" w:beforeAutospacing="0"/>
        <w:ind w:left="0"/>
        <w:jc w:val="center"/>
        <w:rPr>
          <w:shd w:val="clear" w:color="auto" w:fill="FFFFFF"/>
        </w:rPr>
      </w:pPr>
    </w:p>
    <w:p>
      <w:pPr>
        <w:pStyle w:val="19"/>
        <w:keepNext w:val="0"/>
        <w:keepLines w:val="0"/>
        <w:widowControl/>
        <w:suppressLineNumbers w:val="0"/>
        <w:spacing w:before="0" w:beforeAutospacing="0"/>
        <w:ind w:left="0"/>
        <w:jc w:val="center"/>
        <w:rPr>
          <w:shd w:val="clear" w:color="auto" w:fill="FFFFFF"/>
        </w:rPr>
      </w:pPr>
    </w:p>
    <w:p>
      <w:pPr>
        <w:spacing w:before="0" w:after="0" w:line="240" w:lineRule="auto"/>
        <w:ind w:left="0" w:right="0" w:firstLine="0"/>
        <w:jc w:val="center"/>
      </w:pPr>
    </w:p>
    <w:p>
      <w:pPr>
        <w:pStyle w:val="19"/>
        <w:keepNext w:val="0"/>
        <w:keepLines w:val="0"/>
        <w:widowControl/>
        <w:suppressLineNumbers w:val="0"/>
        <w:spacing w:before="0" w:beforeAutospacing="0"/>
        <w:ind w:left="0"/>
        <w:jc w:val="left"/>
        <w:rPr>
          <w:shd w:val="clear" w:color="auto" w:fill="FFFFFF"/>
        </w:rPr>
      </w:pPr>
      <w:r>
        <w:rPr>
          <w:shd w:val="clear" w:color="auto" w:fill="FFFFFF"/>
        </w:rPr>
        <w:t> </w:t>
      </w:r>
    </w:p>
    <w:sdt>
      <w:sdtPr>
        <w:rPr>
          <w:rFonts w:ascii="宋体" w:eastAsia="宋体" w:cs="宋体"/>
          <w:kern w:val="0"/>
          <w:sz w:val="21"/>
          <w:szCs w:val="24"/>
          <w:lang w:val="en-US" w:eastAsia="zh-CN"/>
        </w:rPr>
        <w:id w:val="-446107787"/>
        <w15:color w:val="DBDBDB"/>
        <w:docPartObj>
          <w:docPartGallery w:val="Table of Contents"/>
          <w:docPartUnique/>
        </w:docPartObj>
      </w:sdtPr>
      <w:sdtEndPr>
        <w:rPr>
          <w:rFonts w:ascii="Calibri" w:cs="Arial" w:hAnsi="Calibri"/>
          <w:sz w:val="20"/>
          <w:szCs w:val="20"/>
        </w:rPr>
      </w:sdtEndPr>
      <w:sdtContent>
        <w:bookmarkStart w:id="4" w:name="_Toc8848_WPSOffice_Type2" w:displacedByCustomXml="prev"/>
        <w:p>
          <w:pPr>
            <w:spacing w:before="0" w:after="0" w:line="240" w:lineRule="auto"/>
            <w:ind w:left="0" w:right="0" w:firstLine="0"/>
            <w:jc w:val="center"/>
          </w:pPr>
          <w:r>
            <w:rPr>
              <w:rFonts w:ascii="宋体" w:eastAsia="宋体"/>
              <w:sz w:val="21"/>
            </w:rPr>
            <w:t>目录</w:t>
          </w:r>
        </w:p>
        <w:p>
          <w:pPr>
            <w:pStyle w:val="21"/>
            <w:tabs>
              <w:tab w:val="right" w:leader="dot" w:pos="8315"/>
            </w:tabs>
          </w:pPr>
          <w:sdt>
            <w:sdtPr>
              <w:rPr>
                <w:rFonts w:ascii="宋体" w:eastAsia="宋体" w:cs="宋体"/>
                <w:b/>
                <w:bCs/>
                <w:kern w:val="0"/>
                <w:sz w:val="24"/>
                <w:szCs w:val="24"/>
                <w:lang w:val="en-US" w:eastAsia="zh-CN"/>
              </w:rPr>
              <w:id w:val="1580087505"/>
              <w:placeholder>
                <w:docPart w:val="DCA58F01A7F347C0B9EDDE41C4DF58C5"/>
              </w:placeholder>
              <w15:color w:val="509DF3"/>
            </w:sdtPr>
            <w:sdtContent>
              <w:r>
                <w:rPr>
                  <w:rFonts w:ascii="宋体" w:eastAsia="宋体" w:cs="宋体" w:hint="eastAsia"/>
                  <w:b/>
                  <w:bCs/>
                </w:rPr>
                <w:fldChar w:fldCharType="begin"/>
              </w:r>
              <w:r>
                <w:instrText>HYPERLINK  \l "_Toc8889_WPSOffice_Level1"</w:instrText>
              </w:r>
              <w:r>
                <w:rPr>
                  <w:rFonts w:ascii="宋体" w:eastAsia="宋体" w:cs="宋体" w:hint="eastAsia"/>
                  <w:b/>
                  <w:bCs/>
                </w:rPr>
                <w:fldChar w:fldCharType="separate"/>
              </w:r>
              <w:r>
                <w:rPr>
                  <w:rFonts w:ascii="宋体" w:eastAsia="宋体" w:cs="宋体" w:hint="eastAsia"/>
                  <w:b/>
                  <w:bCs/>
                </w:rPr>
                <w:t>第一部分 部门概况</w:t>
              </w:r>
            </w:sdtContent>
          </w:sdt>
          <w:r>
            <w:rPr>
              <w:b/>
              <w:bCs/>
            </w:rPr>
            <w:tab/>
          </w:r>
          <w:bookmarkStart w:id="5" w:name="_Toc8889_WPSOffice_Level1Page"/>
          <w:r>
            <w:rPr>
              <w:b/>
              <w:bCs/>
            </w:rPr>
            <w:t>3</w:t>
          </w:r>
          <w:r>
            <w:rPr>
              <w:rFonts w:ascii="宋体" w:eastAsia="宋体" w:cs="宋体" w:hint="eastAsia"/>
              <w:b/>
              <w:bCs/>
            </w:rPr>
            <w:fldChar w:fldCharType="end"/>
          </w:r>
        </w:p>
        <w:p>
          <w:pPr>
            <w:pStyle w:val="22"/>
            <w:tabs>
              <w:tab w:val="right" w:leader="dot" w:pos="8315"/>
            </w:tabs>
          </w:pPr>
          <w:sdt>
            <w:sdtPr>
              <w:rPr>
                <w:rFonts w:ascii="宋体" w:eastAsia="宋体" w:cs="宋体"/>
                <w:kern w:val="0"/>
                <w:sz w:val="24"/>
                <w:szCs w:val="24"/>
                <w:lang w:val="en-US" w:eastAsia="zh-CN"/>
              </w:rPr>
              <w:id w:val="1435578776"/>
              <w:placeholder>
                <w:docPart w:val="DCA58F01A7F347C0B9EDDE41C4DF58C5"/>
              </w:placeholder>
              <w15:color w:val="509DF3"/>
            </w:sdtPr>
            <w:sdtContent>
              <w:r>
                <w:rPr>
                  <w:rFonts w:ascii="宋体" w:eastAsia="宋体" w:cs="宋体" w:hint="eastAsia"/>
                </w:rPr>
                <w:fldChar w:fldCharType="begin"/>
              </w:r>
              <w:r>
                <w:instrText>HYPERLINK  \l "_Toc8848_WPSOffice_Level2"</w:instrText>
              </w:r>
              <w:r>
                <w:rPr>
                  <w:rFonts w:ascii="宋体" w:eastAsia="宋体" w:cs="宋体" w:hint="eastAsia"/>
                </w:rPr>
                <w:fldChar w:fldCharType="separate"/>
              </w:r>
              <w:r>
                <w:rPr>
                  <w:rFonts w:ascii="宋体" w:eastAsia="宋体" w:cs="宋体" w:hint="eastAsia"/>
                </w:rPr>
                <w:t>一、基本职能及主要工作</w:t>
              </w:r>
            </w:sdtContent>
          </w:sdt>
          <w:r>
            <w:tab/>
          </w:r>
          <w:bookmarkStart w:id="6" w:name="_Toc8848_WPSOffice_Level2Page"/>
          <w:r>
            <w:t>3</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1200660357"/>
              <w:placeholder>
                <w:docPart w:val="DCA58F01A7F347C0B9EDDE41C4DF58C5"/>
              </w:placeholder>
              <w15:color w:val="509DF3"/>
            </w:sdtPr>
            <w:sdtContent>
              <w:r>
                <w:rPr>
                  <w:rFonts w:ascii="宋体" w:eastAsia="宋体" w:cs="宋体" w:hint="eastAsia"/>
                </w:rPr>
                <w:fldChar w:fldCharType="begin"/>
              </w:r>
              <w:r>
                <w:instrText>HYPERLINK  \l "_Toc32346_WPSOffice_Level2"</w:instrText>
              </w:r>
              <w:r>
                <w:rPr>
                  <w:rFonts w:ascii="宋体" w:eastAsia="宋体" w:cs="宋体" w:hint="eastAsia"/>
                </w:rPr>
                <w:fldChar w:fldCharType="separate"/>
              </w:r>
              <w:r>
                <w:rPr>
                  <w:rFonts w:ascii="宋体" w:eastAsia="宋体" w:cs="宋体" w:hint="eastAsia"/>
                </w:rPr>
                <w:t>二、机构设置</w:t>
              </w:r>
            </w:sdtContent>
          </w:sdt>
          <w:r>
            <w:tab/>
          </w:r>
          <w:bookmarkStart w:id="7" w:name="_Toc32346_WPSOffice_Level2Page"/>
          <w:r>
            <w:t>4</w:t>
          </w:r>
          <w:r>
            <w:rPr>
              <w:rFonts w:ascii="宋体" w:eastAsia="宋体" w:cs="宋体" w:hint="eastAsia"/>
            </w:rPr>
            <w:fldChar w:fldCharType="end"/>
          </w:r>
        </w:p>
        <w:p>
          <w:pPr>
            <w:pStyle w:val="21"/>
            <w:tabs>
              <w:tab w:val="right" w:leader="dot" w:pos="8315"/>
            </w:tabs>
          </w:pPr>
          <w:sdt>
            <w:sdtPr>
              <w:rPr>
                <w:rFonts w:ascii="宋体" w:eastAsia="宋体" w:cs="宋体"/>
                <w:b/>
                <w:bCs/>
                <w:kern w:val="0"/>
                <w:sz w:val="24"/>
                <w:szCs w:val="24"/>
                <w:lang w:val="en-US" w:eastAsia="zh-CN"/>
              </w:rPr>
              <w:id w:val="-1478102887"/>
              <w:placeholder>
                <w:docPart w:val="DCA58F01A7F347C0B9EDDE41C4DF58C5"/>
              </w:placeholder>
              <w15:color w:val="509DF3"/>
            </w:sdtPr>
            <w:sdtContent>
              <w:r>
                <w:rPr>
                  <w:rFonts w:ascii="宋体" w:eastAsia="宋体" w:cs="宋体" w:hint="eastAsia"/>
                  <w:b/>
                  <w:bCs/>
                </w:rPr>
                <w:fldChar w:fldCharType="begin"/>
              </w:r>
              <w:r>
                <w:instrText>HYPERLINK  \l "_Toc8848_WPSOffice_Level1"</w:instrText>
              </w:r>
              <w:r>
                <w:rPr>
                  <w:rFonts w:ascii="宋体" w:eastAsia="宋体" w:cs="宋体" w:hint="eastAsia"/>
                  <w:b/>
                  <w:bCs/>
                </w:rPr>
                <w:fldChar w:fldCharType="separate"/>
              </w:r>
              <w:r>
                <w:rPr>
                  <w:rFonts w:ascii="宋体" w:eastAsia="宋体" w:cs="宋体" w:hint="eastAsia"/>
                  <w:b/>
                  <w:bCs/>
                </w:rPr>
                <w:t>第二部分 2021年度部门决算情况说明</w:t>
              </w:r>
            </w:sdtContent>
          </w:sdt>
          <w:r>
            <w:rPr>
              <w:b/>
              <w:bCs/>
            </w:rPr>
            <w:tab/>
          </w:r>
          <w:bookmarkStart w:id="8" w:name="_Toc8848_WPSOffice_Level1Page"/>
          <w:r>
            <w:rPr>
              <w:b/>
              <w:bCs/>
            </w:rPr>
            <w:t>5</w:t>
          </w:r>
          <w:r>
            <w:rPr>
              <w:rFonts w:ascii="宋体" w:eastAsia="宋体" w:cs="宋体" w:hint="eastAsia"/>
              <w:b/>
              <w:bCs/>
            </w:rPr>
            <w:fldChar w:fldCharType="end"/>
          </w:r>
        </w:p>
        <w:p>
          <w:pPr>
            <w:pStyle w:val="22"/>
            <w:tabs>
              <w:tab w:val="right" w:leader="dot" w:pos="8315"/>
            </w:tabs>
          </w:pPr>
          <w:sdt>
            <w:sdtPr>
              <w:rPr>
                <w:rFonts w:ascii="宋体" w:eastAsia="宋体" w:cs="宋体"/>
                <w:kern w:val="0"/>
                <w:sz w:val="24"/>
                <w:szCs w:val="24"/>
                <w:lang w:val="en-US" w:eastAsia="zh-CN"/>
              </w:rPr>
              <w:id w:val="1023072676"/>
              <w:placeholder>
                <w:docPart w:val="DCA58F01A7F347C0B9EDDE41C4DF58C5"/>
              </w:placeholder>
              <w15:color w:val="509DF3"/>
            </w:sdtPr>
            <w:sdtContent>
              <w:r>
                <w:rPr>
                  <w:rFonts w:ascii="宋体" w:eastAsia="宋体" w:cs="宋体" w:hint="eastAsia"/>
                </w:rPr>
                <w:fldChar w:fldCharType="begin"/>
              </w:r>
              <w:r>
                <w:instrText>HYPERLINK  \l "_Toc1851_WPSOffice_Level2"</w:instrText>
              </w:r>
              <w:r>
                <w:rPr>
                  <w:rFonts w:ascii="宋体" w:eastAsia="宋体" w:cs="宋体" w:hint="eastAsia"/>
                </w:rPr>
                <w:fldChar w:fldCharType="separate"/>
              </w:r>
              <w:r>
                <w:rPr>
                  <w:rFonts w:ascii="宋体" w:eastAsia="宋体" w:cs="宋体" w:hint="eastAsia"/>
                </w:rPr>
                <w:t>一、收入支出决算总体情况说明</w:t>
              </w:r>
            </w:sdtContent>
          </w:sdt>
          <w:r>
            <w:tab/>
          </w:r>
          <w:bookmarkStart w:id="9" w:name="_Toc1851_WPSOffice_Level2Page"/>
          <w:r>
            <w:t>5</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81197600"/>
              <w:placeholder>
                <w:docPart w:val="DCA58F01A7F347C0B9EDDE41C4DF58C5"/>
              </w:placeholder>
              <w15:color w:val="509DF3"/>
            </w:sdtPr>
            <w:sdtContent>
              <w:r>
                <w:rPr>
                  <w:rFonts w:ascii="宋体" w:eastAsia="宋体" w:cs="宋体" w:hint="eastAsia"/>
                </w:rPr>
                <w:fldChar w:fldCharType="begin"/>
              </w:r>
              <w:r>
                <w:instrText>HYPERLINK  \l "_Toc11406_WPSOffice_Level2"</w:instrText>
              </w:r>
              <w:r>
                <w:rPr>
                  <w:rFonts w:ascii="宋体" w:eastAsia="宋体" w:cs="宋体" w:hint="eastAsia"/>
                </w:rPr>
                <w:fldChar w:fldCharType="separate"/>
              </w:r>
              <w:r>
                <w:rPr>
                  <w:rFonts w:ascii="宋体" w:eastAsia="宋体" w:cs="宋体" w:hint="eastAsia"/>
                </w:rPr>
                <w:t>二、财政拨款收入支出决算总体情况说明</w:t>
              </w:r>
            </w:sdtContent>
          </w:sdt>
          <w:r>
            <w:tab/>
          </w:r>
          <w:bookmarkStart w:id="10" w:name="_Toc11406_WPSOffice_Level2Page"/>
          <w:r>
            <w:t>6</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1424169355"/>
              <w:placeholder>
                <w:docPart w:val="DCA58F01A7F347C0B9EDDE41C4DF58C5"/>
              </w:placeholder>
              <w15:color w:val="509DF3"/>
            </w:sdtPr>
            <w:sdtContent>
              <w:r>
                <w:rPr>
                  <w:rFonts w:ascii="宋体" w:eastAsia="宋体" w:cs="宋体" w:hint="eastAsia"/>
                </w:rPr>
                <w:fldChar w:fldCharType="begin"/>
              </w:r>
              <w:r>
                <w:instrText>HYPERLINK  \l "_Toc32415_WPSOffice_Level2"</w:instrText>
              </w:r>
              <w:r>
                <w:rPr>
                  <w:rFonts w:ascii="宋体" w:eastAsia="宋体" w:cs="宋体" w:hint="eastAsia"/>
                </w:rPr>
                <w:fldChar w:fldCharType="separate"/>
              </w:r>
              <w:r>
                <w:rPr>
                  <w:rFonts w:ascii="宋体" w:eastAsia="宋体" w:cs="宋体" w:hint="eastAsia"/>
                </w:rPr>
                <w:t>三、一般公共预算财政拨款支出决算情况说明</w:t>
              </w:r>
            </w:sdtContent>
          </w:sdt>
          <w:r>
            <w:tab/>
          </w:r>
          <w:bookmarkStart w:id="11" w:name="_Toc32415_WPSOffice_Level2Page"/>
          <w:r>
            <w:t>7</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1004147553"/>
              <w:placeholder>
                <w:docPart w:val="DCA58F01A7F347C0B9EDDE41C4DF58C5"/>
              </w:placeholder>
              <w15:color w:val="509DF3"/>
            </w:sdtPr>
            <w:sdtContent>
              <w:r>
                <w:rPr>
                  <w:rFonts w:ascii="宋体" w:eastAsia="宋体" w:cs="宋体" w:hint="eastAsia"/>
                </w:rPr>
                <w:fldChar w:fldCharType="begin"/>
              </w:r>
              <w:r>
                <w:instrText>HYPERLINK  \l "_Toc31872_WPSOffice_Level2"</w:instrText>
              </w:r>
              <w:r>
                <w:rPr>
                  <w:rFonts w:ascii="宋体" w:eastAsia="宋体" w:cs="宋体" w:hint="eastAsia"/>
                </w:rPr>
                <w:fldChar w:fldCharType="separate"/>
              </w:r>
              <w:r>
                <w:rPr>
                  <w:rFonts w:ascii="宋体" w:eastAsia="宋体" w:cs="宋体" w:hint="eastAsia"/>
                </w:rPr>
                <w:t>四、一般公共预算财政拨款基本支出决算情况说明  </w:t>
              </w:r>
              <w:r>
                <w:rPr>
                  <w:rFonts w:ascii="仿宋_GB2312" w:eastAsia="仿宋_GB2312" w:cs="仿宋_GB2312" w:hint="eastAsia"/>
                </w:rPr>
                <w:t> </w:t>
              </w:r>
            </w:sdtContent>
          </w:sdt>
          <w:r>
            <w:tab/>
          </w:r>
          <w:bookmarkStart w:id="12" w:name="_Toc31872_WPSOffice_Level2Page"/>
          <w:r>
            <w:t>8</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1349317233"/>
              <w:placeholder>
                <w:docPart w:val="DCA58F01A7F347C0B9EDDE41C4DF58C5"/>
              </w:placeholder>
              <w15:color w:val="509DF3"/>
            </w:sdtPr>
            <w:sdtContent>
              <w:r>
                <w:rPr>
                  <w:rFonts w:ascii="宋体" w:eastAsia="宋体" w:cs="宋体" w:hint="eastAsia"/>
                </w:rPr>
                <w:fldChar w:fldCharType="begin"/>
              </w:r>
              <w:r>
                <w:instrText>HYPERLINK  \l "_Toc14348_WPSOffice_Level2"</w:instrText>
              </w:r>
              <w:r>
                <w:rPr>
                  <w:rFonts w:ascii="宋体" w:eastAsia="宋体" w:cs="宋体" w:hint="eastAsia"/>
                </w:rPr>
                <w:fldChar w:fldCharType="separate"/>
              </w:r>
              <w:r>
                <w:rPr>
                  <w:rFonts w:ascii="宋体" w:eastAsia="宋体" w:cs="宋体" w:hint="eastAsia"/>
                </w:rPr>
                <w:t>五、“三公”经费财政拨款支出决算情况说明</w:t>
              </w:r>
            </w:sdtContent>
          </w:sdt>
          <w:r>
            <w:tab/>
          </w:r>
          <w:bookmarkStart w:id="13" w:name="_Toc14348_WPSOffice_Level2Page"/>
          <w:r>
            <w:t>9</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14862690"/>
              <w:placeholder>
                <w:docPart w:val="DCA58F01A7F347C0B9EDDE41C4DF58C5"/>
              </w:placeholder>
              <w15:color w:val="509DF3"/>
            </w:sdtPr>
            <w:sdtContent>
              <w:r>
                <w:rPr>
                  <w:rFonts w:ascii="宋体" w:eastAsia="宋体" w:cs="宋体" w:hint="eastAsia"/>
                </w:rPr>
                <w:fldChar w:fldCharType="begin"/>
              </w:r>
              <w:r>
                <w:instrText>HYPERLINK  \l "_Toc29068_WPSOffice_Level2"</w:instrText>
              </w:r>
              <w:r>
                <w:rPr>
                  <w:rFonts w:ascii="宋体" w:eastAsia="宋体" w:cs="宋体" w:hint="eastAsia"/>
                </w:rPr>
                <w:fldChar w:fldCharType="separate"/>
              </w:r>
              <w:r>
                <w:rPr>
                  <w:rFonts w:ascii="宋体" w:eastAsia="宋体" w:cs="宋体" w:hint="eastAsia"/>
                </w:rPr>
                <w:t>六、政府性基金预算支出决算情况说明</w:t>
              </w:r>
            </w:sdtContent>
          </w:sdt>
          <w:r>
            <w:tab/>
          </w:r>
          <w:bookmarkStart w:id="14" w:name="_Toc29068_WPSOffice_Level2Page"/>
          <w:r>
            <w:t>11</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1896140119"/>
              <w:placeholder>
                <w:docPart w:val="DCA58F01A7F347C0B9EDDE41C4DF58C5"/>
              </w:placeholder>
              <w15:color w:val="509DF3"/>
            </w:sdtPr>
            <w:sdtContent>
              <w:r>
                <w:rPr>
                  <w:rFonts w:ascii="黑体" w:eastAsia="黑体" w:cs="宋体" w:hint="eastAsia"/>
                </w:rPr>
                <w:fldChar w:fldCharType="begin"/>
              </w:r>
              <w:r>
                <w:instrText>HYPERLINK  \l "_Toc7571_WPSOffice_Level2"</w:instrText>
              </w:r>
              <w:r>
                <w:rPr>
                  <w:rFonts w:ascii="黑体" w:eastAsia="黑体" w:cs="宋体" w:hint="eastAsia"/>
                </w:rPr>
                <w:fldChar w:fldCharType="separate"/>
              </w:r>
              <w:r>
                <w:rPr>
                  <w:rFonts w:ascii="黑体" w:eastAsia="黑体" w:cs="宋体" w:hint="eastAsia"/>
                </w:rPr>
                <w:t>2021年部门整体支出绩效评价得分表</w:t>
              </w:r>
            </w:sdtContent>
          </w:sdt>
          <w:r>
            <w:tab/>
          </w:r>
          <w:bookmarkStart w:id="15" w:name="_Toc7571_WPSOffice_Level2Page"/>
          <w:r>
            <w:t>13</w:t>
          </w:r>
          <w:r>
            <w:rPr>
              <w:rFonts w:ascii="黑体" w:eastAsia="黑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122217525"/>
              <w:placeholder>
                <w:docPart w:val="DCA58F01A7F347C0B9EDDE41C4DF58C5"/>
              </w:placeholder>
              <w15:color w:val="509DF3"/>
            </w:sdtPr>
            <w:sdtContent>
              <w:r>
                <w:rPr>
                  <w:rFonts w:ascii="黑体" w:eastAsia="黑体" w:cs="宋体" w:hint="eastAsia"/>
                </w:rPr>
                <w:fldChar w:fldCharType="begin"/>
              </w:r>
              <w:r>
                <w:instrText>HYPERLINK  \l "_Toc30997_WPSOffice_Level2"</w:instrText>
              </w:r>
              <w:r>
                <w:rPr>
                  <w:rFonts w:ascii="黑体" w:eastAsia="黑体" w:cs="宋体" w:hint="eastAsia"/>
                </w:rPr>
                <w:fldChar w:fldCharType="separate"/>
              </w:r>
              <w:r>
                <w:rPr>
                  <w:rFonts w:ascii="黑体" w:eastAsia="黑体" w:cs="宋体" w:hint="eastAsia"/>
                </w:rPr>
                <w:t>2021年项目支出绩效评价得分表</w:t>
              </w:r>
            </w:sdtContent>
          </w:sdt>
          <w:r>
            <w:tab/>
          </w:r>
          <w:bookmarkStart w:id="16" w:name="_Toc30997_WPSOffice_Level2Page"/>
          <w:r>
            <w:t>14</w:t>
          </w:r>
          <w:r>
            <w:rPr>
              <w:rFonts w:ascii="黑体" w:eastAsia="黑体" w:cs="宋体" w:hint="eastAsia"/>
            </w:rPr>
            <w:fldChar w:fldCharType="end"/>
          </w:r>
        </w:p>
        <w:p>
          <w:pPr>
            <w:pStyle w:val="21"/>
            <w:tabs>
              <w:tab w:val="right" w:leader="dot" w:pos="8315"/>
            </w:tabs>
          </w:pPr>
          <w:sdt>
            <w:sdtPr>
              <w:rPr>
                <w:rFonts w:ascii="宋体" w:eastAsia="宋体" w:cs="宋体"/>
                <w:b/>
                <w:bCs/>
                <w:kern w:val="0"/>
                <w:sz w:val="24"/>
                <w:szCs w:val="24"/>
                <w:lang w:val="en-US" w:eastAsia="zh-CN"/>
              </w:rPr>
              <w:id w:val="-1022143635"/>
              <w:placeholder>
                <w:docPart w:val="DCA58F01A7F347C0B9EDDE41C4DF58C5"/>
              </w:placeholder>
              <w15:color w:val="509DF3"/>
            </w:sdtPr>
            <w:sdtContent>
              <w:r>
                <w:rPr>
                  <w:rFonts w:ascii="宋体" w:eastAsia="宋体" w:cs="宋体" w:hint="eastAsia"/>
                  <w:b/>
                  <w:bCs/>
                </w:rPr>
                <w:fldChar w:fldCharType="begin"/>
              </w:r>
              <w:r>
                <w:instrText>HYPERLINK  \l "_Toc32346_WPSOffice_Level1"</w:instrText>
              </w:r>
              <w:r>
                <w:rPr>
                  <w:rFonts w:ascii="宋体" w:eastAsia="宋体" w:cs="宋体" w:hint="eastAsia"/>
                  <w:b/>
                  <w:bCs/>
                </w:rPr>
                <w:fldChar w:fldCharType="separate"/>
              </w:r>
              <w:r>
                <w:rPr>
                  <w:rFonts w:ascii="宋体" w:eastAsia="宋体" w:cs="宋体" w:hint="eastAsia"/>
                  <w:b/>
                  <w:bCs/>
                </w:rPr>
                <w:t>第三部分 名词解释</w:t>
              </w:r>
            </w:sdtContent>
          </w:sdt>
          <w:r>
            <w:rPr>
              <w:b/>
              <w:bCs/>
            </w:rPr>
            <w:tab/>
          </w:r>
          <w:bookmarkStart w:id="17" w:name="_Toc32346_WPSOffice_Level1Page"/>
          <w:r>
            <w:rPr>
              <w:b/>
              <w:bCs/>
            </w:rPr>
            <w:t>16</w:t>
          </w:r>
          <w:r>
            <w:rPr>
              <w:rFonts w:ascii="宋体" w:eastAsia="宋体" w:cs="宋体" w:hint="eastAsia"/>
              <w:b/>
              <w:bCs/>
            </w:rPr>
            <w:fldChar w:fldCharType="end"/>
          </w:r>
        </w:p>
        <w:p>
          <w:pPr>
            <w:pStyle w:val="21"/>
            <w:tabs>
              <w:tab w:val="right" w:leader="dot" w:pos="8315"/>
            </w:tabs>
          </w:pPr>
          <w:sdt>
            <w:sdtPr>
              <w:rPr>
                <w:rFonts w:ascii="宋体" w:eastAsia="宋体" w:cs="宋体"/>
                <w:b/>
                <w:bCs/>
                <w:kern w:val="0"/>
                <w:sz w:val="24"/>
                <w:szCs w:val="24"/>
                <w:lang w:val="en-US" w:eastAsia="zh-CN"/>
              </w:rPr>
              <w:id w:val="-566778194"/>
              <w:placeholder>
                <w:docPart w:val="DCA58F01A7F347C0B9EDDE41C4DF58C5"/>
              </w:placeholder>
              <w15:color w:val="509DF3"/>
            </w:sdtPr>
            <w:sdtContent>
              <w:r>
                <w:rPr>
                  <w:rFonts w:ascii="宋体" w:eastAsia="宋体" w:cs="宋体" w:hint="eastAsia"/>
                  <w:b/>
                  <w:bCs/>
                </w:rPr>
                <w:fldChar w:fldCharType="begin"/>
              </w:r>
              <w:r>
                <w:instrText>HYPERLINK  \l "_Toc1851_WPSOffice_Level1"</w:instrText>
              </w:r>
              <w:r>
                <w:rPr>
                  <w:rFonts w:ascii="宋体" w:eastAsia="宋体" w:cs="宋体" w:hint="eastAsia"/>
                  <w:b/>
                  <w:bCs/>
                </w:rPr>
                <w:fldChar w:fldCharType="separate"/>
              </w:r>
              <w:r>
                <w:rPr>
                  <w:rFonts w:ascii="宋体" w:eastAsia="宋体" w:cs="宋体" w:hint="eastAsia"/>
                  <w:b/>
                  <w:bCs/>
                </w:rPr>
                <w:t>第四部分 附件</w:t>
              </w:r>
            </w:sdtContent>
          </w:sdt>
          <w:r>
            <w:rPr>
              <w:b/>
              <w:bCs/>
            </w:rPr>
            <w:tab/>
          </w:r>
          <w:bookmarkStart w:id="18" w:name="_Toc1851_WPSOffice_Level1Page"/>
          <w:r>
            <w:rPr>
              <w:b/>
              <w:bCs/>
            </w:rPr>
            <w:t>18</w:t>
          </w:r>
          <w:r>
            <w:rPr>
              <w:rFonts w:ascii="宋体" w:eastAsia="宋体" w:cs="宋体" w:hint="eastAsia"/>
              <w:b/>
              <w:bCs/>
            </w:rPr>
            <w:fldChar w:fldCharType="end"/>
          </w:r>
        </w:p>
        <w:p>
          <w:pPr>
            <w:pStyle w:val="22"/>
            <w:tabs>
              <w:tab w:val="right" w:leader="dot" w:pos="8315"/>
            </w:tabs>
          </w:pPr>
          <w:sdt>
            <w:sdtPr>
              <w:rPr>
                <w:rFonts w:ascii="宋体" w:eastAsia="宋体" w:cs="宋体"/>
                <w:kern w:val="0"/>
                <w:sz w:val="24"/>
                <w:szCs w:val="24"/>
                <w:lang w:val="en-US" w:eastAsia="zh-CN"/>
              </w:rPr>
              <w:id w:val="-798478384"/>
              <w:placeholder>
                <w:docPart w:val="DCA58F01A7F347C0B9EDDE41C4DF58C5"/>
              </w:placeholder>
              <w15:color w:val="509DF3"/>
            </w:sdtPr>
            <w:sdtContent>
              <w:r>
                <w:rPr>
                  <w:rFonts w:ascii="仿宋_GB2312" w:eastAsia="仿宋_GB2312" w:cs="仿宋_GB2312" w:hint="eastAsia"/>
                </w:rPr>
                <w:fldChar w:fldCharType="begin"/>
              </w:r>
              <w:r>
                <w:instrText>HYPERLINK  \l "_Toc19517_WPSOffice_Level2"</w:instrText>
              </w:r>
              <w:r>
                <w:rPr>
                  <w:rFonts w:ascii="仿宋_GB2312" w:eastAsia="仿宋_GB2312" w:cs="仿宋_GB2312" w:hint="eastAsia"/>
                </w:rPr>
                <w:fldChar w:fldCharType="separate"/>
              </w:r>
              <w:r>
                <w:rPr>
                  <w:rFonts w:ascii="仿宋_GB2312" w:eastAsia="仿宋_GB2312" w:cs="仿宋_GB2312" w:hint="eastAsia"/>
                </w:rPr>
                <w:t>金川县观音桥景区工作中心</w:t>
              </w:r>
            </w:sdtContent>
          </w:sdt>
          <w:r>
            <w:tab/>
          </w:r>
          <w:bookmarkStart w:id="19" w:name="_Toc19517_WPSOffice_Level2Page"/>
          <w:r>
            <w:t>18</w:t>
          </w:r>
          <w:r>
            <w:rPr>
              <w:rFonts w:ascii="仿宋_GB2312" w:eastAsia="仿宋_GB2312" w:cs="仿宋_GB2312" w:hint="eastAsia"/>
            </w:rPr>
            <w:fldChar w:fldCharType="end"/>
          </w:r>
        </w:p>
        <w:p>
          <w:pPr>
            <w:pStyle w:val="22"/>
            <w:tabs>
              <w:tab w:val="right" w:leader="dot" w:pos="8315"/>
            </w:tabs>
          </w:pPr>
          <w:sdt>
            <w:sdtPr>
              <w:rPr>
                <w:rFonts w:ascii="宋体" w:eastAsia="宋体" w:cs="宋体"/>
                <w:kern w:val="0"/>
                <w:sz w:val="24"/>
                <w:szCs w:val="24"/>
                <w:lang w:val="en-US" w:eastAsia="zh-CN"/>
              </w:rPr>
              <w:id w:val="907099479"/>
              <w:placeholder>
                <w:docPart w:val="DCA58F01A7F347C0B9EDDE41C4DF58C5"/>
              </w:placeholder>
              <w15:color w:val="509DF3"/>
            </w:sdtPr>
            <w:sdtContent>
              <w:r>
                <w:rPr>
                  <w:rFonts w:ascii="仿宋_GB2312" w:eastAsia="仿宋_GB2312" w:cs="仿宋_GB2312" w:hint="eastAsia"/>
                </w:rPr>
                <w:fldChar w:fldCharType="begin"/>
              </w:r>
              <w:r>
                <w:instrText>HYPERLINK  \l "_Toc21615_WPSOffice_Level2"</w:instrText>
              </w:r>
              <w:r>
                <w:rPr>
                  <w:rFonts w:ascii="仿宋_GB2312" w:eastAsia="仿宋_GB2312" w:cs="仿宋_GB2312" w:hint="eastAsia"/>
                </w:rPr>
                <w:fldChar w:fldCharType="separate"/>
              </w:r>
              <w:r>
                <w:rPr>
                  <w:rFonts w:ascii="仿宋_GB2312" w:eastAsia="仿宋_GB2312" w:cs="仿宋_GB2312" w:hint="eastAsia"/>
                </w:rPr>
                <w:t>2021年部门整体支出绩效报告</w:t>
              </w:r>
            </w:sdtContent>
          </w:sdt>
          <w:r>
            <w:tab/>
          </w:r>
          <w:bookmarkStart w:id="20" w:name="_Toc21615_WPSOffice_Level2Page"/>
          <w:r>
            <w:t>18</w:t>
          </w:r>
          <w:r>
            <w:rPr>
              <w:rFonts w:ascii="仿宋_GB2312" w:eastAsia="仿宋_GB2312" w:cs="仿宋_GB2312" w:hint="eastAsia"/>
            </w:rPr>
            <w:fldChar w:fldCharType="end"/>
          </w:r>
        </w:p>
        <w:p>
          <w:pPr>
            <w:pStyle w:val="21"/>
            <w:tabs>
              <w:tab w:val="right" w:leader="dot" w:pos="8315"/>
            </w:tabs>
          </w:pPr>
          <w:sdt>
            <w:sdtPr>
              <w:rPr>
                <w:rFonts w:ascii="宋体" w:eastAsia="宋体" w:cs="宋体"/>
                <w:b/>
                <w:bCs/>
                <w:kern w:val="0"/>
                <w:sz w:val="24"/>
                <w:szCs w:val="24"/>
                <w:lang w:val="en-US" w:eastAsia="zh-CN"/>
              </w:rPr>
              <w:id w:val="-72150322"/>
              <w:placeholder>
                <w:docPart w:val="DCA58F01A7F347C0B9EDDE41C4DF58C5"/>
              </w:placeholder>
              <w15:color w:val="509DF3"/>
            </w:sdtPr>
            <w:sdtContent>
              <w:r>
                <w:rPr>
                  <w:rFonts w:ascii="宋体" w:eastAsia="宋体" w:cs="宋体"/>
                  <w:b/>
                  <w:bCs/>
                </w:rPr>
                <w:fldChar w:fldCharType="begin"/>
              </w:r>
              <w:r>
                <w:instrText>HYPERLINK  \l "_Toc11406_WPSOffice_Level1"</w:instrText>
              </w:r>
              <w:r>
                <w:rPr>
                  <w:rFonts w:ascii="宋体" w:eastAsia="宋体" w:cs="宋体"/>
                  <w:b/>
                  <w:bCs/>
                </w:rPr>
                <w:fldChar w:fldCharType="separate"/>
              </w:r>
              <w:r>
                <w:rPr>
                  <w:rFonts w:ascii="宋体" w:eastAsia="宋体" w:cs="宋体"/>
                  <w:b/>
                  <w:bCs/>
                </w:rPr>
                <w:t>第五部分 附表</w:t>
              </w:r>
            </w:sdtContent>
          </w:sdt>
          <w:r>
            <w:rPr>
              <w:b/>
              <w:bCs/>
            </w:rPr>
            <w:tab/>
          </w:r>
          <w:bookmarkStart w:id="21" w:name="_Toc11406_WPSOffice_Level1Page"/>
          <w:r>
            <w:rPr>
              <w:b/>
              <w:bCs/>
            </w:rPr>
            <w:t>23</w:t>
          </w:r>
          <w:r>
            <w:rPr>
              <w:rFonts w:ascii="宋体" w:eastAsia="宋体" w:cs="宋体"/>
              <w:b/>
              <w:bCs/>
            </w:rPr>
            <w:fldChar w:fldCharType="end"/>
          </w:r>
        </w:p>
        <w:p>
          <w:pPr>
            <w:pStyle w:val="22"/>
            <w:tabs>
              <w:tab w:val="right" w:leader="dot" w:pos="8315"/>
            </w:tabs>
          </w:pPr>
          <w:sdt>
            <w:sdtPr>
              <w:rPr>
                <w:rFonts w:ascii="宋体" w:eastAsia="宋体" w:cs="宋体"/>
                <w:kern w:val="0"/>
                <w:sz w:val="24"/>
                <w:szCs w:val="24"/>
                <w:lang w:val="en-US" w:eastAsia="zh-CN"/>
              </w:rPr>
              <w:id w:val="-1121963067"/>
              <w:placeholder>
                <w:docPart w:val="DCA58F01A7F347C0B9EDDE41C4DF58C5"/>
              </w:placeholder>
              <w15:color w:val="509DF3"/>
            </w:sdtPr>
            <w:sdtContent>
              <w:r>
                <w:rPr>
                  <w:rFonts w:ascii="宋体" w:eastAsia="宋体" w:cs="宋体" w:hint="eastAsia"/>
                </w:rPr>
                <w:fldChar w:fldCharType="begin"/>
              </w:r>
              <w:r>
                <w:instrText>HYPERLINK  \l "_Toc24267_WPSOffice_Level2"</w:instrText>
              </w:r>
              <w:r>
                <w:rPr>
                  <w:rFonts w:ascii="宋体" w:eastAsia="宋体" w:cs="宋体" w:hint="eastAsia"/>
                </w:rPr>
                <w:fldChar w:fldCharType="separate"/>
              </w:r>
              <w:r>
                <w:rPr>
                  <w:rFonts w:ascii="宋体" w:eastAsia="宋体" w:cs="宋体" w:hint="eastAsia"/>
                </w:rPr>
                <w:t>一、收入支出决算总表</w:t>
              </w:r>
            </w:sdtContent>
          </w:sdt>
          <w:r>
            <w:tab/>
          </w:r>
          <w:bookmarkStart w:id="22" w:name="_Toc24267_WPSOffice_Level2Page"/>
          <w:r>
            <w:t>23</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270084263"/>
              <w:placeholder>
                <w:docPart w:val="DCA58F01A7F347C0B9EDDE41C4DF58C5"/>
              </w:placeholder>
              <w15:color w:val="509DF3"/>
            </w:sdtPr>
            <w:sdtContent>
              <w:r>
                <w:rPr>
                  <w:rFonts w:ascii="宋体" w:eastAsia="宋体" w:cs="宋体" w:hint="eastAsia"/>
                </w:rPr>
                <w:fldChar w:fldCharType="begin"/>
              </w:r>
              <w:r>
                <w:instrText>HYPERLINK  \l "_Toc7946_WPSOffice_Level2"</w:instrText>
              </w:r>
              <w:r>
                <w:rPr>
                  <w:rFonts w:ascii="宋体" w:eastAsia="宋体" w:cs="宋体" w:hint="eastAsia"/>
                </w:rPr>
                <w:fldChar w:fldCharType="separate"/>
              </w:r>
              <w:r>
                <w:rPr>
                  <w:rFonts w:ascii="宋体" w:eastAsia="宋体" w:cs="宋体" w:hint="eastAsia"/>
                </w:rPr>
                <w:t>二、收入决算表</w:t>
              </w:r>
            </w:sdtContent>
          </w:sdt>
          <w:r>
            <w:tab/>
          </w:r>
          <w:bookmarkStart w:id="23" w:name="_Toc7946_WPSOffice_Level2Page"/>
          <w:r>
            <w:t>23</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464803145"/>
              <w:placeholder>
                <w:docPart w:val="DCA58F01A7F347C0B9EDDE41C4DF58C5"/>
              </w:placeholder>
              <w15:color w:val="509DF3"/>
            </w:sdtPr>
            <w:sdtContent>
              <w:r>
                <w:rPr>
                  <w:rFonts w:ascii="宋体" w:eastAsia="宋体" w:cs="宋体" w:hint="eastAsia"/>
                </w:rPr>
                <w:fldChar w:fldCharType="begin"/>
              </w:r>
              <w:r>
                <w:instrText>HYPERLINK  \l "_Toc10181_WPSOffice_Level2"</w:instrText>
              </w:r>
              <w:r>
                <w:rPr>
                  <w:rFonts w:ascii="宋体" w:eastAsia="宋体" w:cs="宋体" w:hint="eastAsia"/>
                </w:rPr>
                <w:fldChar w:fldCharType="separate"/>
              </w:r>
              <w:r>
                <w:rPr>
                  <w:rFonts w:ascii="宋体" w:eastAsia="宋体" w:cs="宋体" w:hint="eastAsia"/>
                </w:rPr>
                <w:t>三、支出决算表</w:t>
              </w:r>
            </w:sdtContent>
          </w:sdt>
          <w:r>
            <w:tab/>
          </w:r>
          <w:bookmarkStart w:id="24" w:name="_Toc10181_WPSOffice_Level2Page"/>
          <w:r>
            <w:t>23</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436290415"/>
              <w:placeholder>
                <w:docPart w:val="DCA58F01A7F347C0B9EDDE41C4DF58C5"/>
              </w:placeholder>
              <w15:color w:val="509DF3"/>
            </w:sdtPr>
            <w:sdtContent>
              <w:r>
                <w:rPr>
                  <w:rFonts w:ascii="宋体" w:eastAsia="宋体" w:cs="宋体" w:hint="eastAsia"/>
                </w:rPr>
                <w:fldChar w:fldCharType="begin"/>
              </w:r>
              <w:r>
                <w:instrText>HYPERLINK  \l "_Toc15073_WPSOffice_Level2"</w:instrText>
              </w:r>
              <w:r>
                <w:rPr>
                  <w:rFonts w:ascii="宋体" w:eastAsia="宋体" w:cs="宋体" w:hint="eastAsia"/>
                </w:rPr>
                <w:fldChar w:fldCharType="separate"/>
              </w:r>
              <w:r>
                <w:rPr>
                  <w:rFonts w:ascii="宋体" w:eastAsia="宋体" w:cs="宋体" w:hint="eastAsia"/>
                </w:rPr>
                <w:t>四、财政拨款收入支出决算总表</w:t>
              </w:r>
            </w:sdtContent>
          </w:sdt>
          <w:r>
            <w:tab/>
          </w:r>
          <w:bookmarkStart w:id="25" w:name="_Toc15073_WPSOffice_Level2Page"/>
          <w:r>
            <w:t>23</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2054838688"/>
              <w:placeholder>
                <w:docPart w:val="DCA58F01A7F347C0B9EDDE41C4DF58C5"/>
              </w:placeholder>
              <w15:color w:val="509DF3"/>
            </w:sdtPr>
            <w:sdtContent>
              <w:r>
                <w:rPr>
                  <w:rFonts w:ascii="宋体" w:eastAsia="宋体" w:cs="宋体" w:hint="eastAsia"/>
                </w:rPr>
                <w:fldChar w:fldCharType="begin"/>
              </w:r>
              <w:r>
                <w:instrText>HYPERLINK  \l "_Toc7320_WPSOffice_Level2"</w:instrText>
              </w:r>
              <w:r>
                <w:rPr>
                  <w:rFonts w:ascii="宋体" w:eastAsia="宋体" w:cs="宋体" w:hint="eastAsia"/>
                </w:rPr>
                <w:fldChar w:fldCharType="separate"/>
              </w:r>
              <w:r>
                <w:rPr>
                  <w:rFonts w:ascii="宋体" w:eastAsia="宋体" w:cs="宋体" w:hint="eastAsia"/>
                </w:rPr>
                <w:t>五、财政拨款支出决算明细表</w:t>
              </w:r>
            </w:sdtContent>
          </w:sdt>
          <w:r>
            <w:tab/>
          </w:r>
          <w:bookmarkStart w:id="26" w:name="_Toc7320_WPSOffice_Level2Page"/>
          <w:r>
            <w:t>24</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1561282471"/>
              <w:placeholder>
                <w:docPart w:val="DCA58F01A7F347C0B9EDDE41C4DF58C5"/>
              </w:placeholder>
              <w15:color w:val="509DF3"/>
            </w:sdtPr>
            <w:sdtContent>
              <w:r>
                <w:rPr>
                  <w:rFonts w:ascii="宋体" w:eastAsia="宋体" w:cs="宋体" w:hint="eastAsia"/>
                </w:rPr>
                <w:fldChar w:fldCharType="begin"/>
              </w:r>
              <w:r>
                <w:instrText>HYPERLINK  \l "_Toc32127_WPSOffice_Level2"</w:instrText>
              </w:r>
              <w:r>
                <w:rPr>
                  <w:rFonts w:ascii="宋体" w:eastAsia="宋体" w:cs="宋体" w:hint="eastAsia"/>
                </w:rPr>
                <w:fldChar w:fldCharType="separate"/>
              </w:r>
              <w:r>
                <w:rPr>
                  <w:rFonts w:ascii="宋体" w:eastAsia="宋体" w:cs="宋体" w:hint="eastAsia"/>
                </w:rPr>
                <w:t>六、一般公共预算财政拨款支出决算表</w:t>
              </w:r>
            </w:sdtContent>
          </w:sdt>
          <w:r>
            <w:tab/>
          </w:r>
          <w:bookmarkStart w:id="27" w:name="_Toc32127_WPSOffice_Level2Page"/>
          <w:r>
            <w:t>24</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1940238288"/>
              <w:placeholder>
                <w:docPart w:val="DCA58F01A7F347C0B9EDDE41C4DF58C5"/>
              </w:placeholder>
              <w15:color w:val="509DF3"/>
            </w:sdtPr>
            <w:sdtContent>
              <w:r>
                <w:rPr>
                  <w:rFonts w:ascii="宋体" w:eastAsia="宋体" w:cs="宋体" w:hint="eastAsia"/>
                </w:rPr>
                <w:fldChar w:fldCharType="begin"/>
              </w:r>
              <w:r>
                <w:instrText>HYPERLINK  \l "_Toc790_WPSOffice_Level2"</w:instrText>
              </w:r>
              <w:r>
                <w:rPr>
                  <w:rFonts w:ascii="宋体" w:eastAsia="宋体" w:cs="宋体" w:hint="eastAsia"/>
                </w:rPr>
                <w:fldChar w:fldCharType="separate"/>
              </w:r>
              <w:r>
                <w:rPr>
                  <w:rFonts w:ascii="宋体" w:eastAsia="宋体" w:cs="宋体" w:hint="eastAsia"/>
                </w:rPr>
                <w:t>七、一般公共预算财政拨款支出决算明细表</w:t>
              </w:r>
            </w:sdtContent>
          </w:sdt>
          <w:r>
            <w:tab/>
          </w:r>
          <w:bookmarkStart w:id="28" w:name="_Toc790_WPSOffice_Level2Page"/>
          <w:r>
            <w:t>24</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1028988938"/>
              <w:placeholder>
                <w:docPart w:val="DCA58F01A7F347C0B9EDDE41C4DF58C5"/>
              </w:placeholder>
              <w15:color w:val="509DF3"/>
            </w:sdtPr>
            <w:sdtContent>
              <w:r>
                <w:rPr>
                  <w:rFonts w:ascii="宋体" w:eastAsia="宋体" w:cs="宋体" w:hint="eastAsia"/>
                </w:rPr>
                <w:fldChar w:fldCharType="begin"/>
              </w:r>
              <w:r>
                <w:instrText>HYPERLINK  \l "_Toc2586_WPSOffice_Level2"</w:instrText>
              </w:r>
              <w:r>
                <w:rPr>
                  <w:rFonts w:ascii="宋体" w:eastAsia="宋体" w:cs="宋体" w:hint="eastAsia"/>
                </w:rPr>
                <w:fldChar w:fldCharType="separate"/>
              </w:r>
              <w:r>
                <w:rPr>
                  <w:rFonts w:ascii="宋体" w:eastAsia="宋体" w:cs="宋体" w:hint="eastAsia"/>
                </w:rPr>
                <w:t>八、一般公共预算财政拨款基本支出决算表</w:t>
              </w:r>
            </w:sdtContent>
          </w:sdt>
          <w:r>
            <w:tab/>
          </w:r>
          <w:bookmarkStart w:id="29" w:name="_Toc2586_WPSOffice_Level2Page"/>
          <w:r>
            <w:t>24</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2089300076"/>
              <w:placeholder>
                <w:docPart w:val="DCA58F01A7F347C0B9EDDE41C4DF58C5"/>
              </w:placeholder>
              <w15:color w:val="509DF3"/>
            </w:sdtPr>
            <w:sdtContent>
              <w:r>
                <w:rPr>
                  <w:rFonts w:ascii="宋体" w:eastAsia="宋体" w:cs="宋体" w:hint="eastAsia"/>
                </w:rPr>
                <w:fldChar w:fldCharType="begin"/>
              </w:r>
              <w:r>
                <w:instrText>HYPERLINK  \l "_Toc15262_WPSOffice_Level2"</w:instrText>
              </w:r>
              <w:r>
                <w:rPr>
                  <w:rFonts w:ascii="宋体" w:eastAsia="宋体" w:cs="宋体" w:hint="eastAsia"/>
                </w:rPr>
                <w:fldChar w:fldCharType="separate"/>
              </w:r>
              <w:r>
                <w:rPr>
                  <w:rFonts w:ascii="宋体" w:eastAsia="宋体" w:cs="宋体" w:hint="eastAsia"/>
                </w:rPr>
                <w:t>九、一般公共预算财政拨款项目支出决算表</w:t>
              </w:r>
            </w:sdtContent>
          </w:sdt>
          <w:r>
            <w:tab/>
          </w:r>
          <w:bookmarkStart w:id="30" w:name="_Toc15262_WPSOffice_Level2Page"/>
          <w:r>
            <w:t>24</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24887573"/>
              <w:placeholder>
                <w:docPart w:val="DCA58F01A7F347C0B9EDDE41C4DF58C5"/>
              </w:placeholder>
              <w15:color w:val="509DF3"/>
            </w:sdtPr>
            <w:sdtContent>
              <w:r>
                <w:rPr>
                  <w:rFonts w:ascii="宋体" w:eastAsia="宋体" w:cs="宋体" w:hint="eastAsia"/>
                </w:rPr>
                <w:fldChar w:fldCharType="begin"/>
              </w:r>
              <w:r>
                <w:instrText>HYPERLINK  \l "_Toc27027_WPSOffice_Level2"</w:instrText>
              </w:r>
              <w:r>
                <w:rPr>
                  <w:rFonts w:ascii="宋体" w:eastAsia="宋体" w:cs="宋体" w:hint="eastAsia"/>
                </w:rPr>
                <w:fldChar w:fldCharType="separate"/>
              </w:r>
              <w:r>
                <w:rPr>
                  <w:rFonts w:ascii="宋体" w:eastAsia="宋体" w:cs="宋体" w:hint="eastAsia"/>
                </w:rPr>
                <w:t>十、一般公共预算财政拨款“三公”经费支出决算表</w:t>
              </w:r>
            </w:sdtContent>
          </w:sdt>
          <w:r>
            <w:tab/>
          </w:r>
          <w:bookmarkStart w:id="31" w:name="_Toc27027_WPSOffice_Level2Page"/>
          <w:r>
            <w:t>24</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540940855"/>
              <w:placeholder>
                <w:docPart w:val="DCA58F01A7F347C0B9EDDE41C4DF58C5"/>
              </w:placeholder>
              <w15:color w:val="509DF3"/>
            </w:sdtPr>
            <w:sdtContent>
              <w:r>
                <w:rPr>
                  <w:rFonts w:ascii="宋体" w:eastAsia="宋体" w:cs="宋体" w:hint="eastAsia"/>
                </w:rPr>
                <w:fldChar w:fldCharType="begin"/>
              </w:r>
              <w:r>
                <w:instrText>HYPERLINK  \l "_Toc5540_WPSOffice_Level2"</w:instrText>
              </w:r>
              <w:r>
                <w:rPr>
                  <w:rFonts w:ascii="宋体" w:eastAsia="宋体" w:cs="宋体" w:hint="eastAsia"/>
                </w:rPr>
                <w:fldChar w:fldCharType="separate"/>
              </w:r>
              <w:r>
                <w:rPr>
                  <w:rFonts w:ascii="宋体" w:eastAsia="宋体" w:cs="宋体" w:hint="eastAsia"/>
                </w:rPr>
                <w:t>十一、政府性基金预算财政拨款收入支出决算表</w:t>
              </w:r>
            </w:sdtContent>
          </w:sdt>
          <w:r>
            <w:tab/>
          </w:r>
          <w:bookmarkStart w:id="32" w:name="_Toc5540_WPSOffice_Level2Page"/>
          <w:r>
            <w:t>24</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2016440874"/>
              <w:placeholder>
                <w:docPart w:val="DCA58F01A7F347C0B9EDDE41C4DF58C5"/>
              </w:placeholder>
              <w15:color w:val="509DF3"/>
            </w:sdtPr>
            <w:sdtContent>
              <w:r>
                <w:rPr>
                  <w:rFonts w:ascii="宋体" w:eastAsia="宋体" w:cs="宋体" w:hint="eastAsia"/>
                </w:rPr>
                <w:fldChar w:fldCharType="begin"/>
              </w:r>
              <w:r>
                <w:instrText>HYPERLINK  \l "_Toc14167_WPSOffice_Level2"</w:instrText>
              </w:r>
              <w:r>
                <w:rPr>
                  <w:rFonts w:ascii="宋体" w:eastAsia="宋体" w:cs="宋体" w:hint="eastAsia"/>
                </w:rPr>
                <w:fldChar w:fldCharType="separate"/>
              </w:r>
              <w:r>
                <w:rPr>
                  <w:rFonts w:ascii="宋体" w:eastAsia="宋体" w:cs="宋体" w:hint="eastAsia"/>
                </w:rPr>
                <w:t>十二、政府性基金预算财政拨款“三公”经费支出决算表</w:t>
              </w:r>
            </w:sdtContent>
          </w:sdt>
          <w:r>
            <w:tab/>
          </w:r>
          <w:bookmarkStart w:id="33" w:name="_Toc14167_WPSOffice_Level2Page"/>
          <w:r>
            <w:t>24</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836186783"/>
              <w:placeholder>
                <w:docPart w:val="DCA58F01A7F347C0B9EDDE41C4DF58C5"/>
              </w:placeholder>
              <w15:color w:val="509DF3"/>
            </w:sdtPr>
            <w:sdtContent>
              <w:r>
                <w:rPr>
                  <w:rFonts w:ascii="宋体" w:eastAsia="宋体" w:cs="宋体" w:hint="eastAsia"/>
                </w:rPr>
                <w:fldChar w:fldCharType="begin"/>
              </w:r>
              <w:r>
                <w:instrText>HYPERLINK  \l "_Toc18814_WPSOffice_Level2"</w:instrText>
              </w:r>
              <w:r>
                <w:rPr>
                  <w:rFonts w:ascii="宋体" w:eastAsia="宋体" w:cs="宋体" w:hint="eastAsia"/>
                </w:rPr>
                <w:fldChar w:fldCharType="separate"/>
              </w:r>
              <w:r>
                <w:rPr>
                  <w:rFonts w:ascii="宋体" w:eastAsia="宋体" w:cs="宋体" w:hint="eastAsia"/>
                </w:rPr>
                <w:t>十三、国有资本经营预算财政拨款收入支出决算表</w:t>
              </w:r>
            </w:sdtContent>
          </w:sdt>
          <w:r>
            <w:tab/>
          </w:r>
          <w:bookmarkStart w:id="34" w:name="_Toc18814_WPSOffice_Level2Page"/>
          <w:r>
            <w:t>24</w:t>
          </w:r>
          <w:r>
            <w:rPr>
              <w:rFonts w:ascii="宋体" w:eastAsia="宋体" w:cs="宋体" w:hint="eastAsia"/>
            </w:rPr>
            <w:fldChar w:fldCharType="end"/>
          </w:r>
        </w:p>
        <w:p>
          <w:pPr>
            <w:pStyle w:val="22"/>
            <w:tabs>
              <w:tab w:val="right" w:leader="dot" w:pos="8315"/>
            </w:tabs>
          </w:pPr>
          <w:sdt>
            <w:sdtPr>
              <w:rPr>
                <w:rFonts w:ascii="宋体" w:eastAsia="宋体" w:cs="宋体"/>
                <w:kern w:val="0"/>
                <w:sz w:val="24"/>
                <w:szCs w:val="24"/>
                <w:lang w:val="en-US" w:eastAsia="zh-CN"/>
              </w:rPr>
              <w:id w:val="1342451849"/>
              <w:placeholder>
                <w:docPart w:val="DCA58F01A7F347C0B9EDDE41C4DF58C5"/>
              </w:placeholder>
              <w15:color w:val="509DF3"/>
            </w:sdtPr>
            <w:sdtContent>
              <w:r>
                <w:rPr>
                  <w:rFonts w:ascii="宋体" w:eastAsia="宋体" w:cs="宋体" w:hint="eastAsia"/>
                </w:rPr>
                <w:fldChar w:fldCharType="begin"/>
              </w:r>
              <w:r>
                <w:instrText>HYPERLINK  \l "_Toc12922_WPSOffice_Level2"</w:instrText>
              </w:r>
              <w:r>
                <w:rPr>
                  <w:rFonts w:ascii="宋体" w:eastAsia="宋体" w:cs="宋体" w:hint="eastAsia"/>
                </w:rPr>
                <w:fldChar w:fldCharType="separate"/>
              </w:r>
              <w:r>
                <w:rPr>
                  <w:rFonts w:ascii="宋体" w:eastAsia="宋体" w:cs="宋体" w:hint="eastAsia"/>
                </w:rPr>
                <w:t>十四、国有资本经营预算财政拨款支出决算表</w:t>
              </w:r>
            </w:sdtContent>
          </w:sdt>
          <w:r>
            <w:tab/>
          </w:r>
          <w:bookmarkStart w:id="35" w:name="_Toc12922_WPSOffice_Level2Page"/>
          <w:r>
            <w:t>24</w:t>
          </w:r>
          <w:r>
            <w:rPr>
              <w:rFonts w:ascii="宋体" w:eastAsia="宋体" w:cs="宋体" w:hint="eastAsia"/>
            </w:rPr>
            <w:fldChar w:fldCharType="end"/>
          </w:r>
        </w:p>
        <w:bookmarkEnd w:id="4" w:displacedByCustomXml="next"/>
        <w:bookmarkEnd w:id="35" w:displacedByCustomXml="next"/>
      </w:sdtContent>
    </w:sdt>
    <w:p>
      <w:pPr>
        <w:pStyle w:val="19"/>
        <w:keepNext w:val="0"/>
        <w:keepLines w:val="0"/>
        <w:widowControl/>
        <w:suppressLineNumbers w:val="0"/>
        <w:spacing w:before="0" w:beforeAutospacing="0"/>
        <w:ind w:left="0"/>
        <w:jc w:val="left"/>
      </w:pPr>
      <w:r>
        <w:rPr>
          <w:shd w:val="clear" w:color="auto" w:fill="FFFFFF"/>
        </w:rPr>
        <w:t> </w:t>
      </w:r>
    </w:p>
    <w:p>
      <w:pPr>
        <w:pStyle w:val="1"/>
        <w:keepNext w:val="0"/>
        <w:keepLines w:val="0"/>
        <w:widowControl/>
        <w:suppressLineNumbers w:val="0"/>
        <w:spacing w:before="0" w:beforeAutospacing="0"/>
        <w:ind w:left="0"/>
        <w:jc w:val="center"/>
        <w:outlineLvl w:val="9"/>
        <w:rPr>
          <w:shd w:val="clear" w:color="auto" w:fill="FFFFFF"/>
        </w:rPr>
      </w:pPr>
      <w:bookmarkStart w:id="36" w:name="_Toc4443"/>
    </w:p>
    <w:p>
      <w:pPr>
        <w:rPr>
          <w:shd w:val="clear" w:color="auto" w:fill="FFFFFF"/>
        </w:rPr>
      </w:pPr>
    </w:p>
    <w:p>
      <w:pPr>
        <w:rPr>
          <w:shd w:val="clear" w:color="auto" w:fill="FFFFFF"/>
        </w:rPr>
      </w:pPr>
    </w:p>
    <w:p>
      <w:pPr>
        <w:rPr>
          <w:shd w:val="clear" w:color="auto" w:fill="FFFFFF"/>
        </w:rPr>
      </w:pPr>
    </w:p>
    <w:p>
      <w:pPr>
        <w:pStyle w:val="1"/>
        <w:keepNext w:val="0"/>
        <w:keepLines w:val="0"/>
        <w:widowControl/>
        <w:suppressLineNumbers w:val="0"/>
        <w:spacing w:before="0" w:beforeAutospacing="0"/>
        <w:ind w:left="0"/>
        <w:jc w:val="center"/>
        <w:rPr>
          <w:shd w:val="clear" w:color="auto" w:fill="FFFFFF"/>
        </w:rPr>
      </w:pPr>
      <w:bookmarkStart w:id="37" w:name="_Toc1241"/>
      <w:bookmarkStart w:id="38" w:name="_Toc13944_WPSOffice_Level1"/>
    </w:p>
    <w:p>
      <w:pPr>
        <w:pStyle w:val="1"/>
        <w:keepNext w:val="0"/>
        <w:keepLines w:val="0"/>
        <w:widowControl/>
        <w:suppressLineNumbers w:val="0"/>
        <w:spacing w:before="0" w:beforeAutospacing="0"/>
        <w:ind w:left="0"/>
        <w:jc w:val="center"/>
      </w:pPr>
      <w:bookmarkStart w:id="39" w:name="_Toc8889_WPSOffice_Level1"/>
      <w:r>
        <w:rPr>
          <w:shd w:val="clear" w:color="auto" w:fill="FFFFFF"/>
        </w:rPr>
        <w:t>第一部分 部门概况</w:t>
      </w:r>
      <w:bookmarkEnd w:id="36"/>
      <w:bookmarkEnd w:id="37"/>
      <w:bookmarkEnd w:id="38"/>
      <w:bookmarkEnd w:id="39"/>
    </w:p>
    <w:p>
      <w:pPr>
        <w:pStyle w:val="19"/>
        <w:keepNext w:val="0"/>
        <w:keepLines w:val="0"/>
        <w:widowControl/>
        <w:suppressLineNumbers w:val="0"/>
        <w:spacing w:before="0" w:beforeAutospacing="0"/>
        <w:ind w:left="0"/>
        <w:jc w:val="center"/>
      </w:pPr>
    </w:p>
    <w:p>
      <w:pPr>
        <w:pStyle w:val="2"/>
        <w:keepNext w:val="0"/>
        <w:keepLines w:val="0"/>
        <w:widowControl/>
        <w:suppressLineNumbers w:val="0"/>
        <w:spacing w:before="0" w:beforeAutospacing="0"/>
        <w:ind w:left="0"/>
        <w:jc w:val="left"/>
      </w:pPr>
      <w:bookmarkStart w:id="40" w:name="_Toc24725"/>
      <w:bookmarkStart w:id="41" w:name="_Toc4377"/>
      <w:bookmarkStart w:id="42" w:name="_Toc22608_WPSOffice_Level2"/>
      <w:bookmarkStart w:id="43" w:name="_Toc8848_WPSOffice_Level2"/>
      <w:r>
        <w:rPr>
          <w:shd w:val="clear" w:color="auto" w:fill="FFFFFF"/>
        </w:rPr>
        <w:t>一、基本职能及主要工作</w:t>
      </w:r>
      <w:bookmarkEnd w:id="40"/>
      <w:bookmarkEnd w:id="41"/>
      <w:bookmarkEnd w:id="42"/>
      <w:bookmarkEnd w:id="43"/>
    </w:p>
    <w:p>
      <w:pPr>
        <w:pStyle w:val="19"/>
        <w:widowControl/>
        <w:shd w:val="clear" w:color="auto" w:fill="FFFFFF"/>
        <w:wordWrap w:val="0"/>
        <w:spacing w:beforeAutospacing="0" w:afterAutospacing="0"/>
        <w:ind w:firstLine="420"/>
        <w:rPr>
          <w:rFonts w:ascii="仿宋_GB2312" w:eastAsia="仿宋_GB2312" w:cs="仿宋_GB2312" w:hint="eastAsia"/>
          <w:kern w:val="2"/>
          <w:sz w:val="32"/>
          <w:szCs w:val="32"/>
        </w:rPr>
      </w:pPr>
      <w:r>
        <w:rPr>
          <w:rFonts w:ascii="仿宋_GB2312" w:eastAsia="仿宋_GB2312" w:cs="仿宋_GB2312" w:hint="eastAsia"/>
          <w:kern w:val="2"/>
          <w:sz w:val="32"/>
          <w:szCs w:val="32"/>
        </w:rPr>
        <w:t>（一）主要职能。</w:t>
      </w:r>
    </w:p>
    <w:p>
      <w:pPr>
        <w:pStyle w:val="19"/>
        <w:widowControl/>
        <w:shd w:val="clear" w:color="auto" w:fill="FFFFFF"/>
        <w:wordWrap w:val="0"/>
        <w:spacing w:beforeAutospacing="0" w:afterAutospacing="0"/>
        <w:ind w:firstLine="420"/>
        <w:rPr>
          <w:rFonts w:ascii="仿宋_GB2312" w:eastAsia="仿宋_GB2312" w:cs="仿宋_GB2312"/>
          <w:kern w:val="2"/>
          <w:sz w:val="32"/>
          <w:szCs w:val="32"/>
        </w:rPr>
      </w:pPr>
      <w:r>
        <w:rPr>
          <w:rFonts w:ascii="仿宋_GB2312" w:eastAsia="仿宋_GB2312" w:cs="仿宋_GB2312" w:hint="eastAsia"/>
          <w:kern w:val="2"/>
          <w:sz w:val="32"/>
          <w:szCs w:val="32"/>
        </w:rPr>
        <w:t>1.编制旅游规划。组织编制旅游发展规划、旅游景区、景点规划和旅游专项规划等旅游规划并监督实施；负责旅游业发展的组织协调和行业指导、监督管理工作。</w:t>
      </w:r>
    </w:p>
    <w:p>
      <w:pPr>
        <w:pStyle w:val="19"/>
        <w:widowControl/>
        <w:shd w:val="clear" w:color="auto" w:fill="FFFFFF"/>
        <w:wordWrap w:val="0"/>
        <w:spacing w:beforeAutospacing="0" w:afterAutospacing="0"/>
        <w:ind w:firstLine="420"/>
        <w:rPr>
          <w:rFonts w:ascii="仿宋_GB2312" w:eastAsia="仿宋_GB2312" w:cs="仿宋_GB2312"/>
          <w:kern w:val="2"/>
          <w:sz w:val="32"/>
          <w:szCs w:val="32"/>
        </w:rPr>
      </w:pPr>
      <w:r>
        <w:rPr>
          <w:rFonts w:ascii="仿宋_GB2312" w:eastAsia="仿宋_GB2312" w:cs="仿宋_GB2312" w:hint="eastAsia"/>
          <w:kern w:val="2"/>
          <w:sz w:val="32"/>
          <w:szCs w:val="32"/>
        </w:rPr>
        <w:t>2.实施旅游执法。负责贯彻执行旅游管理的法律、法规和规章，履行旅游行业行政管理职能；负责旅游服务质量执法监督和旅游投诉处理；参与旅游市场价格检查工作；负责旅游安全，参与重大旅游安全事故的救援与处理；指导旅游文化工作和旅游行业精神文明建设。</w:t>
      </w:r>
    </w:p>
    <w:p>
      <w:pPr>
        <w:pStyle w:val="19"/>
        <w:widowControl/>
        <w:shd w:val="clear" w:color="auto" w:fill="FFFFFF"/>
        <w:wordWrap w:val="0"/>
        <w:spacing w:beforeAutospacing="0" w:afterAutospacing="0"/>
        <w:ind w:firstLine="420"/>
        <w:rPr>
          <w:rFonts w:ascii="仿宋_GB2312" w:eastAsia="仿宋_GB2312" w:cs="仿宋_GB2312"/>
          <w:kern w:val="2"/>
          <w:sz w:val="32"/>
          <w:szCs w:val="32"/>
        </w:rPr>
      </w:pPr>
      <w:r>
        <w:rPr>
          <w:rFonts w:ascii="仿宋_GB2312" w:eastAsia="仿宋_GB2312" w:cs="仿宋_GB2312" w:hint="eastAsia"/>
          <w:kern w:val="2"/>
          <w:sz w:val="32"/>
          <w:szCs w:val="32"/>
        </w:rPr>
        <w:t>3.实施行业管理。拟制旅游发展产业政策并指导实施；组织实施国家标准和国家、省、市制定的行业标准；审核、申报经营旅游业务的旅行社(公司)、A级旅游景区、星级宾馆、饭店等，负责日常管理工作并协助评定和复核工作;培育和完善旅游市场；建立旅游资源信息库；组织、指导旅游商品的开发；指导直属企事业单位和旅游行业协会工作；组织、指导旅游统计工作。</w:t>
      </w:r>
    </w:p>
    <w:p>
      <w:pPr>
        <w:pStyle w:val="19"/>
        <w:widowControl/>
        <w:shd w:val="clear" w:color="auto" w:fill="FFFFFF"/>
        <w:wordWrap w:val="0"/>
        <w:spacing w:beforeAutospacing="0" w:afterAutospacing="0"/>
        <w:ind w:firstLine="420"/>
        <w:rPr>
          <w:rFonts w:ascii="仿宋_GB2312" w:eastAsia="仿宋_GB2312" w:cs="仿宋_GB2312"/>
          <w:kern w:val="2"/>
          <w:sz w:val="32"/>
          <w:szCs w:val="32"/>
        </w:rPr>
      </w:pPr>
      <w:r>
        <w:rPr>
          <w:rFonts w:ascii="仿宋_GB2312" w:eastAsia="仿宋_GB2312" w:cs="仿宋_GB2312" w:hint="eastAsia"/>
          <w:kern w:val="2"/>
          <w:sz w:val="32"/>
          <w:szCs w:val="32"/>
        </w:rPr>
        <w:t>4.组织市场开发。拟制国际、国内旅游市场开发战略；组织实施旅游主题形象策划，对内、对外宣传国内外旅游市场重大促销活动；管理旅游涉外事务和旅游对外交流与合作；负责规范旅游业市场开发，链接旅游线路，制定开发计划、措施及相关政策。</w:t>
      </w:r>
    </w:p>
    <w:p>
      <w:pPr>
        <w:pStyle w:val="19"/>
        <w:widowControl/>
        <w:shd w:val="clear" w:color="auto" w:fill="FFFFFF"/>
        <w:wordWrap w:val="0"/>
        <w:spacing w:beforeAutospacing="0" w:afterAutospacing="0"/>
        <w:ind w:firstLine="420"/>
        <w:rPr>
          <w:rFonts w:ascii="仿宋_GB2312" w:eastAsia="仿宋_GB2312" w:cs="仿宋_GB2312"/>
          <w:kern w:val="2"/>
          <w:sz w:val="32"/>
          <w:szCs w:val="32"/>
        </w:rPr>
      </w:pPr>
      <w:r>
        <w:rPr>
          <w:rFonts w:ascii="仿宋_GB2312" w:eastAsia="仿宋_GB2312" w:cs="仿宋_GB2312" w:hint="eastAsia"/>
          <w:kern w:val="2"/>
          <w:sz w:val="32"/>
          <w:szCs w:val="32"/>
        </w:rPr>
        <w:t>5.组织教育培训。指导旅游教育培训工作，组织实施旅游从业人员资格制度和等级制度。</w:t>
      </w:r>
    </w:p>
    <w:p>
      <w:pPr>
        <w:pStyle w:val="19"/>
        <w:widowControl/>
        <w:shd w:val="clear" w:color="auto" w:fill="FFFFFF"/>
        <w:wordWrap w:val="0"/>
        <w:spacing w:beforeAutospacing="0" w:afterAutospacing="0"/>
        <w:ind w:firstLine="420"/>
        <w:rPr>
          <w:rFonts w:ascii="仿宋_GB2312" w:eastAsia="仿宋_GB2312" w:cs="仿宋_GB2312"/>
          <w:kern w:val="2"/>
          <w:sz w:val="32"/>
          <w:szCs w:val="32"/>
        </w:rPr>
      </w:pPr>
      <w:r>
        <w:rPr>
          <w:rFonts w:ascii="仿宋_GB2312" w:eastAsia="仿宋_GB2312" w:cs="仿宋_GB2312" w:hint="eastAsia"/>
          <w:kern w:val="2"/>
          <w:sz w:val="32"/>
          <w:szCs w:val="32"/>
        </w:rPr>
        <w:t>6.履行相关</w:t>
      </w:r>
      <w:r>
        <w:rPr>
          <w:rFonts w:ascii="仿宋_GB2312" w:eastAsia="仿宋_GB2312" w:cs="仿宋_GB2312" w:hint="eastAsia"/>
          <w:kern w:val="2"/>
          <w:sz w:val="32"/>
          <w:szCs w:val="32"/>
        </w:rPr>
        <w:fldChar w:fldCharType="begin"/>
      </w:r>
      <w:r>
        <w:instrText>HYPERLINK "http://www.zhize8.com/"</w:instrText>
      </w:r>
      <w:r>
        <w:rPr>
          <w:rFonts w:ascii="仿宋_GB2312" w:eastAsia="仿宋_GB2312" w:cs="仿宋_GB2312" w:hint="eastAsia"/>
          <w:kern w:val="2"/>
          <w:sz w:val="32"/>
          <w:szCs w:val="32"/>
        </w:rPr>
        <w:fldChar w:fldCharType="separate"/>
      </w:r>
      <w:r>
        <w:rPr>
          <w:rFonts w:ascii="仿宋_GB2312" w:eastAsia="仿宋_GB2312" w:cs="仿宋_GB2312" w:hint="eastAsia"/>
          <w:kern w:val="2"/>
          <w:sz w:val="32"/>
          <w:szCs w:val="32"/>
        </w:rPr>
        <w:t>职责</w:t>
      </w:r>
      <w:r>
        <w:rPr>
          <w:rFonts w:ascii="仿宋_GB2312" w:eastAsia="仿宋_GB2312" w:cs="仿宋_GB2312" w:hint="eastAsia"/>
          <w:kern w:val="2"/>
          <w:sz w:val="32"/>
          <w:szCs w:val="32"/>
        </w:rPr>
        <w:fldChar w:fldCharType="end"/>
      </w:r>
      <w:r>
        <w:rPr>
          <w:rFonts w:ascii="仿宋_GB2312" w:eastAsia="仿宋_GB2312" w:cs="仿宋_GB2312" w:hint="eastAsia"/>
          <w:kern w:val="2"/>
          <w:sz w:val="32"/>
          <w:szCs w:val="32"/>
        </w:rPr>
        <w:t>。受上级委托对旅游集团和直属旅游企业国有资产的保值增值进行监督管理，负责局机关党群工作，承办上级交办的其他事项。</w:t>
      </w:r>
    </w:p>
    <w:p>
      <w:pPr>
        <w:pStyle w:val="19"/>
        <w:keepNext w:val="0"/>
        <w:keepLines w:val="0"/>
        <w:widowControl/>
        <w:suppressLineNumbers w:val="0"/>
        <w:spacing w:before="0" w:beforeAutospacing="0"/>
        <w:ind w:left="0"/>
        <w:jc w:val="left"/>
        <w:rPr>
          <w:shd w:val="clear" w:color="auto" w:fill="FFFFFF"/>
        </w:rPr>
      </w:pPr>
    </w:p>
    <w:p>
      <w:pPr>
        <w:pStyle w:val="19"/>
        <w:widowControl/>
        <w:shd w:val="clear" w:color="auto" w:fill="FFFFFF"/>
        <w:wordWrap w:val="0"/>
        <w:spacing w:beforeAutospacing="0" w:afterAutospacing="0"/>
        <w:ind w:firstLine="420"/>
        <w:rPr>
          <w:rFonts w:ascii="仿宋_GB2312" w:eastAsia="仿宋_GB2312" w:cs="仿宋_GB2312" w:hint="eastAsia"/>
          <w:kern w:val="2"/>
          <w:sz w:val="32"/>
          <w:szCs w:val="32"/>
        </w:rPr>
      </w:pPr>
      <w:r>
        <w:rPr>
          <w:rFonts w:ascii="仿宋_GB2312" w:eastAsia="仿宋_GB2312" w:cs="仿宋_GB2312" w:hint="eastAsia"/>
          <w:kern w:val="2"/>
          <w:sz w:val="32"/>
          <w:szCs w:val="32"/>
        </w:rPr>
        <w:t>（二）2021年重点工作完成情况。</w:t>
      </w:r>
    </w:p>
    <w:p>
      <w:pPr>
        <w:ind w:firstLineChars="200" w:firstLine="640"/>
        <w:rPr>
          <w:rFonts w:ascii="仿宋_GB2312" w:eastAsia="仿宋_GB2312" w:cs="仿宋_GB2312"/>
          <w:sz w:val="32"/>
          <w:szCs w:val="32"/>
        </w:rPr>
      </w:pPr>
      <w:r>
        <w:rPr>
          <w:rFonts w:ascii="仿宋_GB2312" w:eastAsia="仿宋_GB2312" w:cs="仿宋_GB2312" w:hint="eastAsia"/>
          <w:b/>
          <w:bCs/>
          <w:sz w:val="32"/>
          <w:szCs w:val="32"/>
        </w:rPr>
        <w:t>一是</w:t>
      </w:r>
      <w:r>
        <w:rPr>
          <w:rFonts w:ascii="仿宋_GB2312" w:eastAsia="仿宋_GB2312" w:cs="仿宋_GB2312" w:hint="eastAsia"/>
          <w:sz w:val="32"/>
          <w:szCs w:val="32"/>
        </w:rPr>
        <w:t>深入开展机关效能建设活动，</w:t>
      </w:r>
      <w:r>
        <w:rPr>
          <w:rFonts w:ascii="仿宋_GB2312" w:eastAsia="仿宋_GB2312" w:cs="仿宋_GB2312" w:hint="eastAsia"/>
          <w:b/>
          <w:bCs/>
          <w:sz w:val="32"/>
          <w:szCs w:val="32"/>
        </w:rPr>
        <w:t>二是</w:t>
      </w:r>
      <w:r>
        <w:rPr>
          <w:rFonts w:ascii="仿宋_GB2312" w:eastAsia="仿宋_GB2312" w:cs="仿宋_GB2312" w:hint="eastAsia"/>
          <w:sz w:val="32"/>
          <w:szCs w:val="32"/>
        </w:rPr>
        <w:t>加强党建工作。</w:t>
      </w:r>
      <w:r>
        <w:rPr>
          <w:rFonts w:ascii="仿宋_GB2312" w:eastAsia="仿宋_GB2312" w:cs="仿宋_GB2312" w:hint="eastAsia"/>
          <w:b/>
          <w:bCs/>
          <w:sz w:val="32"/>
          <w:szCs w:val="32"/>
        </w:rPr>
        <w:t>三是</w:t>
      </w:r>
      <w:r>
        <w:rPr>
          <w:rFonts w:ascii="仿宋_GB2312" w:eastAsia="仿宋_GB2312" w:cs="仿宋_GB2312" w:hint="eastAsia"/>
          <w:sz w:val="32"/>
          <w:szCs w:val="32"/>
        </w:rPr>
        <w:t>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p>
      <w:pPr>
        <w:pStyle w:val="19"/>
        <w:keepNext w:val="0"/>
        <w:keepLines w:val="0"/>
        <w:widowControl/>
        <w:suppressLineNumbers w:val="0"/>
        <w:spacing w:before="0" w:beforeAutospacing="0"/>
        <w:ind w:left="0"/>
        <w:jc w:val="left"/>
        <w:rPr>
          <w:shd w:val="clear" w:color="auto" w:fill="FFFFFF"/>
        </w:rPr>
      </w:pPr>
    </w:p>
    <w:p>
      <w:pPr>
        <w:pStyle w:val="2"/>
        <w:keepNext w:val="0"/>
        <w:keepLines w:val="0"/>
        <w:widowControl/>
        <w:suppressLineNumbers w:val="0"/>
        <w:spacing w:before="0" w:beforeAutospacing="0"/>
        <w:ind w:left="0"/>
        <w:jc w:val="left"/>
      </w:pPr>
      <w:bookmarkStart w:id="44" w:name="_Toc16219"/>
      <w:bookmarkStart w:id="45" w:name="_Toc13282"/>
      <w:bookmarkStart w:id="46" w:name="_Toc13972_WPSOffice_Level2"/>
      <w:bookmarkStart w:id="47" w:name="_Toc32346_WPSOffice_Level2"/>
      <w:r>
        <w:rPr>
          <w:shd w:val="clear" w:color="auto" w:fill="FFFFFF"/>
        </w:rPr>
        <w:t>二、机构设置</w:t>
      </w:r>
      <w:bookmarkEnd w:id="44"/>
      <w:bookmarkEnd w:id="45"/>
      <w:bookmarkEnd w:id="46"/>
      <w:bookmarkEnd w:id="47"/>
    </w:p>
    <w:p>
      <w:pPr>
        <w:tabs>
          <w:tab w:val="left" w:pos="0"/>
        </w:tabs>
        <w:snapToGrid w:val="0"/>
        <w:ind w:firstLineChars="150" w:firstLine="480"/>
        <w:rPr>
          <w:rFonts w:ascii="仿宋_GB2312" w:eastAsia="仿宋_GB2312"/>
          <w:bCs/>
          <w:sz w:val="32"/>
        </w:rPr>
      </w:pPr>
      <w:r>
        <w:rPr>
          <w:rFonts w:ascii="仿宋_GB2312" w:eastAsia="仿宋_GB2312" w:hint="eastAsia"/>
          <w:sz w:val="32"/>
          <w:szCs w:val="32"/>
        </w:rPr>
        <w:t>机构情况：</w:t>
      </w:r>
      <w:r>
        <w:rPr>
          <w:rFonts w:ascii="仿宋_GB2312" w:eastAsia="仿宋_GB2312" w:cs="仿宋_GB2312"/>
          <w:sz w:val="32"/>
          <w:szCs w:val="32"/>
        </w:rPr>
        <w:t xml:space="preserve"> </w:t>
      </w:r>
      <w:r>
        <w:rPr>
          <w:rFonts w:ascii="仿宋_GB2312" w:eastAsia="仿宋_GB2312" w:cs="仿宋_GB2312" w:hint="eastAsia"/>
          <w:sz w:val="32"/>
          <w:szCs w:val="32"/>
        </w:rPr>
        <w:t>2021年独立编制单位机构数为</w:t>
      </w:r>
      <w:r>
        <w:rPr>
          <w:rFonts w:ascii="仿宋_GB2312" w:eastAsia="仿宋_GB2312" w:cs="仿宋_GB2312"/>
          <w:sz w:val="32"/>
          <w:szCs w:val="32"/>
        </w:rPr>
        <w:t xml:space="preserve"> 1</w:t>
      </w:r>
      <w:r>
        <w:rPr>
          <w:rFonts w:ascii="仿宋_GB2312" w:eastAsia="仿宋_GB2312" w:cs="仿宋_GB2312" w:hint="eastAsia"/>
          <w:sz w:val="32"/>
          <w:szCs w:val="32"/>
        </w:rPr>
        <w:t>个，财政供养人员编制为</w:t>
      </w:r>
      <w:r>
        <w:rPr>
          <w:rFonts w:ascii="仿宋_GB2312" w:eastAsia="仿宋_GB2312" w:cs="仿宋_GB2312"/>
          <w:sz w:val="32"/>
          <w:szCs w:val="32"/>
        </w:rPr>
        <w:t xml:space="preserve"> 13</w:t>
      </w:r>
      <w:r>
        <w:rPr>
          <w:rFonts w:ascii="仿宋_GB2312" w:eastAsia="仿宋_GB2312" w:cs="仿宋_GB2312" w:hint="eastAsia"/>
          <w:sz w:val="32"/>
          <w:szCs w:val="32"/>
        </w:rPr>
        <w:t>名，事业编制</w:t>
      </w:r>
      <w:r>
        <w:rPr>
          <w:rFonts w:ascii="仿宋_GB2312" w:eastAsia="仿宋_GB2312" w:cs="仿宋_GB2312"/>
          <w:sz w:val="32"/>
          <w:szCs w:val="32"/>
        </w:rPr>
        <w:t>13</w:t>
      </w:r>
      <w:r>
        <w:rPr>
          <w:rFonts w:ascii="仿宋_GB2312" w:eastAsia="仿宋_GB2312" w:cs="仿宋_GB2312" w:hint="eastAsia"/>
          <w:sz w:val="32"/>
          <w:szCs w:val="32"/>
        </w:rPr>
        <w:t>名；2021年实际财政供养人员</w:t>
      </w:r>
      <w:r>
        <w:rPr>
          <w:rFonts w:ascii="仿宋_GB2312" w:eastAsia="仿宋_GB2312" w:cs="仿宋_GB2312"/>
          <w:sz w:val="32"/>
          <w:szCs w:val="32"/>
        </w:rPr>
        <w:t>9</w:t>
      </w:r>
      <w:r>
        <w:rPr>
          <w:rFonts w:ascii="仿宋_GB2312" w:eastAsia="仿宋_GB2312" w:cs="仿宋_GB2312" w:hint="eastAsia"/>
          <w:sz w:val="32"/>
          <w:szCs w:val="32"/>
        </w:rPr>
        <w:t>人，其中：事业</w:t>
      </w:r>
      <w:r>
        <w:rPr>
          <w:rFonts w:ascii="仿宋_GB2312" w:eastAsia="仿宋_GB2312" w:cs="仿宋_GB2312"/>
          <w:sz w:val="32"/>
          <w:szCs w:val="32"/>
        </w:rPr>
        <w:t>9</w:t>
      </w:r>
      <w:r>
        <w:rPr>
          <w:rFonts w:ascii="仿宋_GB2312" w:eastAsia="仿宋_GB2312" w:cs="仿宋_GB2312" w:hint="eastAsia"/>
          <w:sz w:val="32"/>
          <w:szCs w:val="32"/>
        </w:rPr>
        <w:t>人。</w:t>
      </w:r>
    </w:p>
    <w:p>
      <w:pPr>
        <w:pStyle w:val="19"/>
        <w:keepNext w:val="0"/>
        <w:keepLines w:val="0"/>
        <w:widowControl/>
        <w:suppressLineNumbers w:val="0"/>
        <w:spacing w:before="0" w:beforeAutospacing="0"/>
        <w:ind w:left="0"/>
        <w:jc w:val="left"/>
      </w:pPr>
      <w:r>
        <w:rPr>
          <w:shd w:val="clear" w:color="auto" w:fill="FFFFFF"/>
        </w:rPr>
        <w:t> </w:t>
      </w:r>
    </w:p>
    <w:p>
      <w:pPr>
        <w:pStyle w:val="19"/>
        <w:keepNext w:val="0"/>
        <w:keepLines w:val="0"/>
        <w:widowControl/>
        <w:suppressLineNumbers w:val="0"/>
        <w:spacing w:before="0" w:beforeAutospacing="0"/>
        <w:ind w:left="0"/>
        <w:jc w:val="left"/>
      </w:pPr>
      <w:r>
        <w:rPr>
          <w:shd w:val="clear" w:color="auto" w:fill="FFFFFF"/>
        </w:rPr>
        <w:t> </w:t>
      </w:r>
    </w:p>
    <w:p>
      <w:pPr>
        <w:pStyle w:val="1"/>
        <w:keepNext w:val="0"/>
        <w:keepLines w:val="0"/>
        <w:widowControl/>
        <w:suppressLineNumbers w:val="0"/>
        <w:spacing w:before="0" w:beforeAutospacing="0"/>
        <w:ind w:left="0"/>
        <w:jc w:val="center"/>
      </w:pPr>
      <w:bookmarkStart w:id="48" w:name="_Toc10201"/>
      <w:bookmarkStart w:id="49" w:name="_Toc727"/>
      <w:bookmarkStart w:id="50" w:name="_Toc22608_WPSOffice_Level1"/>
      <w:bookmarkStart w:id="51" w:name="_Toc8848_WPSOffice_Level1"/>
      <w:r>
        <w:rPr>
          <w:shd w:val="clear" w:color="auto" w:fill="FFFFFF"/>
        </w:rPr>
        <w:t>第二部分 2021年度部门决算情况说明</w:t>
      </w:r>
      <w:bookmarkEnd w:id="48"/>
      <w:bookmarkEnd w:id="49"/>
      <w:bookmarkEnd w:id="50"/>
      <w:bookmarkEnd w:id="51"/>
    </w:p>
    <w:p>
      <w:pPr>
        <w:pStyle w:val="19"/>
        <w:keepNext w:val="0"/>
        <w:keepLines w:val="0"/>
        <w:widowControl/>
        <w:suppressLineNumbers w:val="0"/>
        <w:spacing w:before="0" w:beforeAutospacing="0"/>
        <w:ind w:left="0"/>
        <w:jc w:val="left"/>
      </w:pPr>
      <w:r>
        <w:rPr>
          <w:shd w:val="clear" w:color="auto" w:fill="FFFFFF"/>
        </w:rPr>
        <w:t> </w:t>
      </w:r>
    </w:p>
    <w:p>
      <w:pPr>
        <w:pStyle w:val="2"/>
        <w:keepNext w:val="0"/>
        <w:keepLines w:val="0"/>
        <w:widowControl/>
        <w:suppressLineNumbers w:val="0"/>
        <w:spacing w:before="0" w:beforeAutospacing="0"/>
        <w:ind w:left="0"/>
        <w:jc w:val="left"/>
        <w:rPr>
          <w:rFonts w:hint="eastAsia"/>
          <w:shd w:val="clear" w:color="auto" w:fill="FFFFFF"/>
          <w:lang w:val="en-US" w:eastAsia="zh-CN"/>
        </w:rPr>
      </w:pPr>
      <w:bookmarkStart w:id="52" w:name="_Toc1594"/>
      <w:bookmarkStart w:id="53" w:name="_Toc32243_WPSOffice_Level2"/>
      <w:bookmarkStart w:id="54" w:name="_Toc1851_WPSOffice_Level2"/>
      <w:r>
        <w:rPr>
          <w:shd w:val="clear" w:color="auto" w:fill="FFFFFF"/>
        </w:rPr>
        <w:t>一、</w:t>
      </w:r>
      <w:r>
        <w:rPr>
          <w:rFonts w:hint="eastAsia"/>
          <w:shd w:val="clear" w:color="auto" w:fill="FFFFFF"/>
          <w:lang w:val="en-US" w:eastAsia="zh-CN"/>
        </w:rPr>
        <w:t>收入支出决算总体情况说明</w:t>
      </w:r>
      <w:bookmarkEnd w:id="52"/>
      <w:bookmarkEnd w:id="53"/>
      <w:bookmarkEnd w:id="54"/>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2021年财政拨款年初预算收入195.52万元，财政拨款收入195.52万元；2021年财政拨款支出195.52万元，其中：基本支出195.523万元，占100%；项目支出0万元，占0%；预算支出下降率29.7%，减少的主要原因、人员减少等。</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rPr>
        <w:t>（一）</w:t>
      </w:r>
      <w:r>
        <w:rPr>
          <w:rFonts w:ascii="仿宋_GB2312" w:eastAsia="仿宋_GB2312" w:cs="仿宋_GB2312" w:hint="eastAsia"/>
          <w:kern w:val="2"/>
          <w:sz w:val="32"/>
          <w:szCs w:val="32"/>
          <w:lang w:val="en-US" w:eastAsia="zh-CN"/>
        </w:rPr>
        <w:t>收入决算情况说明</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本年收入合计195.52万元，其中：一般公共预算财政拨款收入195.52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rPr>
        <w:t>（</w:t>
      </w:r>
      <w:r>
        <w:rPr>
          <w:rFonts w:ascii="仿宋_GB2312" w:eastAsia="仿宋_GB2312" w:cs="仿宋_GB2312" w:hint="eastAsia"/>
          <w:kern w:val="2"/>
          <w:sz w:val="32"/>
          <w:szCs w:val="32"/>
          <w:lang w:val="en-US" w:eastAsia="zh-CN"/>
        </w:rPr>
        <w:t>二</w:t>
      </w:r>
      <w:r>
        <w:rPr>
          <w:rFonts w:ascii="仿宋_GB2312" w:eastAsia="仿宋_GB2312" w:cs="仿宋_GB2312" w:hint="eastAsia"/>
          <w:kern w:val="2"/>
          <w:sz w:val="32"/>
          <w:szCs w:val="32"/>
        </w:rPr>
        <w:t>）</w:t>
      </w:r>
      <w:r>
        <w:rPr>
          <w:rFonts w:ascii="仿宋_GB2312" w:eastAsia="仿宋_GB2312" w:cs="仿宋_GB2312" w:hint="eastAsia"/>
          <w:kern w:val="2"/>
          <w:sz w:val="32"/>
          <w:szCs w:val="32"/>
          <w:lang w:val="en-US" w:eastAsia="zh-CN"/>
        </w:rPr>
        <w:t>支出决算情况说明</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2021年本年支出合计195.52万元，其中：基本支出195.52万元，占100.00%；项目支出0.00万元，占0.00%；上缴上级支出0.00万元，占0.00%；经营支出0.00万元，占经营支出0.00万元，占 0.00%；对附属单位补助支出0.00万元，占0.00%。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w:t>
      </w:r>
    </w:p>
    <w:p>
      <w:pPr>
        <w:pStyle w:val="2"/>
        <w:keepNext w:val="0"/>
        <w:keepLines w:val="0"/>
        <w:widowControl/>
        <w:suppressLineNumbers w:val="0"/>
        <w:spacing w:before="0" w:beforeAutospacing="0"/>
        <w:ind w:left="0"/>
        <w:jc w:val="left"/>
        <w:rPr>
          <w:rFonts w:hint="eastAsia"/>
          <w:shd w:val="clear" w:color="auto" w:fill="FFFFFF"/>
          <w:lang w:val="en-US" w:eastAsia="zh-CN"/>
        </w:rPr>
      </w:pPr>
      <w:bookmarkStart w:id="55" w:name="_Toc24922"/>
      <w:bookmarkStart w:id="56" w:name="_Toc10431"/>
      <w:bookmarkStart w:id="57" w:name="_Toc9926_WPSOffice_Level2"/>
      <w:bookmarkStart w:id="58" w:name="_Toc11406_WPSOffice_Level2"/>
      <w:r>
        <w:rPr>
          <w:rFonts w:hint="eastAsia"/>
          <w:shd w:val="clear" w:color="auto" w:fill="FFFFFF"/>
          <w:lang w:val="en-US" w:eastAsia="zh-CN"/>
        </w:rPr>
        <w:t>二</w:t>
      </w:r>
      <w:r>
        <w:rPr>
          <w:shd w:val="clear" w:color="auto" w:fill="FFFFFF"/>
        </w:rPr>
        <w:t>、</w:t>
      </w:r>
      <w:r>
        <w:rPr>
          <w:rFonts w:hint="eastAsia"/>
          <w:shd w:val="clear" w:color="auto" w:fill="FFFFFF"/>
          <w:lang w:val="en-US" w:eastAsia="zh-CN"/>
        </w:rPr>
        <w:t>财政拨款收入支出决算总体情况说明</w:t>
      </w:r>
      <w:bookmarkEnd w:id="55"/>
      <w:bookmarkEnd w:id="56"/>
      <w:bookmarkEnd w:id="57"/>
      <w:bookmarkEnd w:id="58"/>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2021年总收入195.52万元，总支出195.52万元，2020年总收入181.82万元，总支出278.07万元，与上年度对比，工资规范人员及公务经费、财政应返还额度支出减少。</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当年收入、支出安排情况，与上年度对比情况，用柱形图表示如下：</w:t>
      </w:r>
      <w:r>
        <w:rPr>
          <w:rFonts w:ascii="仿宋_GB2312" w:eastAsia="仿宋_GB2312" w:cs="仿宋_GB2312" w:hint="eastAsia"/>
          <w:kern w:val="2"/>
          <w:sz w:val="32"/>
          <w:szCs w:val="32"/>
          <w:lang w:val="en-US" w:eastAsia="zh-CN"/>
        </w:rPr>
        <w:drawing>
          <wp:inline distT="0" distB="0" distL="0" distR="0">
            <wp:extent cx="5326380" cy="2461895"/>
            <wp:effectExtent l="0" t="0" r="0" b="0"/>
            <wp:docPr id="4" name="图表 12"/>
            <wp:cNvGraphicFramePr>
              <a:graphicFrameLocks noChangeAspect="0"/>
            </wp:cNvGraphicFramePr>
            <a:graphic>
              <a:graphicData uri="http://schemas.openxmlformats.org/drawingml/2006/chart">
                <c:chart xmlns:c="http://schemas.openxmlformats.org/drawingml/2006/chart" r:id="rId3"/>
              </a:graphicData>
            </a:graphic>
          </wp:inline>
        </w:drawing>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w:t>
      </w:r>
    </w:p>
    <w:p>
      <w:pPr>
        <w:pStyle w:val="2"/>
        <w:keepNext w:val="0"/>
        <w:keepLines w:val="0"/>
        <w:widowControl/>
        <w:suppressLineNumbers w:val="0"/>
        <w:spacing w:before="0" w:beforeAutospacing="0"/>
        <w:ind w:left="0"/>
        <w:jc w:val="left"/>
        <w:rPr>
          <w:rFonts w:hint="eastAsia"/>
          <w:shd w:val="clear" w:color="auto" w:fill="FFFFFF"/>
          <w:lang w:val="en-US" w:eastAsia="zh-CN"/>
        </w:rPr>
      </w:pPr>
      <w:bookmarkStart w:id="59" w:name="_Toc6039"/>
      <w:bookmarkStart w:id="60" w:name="_Toc726"/>
      <w:bookmarkStart w:id="61" w:name="_Toc32554_WPSOffice_Level2"/>
      <w:bookmarkStart w:id="62" w:name="_Toc32415_WPSOffice_Level2"/>
      <w:r>
        <w:rPr>
          <w:rFonts w:hint="eastAsia"/>
          <w:shd w:val="clear" w:color="auto" w:fill="FFFFFF"/>
          <w:lang w:val="en-US" w:eastAsia="zh-CN"/>
        </w:rPr>
        <w:t>三、一般公共预算财政拨款支出决算情况说明</w:t>
      </w:r>
      <w:bookmarkEnd w:id="59"/>
      <w:bookmarkEnd w:id="60"/>
      <w:bookmarkEnd w:id="61"/>
      <w:bookmarkEnd w:id="62"/>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（一）一般公共预算财政拨款支出决算总体情况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2021年度一般公共预算财政拨款支出195.52万元，占本年支出合计的100%。与2020年相比一般公共预算财政拨款支出减少82.55万元，减少29.7%。</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（二）一般公共预算财政拨款支出决算结构情况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一般公共预算财政拨款支出195.52万元，主要用于以下方面:社会保障和就业支出26.24万元，占13%；医疗卫生支出9.20万元，占5%；；住房保障支出15.86万元，占8%；机关服务支出144.04万元，占74%，项目支出0万，占0%。</w:t>
      </w:r>
      <w:r>
        <w:rPr>
          <w:rFonts w:ascii="仿宋_GB2312" w:eastAsia="仿宋_GB2312" w:cs="仿宋_GB2312" w:hint="eastAsia"/>
          <w:kern w:val="2"/>
          <w:sz w:val="32"/>
          <w:szCs w:val="32"/>
          <w:lang w:val="en-US" w:eastAsia="zh-CN"/>
        </w:rPr>
        <w:drawing>
          <wp:inline distT="0" distB="0" distL="0" distR="0">
            <wp:extent cx="5274310" cy="3076575"/>
            <wp:effectExtent l="0" t="0" r="0" b="0"/>
            <wp:docPr id="5" name="图表 14"/>
            <wp:cNvGraphicFramePr>
              <a:graphicFrameLocks noChangeAspect="0"/>
            </wp:cNvGraphicFramePr>
            <a:graphic>
              <a:graphicData uri="http://schemas.openxmlformats.org/drawingml/2006/chart">
                <c:chart xmlns:c="http://schemas.openxmlformats.org/drawingml/2006/chart" r:id="rId4"/>
              </a:graphicData>
            </a:graphic>
          </wp:inline>
        </w:drawing>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（三）一般公共预算财政拨款支出决算具体情况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一般公共服务（类）201（款）: 支出决算为0万元，完成预算0%。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2.教育（类）***（款）: 支出决算为0万元，完成预算0%。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3.科学技术（类）***（款）: 支出决算为0万元，完成预算0%。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4.文化体育与传媒（类）***（款）: 支出决算为0万元，完成预算100%。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xml:space="preserve"> 5.社会保障和就业（类）208（款）: 支出决算为26.42万元，完成预算100%。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6.医疗卫生与计划生育（类）210（款）:支出决算为9.2万元，完成预算100%。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7.农林水支出（类）213（款）:支出决算为0万元，完成预算0%。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8.住房保障支出（类）221（款）:支出决算为15.86万元，完成预算100%。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9.其他支出（类）229（款）:支出决算为0万元，完成预算0%。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10.机关服务（类）207：支出决算为144.04万元，完成预算100%。</w:t>
      </w:r>
    </w:p>
    <w:p>
      <w:pPr>
        <w:pStyle w:val="2"/>
        <w:keepNext w:val="0"/>
        <w:keepLines w:val="0"/>
        <w:widowControl/>
        <w:suppressLineNumbers w:val="0"/>
        <w:spacing w:before="0" w:beforeAutospacing="0"/>
        <w:ind w:left="0"/>
        <w:jc w:val="left"/>
        <w:rPr>
          <w:rFonts w:ascii="仿宋_GB2312" w:eastAsia="仿宋_GB2312" w:cs="仿宋_GB2312" w:hint="eastAsia"/>
          <w:kern w:val="2"/>
          <w:sz w:val="28"/>
          <w:szCs w:val="28"/>
          <w:lang w:val="en-US" w:eastAsia="zh-CN"/>
        </w:rPr>
      </w:pPr>
      <w:bookmarkStart w:id="63" w:name="_Toc22931"/>
      <w:bookmarkStart w:id="64" w:name="_Toc6288"/>
      <w:bookmarkStart w:id="65" w:name="_Toc20048_WPSOffice_Level2"/>
      <w:bookmarkStart w:id="66" w:name="_Toc31872_WPSOffice_Level2"/>
      <w:r>
        <w:rPr>
          <w:rFonts w:hint="eastAsia"/>
          <w:sz w:val="32"/>
          <w:szCs w:val="32"/>
          <w:shd w:val="clear" w:color="auto" w:fill="FFFFFF"/>
          <w:lang w:val="en-US" w:eastAsia="zh-CN"/>
        </w:rPr>
        <w:t>四、一般公共预算财政拨款基本支出决算情况说明  </w:t>
      </w:r>
      <w:r>
        <w:rPr>
          <w:rFonts w:ascii="仿宋_GB2312" w:eastAsia="仿宋_GB2312" w:cs="仿宋_GB2312" w:hint="eastAsia"/>
          <w:kern w:val="2"/>
          <w:sz w:val="28"/>
          <w:szCs w:val="28"/>
          <w:lang w:val="en-US" w:eastAsia="zh-CN"/>
        </w:rPr>
        <w:t> </w:t>
      </w:r>
      <w:bookmarkEnd w:id="63"/>
      <w:bookmarkEnd w:id="64"/>
      <w:bookmarkEnd w:id="65"/>
      <w:bookmarkEnd w:id="66"/>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2021年一般公共预算财政拨款基本支出195.52万元，其中：</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人员经费181.96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公用经费13.56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w:t>
      </w:r>
    </w:p>
    <w:p>
      <w:pPr>
        <w:keepNext w:val="0"/>
        <w:keepLines w:val="0"/>
        <w:widowControl/>
        <w:suppressLineNumbers w:val="0"/>
        <w:spacing w:before="0" w:beforeAutospacing="0" w:after="0" w:afterAutospacing="1"/>
        <w:jc w:val="left"/>
        <w:rPr>
          <w:rFonts w:ascii="宋体" w:eastAsia="宋体" w:cs="宋体" w:hint="eastAsia"/>
          <w:b/>
          <w:bCs/>
          <w:kern w:val="0"/>
          <w:sz w:val="32"/>
          <w:szCs w:val="32"/>
          <w:shd w:val="clear" w:color="auto" w:fill="FFFFFF"/>
          <w:lang w:val="en-US" w:eastAsia="zh-CN"/>
        </w:rPr>
      </w:pPr>
      <w:bookmarkStart w:id="67" w:name="_Toc32435"/>
      <w:bookmarkStart w:id="68" w:name="_Toc9498_WPSOffice_Level2"/>
      <w:bookmarkStart w:id="69" w:name="_Toc14348_WPSOffice_Level2"/>
      <w:r>
        <w:rPr>
          <w:rFonts w:ascii="宋体" w:eastAsia="宋体" w:cs="宋体" w:hint="eastAsia"/>
          <w:b/>
          <w:bCs/>
          <w:kern w:val="0"/>
          <w:sz w:val="32"/>
          <w:szCs w:val="32"/>
          <w:shd w:val="clear" w:color="auto" w:fill="FFFFFF"/>
          <w:lang w:val="en-US" w:eastAsia="zh-CN"/>
        </w:rPr>
        <w:t>五、“三公”经费财政拨款支出决算情况说明</w:t>
      </w:r>
      <w:bookmarkEnd w:id="67"/>
      <w:bookmarkEnd w:id="68"/>
      <w:bookmarkEnd w:id="69"/>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（一）“三公”经费财政拨款支出决算总体情况说明</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2021年度“三公”经费财政拨款支出决算为2.37万元，完成预算100%，节约开支公务接待费未开支。年初预算为，2.37万元，支出决算为2.37万元。</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（二）“三公”经费财政拨款支出决算具体情况说明</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2021年“三公”经费财政拨款支出决算中，因公出国（境）费支出决算0.00万元，占0.00%；公务用车购置及运行维护费支出决算2.37万元，占100.00%；公务接待费支出决算0.00万元，占0.00%。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1.因公出国（境）经费支出0.00万元，完成预算0.00%。全年安排因公出国（境）团组0次，出国（境）0人。因公出国（境）支出决算比2020年增加0.00万元，增长0.00%。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2.公务用车购置及运行维护费支出2.37万元,完成预算0.00%。公务用车购置及运行维护费支出决算比2020年增加0.02万元，增长0.97%,增长原因为单位车辆使用年限较大，维护费增加。</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xml:space="preserve">  公务用车购置支出0万元，维护费2.37万元。全年按规定更新购置公务用车0辆，其中：轿车0辆、金额0万元，越野车0辆、金额0万元，载客汽车0辆、金额0万元。截至20</w:t>
      </w:r>
      <w:r>
        <w:rPr>
          <w:rFonts w:ascii="仿宋_GB2312" w:eastAsia="仿宋_GB2312" w:cs="仿宋_GB2312"/>
          <w:kern w:val="2"/>
          <w:sz w:val="32"/>
          <w:szCs w:val="32"/>
          <w:lang w:val="en-US" w:eastAsia="zh-CN"/>
        </w:rPr>
        <w:t>21</w:t>
      </w:r>
      <w:r>
        <w:rPr>
          <w:rFonts w:ascii="仿宋_GB2312" w:eastAsia="仿宋_GB2312" w:cs="仿宋_GB2312" w:hint="eastAsia"/>
          <w:kern w:val="2"/>
          <w:sz w:val="32"/>
          <w:szCs w:val="32"/>
          <w:lang w:val="en-US" w:eastAsia="zh-CN"/>
        </w:rPr>
        <w:t>年12月底，单位共有公务用车0辆，其中：轿车0辆、越野车0辆、载客汽0辆。</w:t>
      </w:r>
    </w:p>
    <w:p>
      <w:pPr>
        <w:keepNext w:val="0"/>
        <w:keepLines w:val="0"/>
        <w:widowControl/>
        <w:numPr>
          <w:ilvl w:val="0"/>
          <w:numId w:val="1"/>
        </w:numPr>
        <w:suppressLineNumbers w:val="0"/>
        <w:spacing w:afterAutospacing="1"/>
        <w:ind w:left="720" w:hanging="360"/>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xml:space="preserve">   公务用车运行维护费支出2.37万元。主要用于下村（具体工作）等所需的公务用车燃料费、维修费、过路过桥费、保险费等支出。</w:t>
      </w:r>
      <w:r>
        <w:rPr>
          <w:rFonts w:ascii="仿宋_GB2312" w:eastAsia="仿宋_GB2312" w:cs="仿宋_GB2312" w:hint="eastAsia"/>
          <w:kern w:val="2"/>
          <w:sz w:val="32"/>
          <w:szCs w:val="32"/>
          <w:lang w:val="en-US" w:eastAsia="zh-CN"/>
        </w:rPr>
        <w:drawing>
          <wp:anchor distT="0" distB="0" distL="114300" distR="114300" simplePos="0" relativeHeight="21" behindDoc="0" locked="0" layoutInCell="1" hidden="0" allowOverlap="1">
            <wp:simplePos x="0" y="0"/>
            <wp:positionH relativeFrom="column">
              <wp:posOffset>0</wp:posOffset>
            </wp:positionH>
            <wp:positionV relativeFrom="page">
              <wp:posOffset>3086100</wp:posOffset>
            </wp:positionV>
            <wp:extent cx="5274310" cy="3076575"/>
            <wp:effectExtent l="0" t="0" r="0" b="0"/>
            <wp:wrapSquare wrapText="bothSides"/>
            <wp:docPr id="6" name="图表 18"/>
            <wp:cNvGraphicFramePr>
              <a:graphicFrameLocks noChangeAspect="0"/>
            </wp:cNvGraphicFramePr>
            <a:graphic>
              <a:graphicData uri="http://schemas.openxmlformats.org/drawingml/2006/chart">
                <c:chart xmlns:c="http://schemas.openxmlformats.org/drawingml/2006/chart" r:id="rId5"/>
              </a:graphicData>
            </a:graphic>
          </wp:anchor>
        </w:drawing>
      </w:r>
      <w:bookmarkStart w:id="70" w:name="_GoBack"/>
      <w:bookmarkEnd w:id="70"/>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3.公务接待费支出0.00万元，完成预算100%。公务接待费支出决算比2020年增加0.00万元，增长0.00%。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4.外事接待支出0.00万元，完成预算100%。外事接待费支出决算比2020年增加0.00万元，增长0.00%。</w:t>
      </w:r>
    </w:p>
    <w:p>
      <w:pPr>
        <w:keepNext w:val="0"/>
        <w:keepLines w:val="0"/>
        <w:widowControl/>
        <w:suppressLineNumbers w:val="0"/>
        <w:spacing w:before="0" w:beforeAutospacing="0" w:after="0" w:afterAutospacing="1"/>
        <w:jc w:val="left"/>
        <w:rPr>
          <w:rFonts w:ascii="宋体" w:eastAsia="宋体" w:cs="宋体" w:hint="eastAsia"/>
          <w:b/>
          <w:bCs/>
          <w:kern w:val="0"/>
          <w:sz w:val="32"/>
          <w:szCs w:val="32"/>
          <w:shd w:val="clear" w:color="auto" w:fill="FFFFFF"/>
          <w:lang w:val="en-US" w:eastAsia="zh-CN"/>
        </w:rPr>
      </w:pPr>
      <w:bookmarkStart w:id="71" w:name="_Toc17036"/>
      <w:bookmarkStart w:id="72" w:name="_Toc11386_WPSOffice_Level2"/>
      <w:bookmarkStart w:id="73" w:name="_Toc29068_WPSOffice_Level2"/>
      <w:r>
        <w:rPr>
          <w:rFonts w:ascii="宋体" w:eastAsia="宋体" w:cs="宋体" w:hint="eastAsia"/>
          <w:b/>
          <w:bCs/>
          <w:kern w:val="0"/>
          <w:sz w:val="32"/>
          <w:szCs w:val="32"/>
          <w:shd w:val="clear" w:color="auto" w:fill="FFFFFF"/>
          <w:lang w:val="en-US" w:eastAsia="zh-CN"/>
        </w:rPr>
        <w:t>六、政府性基金预算支出决算情况说明</w:t>
      </w:r>
      <w:bookmarkEnd w:id="71"/>
      <w:bookmarkEnd w:id="72"/>
      <w:bookmarkEnd w:id="73"/>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2021年政府性基金预算财政拨款支出0.00万元。</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（一）机关运行经费支出情况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2021年度机关运行经费支出0万元， 2020年0万元，与2020年持平。</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（二）政府采购支出情况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2021年度，政府采购支出总额0万元，其中：政府采购货物支出0万元、政府采购工程支出0万元、政府采购服务支出0万元。主要用于日常下村（具体工作）。授予中小企业合同金额0万元，占政府采购支出总额的0%，其中：授予小微企业合同金额0万元，占政府采购支出总额的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（三）国有资产占有使用情况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截至2021年12月31日，观音桥景区工作中心共有车辆1辆，其中：应急保障用车1辆，部级领导干部用车0辆、一般公务用车0辆、一般执法执勤用车0辆、特种专业技术用车0辆、其他用车0辆；单价50万元以上通用设备0台（套），单价100万元以上专用设备0台（套）。</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（四）预算绩效管理情况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1.绩效目标管理情况。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xml:space="preserve">    按照预算绩效管理要求，本部门对2021年一般公共预算项目支出开展了绩效目标管理，共编制绩效目标0个，涉及财政资金0元，覆盖率达到0%。</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2.部门整体支出绩效自评开展情况。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xml:space="preserve">    按照预算绩效管理要求，本部门对2021年整体支出开展绩效自评，自评得分80分，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pPr>
        <w:jc w:val="center"/>
        <w:rPr>
          <w:rFonts w:ascii="黑体" w:eastAsia="黑体"/>
          <w:color w:val="000000"/>
          <w:sz w:val="32"/>
          <w:szCs w:val="32"/>
        </w:rPr>
      </w:pPr>
      <w:bookmarkStart w:id="74" w:name="_Toc10705_WPSOffice_Level2"/>
      <w:bookmarkStart w:id="75" w:name="_Toc7571_WPSOffice_Level2"/>
      <w:r>
        <w:rPr>
          <w:rFonts w:ascii="黑体" w:eastAsia="黑体" w:hint="eastAsia"/>
          <w:color w:val="000000"/>
          <w:sz w:val="32"/>
          <w:szCs w:val="32"/>
        </w:rPr>
        <w:t>2021年部门整体支出绩效评价得分表</w:t>
      </w:r>
      <w:bookmarkEnd w:id="74"/>
      <w:bookmarkEnd w:id="75"/>
    </w:p>
    <w:tbl>
      <w:tblPr>
        <w:jc w:val="left"/>
        <w:tblInd w:w="-176" w:type="dxa"/>
        <w:tblW w:w="949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702"/>
        <w:gridCol w:w="2268"/>
        <w:gridCol w:w="3402"/>
        <w:gridCol w:w="2126"/>
      </w:tblGrid>
      <w:tr>
        <w:trPr>
          <w:trHeight w:val="240"/>
        </w:trPr>
        <w:tc>
          <w:tcPr>
            <w:tcW w:w="1702" w:type="dxa"/>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b/>
                <w:bCs/>
                <w:color w:val="000000"/>
                <w:kern w:val="0"/>
                <w:sz w:val="20"/>
                <w:szCs w:val="20"/>
              </w:rPr>
            </w:pPr>
            <w:r>
              <w:rPr>
                <w:rFonts w:ascii="宋体" w:cs="宋体" w:hint="eastAsia"/>
                <w:b/>
                <w:bCs/>
                <w:color w:val="000000"/>
                <w:kern w:val="0"/>
                <w:sz w:val="20"/>
                <w:szCs w:val="20"/>
              </w:rPr>
              <w:t>一级指标</w:t>
            </w:r>
          </w:p>
        </w:tc>
        <w:tc>
          <w:tcPr>
            <w:tcW w:w="2268" w:type="dxa"/>
            <w:tcBorders>
              <w:top w:val="single" w:sz="4" w:space="0" w:color="auto"/>
              <w:left w:val="nil"/>
              <w:bottom w:val="single" w:sz="4" w:space="0" w:color="auto"/>
              <w:right w:val="single" w:sz="4" w:space="0" w:color="auto"/>
            </w:tcBorders>
            <w:noWrap/>
            <w:vAlign w:val="center"/>
          </w:tcPr>
          <w:p>
            <w:pPr>
              <w:widowControl/>
              <w:jc w:val="center"/>
              <w:rPr>
                <w:rFonts w:ascii="宋体" w:cs="宋体"/>
                <w:b/>
                <w:bCs/>
                <w:color w:val="000000"/>
                <w:kern w:val="0"/>
                <w:sz w:val="20"/>
                <w:szCs w:val="20"/>
              </w:rPr>
            </w:pPr>
            <w:r>
              <w:rPr>
                <w:rFonts w:ascii="宋体" w:cs="宋体" w:hint="eastAsia"/>
                <w:b/>
                <w:bCs/>
                <w:color w:val="000000"/>
                <w:kern w:val="0"/>
                <w:sz w:val="20"/>
                <w:szCs w:val="20"/>
              </w:rPr>
              <w:t>二级指标</w:t>
            </w:r>
          </w:p>
        </w:tc>
        <w:tc>
          <w:tcPr>
            <w:tcW w:w="3402" w:type="dxa"/>
            <w:tcBorders>
              <w:top w:val="single" w:sz="4" w:space="0" w:color="auto"/>
              <w:left w:val="nil"/>
              <w:bottom w:val="single" w:sz="4" w:space="0" w:color="auto"/>
              <w:right w:val="single" w:sz="4" w:space="0" w:color="auto"/>
            </w:tcBorders>
            <w:noWrap/>
            <w:vAlign w:val="center"/>
          </w:tcPr>
          <w:p>
            <w:pPr>
              <w:widowControl/>
              <w:jc w:val="center"/>
              <w:rPr>
                <w:rFonts w:ascii="宋体" w:cs="宋体"/>
                <w:b/>
                <w:bCs/>
                <w:color w:val="000000"/>
                <w:kern w:val="0"/>
                <w:sz w:val="20"/>
                <w:szCs w:val="20"/>
              </w:rPr>
            </w:pPr>
            <w:r>
              <w:rPr>
                <w:rFonts w:ascii="宋体" w:cs="宋体" w:hint="eastAsia"/>
                <w:b/>
                <w:bCs/>
                <w:color w:val="000000"/>
                <w:kern w:val="0"/>
                <w:sz w:val="20"/>
                <w:szCs w:val="20"/>
              </w:rPr>
              <w:t>三级指标</w:t>
            </w:r>
          </w:p>
        </w:tc>
        <w:tc>
          <w:tcPr>
            <w:tcW w:w="2126" w:type="dxa"/>
            <w:tcBorders>
              <w:top w:val="single" w:sz="4" w:space="0" w:color="auto"/>
              <w:left w:val="nil"/>
              <w:bottom w:val="single" w:sz="4" w:space="0" w:color="auto"/>
              <w:right w:val="single" w:sz="4" w:space="0" w:color="auto"/>
            </w:tcBorders>
            <w:noWrap/>
          </w:tcPr>
          <w:p>
            <w:pPr>
              <w:widowControl/>
              <w:jc w:val="center"/>
              <w:rPr>
                <w:rFonts w:ascii="宋体" w:cs="宋体"/>
                <w:b/>
                <w:bCs/>
                <w:color w:val="000000"/>
                <w:kern w:val="0"/>
                <w:sz w:val="20"/>
                <w:szCs w:val="20"/>
              </w:rPr>
            </w:pPr>
            <w:r>
              <w:rPr>
                <w:rFonts w:ascii="宋体" w:cs="宋体" w:hint="eastAsia"/>
                <w:b/>
                <w:bCs/>
                <w:color w:val="000000"/>
                <w:kern w:val="0"/>
                <w:sz w:val="20"/>
                <w:szCs w:val="20"/>
              </w:rPr>
              <w:t>得分</w:t>
            </w:r>
          </w:p>
        </w:tc>
      </w:tr>
      <w:tr>
        <w:trPr>
          <w:trHeight w:val="520"/>
        </w:trPr>
        <w:tc>
          <w:tcPr>
            <w:tcW w:w="1702" w:type="dxa"/>
            <w:vMerge w:val="restart"/>
            <w:tcBorders>
              <w:top w:val="nil"/>
              <w:left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部门决策（25分）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目标任务（15分）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相关性（5分）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4</w:t>
            </w:r>
          </w:p>
        </w:tc>
      </w:tr>
      <w:tr>
        <w:trPr>
          <w:trHeight w:val="41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明确性（5分）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3</w:t>
            </w:r>
          </w:p>
        </w:tc>
      </w:tr>
      <w:tr>
        <w:trPr>
          <w:trHeight w:val="42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合理性（5分）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4</w:t>
            </w:r>
          </w:p>
        </w:tc>
      </w:tr>
      <w:tr>
        <w:trPr>
          <w:trHeight w:val="269"/>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预算编制（10分）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测算依据（5分）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5</w:t>
            </w:r>
          </w:p>
        </w:tc>
      </w:tr>
      <w:tr>
        <w:trPr>
          <w:trHeight w:val="231"/>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目标管理（5分）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5</w:t>
            </w:r>
          </w:p>
        </w:tc>
      </w:tr>
      <w:tr>
        <w:trPr>
          <w:trHeight w:val="477"/>
        </w:trPr>
        <w:tc>
          <w:tcPr>
            <w:tcW w:w="1702" w:type="dxa"/>
            <w:vMerge w:val="restart"/>
            <w:tcBorders>
              <w:top w:val="nil"/>
              <w:left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综合管理（30分）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专项资金分配时限（2分）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省级财力专项预算分配时限（1分）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41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中央专款分配合规率（1分）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1</w:t>
            </w:r>
          </w:p>
        </w:tc>
      </w:tr>
      <w:tr>
        <w:trPr>
          <w:trHeight w:val="277"/>
        </w:trPr>
        <w:tc>
          <w:tcPr>
            <w:tcW w:w="1702" w:type="dxa"/>
            <w:vMerge/>
            <w:tcBorders>
              <w:left w:val="single" w:sz="4" w:space="0" w:color="auto"/>
              <w:right w:val="single" w:sz="4" w:space="0" w:color="auto"/>
            </w:tcBorders>
            <w:noWrap/>
            <w:vAlign w:val="center"/>
          </w:tcPr>
          <w:p/>
        </w:tc>
        <w:tc>
          <w:tcPr>
            <w:tcW w:w="2268"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中期评估（2分）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执行中期评估（2分）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1</w:t>
            </w:r>
          </w:p>
        </w:tc>
      </w:tr>
      <w:tr>
        <w:trPr>
          <w:trHeight w:val="381"/>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绩效监控（5分）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预算执行进度监控（2分）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27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绩效目标动态监控（3分）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235"/>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非税收入执收情况（2分）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非税收入征收情况（1分）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0</w:t>
            </w:r>
          </w:p>
        </w:tc>
      </w:tr>
      <w:tr>
        <w:trPr>
          <w:trHeight w:val="32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非税收入上缴情况（1分）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0</w:t>
            </w:r>
          </w:p>
        </w:tc>
      </w:tr>
      <w:tr>
        <w:trPr>
          <w:trHeight w:val="287"/>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资产管理（6分）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资产管理信息化情况（2分）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23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行政事业单位资产报告情况（2分）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35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资产管理与预算管理相结合（2分）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272"/>
        </w:trPr>
        <w:tc>
          <w:tcPr>
            <w:tcW w:w="1702" w:type="dxa"/>
            <w:vMerge/>
            <w:tcBorders>
              <w:left w:val="single" w:sz="4" w:space="0" w:color="auto"/>
              <w:right w:val="single" w:sz="4" w:space="0" w:color="auto"/>
            </w:tcBorders>
            <w:noWrap/>
            <w:vAlign w:val="center"/>
          </w:tcPr>
          <w:p/>
        </w:tc>
        <w:tc>
          <w:tcPr>
            <w:tcW w:w="2268"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内控制度管理（2分）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内部控制制度健全完整（2分）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1</w:t>
            </w:r>
          </w:p>
        </w:tc>
      </w:tr>
      <w:tr>
        <w:trPr>
          <w:trHeight w:val="221"/>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信息公开（6分）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预算公开（2分）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197"/>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决算公开（2分）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287"/>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绩效信息公开（2分）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1</w:t>
            </w:r>
          </w:p>
        </w:tc>
      </w:tr>
      <w:tr>
        <w:trPr>
          <w:trHeight w:val="405"/>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绩效评价（5分）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绩效评价开展（2分）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1</w:t>
            </w:r>
          </w:p>
        </w:tc>
      </w:tr>
      <w:tr>
        <w:trPr>
          <w:trHeight w:val="127"/>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评价结果应用（3分）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231"/>
        </w:trPr>
        <w:tc>
          <w:tcPr>
            <w:tcW w:w="1702" w:type="dxa"/>
            <w:vMerge w:val="restart"/>
            <w:tcBorders>
              <w:top w:val="nil"/>
              <w:left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部门绩效情况（45分）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履职成效（20分）</w:t>
            </w: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部门特性指标</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14</w:t>
            </w:r>
          </w:p>
        </w:tc>
      </w:tr>
      <w:tr>
        <w:trPr>
          <w:trHeight w:val="18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p>
        </w:tc>
      </w:tr>
      <w:tr>
        <w:trPr>
          <w:trHeight w:val="24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p>
        </w:tc>
      </w:tr>
      <w:tr>
        <w:trPr>
          <w:trHeight w:val="24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p>
        </w:tc>
      </w:tr>
      <w:tr>
        <w:trPr>
          <w:trHeight w:val="157"/>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可持续发展能力（15分）</w:t>
            </w: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重点改革（重点工作）完成情况（5分）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4</w:t>
            </w:r>
          </w:p>
        </w:tc>
      </w:tr>
      <w:tr>
        <w:trPr>
          <w:trHeight w:val="32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科技（制度、方法、机制等）创新（5分）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4</w:t>
            </w:r>
          </w:p>
        </w:tc>
      </w:tr>
      <w:tr>
        <w:trPr>
          <w:trHeight w:val="38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人才培养（5分）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5</w:t>
            </w:r>
          </w:p>
        </w:tc>
      </w:tr>
      <w:tr>
        <w:trPr>
          <w:trHeight w:val="432"/>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满意度（10分）</w:t>
            </w: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协作部门满意度（3分）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3</w:t>
            </w:r>
          </w:p>
        </w:tc>
      </w:tr>
      <w:tr>
        <w:trPr>
          <w:trHeight w:val="396"/>
        </w:trPr>
        <w:tc>
          <w:tcPr>
            <w:tcW w:w="1702" w:type="dxa"/>
            <w:vMerge/>
            <w:tcBorders>
              <w:left w:val="single" w:sz="4" w:space="0" w:color="auto"/>
              <w:right w:val="single" w:sz="4" w:space="0" w:color="auto"/>
            </w:tcBorders>
            <w:noWrap/>
            <w:vAlign w:val="center"/>
          </w:tcPr>
          <w:p/>
        </w:tc>
        <w:tc>
          <w:tcPr>
            <w:tcW w:w="2268" w:type="dxa"/>
            <w:vMerge/>
            <w:tcBorders>
              <w:left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管理对象满意度（3分）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3</w:t>
            </w:r>
          </w:p>
        </w:tc>
      </w:tr>
      <w:tr>
        <w:trPr>
          <w:trHeight w:val="411"/>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社会公众满意度（4分）</w:t>
            </w:r>
          </w:p>
        </w:tc>
        <w:tc>
          <w:tcPr>
            <w:tcW w:w="2126" w:type="dxa"/>
            <w:tcBorders>
              <w:top w:val="nil"/>
              <w:left w:val="nil"/>
              <w:bottom w:val="single" w:sz="4" w:space="0" w:color="auto"/>
              <w:right w:val="single" w:sz="4" w:space="0" w:color="auto"/>
            </w:tcBorders>
            <w:noWrap/>
          </w:tcPr>
          <w:p>
            <w:pPr>
              <w:widowControl/>
              <w:jc w:val="left"/>
              <w:rPr>
                <w:rFonts w:ascii="宋体" w:cs="宋体"/>
                <w:color w:val="000000"/>
                <w:kern w:val="0"/>
                <w:sz w:val="20"/>
                <w:szCs w:val="20"/>
              </w:rPr>
            </w:pPr>
            <w:r>
              <w:rPr>
                <w:rFonts w:ascii="宋体" w:cs="宋体" w:hint="eastAsia"/>
                <w:color w:val="000000"/>
                <w:kern w:val="0"/>
                <w:sz w:val="20"/>
                <w:szCs w:val="20"/>
              </w:rPr>
              <w:t>3</w:t>
            </w:r>
          </w:p>
        </w:tc>
      </w:tr>
    </w:tbl>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3.部门自行组织绩效评价开展情况。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xml:space="preserve">    我中心开展了整体支出绩效评价，本部门对2021年整体支出开展绩效自评，自评得分76分，存在的问题：一是履职成效不高，二是内部控制管理不健全，三是目标任务不明确。下一步改进措施：一是改进工作方式，明确预算目标任务，做到相关性、合理性；二是加大对内部控制的管理，建立健全内部控制度，提高绩效管理履职成效。本部门对公共运行维护费项目开展了绩效评价，得分为75分，存在的问题：一是项目决策的可行性、明确性不够，二是项目管理中执行不够规范，三是项目进展缓慢，完成情况低，项目没有达到相应的效益。下一步改进措施：一是提高资金的使用率，加大项目的实施进度提高质量管理，达到最高的效益。二是对项目进行政策依据、完善，提高明确性和合理性。</w:t>
      </w:r>
    </w:p>
    <w:p>
      <w:pPr>
        <w:jc w:val="center"/>
        <w:rPr>
          <w:rFonts w:ascii="黑体" w:eastAsia="黑体"/>
          <w:color w:val="000000"/>
          <w:sz w:val="32"/>
          <w:szCs w:val="32"/>
        </w:rPr>
      </w:pPr>
      <w:bookmarkStart w:id="76" w:name="_Toc4952_WPSOffice_Level2"/>
      <w:bookmarkStart w:id="77" w:name="_Toc30997_WPSOffice_Level2"/>
      <w:r>
        <w:rPr>
          <w:rFonts w:ascii="黑体" w:eastAsia="黑体" w:hint="eastAsia"/>
          <w:color w:val="000000"/>
          <w:sz w:val="32"/>
          <w:szCs w:val="32"/>
        </w:rPr>
        <w:t>2021年项目支出绩效评价得分表</w:t>
      </w:r>
      <w:bookmarkEnd w:id="76"/>
      <w:bookmarkEnd w:id="77"/>
    </w:p>
    <w:tbl>
      <w:tblPr>
        <w:jc w:val="cente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18"/>
        <w:gridCol w:w="2113"/>
        <w:gridCol w:w="3535"/>
        <w:gridCol w:w="1311"/>
        <w:gridCol w:w="1311"/>
      </w:tblGrid>
      <w:tr>
        <w:trPr>
          <w:trHeight w:val="639"/>
        </w:trPr>
        <w:tc>
          <w:tcPr>
            <w:tcW w:w="1618"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单位名称/</w:t>
            </w:r>
          </w:p>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项目名称</w:t>
            </w:r>
          </w:p>
        </w:tc>
        <w:tc>
          <w:tcPr>
            <w:tcW w:w="8270" w:type="dxa"/>
            <w:gridSpan w:val="4"/>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b/>
                <w:bCs/>
                <w:color w:val="000000"/>
                <w:kern w:val="0"/>
                <w:sz w:val="18"/>
                <w:szCs w:val="18"/>
              </w:rPr>
            </w:pPr>
            <w:r>
              <w:rPr>
                <w:rFonts w:ascii="宋体" w:cs="宋体" w:hint="eastAsia"/>
                <w:b/>
                <w:bCs/>
                <w:color w:val="000000"/>
                <w:kern w:val="0"/>
                <w:sz w:val="18"/>
                <w:szCs w:val="18"/>
              </w:rPr>
              <w:t>金川县观音桥景区管理局</w:t>
            </w:r>
          </w:p>
        </w:tc>
      </w:tr>
      <w:tr>
        <w:trPr>
          <w:trHeight w:val="920"/>
        </w:trPr>
        <w:tc>
          <w:tcPr>
            <w:tcW w:w="1618"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一级</w:t>
            </w:r>
          </w:p>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指标</w:t>
            </w:r>
          </w:p>
        </w:tc>
        <w:tc>
          <w:tcPr>
            <w:tcW w:w="2113"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二级</w:t>
            </w:r>
          </w:p>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指标</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三级指标</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分值</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b/>
                <w:bCs/>
                <w:color w:val="000000"/>
                <w:kern w:val="0"/>
                <w:sz w:val="18"/>
                <w:szCs w:val="18"/>
              </w:rPr>
            </w:pPr>
            <w:r>
              <w:rPr>
                <w:rFonts w:ascii="宋体" w:cs="宋体" w:hint="eastAsia"/>
                <w:b/>
                <w:bCs/>
                <w:color w:val="000000"/>
                <w:kern w:val="0"/>
                <w:sz w:val="18"/>
                <w:szCs w:val="18"/>
              </w:rPr>
              <w:t>得分</w:t>
            </w:r>
          </w:p>
        </w:tc>
      </w:tr>
      <w:tr>
        <w:trPr>
          <w:trHeight w:val="20"/>
        </w:trPr>
        <w:tc>
          <w:tcPr>
            <w:tcW w:w="1618"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（20分）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项目决策</w:t>
            </w:r>
          </w:p>
        </w:tc>
        <w:tc>
          <w:tcPr>
            <w:tcW w:w="2113"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（10分）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科学决策</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必要性</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（政策依据)</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4</w:t>
            </w:r>
          </w:p>
        </w:tc>
      </w:tr>
      <w:tr>
        <w:trPr>
          <w:trHeight w:val="20"/>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可行性</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（政策完善）</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3</w:t>
            </w:r>
          </w:p>
        </w:tc>
      </w:tr>
      <w:tr>
        <w:trPr>
          <w:trHeight w:val="684"/>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（10）</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 xml:space="preserve">绩效目标    </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明确性</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4</w:t>
            </w:r>
          </w:p>
        </w:tc>
      </w:tr>
      <w:tr>
        <w:trPr>
          <w:trHeight w:val="375"/>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合理性</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4</w:t>
            </w:r>
          </w:p>
        </w:tc>
      </w:tr>
      <w:tr>
        <w:trPr>
          <w:trHeight w:val="691"/>
        </w:trPr>
        <w:tc>
          <w:tcPr>
            <w:tcW w:w="1618"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（10分）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项目管理</w:t>
            </w:r>
          </w:p>
        </w:tc>
        <w:tc>
          <w:tcPr>
            <w:tcW w:w="2113"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（7分）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资金管理</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资金分配</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3</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3</w:t>
            </w:r>
          </w:p>
        </w:tc>
      </w:tr>
      <w:tr>
        <w:trPr>
          <w:trHeight w:val="702"/>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textDirection w:val="tbRlV"/>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资金使用</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4</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3</w:t>
            </w:r>
          </w:p>
        </w:tc>
      </w:tr>
      <w:tr>
        <w:trPr>
          <w:trHeight w:val="960"/>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（3分）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项目执行</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执行规范</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3</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2</w:t>
            </w:r>
          </w:p>
        </w:tc>
      </w:tr>
      <w:tr>
        <w:trPr>
          <w:trHeight w:val="616"/>
        </w:trPr>
        <w:tc>
          <w:tcPr>
            <w:tcW w:w="1618"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（特性指标70分）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 xml:space="preserve">项目绩效  </w:t>
            </w:r>
          </w:p>
        </w:tc>
        <w:tc>
          <w:tcPr>
            <w:tcW w:w="2113"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（20）</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项目完成</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完成数量</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 xml:space="preserve">5 </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4</w:t>
            </w:r>
          </w:p>
        </w:tc>
      </w:tr>
      <w:tr>
        <w:trPr>
          <w:trHeight w:val="554"/>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完成质量</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 xml:space="preserve">5 </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4</w:t>
            </w:r>
          </w:p>
        </w:tc>
      </w:tr>
      <w:tr>
        <w:trPr>
          <w:trHeight w:val="690"/>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完成时效</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4</w:t>
            </w:r>
          </w:p>
        </w:tc>
      </w:tr>
      <w:tr>
        <w:trPr>
          <w:trHeight w:val="558"/>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完成成本</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4</w:t>
            </w:r>
          </w:p>
        </w:tc>
      </w:tr>
      <w:tr>
        <w:trPr>
          <w:trHeight w:val="566"/>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（50分）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项目效益</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经济效益（可选项）</w:t>
            </w:r>
          </w:p>
        </w:tc>
        <w:tc>
          <w:tcPr>
            <w:tcW w:w="1311" w:type="dxa"/>
            <w:vMerge w:val="restart"/>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40</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8</w:t>
            </w:r>
          </w:p>
        </w:tc>
      </w:tr>
      <w:tr>
        <w:trPr>
          <w:trHeight w:val="688"/>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社会效益（可选项）</w:t>
            </w:r>
          </w:p>
        </w:tc>
        <w:tc>
          <w:tcPr>
            <w:tcW w:w="1311" w:type="dxa"/>
            <w:vMerge/>
            <w:tcBorders>
              <w:top w:val="single" w:sz="4" w:space="0" w:color="auto"/>
              <w:left w:val="single" w:sz="4" w:space="0" w:color="auto"/>
              <w:bottom w:val="single" w:sz="4" w:space="0" w:color="auto"/>
              <w:right w:val="single" w:sz="4" w:space="0" w:color="auto"/>
            </w:tcBorders>
            <w:noWrap/>
            <w:vAlign w:val="center"/>
          </w:tcP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left"/>
              <w:rPr>
                <w:rFonts w:ascii="宋体" w:cs="宋体"/>
                <w:color w:val="000000"/>
                <w:kern w:val="0"/>
                <w:sz w:val="15"/>
                <w:szCs w:val="15"/>
              </w:rPr>
            </w:pPr>
            <w:r>
              <w:rPr>
                <w:rFonts w:ascii="宋体" w:cs="宋体" w:hint="eastAsia"/>
                <w:color w:val="000000"/>
                <w:kern w:val="0"/>
                <w:sz w:val="15"/>
                <w:szCs w:val="15"/>
              </w:rPr>
              <w:t>5</w:t>
            </w:r>
          </w:p>
        </w:tc>
      </w:tr>
      <w:tr>
        <w:trPr>
          <w:trHeight w:val="557"/>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生态效益（可选项）</w:t>
            </w:r>
          </w:p>
        </w:tc>
        <w:tc>
          <w:tcPr>
            <w:tcW w:w="1311" w:type="dxa"/>
            <w:vMerge/>
            <w:tcBorders>
              <w:top w:val="single" w:sz="4" w:space="0" w:color="auto"/>
              <w:left w:val="single" w:sz="4" w:space="0" w:color="auto"/>
              <w:bottom w:val="single" w:sz="4" w:space="0" w:color="auto"/>
              <w:right w:val="single" w:sz="4" w:space="0" w:color="auto"/>
            </w:tcBorders>
            <w:noWrap/>
            <w:vAlign w:val="center"/>
          </w:tcP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left"/>
              <w:rPr>
                <w:rFonts w:ascii="宋体" w:cs="宋体"/>
                <w:color w:val="000000"/>
                <w:kern w:val="0"/>
                <w:sz w:val="15"/>
                <w:szCs w:val="15"/>
              </w:rPr>
            </w:pPr>
            <w:r>
              <w:rPr>
                <w:rFonts w:ascii="宋体" w:cs="宋体" w:hint="eastAsia"/>
                <w:color w:val="000000"/>
                <w:kern w:val="0"/>
                <w:sz w:val="15"/>
                <w:szCs w:val="15"/>
              </w:rPr>
              <w:t>4</w:t>
            </w:r>
          </w:p>
        </w:tc>
      </w:tr>
      <w:tr>
        <w:trPr>
          <w:trHeight w:val="707"/>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可持续效益（可选项）</w:t>
            </w:r>
          </w:p>
        </w:tc>
        <w:tc>
          <w:tcPr>
            <w:tcW w:w="1311" w:type="dxa"/>
            <w:vMerge/>
            <w:tcBorders>
              <w:top w:val="single" w:sz="4" w:space="0" w:color="auto"/>
              <w:left w:val="single" w:sz="4" w:space="0" w:color="auto"/>
              <w:bottom w:val="single" w:sz="4" w:space="0" w:color="auto"/>
              <w:right w:val="single" w:sz="4" w:space="0" w:color="auto"/>
            </w:tcBorders>
            <w:noWrap/>
            <w:vAlign w:val="center"/>
          </w:tcP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left"/>
              <w:rPr>
                <w:rFonts w:ascii="宋体" w:cs="宋体"/>
                <w:color w:val="000000"/>
                <w:kern w:val="0"/>
                <w:sz w:val="15"/>
                <w:szCs w:val="15"/>
              </w:rPr>
            </w:pPr>
            <w:r>
              <w:rPr>
                <w:rFonts w:ascii="宋体" w:cs="宋体" w:hint="eastAsia"/>
                <w:color w:val="000000"/>
                <w:kern w:val="0"/>
                <w:sz w:val="15"/>
                <w:szCs w:val="15"/>
              </w:rPr>
              <w:t>8</w:t>
            </w:r>
          </w:p>
        </w:tc>
      </w:tr>
      <w:tr>
        <w:trPr>
          <w:trHeight w:val="688"/>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公平效率（可选项）</w:t>
            </w:r>
          </w:p>
        </w:tc>
        <w:tc>
          <w:tcPr>
            <w:tcW w:w="1311" w:type="dxa"/>
            <w:vMerge/>
            <w:tcBorders>
              <w:top w:val="single" w:sz="4" w:space="0" w:color="auto"/>
              <w:left w:val="single" w:sz="4" w:space="0" w:color="auto"/>
              <w:bottom w:val="single" w:sz="4" w:space="0" w:color="auto"/>
              <w:right w:val="single" w:sz="4" w:space="0" w:color="auto"/>
            </w:tcBorders>
            <w:noWrap/>
            <w:vAlign w:val="center"/>
          </w:tcP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left"/>
              <w:rPr>
                <w:rFonts w:ascii="宋体" w:cs="宋体"/>
                <w:color w:val="000000"/>
                <w:kern w:val="0"/>
                <w:sz w:val="15"/>
                <w:szCs w:val="15"/>
              </w:rPr>
            </w:pPr>
          </w:p>
        </w:tc>
      </w:tr>
      <w:tr>
        <w:trPr>
          <w:trHeight w:val="570"/>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使用效率（可选项）</w:t>
            </w:r>
          </w:p>
        </w:tc>
        <w:tc>
          <w:tcPr>
            <w:tcW w:w="1311" w:type="dxa"/>
            <w:vMerge/>
            <w:tcBorders>
              <w:top w:val="single" w:sz="4" w:space="0" w:color="auto"/>
              <w:left w:val="single" w:sz="4" w:space="0" w:color="auto"/>
              <w:bottom w:val="single" w:sz="4" w:space="0" w:color="auto"/>
              <w:right w:val="single" w:sz="4" w:space="0" w:color="auto"/>
            </w:tcBorders>
            <w:noWrap/>
            <w:vAlign w:val="center"/>
          </w:tcP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left"/>
              <w:rPr>
                <w:rFonts w:ascii="宋体" w:cs="宋体"/>
                <w:color w:val="000000"/>
                <w:kern w:val="0"/>
                <w:sz w:val="15"/>
                <w:szCs w:val="15"/>
              </w:rPr>
            </w:pPr>
            <w:r>
              <w:rPr>
                <w:rFonts w:ascii="宋体" w:cs="宋体" w:hint="eastAsia"/>
                <w:color w:val="000000"/>
                <w:kern w:val="0"/>
                <w:sz w:val="15"/>
                <w:szCs w:val="15"/>
              </w:rPr>
              <w:t>2</w:t>
            </w:r>
          </w:p>
        </w:tc>
      </w:tr>
      <w:tr>
        <w:trPr>
          <w:trHeight w:val="502"/>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 xml:space="preserve">服务对象满意度    </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10</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color w:val="000000"/>
                <w:kern w:val="0"/>
                <w:sz w:val="15"/>
                <w:szCs w:val="15"/>
              </w:rPr>
            </w:pPr>
            <w:r>
              <w:rPr>
                <w:rFonts w:ascii="宋体" w:cs="宋体" w:hint="eastAsia"/>
                <w:color w:val="000000"/>
                <w:kern w:val="0"/>
                <w:sz w:val="15"/>
                <w:szCs w:val="15"/>
              </w:rPr>
              <w:t>8</w:t>
            </w:r>
          </w:p>
        </w:tc>
      </w:tr>
      <w:tr>
        <w:trPr>
          <w:trHeight w:val="396"/>
        </w:trPr>
        <w:tc>
          <w:tcPr>
            <w:tcW w:w="1618"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left"/>
              <w:rPr>
                <w:rFonts w:ascii="宋体" w:cs="宋体"/>
                <w:color w:val="000000"/>
                <w:kern w:val="0"/>
                <w:sz w:val="20"/>
                <w:szCs w:val="20"/>
              </w:rPr>
            </w:pPr>
            <w:r>
              <w:rPr>
                <w:rFonts w:ascii="宋体" w:cs="宋体" w:hint="eastAsia"/>
                <w:color w:val="000000"/>
                <w:kern w:val="0"/>
                <w:sz w:val="20"/>
                <w:szCs w:val="20"/>
              </w:rPr>
              <w:t>总分</w:t>
            </w:r>
          </w:p>
        </w:tc>
        <w:tc>
          <w:tcPr>
            <w:tcW w:w="8270" w:type="dxa"/>
            <w:gridSpan w:val="4"/>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15"/>
                <w:szCs w:val="15"/>
              </w:rPr>
            </w:pPr>
          </w:p>
        </w:tc>
      </w:tr>
    </w:tbl>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w:t>
      </w:r>
    </w:p>
    <w:p>
      <w:pPr>
        <w:pStyle w:val="1"/>
        <w:keepNext w:val="0"/>
        <w:keepLines w:val="0"/>
        <w:widowControl/>
        <w:suppressLineNumbers w:val="0"/>
        <w:spacing w:before="0" w:beforeAutospacing="0"/>
        <w:ind w:left="0"/>
        <w:jc w:val="center"/>
        <w:rPr>
          <w:rFonts w:hint="eastAsia"/>
          <w:shd w:val="clear" w:color="auto" w:fill="FFFFFF"/>
          <w:lang w:val="en-US" w:eastAsia="zh-CN"/>
        </w:rPr>
      </w:pPr>
      <w:bookmarkStart w:id="78" w:name="_Toc16389"/>
      <w:bookmarkStart w:id="79" w:name="_Toc28818"/>
      <w:bookmarkStart w:id="80" w:name="_Toc13972_WPSOffice_Level1"/>
      <w:bookmarkStart w:id="81" w:name="_Toc32346_WPSOffice_Level1"/>
      <w:r>
        <w:rPr>
          <w:rFonts w:hint="eastAsia"/>
          <w:shd w:val="clear" w:color="auto" w:fill="FFFFFF"/>
          <w:lang w:val="en-US" w:eastAsia="zh-CN"/>
        </w:rPr>
        <w:t>第三部分 名词解释</w:t>
      </w:r>
      <w:bookmarkEnd w:id="78"/>
      <w:bookmarkEnd w:id="79"/>
      <w:bookmarkEnd w:id="80"/>
      <w:bookmarkEnd w:id="81"/>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1.财政拨款收入：指单位从同级财政部门取得的财政预算资金。</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2.事业收入：指事业单位开展专业业务活动及辅助活动取得的收入。如…（二级预算单位事业收入情况）等。</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3.经营收入：指事业单位在专业业务活动及其辅助活动之外开展非独立核算经营活动取得的收入。如…（二级预算单位经营收入情况）等。</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4.其他收入：指单位取得的除上述收入以外的各项收入。主要是…（收入类型）等。 </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6.年初结转和结余：指以前年度尚未完成、结转到本年按有关规定继续使用的资金。 </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7.结余分配：指事业单位按照事业单位会计制度的规定从非财政补助结余中分配的事业基金和职工福利基金等。</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9.一般公共服务（类）…（款）…（项）：指……。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10.外交（类）…（款）…（项）：指……。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11.公共安全（类）…（款）…（项）：指……。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12.教育（类）…（款）…（项）：指……。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13.科学技术（类）…（款）…（项）：指……。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14.文化体育与传媒（类）…（款）…（项）：指……。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15.社会保障和就业（类）…（款）…（项）：指……。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16.医疗卫生与计划生育（类）…（款）…（项）：指……。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17.节能环保（类）…（款）…（项）：指……。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18.城乡社区（类）…（款）…（项）：指……。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19.农林水（类）…（款）…（项）：指……。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20.交通运输（类）…（款）…（项）：指……。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21.资源勘探信息等（类）…（款）…（项）：指……。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22.商业服务业（类）…（款）…（项）：指……。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23.金融（类）…（款）…（项）：指……。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24.国土海洋气象等（类）…（款）…（项）：指……。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25.住房保障（类）…（款）…（项）：指……。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26.粮油物资储备（类）…（款）…（项）：指……。</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27.基本支出：指为保障机构正常运转、完成日常工作任务而发生的人员支出和公用支出。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28.项目支出：指在基本支出之外为完成特定行政任务和事业发展目标所发生的支出。 </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29.经营支出：指事业单位在专业业务活动及其辅助活动之外开展非独立核算经营活动发生的支出。</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xml:space="preserve"> </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 </w:t>
      </w:r>
    </w:p>
    <w:p>
      <w:pPr>
        <w:pStyle w:val="1"/>
        <w:keepNext w:val="0"/>
        <w:keepLines w:val="0"/>
        <w:widowControl/>
        <w:suppressLineNumbers w:val="0"/>
        <w:spacing w:before="0" w:beforeAutospacing="0"/>
        <w:ind w:left="0"/>
        <w:jc w:val="center"/>
        <w:rPr>
          <w:rFonts w:hint="eastAsia"/>
          <w:shd w:val="clear" w:color="auto" w:fill="FFFFFF"/>
          <w:lang w:val="en-US" w:eastAsia="zh-CN"/>
        </w:rPr>
      </w:pPr>
      <w:bookmarkStart w:id="82" w:name="_Toc1148"/>
      <w:bookmarkStart w:id="83" w:name="_Toc19817"/>
      <w:bookmarkStart w:id="84" w:name="_Toc32243_WPSOffice_Level1"/>
      <w:bookmarkStart w:id="85" w:name="_Toc1851_WPSOffice_Level1"/>
      <w:r>
        <w:rPr>
          <w:rFonts w:hint="eastAsia"/>
          <w:shd w:val="clear" w:color="auto" w:fill="FFFFFF"/>
          <w:lang w:val="en-US" w:eastAsia="zh-CN"/>
        </w:rPr>
        <w:t>第四部分 附件</w:t>
      </w:r>
      <w:bookmarkEnd w:id="82"/>
      <w:bookmarkEnd w:id="83"/>
      <w:bookmarkEnd w:id="84"/>
      <w:bookmarkEnd w:id="85"/>
    </w:p>
    <w:p>
      <w:pPr>
        <w:widowControl/>
        <w:spacing w:line="480" w:lineRule="exact"/>
        <w:jc w:val="center"/>
        <w:rPr>
          <w:rFonts w:ascii="仿宋_GB2312" w:eastAsia="仿宋_GB2312" w:cs="仿宋_GB2312" w:hint="eastAsia"/>
          <w:kern w:val="2"/>
          <w:sz w:val="44"/>
          <w:szCs w:val="44"/>
          <w:lang w:val="en-US" w:eastAsia="zh-CN" w:bidi="ar-SA"/>
        </w:rPr>
      </w:pPr>
      <w:bookmarkStart w:id="86" w:name="_Toc7756_WPSOffice_Level2"/>
      <w:bookmarkStart w:id="87" w:name="_Toc19517_WPSOffice_Level2"/>
      <w:r>
        <w:rPr>
          <w:rFonts w:ascii="仿宋_GB2312" w:eastAsia="仿宋_GB2312" w:cs="仿宋_GB2312" w:hint="eastAsia"/>
          <w:kern w:val="2"/>
          <w:sz w:val="44"/>
          <w:szCs w:val="44"/>
          <w:lang w:val="en-US" w:eastAsia="zh-CN" w:bidi="ar-SA"/>
        </w:rPr>
        <w:t>金川县观音桥景区工作中心</w:t>
      </w:r>
      <w:bookmarkEnd w:id="86"/>
      <w:bookmarkEnd w:id="87"/>
    </w:p>
    <w:p>
      <w:pPr>
        <w:widowControl/>
        <w:spacing w:line="480" w:lineRule="exact"/>
        <w:jc w:val="center"/>
        <w:rPr>
          <w:rFonts w:ascii="仿宋_GB2312" w:eastAsia="仿宋_GB2312" w:cs="仿宋_GB2312" w:hint="eastAsia"/>
          <w:kern w:val="2"/>
          <w:sz w:val="44"/>
          <w:szCs w:val="44"/>
          <w:lang w:val="en-US" w:eastAsia="zh-CN" w:bidi="ar-SA"/>
        </w:rPr>
      </w:pPr>
      <w:bookmarkStart w:id="88" w:name="_Toc8775_WPSOffice_Level2"/>
      <w:bookmarkStart w:id="89" w:name="_Toc21615_WPSOffice_Level2"/>
      <w:r>
        <w:rPr>
          <w:rFonts w:ascii="仿宋_GB2312" w:eastAsia="仿宋_GB2312" w:cs="仿宋_GB2312" w:hint="eastAsia"/>
          <w:kern w:val="2"/>
          <w:sz w:val="44"/>
          <w:szCs w:val="44"/>
          <w:lang w:val="en-US" w:eastAsia="zh-CN" w:bidi="ar-SA"/>
        </w:rPr>
        <w:t>2021年部门整体支出绩效报告</w:t>
      </w:r>
      <w:bookmarkEnd w:id="88"/>
      <w:bookmarkEnd w:id="89"/>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bookmarkStart w:id="90" w:name="_Toc12014"/>
      <w:r>
        <w:rPr>
          <w:rFonts w:ascii="仿宋_GB2312" w:eastAsia="仿宋_GB2312" w:cs="仿宋_GB2312" w:hint="eastAsia"/>
          <w:kern w:val="2"/>
          <w:sz w:val="32"/>
          <w:szCs w:val="32"/>
          <w:lang w:val="en-US" w:eastAsia="zh-CN"/>
        </w:rPr>
        <w:t>一、</w:t>
      </w:r>
      <w:r>
        <w:rPr>
          <w:rFonts w:ascii="仿宋_GB2312" w:eastAsia="仿宋_GB2312" w:cs="仿宋_GB2312" w:hint="eastAsia"/>
          <w:kern w:val="2"/>
          <w:sz w:val="32"/>
          <w:szCs w:val="32"/>
          <w:lang w:val="zh-CN" w:eastAsia="zh-CN"/>
        </w:rPr>
        <w:t>部门（单位）概况</w:t>
      </w:r>
      <w:bookmarkEnd w:id="90"/>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（一）</w:t>
      </w:r>
      <w:r>
        <w:rPr>
          <w:rFonts w:ascii="仿宋_GB2312" w:eastAsia="仿宋_GB2312" w:cs="仿宋_GB2312" w:hint="eastAsia"/>
          <w:kern w:val="2"/>
          <w:sz w:val="32"/>
          <w:szCs w:val="32"/>
          <w:lang w:val="en-US" w:eastAsia="zh-CN"/>
        </w:rPr>
        <w:t>2021年独立编制单位机构数为 1个</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zh-CN" w:eastAsia="zh-CN"/>
        </w:rPr>
        <w:t>（二）1</w:t>
      </w:r>
      <w:r>
        <w:rPr>
          <w:rFonts w:ascii="仿宋_GB2312" w:eastAsia="仿宋_GB2312" w:cs="仿宋_GB2312" w:hint="eastAsia"/>
          <w:kern w:val="2"/>
          <w:sz w:val="32"/>
          <w:szCs w:val="32"/>
          <w:lang w:val="en-US" w:eastAsia="zh-CN"/>
        </w:rPr>
        <w:t>、金川县观音桥景区工作中心的主要职责是：</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1.编制旅游规划。组织编制旅游发展规划、旅游景区、景点规划和旅游专项规划等旅游规划并监督实施；负责旅游业发展的组织协调和行业指导、监督管理工作。</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实施旅游执法。负责贯彻执行旅游管理的法律、法规和规章，履行旅游行业行政管理职能；负责旅游服务质量执法监督和旅游投诉处理；参与旅游市场价格检查工作；负责旅游安全，参与重大旅游安全事故的救援与处理；指导旅游文化工作和旅游行业精神文明建设。</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3.实施行业管理。拟制旅游发展产业政策并指导实施；组织实施国家标准和国家、省、市制定的行业标准；审核、申报经营旅游业务的旅行社(公司)、A级旅游景区、星级宾馆、饭店等，负责日常管理工作并协助评定和复核工作;培育和完善旅游市场；建立旅游资源信息库；组织、指导旅游商品的开发；指导直属企事业单位和旅游行业协会工作；组织、指导旅游统计工作。</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4.组织市场开发。拟制国际、国内旅游市场开发战略；组织实施旅游主题形象策划，对内、对外宣传国内外旅游市场重大促销活动；管理旅游涉外事务和旅游对外交流与合作；负责规范旅游业市场开发，链接旅游线路，制定开发计划、措施及相关政策。</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5.组织教育培训。指导旅游教育培训工作，组织实施旅游从业人员资格制度和等级制度。</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6.履行相关</w:t>
      </w:r>
      <w:r>
        <w:rPr>
          <w:rFonts w:ascii="仿宋_GB2312" w:eastAsia="仿宋_GB2312" w:cs="仿宋_GB2312" w:hint="eastAsia"/>
          <w:kern w:val="2"/>
          <w:sz w:val="32"/>
          <w:szCs w:val="32"/>
          <w:lang w:val="en-US" w:eastAsia="zh-CN"/>
        </w:rPr>
        <w:fldChar w:fldCharType="begin"/>
      </w:r>
      <w:r>
        <w:instrText>HYPERLINK "http://www.zhize8.com/"</w:instrText>
      </w:r>
      <w:r>
        <w:rPr>
          <w:rFonts w:ascii="仿宋_GB2312" w:eastAsia="仿宋_GB2312" w:cs="仿宋_GB2312" w:hint="eastAsia"/>
          <w:kern w:val="2"/>
          <w:sz w:val="32"/>
          <w:szCs w:val="32"/>
          <w:lang w:val="en-US" w:eastAsia="zh-CN"/>
        </w:rPr>
        <w:fldChar w:fldCharType="separate"/>
      </w:r>
      <w:r>
        <w:rPr>
          <w:rFonts w:ascii="仿宋_GB2312" w:eastAsia="仿宋_GB2312" w:cs="仿宋_GB2312" w:hint="eastAsia"/>
          <w:kern w:val="2"/>
          <w:sz w:val="32"/>
          <w:szCs w:val="32"/>
          <w:lang w:val="en-US" w:eastAsia="zh-CN"/>
        </w:rPr>
        <w:t>职责</w:t>
      </w:r>
      <w:r>
        <w:rPr>
          <w:rFonts w:ascii="仿宋_GB2312" w:eastAsia="仿宋_GB2312" w:cs="仿宋_GB2312" w:hint="eastAsia"/>
          <w:kern w:val="2"/>
          <w:sz w:val="32"/>
          <w:szCs w:val="32"/>
          <w:lang w:val="en-US" w:eastAsia="zh-CN"/>
        </w:rPr>
        <w:fldChar w:fldCharType="end"/>
      </w:r>
      <w:r>
        <w:rPr>
          <w:rFonts w:ascii="仿宋_GB2312" w:eastAsia="仿宋_GB2312" w:cs="仿宋_GB2312" w:hint="eastAsia"/>
          <w:kern w:val="2"/>
          <w:sz w:val="32"/>
          <w:szCs w:val="32"/>
          <w:lang w:val="en-US" w:eastAsia="zh-CN"/>
        </w:rPr>
        <w:t>。受上级委托对旅游集团和直属旅游企业国有资产的保值增值进行监督管理，负责局机关党群工作，承办上级交办的其他事项。</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zh-CN" w:eastAsia="zh-CN"/>
        </w:rPr>
        <w:t>（三）</w:t>
      </w:r>
      <w:r>
        <w:rPr>
          <w:rFonts w:ascii="仿宋_GB2312" w:eastAsia="仿宋_GB2312" w:cs="仿宋_GB2312" w:hint="eastAsia"/>
          <w:kern w:val="2"/>
          <w:sz w:val="32"/>
          <w:szCs w:val="32"/>
          <w:lang w:val="en-US" w:eastAsia="zh-CN"/>
        </w:rPr>
        <w:t>金川县观音桥景区工作中心属于财政补助的一级预算事业单位，执行的是事业单位会计制度，编制人数为13人，实有人数9人，实有人数比上年度减少4人。</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bookmarkStart w:id="91" w:name="_Toc3451"/>
      <w:r>
        <w:rPr>
          <w:rFonts w:ascii="仿宋_GB2312" w:eastAsia="仿宋_GB2312" w:cs="仿宋_GB2312" w:hint="eastAsia"/>
          <w:kern w:val="2"/>
          <w:sz w:val="32"/>
          <w:szCs w:val="32"/>
          <w:lang w:val="en-US" w:eastAsia="zh-CN"/>
        </w:rPr>
        <w:t>二、部门财政资金收支情况</w:t>
      </w:r>
      <w:bookmarkEnd w:id="91"/>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(一）、2021年财政拨款收入为195.52万元，其中：基本收入为195.52万元，项目收入0万元。</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bookmarkStart w:id="92" w:name="_Toc139"/>
      <w:r>
        <w:rPr>
          <w:rFonts w:ascii="仿宋_GB2312" w:eastAsia="仿宋_GB2312" w:cs="仿宋_GB2312" w:hint="eastAsia"/>
          <w:kern w:val="2"/>
          <w:sz w:val="32"/>
          <w:szCs w:val="32"/>
          <w:lang w:val="en-US" w:eastAsia="zh-CN"/>
        </w:rPr>
        <w:t>三、部门财政支出管理情况</w:t>
      </w:r>
      <w:bookmarkEnd w:id="92"/>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（一）预算编制情况。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en-US" w:eastAsia="zh-CN"/>
        </w:rPr>
        <w:t xml:space="preserve">    </w:t>
      </w:r>
      <w:r>
        <w:rPr>
          <w:rFonts w:ascii="仿宋_GB2312" w:eastAsia="仿宋_GB2312" w:cs="仿宋_GB2312" w:hint="eastAsia"/>
          <w:kern w:val="2"/>
          <w:sz w:val="32"/>
          <w:szCs w:val="32"/>
          <w:lang w:val="zh-CN" w:eastAsia="zh-CN"/>
        </w:rPr>
        <w:t>2021年预算编制严格按照县级部门预算编制通知和有关要求，遵守国家编制的原则，按时完成2021年预算编制工作，并按时提交部门预算报告，预算编制全面、科学。</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（二）</w:t>
      </w:r>
      <w:r>
        <w:rPr>
          <w:rFonts w:ascii="仿宋_GB2312" w:eastAsia="仿宋_GB2312" w:cs="仿宋_GB2312" w:hint="eastAsia"/>
          <w:kern w:val="2"/>
          <w:sz w:val="32"/>
          <w:szCs w:val="32"/>
          <w:lang w:val="en-US" w:eastAsia="zh-CN"/>
        </w:rPr>
        <w:t>常公用经费按人均2万元标准编制，预算经费中的人员经费按月拨付，公用经费是按季度进行拨付。</w:t>
      </w:r>
      <w:r>
        <w:rPr>
          <w:rFonts w:ascii="仿宋_GB2312" w:eastAsia="仿宋_GB2312" w:cs="仿宋_GB2312" w:hint="eastAsia"/>
          <w:kern w:val="2"/>
          <w:sz w:val="32"/>
          <w:szCs w:val="32"/>
          <w:lang w:val="zh-CN" w:eastAsia="zh-CN"/>
        </w:rPr>
        <w:t>执行管理情况。</w:t>
        <w:tab/>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预算执行情况：我单位所有预算严格按照预算法执行，单位预算编制按在岗在职9人数编制</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（三）三公经费预算执行情况： 2021年度“三公”经费财政拨款支出决算为2.37万元，完成预算100%，其中：无因公出国（境）费支出；公务用车购置及运行维护费支出决算为2.37万元，完成预算100%；无公务接待费支出。2021年度“三公”经费财政拨款支出决算数比2020年增加0.02万元，其中：无因公出国（境）费支出；无公务接待费支出。公务车运行维护费增加原因是车辆使用年限较大。</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（四）综合管理情况。</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1、</w:t>
      </w:r>
      <w:r>
        <w:rPr>
          <w:rFonts w:ascii="仿宋_GB2312" w:eastAsia="仿宋_GB2312" w:cs="仿宋_GB2312" w:hint="eastAsia"/>
          <w:kern w:val="2"/>
          <w:sz w:val="32"/>
          <w:szCs w:val="32"/>
          <w:lang w:val="zh-CN" w:eastAsia="zh-CN"/>
        </w:rPr>
        <w:t>资产管理、本单位固定资产按科学合理、优化资产结构勤俭节约的原则和专门的资产管理系统进行管理，</w:t>
      </w:r>
      <w:r>
        <w:rPr>
          <w:rFonts w:ascii="仿宋_GB2312" w:eastAsia="仿宋_GB2312" w:cs="仿宋_GB2312" w:hint="eastAsia"/>
          <w:kern w:val="2"/>
          <w:sz w:val="32"/>
          <w:szCs w:val="32"/>
          <w:lang w:val="en-US" w:eastAsia="zh-CN"/>
        </w:rPr>
        <w:t>固定资产账面数据和固定资产管理系统数据一致。</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en-US" w:eastAsia="zh-CN"/>
        </w:rPr>
        <w:t>2、</w:t>
      </w:r>
      <w:r>
        <w:rPr>
          <w:rFonts w:ascii="仿宋_GB2312" w:eastAsia="仿宋_GB2312" w:cs="仿宋_GB2312" w:hint="eastAsia"/>
          <w:kern w:val="2"/>
          <w:sz w:val="32"/>
          <w:szCs w:val="32"/>
          <w:lang w:val="zh-CN" w:eastAsia="zh-CN"/>
        </w:rPr>
        <w:t>内控制度管理：为进一步做好行政事业单位内部控制基础性工作，结合我部实际制定以下制度：</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1采购管理制度、2合同管理制度、3建设项目管理制度、4收支业务管理制度、5预算管理制度、6资产管理制度。</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信息公开：预算决算公开按财政局的要求在收到财政批复后20个工作日在金川县政府中心的信息网站进行公开。</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绩效评价及财政监督情况：按财政相关文件评价指标体系进行单位自评，按财政要求收支并接受财政的监督管理。</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（五）整体绩效。</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en-US" w:eastAsia="zh-CN"/>
        </w:rPr>
        <w:t xml:space="preserve">    </w:t>
      </w:r>
      <w:r>
        <w:rPr>
          <w:rFonts w:ascii="仿宋_GB2312" w:eastAsia="仿宋_GB2312" w:cs="仿宋_GB2312" w:hint="eastAsia"/>
          <w:kern w:val="2"/>
          <w:sz w:val="32"/>
          <w:szCs w:val="32"/>
          <w:lang w:val="zh-CN" w:eastAsia="zh-CN"/>
        </w:rPr>
        <w:t>我单位财务管理制度健全，执行制度严格合规，会计核算符合相关规定，资金专款专用，资金支付依据和开支标准合法合规，严格执行政府采购。</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en-US" w:eastAsia="zh-CN"/>
        </w:rPr>
      </w:pPr>
      <w:bookmarkStart w:id="93" w:name="_Toc611"/>
      <w:r>
        <w:rPr>
          <w:rFonts w:ascii="仿宋_GB2312" w:eastAsia="仿宋_GB2312" w:cs="仿宋_GB2312" w:hint="eastAsia"/>
          <w:kern w:val="2"/>
          <w:sz w:val="32"/>
          <w:szCs w:val="32"/>
          <w:lang w:val="en-US" w:eastAsia="zh-CN"/>
        </w:rPr>
        <w:t>四、评价结论及建议</w:t>
      </w:r>
      <w:bookmarkEnd w:id="93"/>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（一）评价结论。</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 xml:space="preserve">   </w:t>
      </w:r>
      <w:r>
        <w:rPr>
          <w:rFonts w:ascii="仿宋_GB2312" w:eastAsia="仿宋_GB2312" w:cs="仿宋_GB2312" w:hint="eastAsia"/>
          <w:kern w:val="2"/>
          <w:sz w:val="32"/>
          <w:szCs w:val="32"/>
          <w:lang w:val="en-US" w:eastAsia="zh-CN"/>
        </w:rPr>
        <w:t xml:space="preserve"> </w:t>
      </w:r>
      <w:r>
        <w:rPr>
          <w:rFonts w:ascii="仿宋_GB2312" w:eastAsia="仿宋_GB2312" w:cs="仿宋_GB2312" w:hint="eastAsia"/>
          <w:kern w:val="2"/>
          <w:sz w:val="32"/>
          <w:szCs w:val="32"/>
          <w:lang w:val="zh-CN" w:eastAsia="zh-CN"/>
        </w:rPr>
        <w:t>我单位系按年末人数编制部门预算，并严格按照批复的部门预算执行,未经批准没有随意调整。不存在超预算、超标准、超范围列支费用；不存在虚报、冒领、截留、挪用财政资金现象；不存在未经批准购建、出租、出借或处置资产，资产账实相符；全力推行公务卡强制结算。</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en-US" w:eastAsia="zh-CN"/>
        </w:rPr>
        <w:t xml:space="preserve">    </w:t>
      </w:r>
      <w:r>
        <w:rPr>
          <w:rFonts w:ascii="仿宋_GB2312" w:eastAsia="仿宋_GB2312" w:cs="仿宋_GB2312" w:hint="eastAsia"/>
          <w:kern w:val="2"/>
          <w:sz w:val="32"/>
          <w:szCs w:val="32"/>
          <w:lang w:val="zh-CN" w:eastAsia="zh-CN"/>
        </w:rPr>
        <w:t>我单位无收费项目，无其他行政事业性收费，故无预算外资金。我单位严格按照《事业单位会计制度》、《事业单位财务规则》财政部等有关规定执行，所有经费开支都坚持做到了“经手人提供原始凭证、填制相关单据，相关人员证明，财务初审，分管</w:t>
      </w:r>
      <w:r>
        <w:rPr>
          <w:rFonts w:ascii="仿宋_GB2312" w:eastAsia="仿宋_GB2312" w:cs="仿宋_GB2312" w:hint="eastAsia"/>
          <w:kern w:val="2"/>
          <w:sz w:val="32"/>
          <w:szCs w:val="32"/>
          <w:lang w:val="en-US" w:eastAsia="zh-CN"/>
        </w:rPr>
        <w:t>领导</w:t>
      </w:r>
      <w:r>
        <w:rPr>
          <w:rFonts w:ascii="仿宋_GB2312" w:eastAsia="仿宋_GB2312" w:cs="仿宋_GB2312" w:hint="eastAsia"/>
          <w:kern w:val="2"/>
          <w:sz w:val="32"/>
          <w:szCs w:val="32"/>
          <w:lang w:val="zh-CN" w:eastAsia="zh-CN"/>
        </w:rPr>
        <w:t>复审，</w:t>
      </w:r>
      <w:r>
        <w:rPr>
          <w:rFonts w:ascii="仿宋_GB2312" w:eastAsia="仿宋_GB2312" w:cs="仿宋_GB2312" w:hint="eastAsia"/>
          <w:kern w:val="2"/>
          <w:sz w:val="32"/>
          <w:szCs w:val="32"/>
          <w:lang w:val="en-US" w:eastAsia="zh-CN"/>
        </w:rPr>
        <w:t>主任</w:t>
      </w:r>
      <w:r>
        <w:rPr>
          <w:rFonts w:ascii="仿宋_GB2312" w:eastAsia="仿宋_GB2312" w:cs="仿宋_GB2312" w:hint="eastAsia"/>
          <w:kern w:val="2"/>
          <w:sz w:val="32"/>
          <w:szCs w:val="32"/>
          <w:lang w:val="zh-CN" w:eastAsia="zh-CN"/>
        </w:rPr>
        <w:t>终审”的签字制度。大额开支提交</w:t>
      </w:r>
      <w:r>
        <w:rPr>
          <w:rFonts w:ascii="仿宋_GB2312" w:eastAsia="仿宋_GB2312" w:cs="仿宋_GB2312" w:hint="eastAsia"/>
          <w:kern w:val="2"/>
          <w:sz w:val="32"/>
          <w:szCs w:val="32"/>
          <w:lang w:val="en-US" w:eastAsia="zh-CN"/>
        </w:rPr>
        <w:t>中心</w:t>
      </w:r>
      <w:r>
        <w:rPr>
          <w:rFonts w:ascii="仿宋_GB2312" w:eastAsia="仿宋_GB2312" w:cs="仿宋_GB2312" w:hint="eastAsia"/>
          <w:kern w:val="2"/>
          <w:sz w:val="32"/>
          <w:szCs w:val="32"/>
          <w:lang w:val="zh-CN" w:eastAsia="zh-CN"/>
        </w:rPr>
        <w:t>党组集体研究决定。</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（二）存在问题。</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 xml:space="preserve">  </w:t>
      </w:r>
      <w:r>
        <w:rPr>
          <w:rFonts w:ascii="仿宋_GB2312" w:eastAsia="仿宋_GB2312" w:cs="仿宋_GB2312" w:hint="eastAsia"/>
          <w:kern w:val="2"/>
          <w:sz w:val="32"/>
          <w:szCs w:val="32"/>
          <w:lang w:val="en-US" w:eastAsia="zh-CN"/>
        </w:rPr>
        <w:t xml:space="preserve"> </w:t>
      </w:r>
      <w:r>
        <w:rPr>
          <w:rFonts w:ascii="仿宋_GB2312" w:eastAsia="仿宋_GB2312" w:cs="仿宋_GB2312" w:hint="eastAsia"/>
          <w:kern w:val="2"/>
          <w:sz w:val="32"/>
          <w:szCs w:val="32"/>
          <w:lang w:val="zh-CN" w:eastAsia="zh-CN"/>
        </w:rPr>
        <w:t xml:space="preserve"> 预算编制还需进一步细化，需要加强内部控制制度的执行。</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（三）改进建议。</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 xml:space="preserve">1、遵循先有预算、后有支出的原则，加强财务管理和内部控制监督制度。严禁超预算和无预算安排支出，严格开支范围和标准，严格支出报销审核，不报销任何超范围、超标准的费用。 </w:t>
      </w:r>
    </w:p>
    <w:p>
      <w:pPr>
        <w:keepNext w:val="0"/>
        <w:keepLines w:val="0"/>
        <w:widowControl/>
        <w:numPr>
          <w:ilvl w:val="0"/>
          <w:numId w:val="1"/>
        </w:numPr>
        <w:suppressLineNumbers w:val="0"/>
        <w:spacing w:before="0" w:beforeAutospacing="0" w:after="0" w:afterAutospacing="1"/>
        <w:ind w:left="720" w:hanging="360"/>
        <w:jc w:val="left"/>
        <w:rPr>
          <w:rFonts w:ascii="仿宋_GB2312" w:eastAsia="仿宋_GB2312" w:cs="仿宋_GB2312" w:hint="eastAsia"/>
          <w:kern w:val="2"/>
          <w:sz w:val="32"/>
          <w:szCs w:val="32"/>
          <w:lang w:val="zh-CN" w:eastAsia="zh-CN"/>
        </w:rPr>
      </w:pPr>
      <w:r>
        <w:rPr>
          <w:rFonts w:ascii="仿宋_GB2312" w:eastAsia="仿宋_GB2312" w:cs="仿宋_GB2312" w:hint="eastAsia"/>
          <w:kern w:val="2"/>
          <w:sz w:val="32"/>
          <w:szCs w:val="32"/>
          <w:lang w:val="zh-CN" w:eastAsia="zh-CN"/>
        </w:rPr>
        <w:t xml:space="preserve">   2、严格控制“三公”经费。认真贯彻落实中央、省委省政府和县委县政府相关规定，严格“三公”经费支出的审核和审批，合理压缩“三公”经费支出。</w:t>
      </w:r>
    </w:p>
    <w:p>
      <w:pPr>
        <w:pStyle w:val="19"/>
        <w:keepNext w:val="0"/>
        <w:keepLines w:val="0"/>
        <w:widowControl/>
        <w:suppressLineNumbers w:val="0"/>
        <w:spacing w:before="0" w:beforeAutospacing="0"/>
        <w:ind w:left="0"/>
        <w:jc w:val="left"/>
      </w:pPr>
      <w:r>
        <w:rPr>
          <w:shd w:val="clear" w:color="auto" w:fill="FFFFFF"/>
        </w:rPr>
        <w:t> </w:t>
      </w:r>
    </w:p>
    <w:p>
      <w:pPr>
        <w:pStyle w:val="19"/>
        <w:keepNext w:val="0"/>
        <w:keepLines w:val="0"/>
        <w:widowControl/>
        <w:suppressLineNumbers w:val="0"/>
        <w:spacing w:before="0" w:beforeAutospacing="0"/>
        <w:ind w:left="0"/>
        <w:jc w:val="left"/>
      </w:pPr>
      <w:r>
        <w:rPr>
          <w:shd w:val="clear" w:color="auto" w:fill="FFFFFF"/>
        </w:rPr>
        <w:t> </w:t>
      </w:r>
    </w:p>
    <w:p>
      <w:pPr>
        <w:pStyle w:val="19"/>
        <w:keepNext w:val="0"/>
        <w:keepLines w:val="0"/>
        <w:widowControl/>
        <w:suppressLineNumbers w:val="0"/>
        <w:spacing w:before="0" w:beforeAutospacing="0"/>
        <w:ind w:left="0"/>
        <w:jc w:val="left"/>
      </w:pPr>
      <w:r>
        <w:rPr>
          <w:shd w:val="clear" w:color="auto" w:fill="FFFFFF"/>
        </w:rPr>
        <w:t> </w:t>
      </w:r>
    </w:p>
    <w:p>
      <w:pPr>
        <w:pStyle w:val="19"/>
        <w:keepNext w:val="0"/>
        <w:keepLines w:val="0"/>
        <w:widowControl/>
        <w:suppressLineNumbers w:val="0"/>
        <w:spacing w:before="0" w:beforeAutospacing="0"/>
        <w:ind w:left="0"/>
        <w:jc w:val="left"/>
      </w:pPr>
      <w:r>
        <w:rPr>
          <w:shd w:val="clear" w:color="auto" w:fill="FFFFFF"/>
        </w:rPr>
        <w:t> </w:t>
      </w:r>
    </w:p>
    <w:p>
      <w:pPr>
        <w:pStyle w:val="19"/>
        <w:keepNext w:val="0"/>
        <w:keepLines w:val="0"/>
        <w:widowControl/>
        <w:suppressLineNumbers w:val="0"/>
        <w:spacing w:before="0" w:beforeAutospacing="0"/>
        <w:ind w:left="0"/>
        <w:jc w:val="center"/>
        <w:outlineLvl w:val="0"/>
      </w:pPr>
      <w:bookmarkStart w:id="94" w:name="_Toc5684"/>
      <w:bookmarkStart w:id="95" w:name="_Toc14081"/>
      <w:bookmarkStart w:id="96" w:name="_Toc9926_WPSOffice_Level1"/>
      <w:bookmarkStart w:id="97" w:name="_Toc11406_WPSOffice_Level1"/>
      <w:r>
        <w:rPr>
          <w:rStyle w:val="20"/>
          <w:sz w:val="39"/>
          <w:szCs w:val="39"/>
          <w:shd w:val="clear" w:color="auto" w:fill="FFFFFF"/>
        </w:rPr>
        <w:t>第五部分 附表</w:t>
      </w:r>
      <w:bookmarkEnd w:id="94"/>
      <w:bookmarkEnd w:id="95"/>
      <w:bookmarkEnd w:id="96"/>
      <w:bookmarkEnd w:id="97"/>
    </w:p>
    <w:p>
      <w:pPr>
        <w:pStyle w:val="2"/>
        <w:keepNext w:val="0"/>
        <w:keepLines w:val="0"/>
        <w:widowControl/>
        <w:suppressLineNumbers w:val="0"/>
        <w:spacing w:before="0" w:beforeAutospacing="0"/>
        <w:ind w:left="0"/>
        <w:jc w:val="left"/>
      </w:pPr>
      <w:bookmarkStart w:id="98" w:name="_Toc20327"/>
      <w:bookmarkStart w:id="99" w:name="_Toc11730"/>
      <w:bookmarkStart w:id="100" w:name="_Toc30078_WPSOffice_Level2"/>
      <w:bookmarkStart w:id="101" w:name="_Toc24267_WPSOffice_Level2"/>
      <w:r>
        <w:rPr>
          <w:shd w:val="clear" w:color="auto" w:fill="FFFFFF"/>
        </w:rPr>
        <w:t>一、收入支出决算总表</w:t>
      </w:r>
      <w:bookmarkEnd w:id="98"/>
      <w:bookmarkEnd w:id="99"/>
      <w:bookmarkEnd w:id="100"/>
      <w:bookmarkEnd w:id="101"/>
    </w:p>
    <w:p>
      <w:pPr>
        <w:pStyle w:val="2"/>
        <w:keepNext w:val="0"/>
        <w:keepLines w:val="0"/>
        <w:widowControl/>
        <w:suppressLineNumbers w:val="0"/>
        <w:spacing w:before="0" w:beforeAutospacing="0"/>
        <w:ind w:left="0"/>
        <w:jc w:val="left"/>
      </w:pPr>
      <w:bookmarkStart w:id="102" w:name="_Toc17353"/>
      <w:bookmarkStart w:id="103" w:name="_Toc21181"/>
      <w:bookmarkStart w:id="104" w:name="_Toc13647_WPSOffice_Level2"/>
      <w:bookmarkStart w:id="105" w:name="_Toc7946_WPSOffice_Level2"/>
      <w:r>
        <w:rPr>
          <w:shd w:val="clear" w:color="auto" w:fill="FFFFFF"/>
        </w:rPr>
        <w:t>二、收入决算表</w:t>
      </w:r>
      <w:bookmarkEnd w:id="102"/>
      <w:bookmarkEnd w:id="103"/>
      <w:bookmarkEnd w:id="104"/>
      <w:bookmarkEnd w:id="105"/>
    </w:p>
    <w:p>
      <w:pPr>
        <w:pStyle w:val="2"/>
        <w:keepNext w:val="0"/>
        <w:keepLines w:val="0"/>
        <w:widowControl/>
        <w:suppressLineNumbers w:val="0"/>
        <w:spacing w:before="0" w:beforeAutospacing="0"/>
        <w:ind w:left="0"/>
        <w:jc w:val="left"/>
      </w:pPr>
      <w:bookmarkStart w:id="106" w:name="_Toc19680"/>
      <w:bookmarkStart w:id="107" w:name="_Toc6995"/>
      <w:bookmarkStart w:id="108" w:name="_Toc1198_WPSOffice_Level2"/>
      <w:bookmarkStart w:id="109" w:name="_Toc10181_WPSOffice_Level2"/>
      <w:r>
        <w:rPr>
          <w:shd w:val="clear" w:color="auto" w:fill="FFFFFF"/>
        </w:rPr>
        <w:t>三、支出决算表</w:t>
      </w:r>
      <w:bookmarkEnd w:id="106"/>
      <w:bookmarkEnd w:id="107"/>
      <w:bookmarkEnd w:id="108"/>
      <w:bookmarkEnd w:id="109"/>
    </w:p>
    <w:p>
      <w:pPr>
        <w:pStyle w:val="2"/>
        <w:keepNext w:val="0"/>
        <w:keepLines w:val="0"/>
        <w:widowControl/>
        <w:suppressLineNumbers w:val="0"/>
        <w:spacing w:before="0" w:beforeAutospacing="0"/>
        <w:ind w:left="0"/>
        <w:jc w:val="left"/>
      </w:pPr>
      <w:bookmarkStart w:id="110" w:name="_Toc27733"/>
      <w:bookmarkStart w:id="111" w:name="_Toc24896"/>
      <w:bookmarkStart w:id="112" w:name="_Toc30861_WPSOffice_Level2"/>
      <w:bookmarkStart w:id="113" w:name="_Toc15073_WPSOffice_Level2"/>
      <w:r>
        <w:rPr>
          <w:shd w:val="clear" w:color="auto" w:fill="FFFFFF"/>
        </w:rPr>
        <w:t>四、财政拨款收入支出决算总表</w:t>
      </w:r>
      <w:bookmarkEnd w:id="110"/>
      <w:bookmarkEnd w:id="111"/>
      <w:bookmarkEnd w:id="112"/>
      <w:bookmarkEnd w:id="113"/>
    </w:p>
    <w:p>
      <w:pPr>
        <w:pStyle w:val="2"/>
        <w:keepNext w:val="0"/>
        <w:keepLines w:val="0"/>
        <w:widowControl/>
        <w:suppressLineNumbers w:val="0"/>
        <w:spacing w:before="0" w:beforeAutospacing="0"/>
        <w:ind w:left="0"/>
        <w:jc w:val="left"/>
      </w:pPr>
      <w:bookmarkStart w:id="114" w:name="_Toc21880"/>
      <w:bookmarkStart w:id="115" w:name="_Toc8027"/>
      <w:bookmarkStart w:id="116" w:name="_Toc2985_WPSOffice_Level2"/>
      <w:bookmarkStart w:id="117" w:name="_Toc7320_WPSOffice_Level2"/>
      <w:r>
        <w:rPr>
          <w:shd w:val="clear" w:color="auto" w:fill="FFFFFF"/>
        </w:rPr>
        <w:t>五、财政拨款支出决算明细表</w:t>
      </w:r>
      <w:bookmarkEnd w:id="114"/>
      <w:bookmarkEnd w:id="115"/>
      <w:bookmarkEnd w:id="116"/>
      <w:bookmarkEnd w:id="117"/>
    </w:p>
    <w:p>
      <w:pPr>
        <w:pStyle w:val="2"/>
        <w:keepNext w:val="0"/>
        <w:keepLines w:val="0"/>
        <w:widowControl/>
        <w:suppressLineNumbers w:val="0"/>
        <w:spacing w:before="0" w:beforeAutospacing="0"/>
        <w:ind w:left="0"/>
        <w:jc w:val="left"/>
      </w:pPr>
      <w:bookmarkStart w:id="118" w:name="_Toc7289"/>
      <w:bookmarkStart w:id="119" w:name="_Toc10387"/>
      <w:bookmarkStart w:id="120" w:name="_Toc2077_WPSOffice_Level2"/>
      <w:bookmarkStart w:id="121" w:name="_Toc32127_WPSOffice_Level2"/>
      <w:r>
        <w:rPr>
          <w:shd w:val="clear" w:color="auto" w:fill="FFFFFF"/>
        </w:rPr>
        <w:t>六、一般公共预算财政拨款支出决算表</w:t>
      </w:r>
      <w:bookmarkEnd w:id="118"/>
      <w:bookmarkEnd w:id="119"/>
      <w:bookmarkEnd w:id="120"/>
      <w:bookmarkEnd w:id="121"/>
    </w:p>
    <w:p>
      <w:pPr>
        <w:pStyle w:val="2"/>
        <w:keepNext w:val="0"/>
        <w:keepLines w:val="0"/>
        <w:widowControl/>
        <w:suppressLineNumbers w:val="0"/>
        <w:spacing w:before="0" w:beforeAutospacing="0"/>
        <w:ind w:left="0"/>
        <w:jc w:val="left"/>
      </w:pPr>
      <w:bookmarkStart w:id="122" w:name="_Toc30053"/>
      <w:bookmarkStart w:id="123" w:name="_Toc10437"/>
      <w:bookmarkStart w:id="124" w:name="_Toc11160_WPSOffice_Level2"/>
      <w:bookmarkStart w:id="125" w:name="_Toc790_WPSOffice_Level2"/>
      <w:r>
        <w:rPr>
          <w:shd w:val="clear" w:color="auto" w:fill="FFFFFF"/>
        </w:rPr>
        <w:t>七、一般公共预算财政拨款支出决算明细表</w:t>
      </w:r>
      <w:bookmarkEnd w:id="122"/>
      <w:bookmarkEnd w:id="123"/>
      <w:bookmarkEnd w:id="124"/>
      <w:bookmarkEnd w:id="125"/>
    </w:p>
    <w:p>
      <w:pPr>
        <w:pStyle w:val="2"/>
        <w:keepNext w:val="0"/>
        <w:keepLines w:val="0"/>
        <w:widowControl/>
        <w:suppressLineNumbers w:val="0"/>
        <w:spacing w:before="0" w:beforeAutospacing="0"/>
        <w:ind w:left="0"/>
        <w:jc w:val="left"/>
      </w:pPr>
      <w:bookmarkStart w:id="126" w:name="_Toc329"/>
      <w:bookmarkStart w:id="127" w:name="_Toc24909"/>
      <w:bookmarkStart w:id="128" w:name="_Toc2071_WPSOffice_Level2"/>
      <w:bookmarkStart w:id="129" w:name="_Toc2586_WPSOffice_Level2"/>
      <w:r>
        <w:rPr>
          <w:shd w:val="clear" w:color="auto" w:fill="FFFFFF"/>
        </w:rPr>
        <w:t>八、一般公共预算财政拨款基本支出决算表</w:t>
      </w:r>
      <w:bookmarkEnd w:id="126"/>
      <w:bookmarkEnd w:id="127"/>
      <w:bookmarkEnd w:id="128"/>
      <w:bookmarkEnd w:id="129"/>
    </w:p>
    <w:p>
      <w:pPr>
        <w:pStyle w:val="2"/>
        <w:keepNext w:val="0"/>
        <w:keepLines w:val="0"/>
        <w:widowControl/>
        <w:suppressLineNumbers w:val="0"/>
        <w:spacing w:before="0" w:beforeAutospacing="0"/>
        <w:ind w:left="0"/>
        <w:jc w:val="left"/>
      </w:pPr>
      <w:bookmarkStart w:id="130" w:name="_Toc30804"/>
      <w:bookmarkStart w:id="131" w:name="_Toc9803"/>
      <w:bookmarkStart w:id="132" w:name="_Toc10620_WPSOffice_Level2"/>
      <w:bookmarkStart w:id="133" w:name="_Toc15262_WPSOffice_Level2"/>
      <w:r>
        <w:rPr>
          <w:shd w:val="clear" w:color="auto" w:fill="FFFFFF"/>
        </w:rPr>
        <w:t>九、一般公共预算财政拨款项目支出决算表</w:t>
      </w:r>
      <w:bookmarkEnd w:id="130"/>
      <w:bookmarkEnd w:id="131"/>
      <w:bookmarkEnd w:id="132"/>
      <w:bookmarkEnd w:id="133"/>
    </w:p>
    <w:p>
      <w:pPr>
        <w:pStyle w:val="2"/>
        <w:keepNext w:val="0"/>
        <w:keepLines w:val="0"/>
        <w:widowControl/>
        <w:suppressLineNumbers w:val="0"/>
        <w:spacing w:before="0" w:beforeAutospacing="0"/>
        <w:ind w:left="0"/>
        <w:jc w:val="left"/>
      </w:pPr>
      <w:bookmarkStart w:id="134" w:name="_Toc26363"/>
      <w:bookmarkStart w:id="135" w:name="_Toc32189"/>
      <w:bookmarkStart w:id="136" w:name="_Toc15764_WPSOffice_Level2"/>
      <w:bookmarkStart w:id="137" w:name="_Toc27027_WPSOffice_Level2"/>
      <w:r>
        <w:rPr>
          <w:shd w:val="clear" w:color="auto" w:fill="FFFFFF"/>
        </w:rPr>
        <w:t>十、一般公共预算财政拨款“三公”经费支出决算表</w:t>
      </w:r>
      <w:bookmarkEnd w:id="134"/>
      <w:bookmarkEnd w:id="135"/>
      <w:bookmarkEnd w:id="136"/>
      <w:bookmarkEnd w:id="137"/>
    </w:p>
    <w:p>
      <w:pPr>
        <w:pStyle w:val="2"/>
        <w:keepNext w:val="0"/>
        <w:keepLines w:val="0"/>
        <w:widowControl/>
        <w:suppressLineNumbers w:val="0"/>
        <w:spacing w:before="0" w:beforeAutospacing="0"/>
        <w:ind w:left="0"/>
        <w:jc w:val="left"/>
      </w:pPr>
      <w:bookmarkStart w:id="138" w:name="_Toc29665"/>
      <w:bookmarkStart w:id="139" w:name="_Toc28054"/>
      <w:bookmarkStart w:id="140" w:name="_Toc418_WPSOffice_Level2"/>
      <w:bookmarkStart w:id="141" w:name="_Toc5540_WPSOffice_Level2"/>
      <w:r>
        <w:rPr>
          <w:shd w:val="clear" w:color="auto" w:fill="FFFFFF"/>
        </w:rPr>
        <w:t>十一、政府性基金预算财政拨款收入支出决算表</w:t>
      </w:r>
      <w:bookmarkEnd w:id="138"/>
      <w:bookmarkEnd w:id="139"/>
      <w:bookmarkEnd w:id="140"/>
      <w:bookmarkEnd w:id="141"/>
    </w:p>
    <w:p>
      <w:pPr>
        <w:pStyle w:val="2"/>
        <w:keepNext w:val="0"/>
        <w:keepLines w:val="0"/>
        <w:widowControl/>
        <w:suppressLineNumbers w:val="0"/>
        <w:spacing w:before="0" w:beforeAutospacing="0"/>
        <w:ind w:left="0"/>
        <w:jc w:val="left"/>
      </w:pPr>
      <w:bookmarkStart w:id="142" w:name="_Toc1553"/>
      <w:bookmarkStart w:id="143" w:name="_Toc16180"/>
      <w:bookmarkStart w:id="144" w:name="_Toc14565_WPSOffice_Level2"/>
      <w:bookmarkStart w:id="145" w:name="_Toc14167_WPSOffice_Level2"/>
      <w:r>
        <w:rPr>
          <w:shd w:val="clear" w:color="auto" w:fill="FFFFFF"/>
        </w:rPr>
        <w:t>十二、政府性基金预算财政拨款“三公”经费支出决算表</w:t>
      </w:r>
      <w:bookmarkEnd w:id="142"/>
      <w:bookmarkEnd w:id="143"/>
      <w:bookmarkEnd w:id="144"/>
      <w:bookmarkEnd w:id="145"/>
    </w:p>
    <w:p>
      <w:pPr>
        <w:pStyle w:val="2"/>
        <w:keepNext w:val="0"/>
        <w:keepLines w:val="0"/>
        <w:widowControl/>
        <w:suppressLineNumbers w:val="0"/>
        <w:spacing w:before="0" w:beforeAutospacing="0"/>
        <w:ind w:left="0"/>
        <w:jc w:val="left"/>
      </w:pPr>
      <w:bookmarkStart w:id="146" w:name="_Toc6794"/>
      <w:bookmarkStart w:id="147" w:name="_Toc7120"/>
      <w:bookmarkStart w:id="148" w:name="_Toc15239_WPSOffice_Level2"/>
      <w:bookmarkStart w:id="149" w:name="_Toc18814_WPSOffice_Level2"/>
      <w:r>
        <w:rPr>
          <w:shd w:val="clear" w:color="auto" w:fill="FFFFFF"/>
        </w:rPr>
        <w:t>十三、国有资本经营预算财政拨款收入支出决算表</w:t>
      </w:r>
      <w:bookmarkEnd w:id="146"/>
      <w:bookmarkEnd w:id="147"/>
      <w:bookmarkEnd w:id="148"/>
      <w:bookmarkEnd w:id="149"/>
    </w:p>
    <w:p>
      <w:pPr>
        <w:pStyle w:val="2"/>
        <w:keepNext w:val="0"/>
        <w:keepLines w:val="0"/>
        <w:widowControl/>
        <w:suppressLineNumbers w:val="0"/>
        <w:spacing w:before="0" w:beforeAutospacing="0"/>
        <w:ind w:left="0"/>
        <w:jc w:val="left"/>
      </w:pPr>
      <w:bookmarkStart w:id="150" w:name="_Toc23280"/>
      <w:bookmarkStart w:id="151" w:name="_Toc12999"/>
      <w:bookmarkStart w:id="152" w:name="_Toc25172_WPSOffice_Level2"/>
      <w:bookmarkStart w:id="153" w:name="_Toc12922_WPSOffice_Level2"/>
      <w:r>
        <w:rPr>
          <w:shd w:val="clear" w:color="auto" w:fill="FFFFFF"/>
        </w:rPr>
        <w:t>十四、国有资本经营预算财政拨款支出决算表</w:t>
      </w:r>
      <w:bookmarkEnd w:id="150"/>
      <w:bookmarkEnd w:id="151"/>
      <w:bookmarkEnd w:id="152"/>
      <w:bookmarkEnd w:id="153"/>
    </w:p>
    <w:p/>
    <w:sectPr>
      <w:footerReference w:type="default" r:id="rId2"/>
      <w:pgSz w:w="11915" w:h="16851"/>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86"/>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1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Times New Roman">
    <w:panose1 w:val="02020603050405020304"/>
    <w:charset w:val="00"/>
    <w:family w:val="auto"/>
    <w:pitch w:val="variable"/>
    <w:sig w:usb0="00000A87" w:usb1="00000000" w:usb2="00000000" w:usb3="00000000" w:csb0="400001BF" w:csb1="DFF70000"/>
  </w:font>
  <w:font w:name="仿宋">
    <w:altName w:val="仿宋_GB2312"/>
    <w:panose1 w:val="02010609060101010101"/>
    <w:charset w:val="86"/>
    <w:family w:val="auto"/>
    <w:pitch w:val="variable"/>
    <w:sig w:usb0="800002BF" w:usb1="38CF7CFA" w:usb2="00000016" w:usb3="00000000" w:csb0="00040001" w:csb1="00000000"/>
  </w:font>
  <w:font w:name="Symbol">
    <w:panose1 w:val="05050102010706020507"/>
    <w:charset w:val="02"/>
    <w:family w:val="roman"/>
    <w:pitch w:val="variable"/>
    <w:sig w:usb0="00000000" w:usb1="00000000" w:usb2="00000000" w:usb3="00000000" w:csb0="80000000" w:csb1="00000000"/>
  </w:font>
  <w:font w:name="Courier New">
    <w:altName w:val="DejaVu Sans"/>
    <w:panose1 w:val="02070309020205020404"/>
    <w:charset w:val="01"/>
    <w:family w:val="modern"/>
    <w:pitch w:val="variable"/>
    <w:sig w:usb0="E0002AFF" w:usb1="C0007843" w:usb2="00000009" w:usb3="00000000" w:csb0="400001FF" w:csb1="FFFF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pPr>
    <w:r>
      <w:rPr>
        <w:sz w:val="18"/>
      </w:rPr>
      <mc:AlternateContent>
        <mc:Choice Requires="wps">
          <w:drawing>
            <wp:anchor distT="0" distB="0" distL="114298" distR="114298" simplePos="0" relativeHeight="19" behindDoc="0" locked="0" layoutInCell="1" hidden="0" allowOverlap="1">
              <wp:simplePos x="0" y="0"/>
              <wp:positionH relativeFrom="margin">
                <wp:align>center</wp:align>
              </wp:positionH>
              <wp:positionV relativeFrom="paragraph">
                <wp:posOffset>0</wp:posOffset>
              </wp:positionV>
              <wp:extent cx="114300" cy="170205"/>
              <wp:effectExtent l="0" t="0" r="0" b="0"/>
              <wp:wrapNone/>
              <wp:docPr id="1" name="文本框 1"/>
              <wp:cNvGraphicFramePr>
                <a:graphicFrameLocks noChangeAspect="0"/>
              </wp:cNvGraphicFramePr>
              <a:graphic>
                <a:graphicData uri="http://schemas.microsoft.com/office/word/2010/wordprocessingShape">
                  <wps:wsp>
                    <wps:cNvSpPr/>
                    <wps:spPr>
                      <a:xfrm rot="0">
                        <a:off x="0" y="0"/>
                        <a:ext cx="114300" cy="170205"/>
                      </a:xfrm>
                      <a:prstGeom prst="rect"/>
                      <a:noFill/>
                      <a:ln w="6350" cmpd="sng" cap="flat">
                        <a:noFill/>
                        <a:prstDash val="solid"/>
                        <a:round/>
                      </a:ln>
                    </wps:spPr>
                    <wps:txbx id="2">
                      <w:txbxContent>
                        <w:p>
                          <w:pPr>
                            <w:pStyle w:val="15"/>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4.499977pt;margin-top:0.0pt;width:9.0pt;height:13.402018pt;z-index:19;mso-position-horizontal:center;mso-position-horizontal-relative:margin;mso-position-vertical:absolute;mso-wrap-distance-left:8.999863pt;mso-wrap-distance-right:8.999863pt;mso-wrap-style:none;">
              <v:stroke color="#000000"/>
              <v:textbox id="851" inset="0mm,0mm,0mm,0mm" o:insetmode="custom" style="layout-flow:horizontal;v-text-anchor:top;mso-fit-shape-to-text:t;">
                <w:txbxContent>
                  <w:p>
                    <w:pPr>
                      <w:pStyle w:val="15"/>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D287F657"/>
    <w:multiLevelType w:val="multilevel"/>
    <w:tmpl w:val="D287F657"/>
    <w:lvl w:ilvl="0">
      <w:start w:val="1"/>
      <w:numFmt w:val="bullet"/>
      <w:lvlRestart w:val="0"/>
      <w:lvlText w:val=""/>
      <w:lvlJc w:val="left"/>
      <w:pPr>
        <w:tabs>
          <w:tab w:val="num" w:pos="0"/>
        </w:tabs>
        <w:ind w:left="720" w:hanging="360"/>
      </w:pPr>
      <w:rPr>
        <w:rFonts w:ascii="Symbol" w:hAnsi="Symbol" w:cs="Symbol"/>
        <w:sz w:val="20"/>
      </w:rPr>
    </w:lvl>
    <w:lvl w:ilvl="1">
      <w:start w:val="1"/>
      <w:numFmt w:val="bullet"/>
      <w:lvlText w:val="o"/>
      <w:lvlJc w:val="left"/>
      <w:pPr>
        <w:tabs>
          <w:tab w:val="num" w:pos="0"/>
        </w:tabs>
        <w:ind w:left="1440" w:hanging="360"/>
      </w:pPr>
      <w:rPr>
        <w:rFonts w:ascii="Courier New" w:hAnsi="Courier New" w:cs="Courier New"/>
        <w:sz w:val="20"/>
      </w:rPr>
    </w:lvl>
    <w:lvl w:ilvl="2">
      <w:start w:val="1"/>
      <w:numFmt w:val="bullet"/>
      <w:lvlText w:val=""/>
      <w:lvlJc w:val="left"/>
      <w:pPr>
        <w:tabs>
          <w:tab w:val="num" w:pos="0"/>
        </w:tabs>
        <w:ind w:left="2160" w:hanging="360"/>
      </w:pPr>
      <w:rPr>
        <w:rFonts w:ascii="Wingdings" w:hAnsi="Wingdings" w:cs="Wingdings"/>
        <w:sz w:val="20"/>
      </w:rPr>
    </w:lvl>
    <w:lvl w:ilvl="3">
      <w:start w:val="1"/>
      <w:numFmt w:val="bullet"/>
      <w:lvlText w:val=""/>
      <w:lvlJc w:val="left"/>
      <w:pPr>
        <w:tabs>
          <w:tab w:val="num" w:pos="0"/>
        </w:tabs>
        <w:ind w:left="2880" w:hanging="360"/>
      </w:pPr>
      <w:rPr>
        <w:rFonts w:ascii="Wingdings" w:hAnsi="Wingdings" w:cs="Wingdings" w:hint="default"/>
        <w:sz w:val="20"/>
      </w:rPr>
    </w:lvl>
    <w:lvl w:ilvl="4">
      <w:start w:val="1"/>
      <w:numFmt w:val="bullet"/>
      <w:lvlText w:val=""/>
      <w:lvlJc w:val="left"/>
      <w:pPr>
        <w:tabs>
          <w:tab w:val="num" w:pos="0"/>
        </w:tabs>
        <w:ind w:left="3600" w:hanging="360"/>
      </w:pPr>
      <w:rPr>
        <w:rFonts w:ascii="Wingdings" w:hAnsi="Wingdings" w:cs="Wingdings" w:hint="default"/>
        <w:sz w:val="20"/>
      </w:rPr>
    </w:lvl>
    <w:lvl w:ilvl="5">
      <w:start w:val="1"/>
      <w:numFmt w:val="bullet"/>
      <w:lvlText w:val=""/>
      <w:lvlJc w:val="left"/>
      <w:pPr>
        <w:tabs>
          <w:tab w:val="num" w:pos="0"/>
        </w:tabs>
        <w:ind w:left="4320" w:hanging="360"/>
      </w:pPr>
      <w:rPr>
        <w:rFonts w:ascii="Wingdings" w:hAnsi="Wingdings" w:cs="Wingdings" w:hint="default"/>
        <w:sz w:val="20"/>
      </w:rPr>
    </w:lvl>
    <w:lvl w:ilvl="6">
      <w:start w:val="1"/>
      <w:numFmt w:val="bullet"/>
      <w:lvlText w:val=""/>
      <w:lvlJc w:val="left"/>
      <w:pPr>
        <w:tabs>
          <w:tab w:val="num" w:pos="0"/>
        </w:tabs>
        <w:ind w:left="5040" w:hanging="360"/>
      </w:pPr>
      <w:rPr>
        <w:rFonts w:ascii="Wingdings" w:hAnsi="Wingdings" w:cs="Wingdings" w:hint="default"/>
        <w:sz w:val="20"/>
      </w:rPr>
    </w:lvl>
    <w:lvl w:ilvl="7">
      <w:start w:val="1"/>
      <w:numFmt w:val="bullet"/>
      <w:lvlText w:val=""/>
      <w:lvlJc w:val="left"/>
      <w:pPr>
        <w:tabs>
          <w:tab w:val="num" w:pos="0"/>
        </w:tabs>
        <w:ind w:left="5760" w:hanging="360"/>
      </w:pPr>
      <w:rPr>
        <w:rFonts w:ascii="Wingdings" w:hAnsi="Wingdings" w:cs="Wingdings" w:hint="default"/>
        <w:sz w:val="20"/>
      </w:rPr>
    </w:lvl>
    <w:lvl w:ilvl="8">
      <w:start w:val="1"/>
      <w:numFmt w:val="bullet"/>
      <w:lvlText w:val=""/>
      <w:lvlJc w:val="left"/>
      <w:pPr>
        <w:tabs>
          <w:tab w:val="num" w:pos="0"/>
        </w:tabs>
        <w:ind w:left="6480" w:hanging="360"/>
      </w:pPr>
      <w:rPr>
        <w:rFonts w:ascii="Wingdings" w:hAnsi="Wingdings" w:cs="Wingdings" w:hint="default"/>
        <w:sz w:val="20"/>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zYwMDE5OWM3NDVmZmIwNWYxOWQwNGM1NmI5MGM3Y2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jc w:val="left"/>
    </w:pPr>
    <w:rPr>
      <w:rFonts w:ascii="宋体" w:eastAsia="宋体" w:cs="宋体"/>
      <w:kern w:val="0"/>
      <w:sz w:val="24"/>
      <w:szCs w:val="24"/>
      <w:lang w:val="en-US" w:eastAsia="zh-CN"/>
    </w:rPr>
  </w:style>
  <w:style w:type="paragraph" w:styleId="1">
    <w:name w:val="heading 1"/>
    <w:basedOn w:val="0"/>
    <w:next w:val="0"/>
    <w:pPr>
      <w:spacing w:before="0" w:beforeAutospacing="1" w:after="0" w:afterAutospacing="1"/>
      <w:jc w:val="left"/>
      <w:outlineLvl w:val="0"/>
    </w:pPr>
    <w:rPr>
      <w:rFonts w:ascii="宋体" w:eastAsia="宋体" w:cs="宋体"/>
      <w:b/>
      <w:bCs/>
      <w:kern w:val="44"/>
      <w:sz w:val="48"/>
      <w:szCs w:val="48"/>
      <w:lang w:val="en-US" w:eastAsia="zh-CN"/>
    </w:rPr>
  </w:style>
  <w:style w:type="paragraph" w:styleId="2">
    <w:name w:val="heading 2"/>
    <w:basedOn w:val="0"/>
    <w:next w:val="0"/>
    <w:pPr>
      <w:spacing w:before="0" w:beforeAutospacing="1" w:after="0" w:afterAutospacing="1"/>
      <w:jc w:val="left"/>
      <w:outlineLvl w:val="1"/>
    </w:pPr>
    <w:rPr>
      <w:rFonts w:ascii="宋体" w:eastAsia="宋体" w:cs="宋体"/>
      <w:b/>
      <w:bCs/>
      <w:kern w:val="0"/>
      <w:sz w:val="36"/>
      <w:szCs w:val="36"/>
      <w:lang w:val="en-US" w:eastAsia="zh-CN"/>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7">
    <w:name w:val="toc 1"/>
    <w:basedOn w:val="0"/>
    <w:next w:val="0"/>
  </w:style>
  <w:style w:type="paragraph" w:styleId="18">
    <w:name w:val="toc 2"/>
    <w:basedOn w:val="0"/>
    <w:next w:val="0"/>
    <w:pPr>
      <w:ind w:leftChars="200" w:left="200"/>
    </w:pPr>
  </w:style>
  <w:style w:type="paragraph" w:styleId="19">
    <w:name w:val="Normal (Web)"/>
    <w:basedOn w:val="0"/>
    <w:pPr>
      <w:spacing w:before="0" w:beforeAutospacing="1" w:after="0" w:afterAutospacing="1"/>
      <w:ind w:left="0" w:right="0"/>
      <w:jc w:val="left"/>
    </w:pPr>
    <w:rPr>
      <w:kern w:val="0"/>
      <w:sz w:val="24"/>
      <w:lang w:val="en-US" w:eastAsia="zh-CN"/>
    </w:rPr>
  </w:style>
  <w:style w:type="character" w:styleId="20">
    <w:name w:val="Strong"/>
    <w:basedOn w:val="10"/>
    <w:rPr>
      <w:b/>
    </w:rPr>
  </w:style>
  <w:style w:type="paragraph" w:customStyle="1" w:styleId="21">
    <w:name w:val="WPSOffice手动目录 1"/>
    <w:rPr>
      <w:rFonts w:ascii="Calibri" w:eastAsia="宋体" w:cs="Arial" w:hAnsi="Calibri"/>
      <w:sz w:val="20"/>
      <w:szCs w:val="20"/>
    </w:rPr>
  </w:style>
  <w:style w:type="paragraph" w:customStyle="1" w:styleId="22">
    <w:name w:val="WPSOffice手动目录 2"/>
    <w:pPr>
      <w:ind w:leftChars="200" w:left="200"/>
    </w:pPr>
    <w:rPr>
      <w:rFonts w:ascii="Calibri" w:eastAsia="宋体" w:cs="Arial" w:hAnsi="Calibri"/>
      <w:sz w:val="20"/>
      <w:szCs w:val="20"/>
    </w:rPr>
  </w:style>
  <w:style w:type="paragraph" w:customStyle="1" w:styleId="23">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chart" Target="charts/chart3.xml"/><Relationship Id="rId6" Type="http://schemas.openxmlformats.org/officeDocument/2006/relationships/styles" Target="styl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sz="1400" b="1" i="0" u="none" strike="noStrike" baseline="0">
                <a:solidFill>
                  <a:srgbClr val="404040"/>
                </a:solidFill>
                <a:latin typeface="AR PL UKai CN"/>
                <a:ea typeface="AR PL UKai CN"/>
                <a:cs typeface="Lucida Sans"/>
              </a:rPr>
              <a:t>2020</a:t>
            </a:r>
            <a:r>
              <a:rPr lang="zh-CN" sz="1400" b="1" i="0" u="none" strike="noStrike" baseline="0">
                <a:solidFill>
                  <a:srgbClr val="404040"/>
                </a:solidFill>
                <a:latin typeface="AR PL UKai CN"/>
                <a:ea typeface="AR PL UKai CN"/>
                <a:cs typeface="Lucida Sans"/>
              </a:rPr>
              <a:t>年与</a:t>
            </a:r>
            <a:r>
              <a:rPr lang="zh-CN" sz="1400" b="1" i="0" u="none" strike="noStrike" baseline="0">
                <a:solidFill>
                  <a:srgbClr val="404040"/>
                </a:solidFill>
                <a:latin typeface="AR PL UKai CN"/>
                <a:ea typeface="AR PL UKai CN"/>
                <a:cs typeface="Lucida Sans"/>
              </a:rPr>
              <a:t>2021</a:t>
            </a:r>
            <a:r>
              <a:rPr lang="zh-CN" sz="1400" b="1" i="0" u="none" strike="noStrike" baseline="0">
                <a:solidFill>
                  <a:srgbClr val="404040"/>
                </a:solidFill>
                <a:latin typeface="AR PL UKai CN"/>
                <a:ea typeface="AR PL UKai CN"/>
                <a:cs typeface="Lucida Sans"/>
              </a:rPr>
              <a:t>年收支对比图</a:t>
            </a:r>
            <a:r>
              <a:rPr lang="zh-CN" sz="1400" b="1" i="0" u="none" strike="noStrike" baseline="0">
                <a:solidFill>
                  <a:srgbClr val="404040"/>
                </a:solidFill>
                <a:latin typeface="AR PL UKai CN"/>
                <a:ea typeface="AR PL UKai CN"/>
                <a:cs typeface="Lucida Sans"/>
              </a:rPr>
              <a:t>（单位：万元）</a:t>
            </a:r>
          </a:p>
        </c:rich>
      </c:tx>
      <c:layout/>
      <c:overlay val="0"/>
      <c:spPr>
        <a:noFill/>
        <a:ln>
          <a:noFill/>
        </a:ln>
      </c:spPr>
    </c:title>
    <c:autoTitleDeleted val="1"/>
    <c:plotArea>
      <c:layout>
        <c:manualLayout>
          <c:layoutTarget val="inner"/>
          <c:xMode val="edge"/>
          <c:yMode val="edge"/>
          <c:x val="0.045898903"/>
          <c:y val="0.2342017"/>
          <c:w val="0.9475441"/>
          <c:h val="0.56110394"/>
        </c:manualLayout>
      </c:layout>
      <c:barChart>
        <c:barDir val="col"/>
        <c:grouping val="clustered"/>
        <c:varyColors val="0"/>
        <c:ser>
          <c:idx val="0"/>
          <c:order val="0"/>
          <c:tx>
            <c:strRef>
              <c:f>'Sheet1'!$B$1</c:f>
              <c:strCache>
                <c:ptCount val="1"/>
                <c:pt idx="0">
                  <c:v>2020</c:v>
                </c:pt>
              </c:strCache>
            </c:strRef>
          </c:tx>
          <c:spPr>
            <a:solidFill>
              <a:srgbClr val="5B9BD5">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收入</c:v>
                </c:pt>
                <c:pt idx="1">
                  <c:v>支出</c:v>
                </c:pt>
              </c:strCache>
            </c:strRef>
          </c:cat>
          <c:val>
            <c:numRef>
              <c:f>'Sheet1'!$B$2:$B$3</c:f>
              <c:numCache>
                <c:formatCode>General</c:formatCode>
                <c:ptCount val="2"/>
                <c:pt idx="0">
                  <c:v>181.82</c:v>
                </c:pt>
                <c:pt idx="1">
                  <c:v>278.07</c:v>
                </c:pt>
              </c:numCache>
            </c:numRef>
          </c:val>
        </c:ser>
        <c:ser>
          <c:idx val="1"/>
          <c:order val="1"/>
          <c:tx>
            <c:strRef>
              <c:f>'Sheet1'!$C$1</c:f>
              <c:strCache>
                <c:ptCount val="1"/>
                <c:pt idx="0">
                  <c:v>2021</c:v>
                </c:pt>
              </c:strCache>
            </c:strRef>
          </c:tx>
          <c:spPr>
            <a:solidFill>
              <a:srgbClr val="ED7D31">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收入</c:v>
                </c:pt>
                <c:pt idx="1">
                  <c:v>支出</c:v>
                </c:pt>
              </c:strCache>
            </c:strRef>
          </c:cat>
          <c:val>
            <c:numRef>
              <c:f>'Sheet1'!$C$2:$C$3</c:f>
              <c:numCache>
                <c:formatCode>General</c:formatCode>
                <c:ptCount val="2"/>
                <c:pt idx="0">
                  <c:v>195.52</c:v>
                </c:pt>
                <c:pt idx="1">
                  <c:v>195.52</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868686"/>
              </a:solidFill>
              <a:prstDash val="solid"/>
            </a:ln>
          </c:spPr>
        </c:majorGridlines>
        <c:numFmt formatCode="General" sourceLinked="1"/>
        <c:majorTickMark val="none"/>
        <c:minorTickMark val="none"/>
        <c:tickLblPos val="nextTo"/>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sz="1400" b="1" i="0" u="none" strike="noStrike" cap="all" baseline="0">
                <a:solidFill>
                  <a:srgbClr val="595959"/>
                </a:solidFill>
                <a:latin typeface="AR PL UKai CN"/>
                <a:ea typeface="AR PL UKai CN"/>
                <a:cs typeface="Lucida Sans"/>
              </a:rPr>
              <a:t>2021</a:t>
            </a:r>
            <a:r>
              <a:rPr lang="zh-CN" sz="1400" b="1" i="0" u="none" strike="noStrike" cap="all" baseline="0">
                <a:solidFill>
                  <a:srgbClr val="595959"/>
                </a:solidFill>
                <a:latin typeface="AR PL UKai CN"/>
                <a:ea typeface="AR PL UKai CN"/>
                <a:cs typeface="Lucida Sans"/>
              </a:rPr>
              <a:t>支出决算结构图</a:t>
            </a:r>
          </a:p>
        </c:rich>
      </c:tx>
      <c:layout/>
      <c:overlay val="0"/>
      <c:spPr>
        <a:noFill/>
        <a:ln>
          <a:noFill/>
        </a:ln>
      </c:spPr>
    </c:title>
    <c:autoTitleDeleted val="1"/>
    <c:plotArea>
      <c:layout/>
      <c:pieChart>
        <c:varyColors val="1"/>
        <c:ser>
          <c:idx val="0"/>
          <c:order val="0"/>
          <c:tx>
            <c:strRef>
              <c:f>'Sheet1 (2)'!$B$1</c:f>
              <c:strCache>
                <c:ptCount val="1"/>
                <c:pt idx="0">
                  <c:v>2021支出决算结构图</c:v>
                </c:pt>
              </c:strCache>
            </c:strRef>
          </c:tx>
          <c:spPr>
            <a:ln>
              <a:noFill/>
            </a:ln>
          </c:spPr>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Pt>
            <c:idx val="3"/>
            <c:bubble3D val="0"/>
            <c:spPr>
              <a:solidFill>
                <a:srgbClr val="FFC000"/>
              </a:solidFill>
              <a:ln>
                <a:noFill/>
              </a:ln>
            </c:spPr>
          </c:dPt>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(2)'!$A$2:$A$5</c:f>
              <c:strCache>
                <c:ptCount val="4"/>
                <c:pt idx="0">
                  <c:v>社会保障和就业支出</c:v>
                </c:pt>
                <c:pt idx="1">
                  <c:v>医疗卫生支出</c:v>
                </c:pt>
                <c:pt idx="2">
                  <c:v>住房保障支出</c:v>
                </c:pt>
                <c:pt idx="3">
                  <c:v>机关服务支出</c:v>
                </c:pt>
              </c:strCache>
            </c:strRef>
          </c:cat>
          <c:val>
            <c:numRef>
              <c:f>'Sheet1 (2)'!$B$2:$B$5</c:f>
              <c:numCache>
                <c:formatCode>General</c:formatCode>
                <c:ptCount val="4"/>
                <c:pt idx="0">
                  <c:v>26.24</c:v>
                </c:pt>
                <c:pt idx="1">
                  <c:v>9.2</c:v>
                </c:pt>
                <c:pt idx="2">
                  <c:v>15.86</c:v>
                </c:pt>
                <c:pt idx="3">
                  <c:v>144.04</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cap="all" baseline="0">
                <a:solidFill>
                  <a:srgbClr val="595959"/>
                </a:solidFill>
                <a:latin typeface="AR PL UKai CN"/>
                <a:ea typeface="AR PL UKai CN"/>
                <a:cs typeface="Lucida Sans"/>
              </a:defRPr>
            </a:pPr>
            <a:r>
              <a:rPr lang="zh-CN"/>
              <a:t>三公经费对比图</a:t>
            </a:r>
          </a:p>
        </c:rich>
      </c:tx>
      <c:layout/>
      <c:overlay val="0"/>
      <c:spPr>
        <a:noFill/>
        <a:ln>
          <a:noFill/>
        </a:ln>
      </c:spPr>
    </c:title>
    <c:autoTitleDeleted val="0"/>
    <c:plotArea>
      <c:layout/>
      <c:pieChart>
        <c:varyColors val="1"/>
        <c:ser>
          <c:idx val="0"/>
          <c:order val="0"/>
          <c:tx>
            <c:strRef>
              <c:f>'Sheet1 (3)'!$B$1</c:f>
              <c:strCache>
                <c:ptCount val="1"/>
                <c:pt idx="0">
                  <c:v>三公经费对比图</c:v>
                </c:pt>
              </c:strCache>
            </c:strRef>
          </c:tx>
          <c:spPr>
            <a:ln>
              <a:noFill/>
            </a:ln>
          </c:spPr>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(3)'!$A$2:$A$4</c:f>
              <c:strCache>
                <c:ptCount val="3"/>
                <c:pt idx="0">
                  <c:v>因公出国（境）经费</c:v>
                </c:pt>
                <c:pt idx="1">
                  <c:v>公务用车购置及运行维护费</c:v>
                </c:pt>
                <c:pt idx="2">
                  <c:v>公务接待费</c:v>
                </c:pt>
              </c:strCache>
            </c:strRef>
          </c:cat>
          <c:val>
            <c:numRef>
              <c:f>'Sheet1 (3)'!$B$2:$B$4</c:f>
              <c:numCache>
                <c:formatCode>General</c:formatCode>
                <c:ptCount val="3"/>
                <c:pt idx="0">
                  <c:v>0.0</c:v>
                </c:pt>
                <c:pt idx="1">
                  <c:v>2.37</c:v>
                </c:pt>
                <c:pt idx="2">
                  <c:v>0.0</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glossary/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word/glossary/document.xml><?xml version="1.0" encoding="utf-8"?>
<w:glossary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docParts>
    <w:docPart>
      <w:docPartPr>
        <w:name w:val="DCA58F01A7F347C0B9EDDE41C4DF58C5"/>
        <w:category>
          <w:name w:val="常规"/>
          <w:gallery w:val="placeholder"/>
        </w:category>
        <w:types>
          <w:type w:val="bbPlcHdr"/>
        </w:types>
        <w:behaviors>
          <w:behavior w:val="content"/>
        </w:behaviors>
        <w:guid w:val="{E42BBCFF-A115-42B2-B044-8A3225AC2F22}"/>
      </w:docPartPr>
      <w:docPartBody>
        <w:p>
          <w:r>
            <w:rPr>
              <w:rStyle w:val="a3"/>
              <w:rFonts w:hint="eastAsia"/>
            </w:rPr>
            <w:t>单击此处输入文字。</w:t>
          </w:r>
        </w:p>
      </w:docPartBody>
    </w:docPart>
  </w:docParts>
</w:glossaryDocument>
</file>

<file path=word/glossary/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00000A87" w:usb1="00000000" w:usb2="00000000" w:usb3="00000000" w:csb0="400001BF" w:csb1="DFF70000"/>
  </w:font>
  <w:font w:name="宋体">
    <w:altName w:val="方正书宋_GBK"/>
    <w:panose1 w:val="02010600030101010101"/>
    <w:charset w:val="86"/>
    <w:family w:val="auto"/>
    <w:pitch w:val="variable"/>
    <w:sig w:usb0="00000003" w:usb1="288F0000" w:usb2="00000006" w:usb3="00000000" w:csb0="00040001" w:csb1="00000000"/>
  </w:font>
</w:fonts>
</file>

<file path=word/glossary/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settings>
</file>

<file path=word/glossary/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jc w:val="left"/>
    </w:pPr>
    <w:rPr>
      <w:rFonts w:ascii="宋体" w:eastAsia="宋体" w:cs="宋体"/>
      <w:kern w:val="0"/>
      <w:sz w:val="24"/>
      <w:szCs w:val="24"/>
      <w:lang w:val="en-US" w:eastAsia="zh-CN"/>
    </w:rPr>
  </w:style>
  <w:style w:type="character" w:default="1" w:styleId="10">
    <w:name w:val="Default Paragraph Font"/>
  </w:style>
  <w:style w:type="character" w:styleId="a3">
    <w:name w:val="Placeholder Text"/>
    <w:basedOn w:val="10"/>
    <w:rPr>
      <w:color w:val="808080"/>
    </w:rPr>
  </w:style>
</w:styles>
</file>

<file path=docProps/app.xml><?xml version="1.0" encoding="utf-8"?>
<Properties xmlns="http://schemas.openxmlformats.org/officeDocument/2006/extended-properties">
  <Template>Normal.eit</Template>
  <TotalTime>7</TotalTime>
  <Application>Yozo_Office27021597764231179</Application>
  <Pages>25</Pages>
  <Words>8511</Words>
  <Characters>9181</Characters>
  <Lines>629</Lines>
  <Paragraphs>358</Paragraphs>
  <CharactersWithSpaces>9438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cp:revision>
  <dcterms:created xsi:type="dcterms:W3CDTF">2023-09-21T00:59:00Z</dcterms:created>
  <dcterms:modified xsi:type="dcterms:W3CDTF">2023-09-21T02:18:36Z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2052-11.1.0.9021</vt:lpwstr>
  </property>
  <property fmtid="{D5CDD505-2E9C-101B-9397-08002B2CF9AE}" pid="3" name="ICV">
    <vt:lpwstr>60CDB05B36E74CEABCA8A6583BB5BC0D</vt:lpwstr>
  </property>
</Properties>
</file>