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12000" w:type="dxa"/>
        <w:jc w:val="center"/>
        <w:tblCellSpacing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jc w:val="center"/>
        </w:trPr>
        <w:tc>
          <w:tcPr>
            <w:tcW w:w="12000" w:type="dxa"/>
            <w:shd w:val="clear" w:color="auto" w:fill="FFFFFF"/>
          </w:tcPr>
          <w:tbl>
            <w:tblPr>
              <w:tblStyle w:val="5"/>
              <w:tblW w:w="12000" w:type="dxa"/>
              <w:tblCellSpacing w:w="0" w:type="dxa"/>
              <w:tblInd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trPr>
              <w:tc>
                <w:tcPr>
                  <w:tcW w:w="12000" w:type="dxa"/>
                </w:tcPr>
                <w:tbl>
                  <w:tblPr>
                    <w:tblStyle w:val="5"/>
                    <w:tblW w:w="12000" w:type="dxa"/>
                    <w:tblCellSpacing w:w="0" w:type="dxa"/>
                    <w:tblInd w:w="0" w:type="dxa"/>
                    <w:tblLayout w:type="fixed"/>
                    <w:tblCellMar>
                      <w:top w:w="0" w:type="dxa"/>
                      <w:left w:w="0" w:type="dxa"/>
                      <w:bottom w:w="0" w:type="dxa"/>
                      <w:right w:w="0" w:type="dxa"/>
                    </w:tblCellMar>
                  </w:tblPr>
                  <w:tblGrid>
                    <w:gridCol w:w="10650"/>
                    <w:gridCol w:w="1350"/>
                  </w:tblGrid>
                  <w:tr>
                    <w:tblPrEx>
                      <w:tblCellMar>
                        <w:top w:w="0" w:type="dxa"/>
                        <w:left w:w="0" w:type="dxa"/>
                        <w:bottom w:w="0" w:type="dxa"/>
                        <w:right w:w="0" w:type="dxa"/>
                      </w:tblCellMar>
                    </w:tblPrEx>
                    <w:trPr>
                      <w:tblCellSpacing w:w="0" w:type="dxa"/>
                    </w:trPr>
                    <w:tc>
                      <w:tcPr>
                        <w:tcW w:w="10650" w:type="dxa"/>
                        <w:tcMar>
                          <w:top w:w="0" w:type="dxa"/>
                          <w:left w:w="30" w:type="dxa"/>
                          <w:bottom w:w="30" w:type="dxa"/>
                          <w:right w:w="30" w:type="dxa"/>
                        </w:tcMar>
                      </w:tcPr>
                      <w:tbl>
                        <w:tblPr>
                          <w:tblStyle w:val="5"/>
                          <w:tblW w:w="10590" w:type="dxa"/>
                          <w:tblCellSpacing w:w="0" w:type="dxa"/>
                          <w:tblInd w:w="0" w:type="dxa"/>
                          <w:tblLayout w:type="fixed"/>
                          <w:tblCellMar>
                            <w:top w:w="0" w:type="dxa"/>
                            <w:left w:w="0" w:type="dxa"/>
                            <w:bottom w:w="0" w:type="dxa"/>
                            <w:right w:w="0" w:type="dxa"/>
                          </w:tblCellMar>
                        </w:tblPr>
                        <w:tblGrid>
                          <w:gridCol w:w="10590"/>
                        </w:tblGrid>
                        <w:tr>
                          <w:tblPrEx>
                            <w:tblCellMar>
                              <w:top w:w="0" w:type="dxa"/>
                              <w:left w:w="0" w:type="dxa"/>
                              <w:bottom w:w="0" w:type="dxa"/>
                              <w:right w:w="0" w:type="dxa"/>
                            </w:tblCellMar>
                          </w:tblPrEx>
                          <w:trPr>
                            <w:tblCellSpacing w:w="0" w:type="dxa"/>
                          </w:trPr>
                          <w:tc>
                            <w:tcPr>
                              <w:tcW w:w="10590" w:type="dxa"/>
                              <w:shd w:val="clear" w:color="auto" w:fill="FFFFFF"/>
                            </w:tcPr>
                            <w:tbl>
                              <w:tblPr>
                                <w:tblStyle w:val="5"/>
                                <w:tblW w:w="8775" w:type="dxa"/>
                                <w:jc w:val="center"/>
                                <w:tblCellSpacing w:w="0" w:type="dxa"/>
                                <w:tblLayout w:type="fixed"/>
                                <w:tblCellMar>
                                  <w:top w:w="0" w:type="dxa"/>
                                  <w:left w:w="0" w:type="dxa"/>
                                  <w:bottom w:w="0" w:type="dxa"/>
                                  <w:right w:w="0" w:type="dxa"/>
                                </w:tblCellMar>
                              </w:tblPr>
                              <w:tblGrid>
                                <w:gridCol w:w="8775"/>
                              </w:tblGrid>
                              <w:tr>
                                <w:tblPrEx>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ind w:firstLine="720" w:firstLineChars="200"/>
                                      <w:rPr>
                                        <w:rFonts w:ascii="楷体_GB2312" w:hAnsi="楷体_GB2312" w:eastAsia="楷体_GB2312" w:cs="楷体_GB2312"/>
                                        <w:sz w:val="32"/>
                                        <w:szCs w:val="32"/>
                                      </w:rPr>
                                    </w:pPr>
                                    <w:r>
                                      <w:rPr>
                                        <w:rFonts w:hint="eastAsia" w:ascii="方正小标宋简体" w:hAnsi="宋体" w:eastAsia="方正小标宋简体" w:cs="宋体"/>
                                        <w:color w:val="0066CC"/>
                                        <w:kern w:val="0"/>
                                        <w:sz w:val="36"/>
                                        <w:szCs w:val="36"/>
                                      </w:rPr>
                                      <w:t>金川县观音桥景区</w:t>
                                    </w:r>
                                    <w:r>
                                      <w:rPr>
                                        <w:rFonts w:hint="default" w:ascii="方正小标宋简体" w:hAnsi="宋体" w:cs="宋体"/>
                                        <w:color w:val="0066CC"/>
                                        <w:kern w:val="0"/>
                                        <w:sz w:val="36"/>
                                        <w:szCs w:val="36"/>
                                        <w:lang w:val="en-US"/>
                                      </w:rPr>
                                      <w:t>工作中心</w:t>
                                    </w:r>
                                    <w:r>
                                      <w:rPr>
                                        <w:rFonts w:hint="eastAsia" w:ascii="方正小标宋简体" w:hAnsi="宋体" w:eastAsia="方正小标宋简体" w:cs="宋体"/>
                                        <w:color w:val="0066CC"/>
                                        <w:kern w:val="0"/>
                                        <w:sz w:val="36"/>
                                        <w:szCs w:val="36"/>
                                        <w:lang w:val="en-US" w:eastAsia="zh-CN"/>
                                      </w:rPr>
                                      <w:t>2021</w:t>
                                    </w:r>
                                    <w:r>
                                      <w:rPr>
                                        <w:rFonts w:hint="eastAsia" w:ascii="方正小标宋简体" w:hAnsi="宋体" w:eastAsia="方正小标宋简体" w:cs="宋体"/>
                                        <w:color w:val="0066CC"/>
                                        <w:kern w:val="0"/>
                                        <w:sz w:val="36"/>
                                        <w:szCs w:val="36"/>
                                      </w:rPr>
                                      <w:t>年部门预算编制说明</w:t>
                                    </w:r>
                                    <w:r>
                                      <w:rPr>
                                        <w:rFonts w:ascii="方正小标宋简体" w:hAnsi="宋体" w:eastAsia="方正小标宋简体" w:cs="宋体"/>
                                        <w:color w:val="0066CC"/>
                                        <w:kern w:val="0"/>
                                        <w:sz w:val="36"/>
                                        <w:szCs w:val="36"/>
                                      </w:rPr>
                                      <w:br w:type="textWrapping"/>
                                    </w:r>
                                    <w:r>
                                      <w:rPr>
                                        <w:rFonts w:hint="eastAsia" w:ascii="黑体" w:hAnsi="宋体" w:eastAsia="黑体" w:cs="宋体"/>
                                        <w:color w:val="333333"/>
                                        <w:kern w:val="0"/>
                                        <w:sz w:val="28"/>
                                        <w:szCs w:val="28"/>
                                      </w:rPr>
                                      <w:t>　　</w:t>
                                    </w:r>
                                    <w:r>
                                      <w:rPr>
                                        <w:rFonts w:ascii="黑体" w:hAnsi="宋体" w:eastAsia="黑体" w:cs="宋体"/>
                                        <w:color w:val="333333"/>
                                        <w:kern w:val="0"/>
                                        <w:sz w:val="28"/>
                                        <w:szCs w:val="28"/>
                                      </w:rPr>
                                      <w:br w:type="textWrapping"/>
                                    </w:r>
                                    <w:r>
                                      <w:rPr>
                                        <w:rFonts w:hint="eastAsia" w:ascii="黑体" w:hAnsi="宋体" w:eastAsia="黑体" w:cs="宋体"/>
                                        <w:color w:val="333333"/>
                                        <w:kern w:val="0"/>
                                        <w:sz w:val="28"/>
                                        <w:szCs w:val="28"/>
                                      </w:rPr>
                                      <w:t>　　一、基本职能及主要工作</w:t>
                                    </w:r>
                                    <w:r>
                                      <w:rPr>
                                        <w:rFonts w:ascii="黑体" w:hAnsi="宋体" w:eastAsia="黑体" w:cs="宋体"/>
                                        <w:color w:val="333333"/>
                                        <w:kern w:val="0"/>
                                        <w:sz w:val="28"/>
                                        <w:szCs w:val="28"/>
                                      </w:rPr>
                                      <w:br w:type="textWrapping"/>
                                    </w:r>
                                    <w:r>
                                      <w:rPr>
                                        <w:rFonts w:hint="eastAsia" w:ascii="楷体_GB2312" w:hAnsi="宋体" w:eastAsia="楷体_GB2312" w:cs="宋体"/>
                                        <w:b/>
                                        <w:bCs/>
                                        <w:color w:val="333333"/>
                                        <w:kern w:val="0"/>
                                        <w:sz w:val="28"/>
                                      </w:rPr>
                                      <w:t>　　</w:t>
                                    </w:r>
                                    <w:r>
                                      <w:rPr>
                                        <w:rFonts w:hint="eastAsia" w:ascii="楷体_GB2312" w:hAnsi="楷体_GB2312" w:eastAsia="楷体_GB2312" w:cs="楷体_GB2312"/>
                                        <w:sz w:val="32"/>
                                        <w:szCs w:val="32"/>
                                      </w:rPr>
                                      <w:t>（一）主要职能</w:t>
                                    </w:r>
                                  </w:p>
                                  <w:p>
                                    <w:pPr>
                                      <w:pStyle w:val="4"/>
                                      <w:widowControl/>
                                      <w:shd w:val="clear" w:color="auto" w:fill="FFFFFF"/>
                                      <w:wordWrap w:val="0"/>
                                      <w:spacing w:beforeAutospacing="0" w:afterAutospacing="0"/>
                                      <w:ind w:firstLine="42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1.编制旅游规划。组织编制旅游发展规划、旅游景区、景点规划和旅游专项规划等旅游规划并监督实施；负责旅游业发展的组织协调和行业指导、监督管理工作。</w:t>
                                    </w:r>
                                  </w:p>
                                  <w:p>
                                    <w:pPr>
                                      <w:pStyle w:val="4"/>
                                      <w:widowControl/>
                                      <w:shd w:val="clear" w:color="auto" w:fill="FFFFFF"/>
                                      <w:wordWrap w:val="0"/>
                                      <w:spacing w:beforeAutospacing="0" w:afterAutospacing="0"/>
                                      <w:ind w:firstLine="42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2.实施旅游执法。负责贯彻执行旅游管理的法律、法规和规章，履行旅游行业行政管理职能；负责旅游服务质量执法监督和旅游投诉处理；参与旅游市场价格检查工作；负责旅游安全，参与重大旅游安全事故的救援与处理；指导旅游文化工作和旅游行业精神文明建设。</w:t>
                                    </w:r>
                                  </w:p>
                                  <w:p>
                                    <w:pPr>
                                      <w:pStyle w:val="4"/>
                                      <w:widowControl/>
                                      <w:shd w:val="clear" w:color="auto" w:fill="FFFFFF"/>
                                      <w:wordWrap w:val="0"/>
                                      <w:spacing w:beforeAutospacing="0" w:afterAutospacing="0"/>
                                      <w:ind w:firstLine="42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3.实施行业管理。拟制旅游发展产业政策并指导实施；组织实施国家标准和国家、省、市制定的行业标准；审核、申报经营旅游业务的旅行社</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rPr>
                                      <w:t>公司</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eastAsia="zh-CN"/>
                                      </w:rPr>
                                      <w:t>A级旅游景区</w:t>
                                    </w:r>
                                    <w:r>
                                      <w:rPr>
                                        <w:rFonts w:hint="eastAsia" w:ascii="仿宋_GB2312" w:hAnsi="仿宋_GB2312" w:eastAsia="仿宋_GB2312" w:cs="仿宋_GB2312"/>
                                        <w:kern w:val="2"/>
                                        <w:sz w:val="32"/>
                                        <w:szCs w:val="32"/>
                                      </w:rPr>
                                      <w:t>、星级宾馆、饭店等，负责</w:t>
                                    </w:r>
                                    <w:r>
                                      <w:rPr>
                                        <w:rFonts w:hint="eastAsia" w:ascii="仿宋_GB2312" w:hAnsi="仿宋_GB2312" w:eastAsia="仿宋_GB2312" w:cs="仿宋_GB2312"/>
                                        <w:kern w:val="2"/>
                                        <w:sz w:val="32"/>
                                        <w:szCs w:val="32"/>
                                        <w:lang w:eastAsia="zh-CN"/>
                                      </w:rPr>
                                      <w:t>日常</w:t>
                                    </w:r>
                                    <w:r>
                                      <w:rPr>
                                        <w:rFonts w:hint="eastAsia" w:ascii="仿宋_GB2312" w:hAnsi="仿宋_GB2312" w:eastAsia="仿宋_GB2312" w:cs="仿宋_GB2312"/>
                                        <w:kern w:val="2"/>
                                        <w:sz w:val="32"/>
                                        <w:szCs w:val="32"/>
                                      </w:rPr>
                                      <w:t>管理工作并协助评定和复核工作</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rPr>
                                      <w:t>培育和完善旅游市场；建立旅游资源信息库；组织、指导旅游商品的开发；指导直属企事业单位和旅游行业协会工作；组织、指导旅游统计工作。</w:t>
                                    </w:r>
                                  </w:p>
                                  <w:p>
                                    <w:pPr>
                                      <w:pStyle w:val="4"/>
                                      <w:widowControl/>
                                      <w:shd w:val="clear" w:color="auto" w:fill="FFFFFF"/>
                                      <w:wordWrap w:val="0"/>
                                      <w:spacing w:beforeAutospacing="0" w:afterAutospacing="0"/>
                                      <w:ind w:firstLine="42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4.组织市场开发。拟制国际、国内旅游市场开发战略；组织实施旅游主题形象策划，对内、对外宣传国内外旅游市场重大促销活动；管理旅游涉外事务和旅游对外交流与合作；负责规范旅游业市场开发，链接旅游线路，制定开发计划、措施及相关政策。</w:t>
                                    </w:r>
                                  </w:p>
                                  <w:p>
                                    <w:pPr>
                                      <w:pStyle w:val="4"/>
                                      <w:widowControl/>
                                      <w:shd w:val="clear" w:color="auto" w:fill="FFFFFF"/>
                                      <w:wordWrap w:val="0"/>
                                      <w:spacing w:beforeAutospacing="0" w:afterAutospacing="0"/>
                                      <w:ind w:firstLine="42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5.组织教育培训。指导旅游教育培训工作，组织实施旅游从业人员资格制度和等级制度。</w:t>
                                    </w:r>
                                  </w:p>
                                  <w:p>
                                    <w:pPr>
                                      <w:pStyle w:val="4"/>
                                      <w:widowControl/>
                                      <w:shd w:val="clear" w:color="auto" w:fill="FFFFFF"/>
                                      <w:wordWrap w:val="0"/>
                                      <w:spacing w:beforeAutospacing="0" w:afterAutospacing="0"/>
                                      <w:ind w:firstLine="42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6.履行相关</w:t>
                                    </w:r>
                                    <w:r>
                                      <w:fldChar w:fldCharType="begin"/>
                                    </w:r>
                                    <w:r>
                                      <w:instrText xml:space="preserve"> HYPERLINK "http://www.zhize8.com/" \t "http://www.zhize8.com/zhize/_blank" </w:instrText>
                                    </w:r>
                                    <w:r>
                                      <w:fldChar w:fldCharType="separate"/>
                                    </w:r>
                                    <w:r>
                                      <w:rPr>
                                        <w:rFonts w:hint="eastAsia" w:ascii="仿宋_GB2312" w:hAnsi="仿宋_GB2312" w:eastAsia="仿宋_GB2312" w:cs="仿宋_GB2312"/>
                                        <w:kern w:val="2"/>
                                        <w:sz w:val="32"/>
                                        <w:szCs w:val="32"/>
                                      </w:rPr>
                                      <w:t>职责</w:t>
                                    </w:r>
                                    <w:r>
                                      <w:rPr>
                                        <w:rFonts w:hint="eastAsia" w:ascii="仿宋_GB2312" w:hAnsi="仿宋_GB2312" w:eastAsia="仿宋_GB2312" w:cs="仿宋_GB2312"/>
                                        <w:kern w:val="2"/>
                                        <w:sz w:val="32"/>
                                        <w:szCs w:val="32"/>
                                      </w:rPr>
                                      <w:fldChar w:fldCharType="end"/>
                                    </w:r>
                                    <w:r>
                                      <w:rPr>
                                        <w:rFonts w:hint="eastAsia" w:ascii="仿宋_GB2312" w:hAnsi="仿宋_GB2312" w:eastAsia="仿宋_GB2312" w:cs="仿宋_GB2312"/>
                                        <w:kern w:val="2"/>
                                        <w:sz w:val="32"/>
                                        <w:szCs w:val="32"/>
                                      </w:rPr>
                                      <w:t>。受上级委托对旅游集团和直属旅游企业国有资产的保值增值进行监督管理，负责局机关党群工作，承办上级交办的其他事项。</w:t>
                                    </w:r>
                                  </w:p>
                                  <w:p>
                                    <w:pPr>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（二）</w:t>
                                    </w:r>
                                    <w:r>
                                      <w:rPr>
                                        <w:rFonts w:hint="eastAsia" w:ascii="楷体_GB2312" w:hAnsi="楷体_GB2312" w:eastAsia="楷体_GB2312" w:cs="楷体_GB2312"/>
                                        <w:sz w:val="32"/>
                                        <w:szCs w:val="32"/>
                                        <w:lang w:val="en-US" w:eastAsia="zh-CN"/>
                                      </w:rPr>
                                      <w:t>2021</w:t>
                                    </w:r>
                                    <w:r>
                                      <w:rPr>
                                        <w:rFonts w:hint="eastAsia" w:ascii="楷体_GB2312" w:hAnsi="楷体_GB2312" w:eastAsia="楷体_GB2312" w:cs="楷体_GB2312"/>
                                        <w:sz w:val="32"/>
                                        <w:szCs w:val="32"/>
                                      </w:rPr>
                                      <w:t>年主要工作安排情况</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深入开展机关效能建设活动，</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加强党建工作。</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加强精准脱贫工作。四是切实加强维稳工作。五是进一步加大农业产业结构调整力度，千方百计增加农牧民收入；继续关注民生，全力申报项目；培育壮大各村产业基地，争取更多的惠民政策提高农牧民生产生活水平；六是抓好了其他目标工作。</w:t>
                                    </w:r>
                                  </w:p>
                                  <w:p>
                                    <w:pPr>
                                      <w:widowControl/>
                                      <w:spacing w:line="480" w:lineRule="atLeast"/>
                                      <w:ind w:firstLine="60"/>
                                      <w:rPr>
                                        <w:rFonts w:ascii="仿宋_GB2312" w:hAnsi="仿宋_GB2312" w:eastAsia="仿宋_GB2312" w:cs="仿宋_GB2312"/>
                                        <w:sz w:val="32"/>
                                        <w:szCs w:val="32"/>
                                      </w:rPr>
                                    </w:pP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　二、部门预算单位构成</w:t>
                                    </w:r>
                                    <w:r>
                                      <w:rPr>
                                        <w:rFonts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 xml:space="preserve">  2021</w:t>
                                    </w:r>
                                    <w:r>
                                      <w:rPr>
                                        <w:rFonts w:hint="eastAsia" w:ascii="仿宋_GB2312" w:hAnsi="仿宋_GB2312" w:eastAsia="仿宋_GB2312" w:cs="仿宋_GB2312"/>
                                        <w:sz w:val="32"/>
                                        <w:szCs w:val="32"/>
                                      </w:rPr>
                                      <w:t>年独立编制单位机构数为</w:t>
                                    </w:r>
                                    <w:r>
                                      <w:rPr>
                                        <w:rFonts w:ascii="仿宋_GB2312" w:hAnsi="仿宋_GB2312" w:eastAsia="仿宋_GB2312" w:cs="仿宋_GB2312"/>
                                        <w:sz w:val="32"/>
                                        <w:szCs w:val="32"/>
                                      </w:rPr>
                                      <w:t xml:space="preserve"> 1</w:t>
                                    </w:r>
                                    <w:r>
                                      <w:rPr>
                                        <w:rFonts w:hint="eastAsia" w:ascii="仿宋_GB2312" w:hAnsi="仿宋_GB2312" w:eastAsia="仿宋_GB2312" w:cs="仿宋_GB2312"/>
                                        <w:sz w:val="32"/>
                                        <w:szCs w:val="32"/>
                                      </w:rPr>
                                      <w:t>个，财政供养人员编制为</w:t>
                                    </w:r>
                                    <w:r>
                                      <w:rPr>
                                        <w:rFonts w:ascii="仿宋_GB2312" w:hAnsi="仿宋_GB2312" w:eastAsia="仿宋_GB2312" w:cs="仿宋_GB2312"/>
                                        <w:sz w:val="32"/>
                                        <w:szCs w:val="32"/>
                                      </w:rPr>
                                      <w:t xml:space="preserve"> </w:t>
                                    </w:r>
                                    <w:r>
                                      <w:rPr>
                                        <w:rFonts w:ascii="仿宋_GB2312" w:hAnsi="仿宋_GB2312" w:eastAsia="仿宋_GB2312" w:cs="仿宋_GB2312"/>
                                        <w:sz w:val="32"/>
                                        <w:szCs w:val="32"/>
                                        <w:lang w:val="en-US"/>
                                      </w:rPr>
                                      <w:t>15</w:t>
                                    </w:r>
                                    <w:r>
                                      <w:rPr>
                                        <w:rFonts w:hint="eastAsia" w:ascii="仿宋_GB2312" w:hAnsi="仿宋_GB2312" w:eastAsia="仿宋_GB2312" w:cs="仿宋_GB2312"/>
                                        <w:sz w:val="32"/>
                                        <w:szCs w:val="32"/>
                                      </w:rPr>
                                      <w:t>名，事业编制</w:t>
                                    </w:r>
                                    <w:r>
                                      <w:rPr>
                                        <w:rFonts w:hint="default" w:ascii="仿宋_GB2312" w:hAnsi="仿宋_GB2312" w:eastAsia="仿宋_GB2312" w:cs="仿宋_GB2312"/>
                                        <w:sz w:val="32"/>
                                        <w:szCs w:val="32"/>
                                        <w:lang w:val="en-US"/>
                                      </w:rPr>
                                      <w:t>15</w:t>
                                    </w:r>
                                    <w:r>
                                      <w:rPr>
                                        <w:rFonts w:hint="eastAsia" w:ascii="仿宋_GB2312" w:hAnsi="仿宋_GB2312" w:eastAsia="仿宋_GB2312" w:cs="仿宋_GB2312"/>
                                        <w:sz w:val="32"/>
                                        <w:szCs w:val="32"/>
                                      </w:rPr>
                                      <w:t>名；</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年实际财政供养人员</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人，其中：事业</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人。</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三、收支预算情况说明</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按照综合预算的原则，观景中心所有收入和支出均纳入部门预算管理。收入包括：一般公共预算拨款收入、上年结转；支出包括：一般公共服务支出、教育支出、社会保障和就业支出、医疗卫生与计划生育支出、住房保障支出。观景中心</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年收支总预算</w:t>
                                    </w:r>
                                    <w:r>
                                      <w:rPr>
                                        <w:rFonts w:hint="eastAsia" w:ascii="仿宋_GB2312" w:hAnsi="仿宋_GB2312" w:eastAsia="仿宋_GB2312" w:cs="仿宋_GB2312"/>
                                        <w:sz w:val="32"/>
                                        <w:szCs w:val="32"/>
                                        <w:lang w:val="en-US" w:eastAsia="zh-CN"/>
                                      </w:rPr>
                                      <w:t>147.78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比</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年收支预算总数</w:t>
                                    </w:r>
                                    <w:r>
                                      <w:rPr>
                                        <w:rFonts w:hint="eastAsia" w:ascii="仿宋_GB2312" w:hAnsi="仿宋_GB2312" w:eastAsia="仿宋_GB2312" w:cs="仿宋_GB2312"/>
                                        <w:sz w:val="32"/>
                                        <w:szCs w:val="32"/>
                                        <w:lang w:val="en-US" w:eastAsia="zh-CN"/>
                                      </w:rPr>
                                      <w:t>少</w:t>
                                    </w:r>
                                    <w:r>
                                      <w:rPr>
                                        <w:rFonts w:hint="eastAsia" w:ascii="仿宋_GB2312" w:eastAsia="仿宋_GB2312"/>
                                        <w:color w:val="000000"/>
                                        <w:sz w:val="32"/>
                                        <w:szCs w:val="32"/>
                                        <w:lang w:val="en-US" w:eastAsia="zh-CN"/>
                                      </w:rPr>
                                      <w:t>16.75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 xml:space="preserve"> 减少11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（一）收入预算情况。</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观景中心</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年收入预算</w:t>
                                    </w:r>
                                    <w:r>
                                      <w:rPr>
                                        <w:rFonts w:hint="eastAsia" w:ascii="仿宋_GB2312" w:hAnsi="仿宋_GB2312" w:eastAsia="仿宋_GB2312" w:cs="仿宋_GB2312"/>
                                        <w:sz w:val="32"/>
                                        <w:szCs w:val="32"/>
                                        <w:lang w:val="en-US" w:eastAsia="zh-CN"/>
                                      </w:rPr>
                                      <w:t>147.78</w:t>
                                    </w:r>
                                    <w:r>
                                      <w:rPr>
                                        <w:rFonts w:hint="eastAsia" w:ascii="仿宋_GB2312" w:hAnsi="仿宋_GB2312" w:eastAsia="仿宋_GB2312" w:cs="仿宋_GB2312"/>
                                        <w:sz w:val="32"/>
                                        <w:szCs w:val="32"/>
                                      </w:rPr>
                                      <w:t>万元，其中：上年结转</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；一般公共预算拨款收入</w:t>
                                    </w:r>
                                    <w:r>
                                      <w:rPr>
                                        <w:rFonts w:hint="eastAsia" w:ascii="仿宋_GB2312" w:hAnsi="仿宋_GB2312" w:eastAsia="仿宋_GB2312" w:cs="仿宋_GB2312"/>
                                        <w:sz w:val="32"/>
                                        <w:szCs w:val="32"/>
                                        <w:lang w:val="en-US" w:eastAsia="zh-CN"/>
                                      </w:rPr>
                                      <w:t>147.78</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（二）支出预算情况。</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观景中心</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年支出预算</w:t>
                                    </w:r>
                                    <w:r>
                                      <w:rPr>
                                        <w:rFonts w:hint="eastAsia" w:ascii="仿宋_GB2312" w:hAnsi="仿宋_GB2312" w:eastAsia="仿宋_GB2312" w:cs="仿宋_GB2312"/>
                                        <w:sz w:val="32"/>
                                        <w:szCs w:val="32"/>
                                        <w:lang w:val="en-US" w:eastAsia="zh-CN"/>
                                      </w:rPr>
                                      <w:t>147.78</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147.78</w:t>
                                    </w:r>
                                    <w:r>
                                      <w:rPr>
                                        <w:rFonts w:hint="eastAsia" w:ascii="仿宋_GB2312" w:hAnsi="仿宋_GB2312" w:eastAsia="仿宋_GB2312" w:cs="仿宋_GB2312"/>
                                        <w:sz w:val="32"/>
                                        <w:szCs w:val="32"/>
                                      </w:rPr>
                                      <w:t>万元，占100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四、财政拨款收支预算情况说明</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观景中心</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年收支总预算</w:t>
                                    </w:r>
                                    <w:r>
                                      <w:rPr>
                                        <w:rFonts w:hint="eastAsia" w:ascii="仿宋_GB2312" w:hAnsi="仿宋_GB2312" w:eastAsia="仿宋_GB2312" w:cs="仿宋_GB2312"/>
                                        <w:sz w:val="32"/>
                                        <w:szCs w:val="32"/>
                                        <w:lang w:val="en-US" w:eastAsia="zh-CN"/>
                                      </w:rPr>
                                      <w:t>147.78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比</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年收支预算总数</w:t>
                                    </w:r>
                                    <w:r>
                                      <w:rPr>
                                        <w:rFonts w:hint="eastAsia" w:ascii="仿宋_GB2312" w:hAnsi="仿宋_GB2312" w:eastAsia="仿宋_GB2312" w:cs="仿宋_GB2312"/>
                                        <w:sz w:val="32"/>
                                        <w:szCs w:val="32"/>
                                        <w:lang w:val="en-US" w:eastAsia="zh-CN"/>
                                      </w:rPr>
                                      <w:t>少</w:t>
                                    </w:r>
                                    <w:r>
                                      <w:rPr>
                                        <w:rFonts w:hint="eastAsia" w:ascii="仿宋_GB2312" w:eastAsia="仿宋_GB2312"/>
                                        <w:color w:val="000000"/>
                                        <w:sz w:val="32"/>
                                        <w:szCs w:val="32"/>
                                        <w:lang w:val="en-US" w:eastAsia="zh-CN"/>
                                      </w:rPr>
                                      <w:t>16.75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 xml:space="preserve"> 减少11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收入包括：本年一般公共预算拨款收入</w:t>
                                    </w:r>
                                    <w:r>
                                      <w:rPr>
                                        <w:rFonts w:hint="eastAsia" w:ascii="仿宋_GB2312" w:hAnsi="仿宋_GB2312" w:eastAsia="仿宋_GB2312" w:cs="仿宋_GB2312"/>
                                        <w:sz w:val="32"/>
                                        <w:szCs w:val="32"/>
                                        <w:lang w:val="en-US" w:eastAsia="zh-CN"/>
                                      </w:rPr>
                                      <w:t>147.78</w:t>
                                    </w:r>
                                    <w:r>
                                      <w:rPr>
                                        <w:rFonts w:hint="eastAsia" w:ascii="仿宋_GB2312" w:hAnsi="仿宋_GB2312" w:eastAsia="仿宋_GB2312" w:cs="仿宋_GB2312"/>
                                        <w:sz w:val="32"/>
                                        <w:szCs w:val="32"/>
                                      </w:rPr>
                                      <w:t>万元；支出包括：</w:t>
                                    </w:r>
                                    <w:r>
                                      <w:rPr>
                                        <w:rFonts w:hint="eastAsia" w:ascii="仿宋_GB2312" w:hAnsi="仿宋_GB2312" w:eastAsia="仿宋_GB2312" w:cs="仿宋_GB2312"/>
                                        <w:sz w:val="32"/>
                                        <w:szCs w:val="32"/>
                                        <w:lang w:val="en-US" w:eastAsia="zh-CN"/>
                                      </w:rPr>
                                      <w:t>工资性支出89.2</w:t>
                                    </w:r>
                                    <w:r>
                                      <w:rPr>
                                        <w:rFonts w:hint="eastAsia" w:ascii="仿宋_GB2312" w:hAnsi="仿宋_GB2312" w:eastAsia="仿宋_GB2312" w:cs="仿宋_GB2312"/>
                                        <w:sz w:val="32"/>
                                        <w:szCs w:val="32"/>
                                      </w:rPr>
                                      <w:t>万元、占6</w:t>
                                    </w:r>
                                    <w:r>
                                      <w:rPr>
                                        <w:rFonts w:hint="eastAsia" w:ascii="仿宋_GB2312" w:hAnsi="仿宋_GB2312" w:eastAsia="仿宋_GB2312" w:cs="仿宋_GB2312"/>
                                        <w:sz w:val="32"/>
                                        <w:szCs w:val="32"/>
                                        <w:lang w:val="en-US" w:eastAsia="zh-CN"/>
                                      </w:rPr>
                                      <w:t>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；社会保障和就业支出</w:t>
                                    </w:r>
                                    <w:r>
                                      <w:rPr>
                                        <w:rFonts w:hint="eastAsia" w:ascii="仿宋_GB2312" w:hAnsi="仿宋_GB2312" w:eastAsia="仿宋_GB2312" w:cs="仿宋_GB2312"/>
                                        <w:sz w:val="32"/>
                                        <w:szCs w:val="32"/>
                                        <w:lang w:val="en-US" w:eastAsia="zh-CN"/>
                                      </w:rPr>
                                      <w:t>31.2万</w:t>
                                    </w:r>
                                    <w:r>
                                      <w:rPr>
                                        <w:rFonts w:hint="eastAsia" w:ascii="仿宋_GB2312" w:hAnsi="仿宋_GB2312" w:eastAsia="仿宋_GB2312" w:cs="仿宋_GB2312"/>
                                        <w:sz w:val="32"/>
                                        <w:szCs w:val="32"/>
                                      </w:rPr>
                                      <w:t>元占2</w:t>
                                    </w:r>
                                    <w:r>
                                      <w:rPr>
                                        <w:rFonts w:hint="eastAsia" w:ascii="仿宋_GB2312" w:hAnsi="仿宋_GB2312" w:eastAsia="仿宋_GB2312" w:cs="仿宋_GB2312"/>
                                        <w:sz w:val="32"/>
                                        <w:szCs w:val="32"/>
                                        <w:lang w:val="en-US" w:eastAsia="zh-CN"/>
                                      </w:rPr>
                                      <w:t>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；住房保障支出</w:t>
                                    </w:r>
                                    <w:r>
                                      <w:rPr>
                                        <w:rFonts w:hint="eastAsia" w:ascii="仿宋_GB2312" w:hAnsi="仿宋_GB2312" w:eastAsia="仿宋_GB2312" w:cs="仿宋_GB2312"/>
                                        <w:sz w:val="32"/>
                                        <w:szCs w:val="32"/>
                                        <w:lang w:val="en-US" w:eastAsia="zh-CN"/>
                                      </w:rPr>
                                      <w:t>10.7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7</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日常公用经费支出13.5万元占12%。</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五、一般公共预算当年拨款情况说明</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（一）一般公共预算当年拨款规模变化情况。</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观景中心</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年收支总预算</w:t>
                                    </w:r>
                                    <w:r>
                                      <w:rPr>
                                        <w:rFonts w:hint="eastAsia" w:ascii="仿宋_GB2312" w:hAnsi="仿宋_GB2312" w:eastAsia="仿宋_GB2312" w:cs="仿宋_GB2312"/>
                                        <w:sz w:val="32"/>
                                        <w:szCs w:val="32"/>
                                        <w:lang w:val="en-US" w:eastAsia="zh-CN"/>
                                      </w:rPr>
                                      <w:t>147.78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比</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年收支预算总数</w:t>
                                    </w:r>
                                    <w:r>
                                      <w:rPr>
                                        <w:rFonts w:hint="eastAsia" w:ascii="仿宋_GB2312" w:hAnsi="仿宋_GB2312" w:eastAsia="仿宋_GB2312" w:cs="仿宋_GB2312"/>
                                        <w:sz w:val="32"/>
                                        <w:szCs w:val="32"/>
                                        <w:lang w:val="en-US" w:eastAsia="zh-CN"/>
                                      </w:rPr>
                                      <w:t>少</w:t>
                                    </w:r>
                                    <w:r>
                                      <w:rPr>
                                        <w:rFonts w:hint="eastAsia" w:ascii="仿宋_GB2312" w:eastAsia="仿宋_GB2312"/>
                                        <w:color w:val="000000"/>
                                        <w:sz w:val="32"/>
                                        <w:szCs w:val="32"/>
                                        <w:lang w:val="en-US" w:eastAsia="zh-CN"/>
                                      </w:rPr>
                                      <w:t>16.75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 xml:space="preserve"> 减少11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（二）一般公共预算当年拨款结构情况。</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本年一般公共预算拨款</w:t>
                                    </w:r>
                                    <w:r>
                                      <w:rPr>
                                        <w:rFonts w:hint="eastAsia" w:ascii="仿宋_GB2312" w:hAnsi="仿宋_GB2312" w:eastAsia="仿宋_GB2312" w:cs="仿宋_GB2312"/>
                                        <w:sz w:val="32"/>
                                        <w:szCs w:val="32"/>
                                        <w:lang w:val="en-US" w:eastAsia="zh-CN"/>
                                      </w:rPr>
                                      <w:t>147.78</w:t>
                                    </w:r>
                                    <w:r>
                                      <w:rPr>
                                        <w:rFonts w:hint="eastAsia" w:ascii="仿宋_GB2312" w:hAnsi="仿宋_GB2312" w:eastAsia="仿宋_GB2312" w:cs="仿宋_GB2312"/>
                                        <w:sz w:val="32"/>
                                        <w:szCs w:val="32"/>
                                      </w:rPr>
                                      <w:t>万元；支出包括：</w:t>
                                    </w:r>
                                    <w:r>
                                      <w:rPr>
                                        <w:rFonts w:hint="eastAsia" w:ascii="仿宋_GB2312" w:hAnsi="仿宋_GB2312" w:eastAsia="仿宋_GB2312" w:cs="仿宋_GB2312"/>
                                        <w:sz w:val="32"/>
                                        <w:szCs w:val="32"/>
                                        <w:lang w:val="en-US" w:eastAsia="zh-CN"/>
                                      </w:rPr>
                                      <w:t>工资性支出89.2</w:t>
                                    </w:r>
                                    <w:r>
                                      <w:rPr>
                                        <w:rFonts w:hint="eastAsia" w:ascii="仿宋_GB2312" w:hAnsi="仿宋_GB2312" w:eastAsia="仿宋_GB2312" w:cs="仿宋_GB2312"/>
                                        <w:sz w:val="32"/>
                                        <w:szCs w:val="32"/>
                                      </w:rPr>
                                      <w:t>万元、占6</w:t>
                                    </w:r>
                                    <w:r>
                                      <w:rPr>
                                        <w:rFonts w:hint="eastAsia" w:ascii="仿宋_GB2312" w:hAnsi="仿宋_GB2312" w:eastAsia="仿宋_GB2312" w:cs="仿宋_GB2312"/>
                                        <w:sz w:val="32"/>
                                        <w:szCs w:val="32"/>
                                        <w:lang w:val="en-US" w:eastAsia="zh-CN"/>
                                      </w:rPr>
                                      <w:t>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；社会保障和就业支出</w:t>
                                    </w:r>
                                    <w:r>
                                      <w:rPr>
                                        <w:rFonts w:hint="eastAsia" w:ascii="仿宋_GB2312" w:hAnsi="仿宋_GB2312" w:eastAsia="仿宋_GB2312" w:cs="仿宋_GB2312"/>
                                        <w:sz w:val="32"/>
                                        <w:szCs w:val="32"/>
                                        <w:lang w:val="en-US" w:eastAsia="zh-CN"/>
                                      </w:rPr>
                                      <w:t>31.2万</w:t>
                                    </w:r>
                                    <w:r>
                                      <w:rPr>
                                        <w:rFonts w:hint="eastAsia" w:ascii="仿宋_GB2312" w:hAnsi="仿宋_GB2312" w:eastAsia="仿宋_GB2312" w:cs="仿宋_GB2312"/>
                                        <w:sz w:val="32"/>
                                        <w:szCs w:val="32"/>
                                      </w:rPr>
                                      <w:t>元占2</w:t>
                                    </w:r>
                                    <w:r>
                                      <w:rPr>
                                        <w:rFonts w:hint="eastAsia" w:ascii="仿宋_GB2312" w:hAnsi="仿宋_GB2312" w:eastAsia="仿宋_GB2312" w:cs="仿宋_GB2312"/>
                                        <w:sz w:val="32"/>
                                        <w:szCs w:val="32"/>
                                        <w:lang w:val="en-US" w:eastAsia="zh-CN"/>
                                      </w:rPr>
                                      <w:t>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；住房保障支出</w:t>
                                    </w:r>
                                    <w:r>
                                      <w:rPr>
                                        <w:rFonts w:hint="eastAsia" w:ascii="仿宋_GB2312" w:hAnsi="仿宋_GB2312" w:eastAsia="仿宋_GB2312" w:cs="仿宋_GB2312"/>
                                        <w:sz w:val="32"/>
                                        <w:szCs w:val="32"/>
                                        <w:lang w:val="en-US" w:eastAsia="zh-CN"/>
                                      </w:rPr>
                                      <w:t>10.7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7</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日常公用经费支出13.5万元占12%。</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（三）一般公共预算当年拨款具体使用情况。</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、207机关服务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val="en-US" w:eastAsia="zh-CN"/>
                                      </w:rPr>
                                      <w:t>102.7</w:t>
                                    </w:r>
                                    <w:r>
                                      <w:rPr>
                                        <w:rFonts w:hint="eastAsia" w:ascii="仿宋_GB2312" w:hAnsi="仿宋_GB2312" w:eastAsia="仿宋_GB2312" w:cs="仿宋_GB2312"/>
                                        <w:sz w:val="32"/>
                                        <w:szCs w:val="32"/>
                                      </w:rPr>
                                      <w:t>万元</w:t>
                                    </w:r>
                                  </w:p>
                                  <w:p>
                                    <w:pPr>
                                      <w:widowControl/>
                                      <w:spacing w:line="480" w:lineRule="atLeast"/>
                                      <w:ind w:firstLine="60"/>
                                      <w:rPr>
                                        <w:rFonts w:ascii="仿宋_GB2312" w:hAnsi="仿宋_GB2312" w:eastAsia="仿宋_GB2312" w:cs="仿宋_GB2312"/>
                                        <w:sz w:val="32"/>
                                        <w:szCs w:val="32"/>
                                      </w:rPr>
                                    </w:pP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主要用于：单位正常运转的基本支出，包括基本工资、津贴补贴等人员经费以及办公费、印刷费、水电费等日常公用经费。</w:t>
                                    </w:r>
                                  </w:p>
                                  <w:p>
                                    <w:pPr>
                                      <w:widowControl/>
                                      <w:spacing w:line="480" w:lineRule="atLeast"/>
                                      <w:ind w:firstLine="227" w:firstLineChars="71"/>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ascii="仿宋_GB2312" w:hAnsi="仿宋_GB2312" w:eastAsia="仿宋_GB2312" w:cs="仿宋_GB2312"/>
                                        <w:sz w:val="32"/>
                                        <w:szCs w:val="32"/>
                                      </w:rPr>
                                      <w:t xml:space="preserve">2. </w:t>
                                    </w:r>
                                    <w:r>
                                      <w:rPr>
                                        <w:rFonts w:hint="eastAsia" w:ascii="仿宋_GB2312" w:hAnsi="仿宋_GB2312" w:eastAsia="仿宋_GB2312" w:cs="仿宋_GB2312"/>
                                        <w:sz w:val="32"/>
                                        <w:szCs w:val="32"/>
                                      </w:rPr>
                                      <w:t>社会保障和就业（类）</w:t>
                                    </w:r>
                                    <w:r>
                                      <w:rPr>
                                        <w:rFonts w:hint="eastAsia" w:ascii="仿宋_GB2312" w:hAnsi="仿宋_GB2312" w:eastAsia="仿宋_GB2312" w:cs="仿宋_GB2312"/>
                                        <w:sz w:val="32"/>
                                        <w:szCs w:val="32"/>
                                        <w:lang w:val="en-US" w:eastAsia="zh-CN"/>
                                      </w:rPr>
                                      <w:t>31.2</w:t>
                                    </w:r>
                                    <w:r>
                                      <w:rPr>
                                        <w:rFonts w:hint="eastAsia" w:ascii="仿宋_GB2312" w:hAnsi="仿宋_GB2312" w:eastAsia="仿宋_GB2312" w:cs="仿宋_GB2312"/>
                                        <w:sz w:val="32"/>
                                        <w:szCs w:val="32"/>
                                      </w:rPr>
                                      <w:t>万元，</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主要用于：局内管理事业单位基本医疗保险缴费、养老保险、职业年金等支出。</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221</w:t>
                                    </w:r>
                                    <w:r>
                                      <w:rPr>
                                        <w:rFonts w:hint="eastAsia" w:ascii="仿宋_GB2312" w:hAnsi="仿宋_GB2312" w:eastAsia="仿宋_GB2312" w:cs="仿宋_GB2312"/>
                                        <w:sz w:val="32"/>
                                        <w:szCs w:val="32"/>
                                      </w:rPr>
                                      <w:t>住房保障支出（类）：</w:t>
                                    </w:r>
                                    <w:r>
                                      <w:rPr>
                                        <w:rFonts w:hint="eastAsia" w:ascii="仿宋_GB2312" w:hAnsi="仿宋_GB2312" w:eastAsia="仿宋_GB2312" w:cs="仿宋_GB2312"/>
                                        <w:sz w:val="32"/>
                                        <w:szCs w:val="32"/>
                                        <w:lang w:val="en-US" w:eastAsia="zh-CN"/>
                                      </w:rPr>
                                      <w:t>10.7</w:t>
                                    </w:r>
                                    <w:r>
                                      <w:rPr>
                                        <w:rFonts w:hint="eastAsia" w:ascii="仿宋_GB2312" w:hAnsi="仿宋_GB2312" w:eastAsia="仿宋_GB2312" w:cs="仿宋_GB2312"/>
                                        <w:sz w:val="32"/>
                                        <w:szCs w:val="32"/>
                                      </w:rPr>
                                      <w:t>万元</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主要用于：部门按人力资源和社会保障部、财政部规定的基本工资和津贴补贴以及规定比例为职工缴纳的住房公积金支出。</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六、一般公共预算基本支出情况说明</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观景中心</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年一般公共预算基本支出</w:t>
                                    </w:r>
                                    <w:r>
                                      <w:rPr>
                                        <w:rFonts w:hint="eastAsia" w:ascii="仿宋_GB2312" w:hAnsi="仿宋_GB2312" w:eastAsia="仿宋_GB2312" w:cs="仿宋_GB2312"/>
                                        <w:sz w:val="32"/>
                                        <w:szCs w:val="32"/>
                                        <w:lang w:val="en-US" w:eastAsia="zh-CN"/>
                                      </w:rPr>
                                      <w:t>147.78</w:t>
                                    </w:r>
                                    <w:r>
                                      <w:rPr>
                                        <w:rFonts w:hint="eastAsia" w:ascii="仿宋_GB2312" w:hAnsi="仿宋_GB2312" w:eastAsia="仿宋_GB2312" w:cs="仿宋_GB2312"/>
                                        <w:sz w:val="32"/>
                                        <w:szCs w:val="32"/>
                                      </w:rPr>
                                      <w:t>万元，其中：</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人员经费</w:t>
                                    </w:r>
                                    <w:r>
                                      <w:rPr>
                                        <w:rFonts w:hint="eastAsia" w:ascii="仿宋_GB2312" w:hAnsi="仿宋_GB2312" w:eastAsia="仿宋_GB2312" w:cs="仿宋_GB2312"/>
                                        <w:sz w:val="32"/>
                                        <w:szCs w:val="32"/>
                                        <w:lang w:val="en-US" w:eastAsia="zh-CN"/>
                                      </w:rPr>
                                      <w:t>134.28</w:t>
                                    </w:r>
                                    <w:r>
                                      <w:rPr>
                                        <w:rFonts w:hint="eastAsia" w:ascii="仿宋_GB2312" w:hAnsi="仿宋_GB2312" w:eastAsia="仿宋_GB2312" w:cs="仿宋_GB2312"/>
                                        <w:sz w:val="32"/>
                                        <w:szCs w:val="32"/>
                                      </w:rPr>
                                      <w:t>万元，主要包括：基本工资、津贴补贴、奖金、社会保险缴费等支出。</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公用经费</w:t>
                                    </w:r>
                                    <w:r>
                                      <w:rPr>
                                        <w:rFonts w:hint="eastAsia" w:ascii="仿宋_GB2312" w:hAnsi="仿宋_GB2312" w:eastAsia="仿宋_GB2312" w:cs="仿宋_GB2312"/>
                                        <w:sz w:val="32"/>
                                        <w:szCs w:val="32"/>
                                        <w:lang w:val="en-US" w:eastAsia="zh-CN"/>
                                      </w:rPr>
                                      <w:t>13.5</w:t>
                                    </w:r>
                                    <w:r>
                                      <w:rPr>
                                        <w:rFonts w:hint="eastAsia" w:ascii="仿宋_GB2312" w:hAnsi="仿宋_GB2312" w:eastAsia="仿宋_GB2312" w:cs="仿宋_GB2312"/>
                                        <w:sz w:val="32"/>
                                        <w:szCs w:val="32"/>
                                      </w:rPr>
                                      <w:t>万元，主要包括：办公费、水费、电费、邮电费、印刷费、差旅费、维修（护）费、劳务费等支出。</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七、“三公”经费财政拨款预算安排情况说明</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观景中心</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年“三公”经费财政拨款预算数2.37万元，其中：因公出国（境）经费</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万元，公务接待费</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万元，公务用车购置及运行维护费2.37万元。</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（一）因公出国（境）经费与</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年预算持平。</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2021</w:t>
                                    </w:r>
                                    <w:r>
                                      <w:rPr>
                                        <w:rFonts w:hint="eastAsia" w:ascii="仿宋_GB2312" w:hAnsi="仿宋_GB2312" w:eastAsia="仿宋_GB2312" w:cs="仿宋_GB2312"/>
                                        <w:sz w:val="32"/>
                                        <w:szCs w:val="32"/>
                                      </w:rPr>
                                      <w:t>年因公出国（境）费</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万元。全年安排因公出国（境）团组</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次，出国（境）</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人</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（二）公务接待费较</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预算</w:t>
                                    </w:r>
                                    <w:bookmarkStart w:id="0" w:name="_GoBack"/>
                                    <w:bookmarkEnd w:id="0"/>
                                    <w:r>
                                      <w:rPr>
                                        <w:rFonts w:hint="eastAsia" w:ascii="仿宋_GB2312" w:hAnsi="仿宋_GB2312" w:eastAsia="仿宋_GB2312" w:cs="仿宋_GB2312"/>
                                        <w:sz w:val="32"/>
                                        <w:szCs w:val="32"/>
                                        <w:lang w:val="en-US" w:eastAsia="zh-CN"/>
                                      </w:rPr>
                                      <w:t>持平</w:t>
                                    </w:r>
                                    <w:r>
                                      <w:rPr>
                                        <w:rFonts w:hint="eastAsia" w:ascii="仿宋_GB2312" w:hAnsi="仿宋_GB2312" w:eastAsia="仿宋_GB2312" w:cs="仿宋_GB2312"/>
                                        <w:sz w:val="32"/>
                                        <w:szCs w:val="32"/>
                                      </w:rPr>
                                      <w:t>。</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年公务接待费计划用于执行公务、考察调研、检查指导等公务活动开支的交通费、住宿费、用餐费等。</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（三）公务用车购置及运行维护费与</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年相比增长持平。</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单位现有公务用车1辆，其中：轿车0辆、越野车1辆。</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年未安排公务用车购置费。</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安排公务用车运行维护费2.37万元，用于1辆公务用车燃油、过路（桥）、维修、保险等方面支出，主要保障机关及下属单位财政改革工作调研、脱贫攻坚、财政监督检查及周转金清理、农村综合改革、财政支出绩效评价等工作开展。</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八、政府性基金预算支出情况说明</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观景中心</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年无政府性基金预算财政拨款支出预算情况</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九、国有资本经营预算支出情况说明</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观景中心</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年没有使用国有资本经营预算拨款安排的支出。</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十、其他重要事项的情况说明</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（一）政府采购情况。</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年度，政府采购支出总额</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（三）国有资产占有使用情况。</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截至</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年，观景中心共有公务用车1辆，其中：一般公务用车1辆；无单价</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万元以上通用设备及单价</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万元以上专用设备。</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十一、名词解释</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财政拨款收入：指县级财政当年拨付的资金。</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事业收入：指事业单位开展专业业务活动及辅助活动所取得的收入。</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经营收入：指事业单位在专业业务活动及其辅助活动之外开展非独立核算经营活动取得的收入。</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其他收入：指除上述“财政拨款收入”、“事业收入”、“经营收入”等以外的收入。</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6.</w:t>
                                    </w:r>
                                    <w:r>
                                      <w:rPr>
                                        <w:rFonts w:hint="eastAsia" w:ascii="仿宋_GB2312" w:hAnsi="仿宋_GB2312" w:eastAsia="仿宋_GB2312" w:cs="仿宋_GB2312"/>
                                        <w:sz w:val="32"/>
                                        <w:szCs w:val="32"/>
                                      </w:rPr>
                                      <w:t>年初结转和结余：指以前年度尚未完成、结转到本年按有关规定继续使用的资金。</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7.</w:t>
                                    </w:r>
                                    <w:r>
                                      <w:rPr>
                                        <w:rFonts w:hint="eastAsia" w:ascii="仿宋_GB2312" w:hAnsi="仿宋_GB2312" w:eastAsia="仿宋_GB2312" w:cs="仿宋_GB2312"/>
                                        <w:sz w:val="32"/>
                                        <w:szCs w:val="32"/>
                                      </w:rPr>
                                      <w:t>社会保障和就业</w:t>
                                    </w:r>
                                    <w:r>
                                      <w:rPr>
                                        <w:rFonts w:ascii="仿宋_GB2312" w:hAnsi="仿宋_GB2312" w:eastAsia="仿宋_GB2312" w:cs="仿宋_GB2312"/>
                                        <w:sz w:val="32"/>
                                        <w:szCs w:val="32"/>
                                      </w:rPr>
                                      <w:t>2080101</w:t>
                                    </w:r>
                                    <w:r>
                                      <w:rPr>
                                        <w:rFonts w:hint="eastAsia" w:ascii="仿宋_GB2312" w:hAnsi="仿宋_GB2312" w:eastAsia="仿宋_GB2312" w:cs="仿宋_GB2312"/>
                                        <w:sz w:val="32"/>
                                        <w:szCs w:val="32"/>
                                      </w:rPr>
                                      <w:t>：指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以及公用经费，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8.</w:t>
                                    </w:r>
                                    <w:r>
                                      <w:rPr>
                                        <w:rFonts w:hint="eastAsia" w:ascii="仿宋_GB2312" w:hAnsi="仿宋_GB2312" w:eastAsia="仿宋_GB2312" w:cs="仿宋_GB2312"/>
                                        <w:sz w:val="32"/>
                                        <w:szCs w:val="32"/>
                                      </w:rPr>
                                      <w:t>一般公共服务</w:t>
                                    </w:r>
                                    <w:r>
                                      <w:rPr>
                                        <w:rFonts w:ascii="仿宋_GB2312" w:hAnsi="仿宋_GB2312" w:eastAsia="仿宋_GB2312" w:cs="仿宋_GB2312"/>
                                        <w:sz w:val="32"/>
                                        <w:szCs w:val="32"/>
                                      </w:rPr>
                                      <w:t>201</w:t>
                                    </w:r>
                                    <w:r>
                                      <w:rPr>
                                        <w:rFonts w:hint="eastAsia" w:ascii="仿宋_GB2312" w:hAnsi="仿宋_GB2312" w:eastAsia="仿宋_GB2312" w:cs="仿宋_GB2312"/>
                                        <w:sz w:val="32"/>
                                        <w:szCs w:val="32"/>
                                      </w:rPr>
                                      <w:t>：指反映人大、党委、政府机构行政运行的支出。</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9.</w:t>
                                    </w:r>
                                    <w:r>
                                      <w:rPr>
                                        <w:rFonts w:hint="eastAsia" w:ascii="仿宋_GB2312" w:hAnsi="仿宋_GB2312" w:eastAsia="仿宋_GB2312" w:cs="仿宋_GB2312"/>
                                        <w:sz w:val="32"/>
                                        <w:szCs w:val="32"/>
                                      </w:rPr>
                                      <w:t>文化体育与传媒</w:t>
                                    </w:r>
                                    <w:r>
                                      <w:rPr>
                                        <w:rFonts w:ascii="仿宋_GB2312" w:hAnsi="仿宋_GB2312" w:eastAsia="仿宋_GB2312" w:cs="仿宋_GB2312"/>
                                        <w:sz w:val="32"/>
                                        <w:szCs w:val="32"/>
                                      </w:rPr>
                                      <w:t>2070109</w:t>
                                    </w:r>
                                    <w:r>
                                      <w:rPr>
                                        <w:rFonts w:hint="eastAsia" w:ascii="仿宋_GB2312" w:hAnsi="仿宋_GB2312" w:eastAsia="仿宋_GB2312" w:cs="仿宋_GB2312"/>
                                        <w:sz w:val="32"/>
                                        <w:szCs w:val="32"/>
                                      </w:rPr>
                                      <w:t>群众文化：指文化站及社事中心运行的支出。</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10.</w:t>
                                    </w:r>
                                    <w:r>
                                      <w:rPr>
                                        <w:rFonts w:hint="eastAsia" w:ascii="仿宋_GB2312" w:hAnsi="仿宋_GB2312" w:eastAsia="仿宋_GB2312" w:cs="仿宋_GB2312"/>
                                        <w:sz w:val="32"/>
                                        <w:szCs w:val="32"/>
                                      </w:rPr>
                                      <w:t>医疗卫生与计划生育</w:t>
                                    </w:r>
                                    <w:r>
                                      <w:rPr>
                                        <w:rFonts w:ascii="仿宋_GB2312" w:hAnsi="仿宋_GB2312" w:eastAsia="仿宋_GB2312" w:cs="仿宋_GB2312"/>
                                        <w:sz w:val="32"/>
                                        <w:szCs w:val="32"/>
                                      </w:rPr>
                                      <w:t>2100501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指职工的医疗保险。</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11.</w:t>
                                    </w:r>
                                    <w:r>
                                      <w:rPr>
                                        <w:rFonts w:hint="eastAsia" w:ascii="仿宋_GB2312" w:hAnsi="仿宋_GB2312" w:eastAsia="仿宋_GB2312" w:cs="仿宋_GB2312"/>
                                        <w:sz w:val="32"/>
                                        <w:szCs w:val="32"/>
                                      </w:rPr>
                                      <w:t>住房保障支出</w:t>
                                    </w:r>
                                    <w:r>
                                      <w:rPr>
                                        <w:rFonts w:ascii="仿宋_GB2312" w:hAnsi="仿宋_GB2312" w:eastAsia="仿宋_GB2312" w:cs="仿宋_GB2312"/>
                                        <w:sz w:val="32"/>
                                        <w:szCs w:val="32"/>
                                      </w:rPr>
                                      <w:t>2210201</w:t>
                                    </w:r>
                                    <w:r>
                                      <w:rPr>
                                        <w:rFonts w:hint="eastAsia" w:ascii="仿宋_GB2312" w:hAnsi="仿宋_GB2312" w:eastAsia="仿宋_GB2312" w:cs="仿宋_GB2312"/>
                                        <w:sz w:val="32"/>
                                        <w:szCs w:val="32"/>
                                      </w:rPr>
                                      <w:t>：指职工的住房公积金。</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12</w:t>
                                    </w:r>
                                    <w:r>
                                      <w:rPr>
                                        <w:rFonts w:hint="eastAsia" w:ascii="仿宋_GB2312" w:hAnsi="仿宋_GB2312" w:eastAsia="仿宋_GB2312" w:cs="仿宋_GB2312"/>
                                        <w:sz w:val="32"/>
                                        <w:szCs w:val="32"/>
                                      </w:rPr>
                                      <w:t>、其他支出</w:t>
                                    </w:r>
                                    <w:r>
                                      <w:rPr>
                                        <w:rFonts w:ascii="仿宋_GB2312" w:hAnsi="仿宋_GB2312" w:eastAsia="仿宋_GB2312" w:cs="仿宋_GB2312"/>
                                        <w:sz w:val="32"/>
                                        <w:szCs w:val="32"/>
                                      </w:rPr>
                                      <w:t>2299901</w:t>
                                    </w:r>
                                    <w:r>
                                      <w:rPr>
                                        <w:rFonts w:hint="eastAsia" w:ascii="仿宋_GB2312" w:hAnsi="仿宋_GB2312" w:eastAsia="仿宋_GB2312" w:cs="仿宋_GB2312"/>
                                        <w:sz w:val="32"/>
                                        <w:szCs w:val="32"/>
                                      </w:rPr>
                                      <w:t>：指退休干部春节慰问金。</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13.</w:t>
                                    </w:r>
                                    <w:r>
                                      <w:rPr>
                                        <w:rFonts w:hint="eastAsia" w:ascii="仿宋_GB2312" w:hAnsi="仿宋_GB2312" w:eastAsia="仿宋_GB2312" w:cs="仿宋_GB2312"/>
                                        <w:sz w:val="32"/>
                                        <w:szCs w:val="32"/>
                                      </w:rPr>
                                      <w:t>结余分配：指事业单位按规定提取的职工福利基金、事业基金和</w:t>
                                    </w:r>
                                    <w:r>
                                      <w:rPr>
                                        <w:rFonts w:hint="eastAsia" w:ascii="仿宋_GB2312" w:hAnsi="仿宋_GB2312" w:eastAsia="仿宋_GB2312" w:cs="仿宋_GB2312"/>
                                        <w:sz w:val="32"/>
                                        <w:szCs w:val="32"/>
                                        <w:lang w:eastAsia="zh-CN"/>
                                      </w:rPr>
                                      <w:t>缴纳得所</w:t>
                                    </w:r>
                                    <w:r>
                                      <w:rPr>
                                        <w:rFonts w:hint="eastAsia" w:ascii="仿宋_GB2312" w:hAnsi="仿宋_GB2312" w:eastAsia="仿宋_GB2312" w:cs="仿宋_GB2312"/>
                                        <w:sz w:val="32"/>
                                        <w:szCs w:val="32"/>
                                      </w:rPr>
                                      <w:t>得税，以及建设单位按规定应交回的基本建设竣工项目结余资金。</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14.</w:t>
                                    </w:r>
                                    <w:r>
                                      <w:rPr>
                                        <w:rFonts w:hint="eastAsia" w:ascii="仿宋_GB2312" w:hAnsi="仿宋_GB2312" w:eastAsia="仿宋_GB2312" w:cs="仿宋_GB2312"/>
                                        <w:sz w:val="32"/>
                                        <w:szCs w:val="32"/>
                                      </w:rPr>
                                      <w:t>年末结转和结余：指本年度或以前年度预算安排、因客观条件发生变化无法按原计划实施，需延迟到以后年度按有关规定继续使用的资金。</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15.</w:t>
                                    </w:r>
                                    <w:r>
                                      <w:rPr>
                                        <w:rFonts w:hint="eastAsia" w:ascii="仿宋_GB2312" w:hAnsi="仿宋_GB2312" w:eastAsia="仿宋_GB2312" w:cs="仿宋_GB2312"/>
                                        <w:sz w:val="32"/>
                                        <w:szCs w:val="32"/>
                                      </w:rPr>
                                      <w:t>基本支出：指为保障机构正常运转、完成日常工作任务而发生的人员支出和公用支出。</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16.</w:t>
                                    </w:r>
                                    <w:r>
                                      <w:rPr>
                                        <w:rFonts w:hint="eastAsia" w:ascii="仿宋_GB2312" w:hAnsi="仿宋_GB2312" w:eastAsia="仿宋_GB2312" w:cs="仿宋_GB2312"/>
                                        <w:sz w:val="32"/>
                                        <w:szCs w:val="32"/>
                                      </w:rPr>
                                      <w:t>项目支出：指在基本支出之外为完成特定行政任务和事业发展目标所发生的支出。</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17.</w:t>
                                    </w:r>
                                    <w:r>
                                      <w:rPr>
                                        <w:rFonts w:hint="eastAsia" w:ascii="仿宋_GB2312" w:hAnsi="仿宋_GB2312" w:eastAsia="仿宋_GB2312" w:cs="仿宋_GB2312"/>
                                        <w:sz w:val="32"/>
                                        <w:szCs w:val="32"/>
                                      </w:rPr>
                                      <w:t>经营支出：指事业单位在专业业务活动及其辅助活动之外开展非独立核算经营活动发生的支出。</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18.</w:t>
                                    </w:r>
                                    <w:r>
                                      <w:rPr>
                                        <w:rFonts w:hint="eastAsia" w:ascii="仿宋_GB2312" w:hAnsi="仿宋_GB2312" w:eastAsia="仿宋_GB2312" w:cs="仿宋_GB2312"/>
                                        <w:sz w:val="32"/>
                                        <w:szCs w:val="32"/>
                                      </w:rPr>
                                      <w:t>“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19.</w:t>
                                    </w:r>
                                    <w:r>
                                      <w:rPr>
                                        <w:rFonts w:hint="eastAsia" w:ascii="仿宋_GB2312" w:hAns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ascii="仿宋_GB2312" w:hAnsi="仿宋_GB2312" w:eastAsia="仿宋_GB2312" w:cs="仿宋_GB2312"/>
                                        <w:sz w:val="32"/>
                                        <w:szCs w:val="32"/>
                                      </w:rPr>
                                      <w:t xml:space="preserve">  </w:t>
                                    </w:r>
                                  </w:p>
                                  <w:p>
                                    <w:pPr>
                                      <w:ind w:firstLine="640" w:firstLineChars="200"/>
                                      <w:rPr>
                                        <w:rFonts w:ascii="仿宋_GB2312" w:hAnsi="仿宋_GB2312" w:eastAsia="仿宋_GB2312" w:cs="仿宋_GB2312"/>
                                        <w:sz w:val="32"/>
                                        <w:szCs w:val="32"/>
                                      </w:rPr>
                                    </w:pPr>
                                  </w:p>
                                </w:tc>
                              </w:tr>
                            </w:tbl>
                            <w:p>
                              <w:pPr>
                                <w:widowControl/>
                                <w:spacing w:after="240"/>
                                <w:jc w:val="center"/>
                                <w:rPr>
                                  <w:rFonts w:ascii="宋体" w:cs="宋体"/>
                                  <w:kern w:val="0"/>
                                  <w:szCs w:val="21"/>
                                </w:rPr>
                              </w:pPr>
                            </w:p>
                          </w:tc>
                        </w:tr>
                        <w:tr>
                          <w:tblPrEx>
                            <w:tblCellMar>
                              <w:top w:w="0" w:type="dxa"/>
                              <w:left w:w="0" w:type="dxa"/>
                              <w:bottom w:w="0" w:type="dxa"/>
                              <w:right w:w="0" w:type="dxa"/>
                            </w:tblCellMar>
                          </w:tblPrEx>
                          <w:trPr>
                            <w:tblCellSpacing w:w="0" w:type="dxa"/>
                          </w:trPr>
                          <w:tc>
                            <w:tcPr>
                              <w:tcW w:w="10590" w:type="dxa"/>
                              <w:shd w:val="clear" w:color="auto" w:fill="FFFFFF"/>
                            </w:tcPr>
                            <w:p>
                              <w:pPr>
                                <w:widowControl/>
                                <w:spacing w:after="240"/>
                                <w:jc w:val="center"/>
                                <w:rPr>
                                  <w:rFonts w:ascii="宋体" w:cs="宋体"/>
                                  <w:kern w:val="0"/>
                                  <w:szCs w:val="21"/>
                                </w:rPr>
                              </w:pPr>
                            </w:p>
                          </w:tc>
                        </w:tr>
                      </w:tbl>
                      <w:p>
                        <w:pPr>
                          <w:widowControl/>
                          <w:jc w:val="left"/>
                          <w:rPr>
                            <w:rFonts w:ascii="宋体" w:cs="宋体"/>
                            <w:kern w:val="0"/>
                            <w:szCs w:val="21"/>
                          </w:rPr>
                        </w:pPr>
                      </w:p>
                    </w:tc>
                    <w:tc>
                      <w:tcPr>
                        <w:tcW w:w="1350" w:type="dxa"/>
                        <w:vAlign w:val="center"/>
                      </w:tcPr>
                      <w:p>
                        <w:pPr>
                          <w:widowControl/>
                          <w:jc w:val="left"/>
                          <w:rPr>
                            <w:rFonts w:ascii="宋体" w:cs="宋体"/>
                            <w:kern w:val="0"/>
                            <w:szCs w:val="21"/>
                          </w:rPr>
                        </w:pPr>
                        <w:r>
                          <w:rPr>
                            <w:rFonts w:ascii="宋体" w:cs="宋体"/>
                            <w:kern w:val="0"/>
                            <w:szCs w:val="21"/>
                          </w:rPr>
                          <w:t> </w:t>
                        </w:r>
                      </w:p>
                    </w:tc>
                  </w:tr>
                  <w:tr>
                    <w:tblPrEx>
                      <w:tblCellMar>
                        <w:top w:w="0" w:type="dxa"/>
                        <w:left w:w="0" w:type="dxa"/>
                        <w:bottom w:w="0" w:type="dxa"/>
                        <w:right w:w="0" w:type="dxa"/>
                      </w:tblCellMar>
                    </w:tblPrEx>
                    <w:trPr>
                      <w:trHeight w:val="450" w:hRule="atLeast"/>
                      <w:tblCellSpacing w:w="0" w:type="dxa"/>
                    </w:trPr>
                    <w:tc>
                      <w:tcPr>
                        <w:tcW w:w="12000" w:type="dxa"/>
                        <w:gridSpan w:val="2"/>
                        <w:tcMar>
                          <w:top w:w="0" w:type="dxa"/>
                          <w:left w:w="0" w:type="dxa"/>
                          <w:bottom w:w="0" w:type="dxa"/>
                          <w:right w:w="1950" w:type="dxa"/>
                        </w:tcMar>
                        <w:vAlign w:val="center"/>
                      </w:tcPr>
                      <w:p>
                        <w:pPr>
                          <w:widowControl/>
                          <w:ind w:right="105"/>
                          <w:jc w:val="right"/>
                          <w:rPr>
                            <w:rFonts w:ascii="宋体" w:cs="宋体"/>
                            <w:kern w:val="0"/>
                            <w:szCs w:val="21"/>
                          </w:rPr>
                        </w:pPr>
                      </w:p>
                    </w:tc>
                  </w:tr>
                </w:tbl>
                <w:p>
                  <w:pPr>
                    <w:widowControl/>
                    <w:jc w:val="left"/>
                    <w:rPr>
                      <w:rFonts w:ascii="宋体" w:cs="宋体"/>
                      <w:kern w:val="0"/>
                      <w:szCs w:val="21"/>
                    </w:rPr>
                  </w:pPr>
                </w:p>
              </w:tc>
            </w:tr>
          </w:tbl>
          <w:p>
            <w:pPr>
              <w:widowControl/>
              <w:jc w:val="left"/>
              <w:rPr>
                <w:rFonts w:ascii="宋体" w:cs="宋体"/>
                <w:kern w:val="0"/>
                <w:szCs w:val="21"/>
              </w:rPr>
            </w:pPr>
          </w:p>
        </w:tc>
      </w:tr>
      <w:tr>
        <w:tblPrEx>
          <w:tblCellMar>
            <w:top w:w="0" w:type="dxa"/>
            <w:left w:w="0" w:type="dxa"/>
            <w:bottom w:w="0" w:type="dxa"/>
            <w:right w:w="0" w:type="dxa"/>
          </w:tblCellMar>
        </w:tblPrEx>
        <w:trPr>
          <w:trHeight w:val="75" w:hRule="atLeast"/>
          <w:tblCellSpacing w:w="0" w:type="dxa"/>
          <w:jc w:val="center"/>
        </w:trPr>
        <w:tc>
          <w:tcPr>
            <w:tcW w:w="12000" w:type="dxa"/>
            <w:vAlign w:val="center"/>
          </w:tcPr>
          <w:p>
            <w:pPr>
              <w:widowControl/>
              <w:jc w:val="left"/>
              <w:rPr>
                <w:rFonts w:ascii="宋体" w:cs="宋体"/>
                <w:kern w:val="0"/>
                <w:sz w:val="8"/>
                <w:szCs w:val="21"/>
              </w:rPr>
            </w:pPr>
          </w:p>
        </w:tc>
      </w:tr>
    </w:tbl>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000010101"/>
    <w:charset w:val="86"/>
    <w:family w:val="moder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TrackMoves/>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73BD17C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99"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qFormat/>
    <w:uiPriority w:val="1"/>
  </w:style>
  <w:style w:type="table" w:default="1" w:styleId="5">
    <w:name w:val="Normal Table"/>
    <w:qFormat/>
    <w:uiPriority w:val="99"/>
    <w:tblPr>
      <w:tblCellMar>
        <w:top w:w="0" w:type="dxa"/>
        <w:left w:w="108" w:type="dxa"/>
        <w:bottom w:w="0" w:type="dxa"/>
        <w:right w:w="108" w:type="dxa"/>
      </w:tblCellMar>
    </w:tblPr>
  </w:style>
  <w:style w:type="paragraph" w:styleId="2">
    <w:name w:val="footer"/>
    <w:basedOn w:val="1"/>
    <w:link w:val="11"/>
    <w:qFormat/>
    <w:uiPriority w:val="99"/>
    <w:pPr>
      <w:tabs>
        <w:tab w:val="center" w:pos="4153"/>
        <w:tab w:val="right" w:pos="8306"/>
      </w:tabs>
      <w:snapToGrid w:val="0"/>
      <w:jc w:val="left"/>
    </w:pPr>
    <w:rPr>
      <w:sz w:val="18"/>
      <w:szCs w:val="18"/>
    </w:rPr>
  </w:style>
  <w:style w:type="paragraph" w:styleId="3">
    <w:name w:val="header"/>
    <w:basedOn w:val="1"/>
    <w:link w:val="10"/>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99"/>
    <w:pPr>
      <w:spacing w:beforeAutospacing="1" w:afterAutospacing="1"/>
      <w:jc w:val="left"/>
    </w:pPr>
    <w:rPr>
      <w:kern w:val="0"/>
      <w:sz w:val="24"/>
    </w:rPr>
  </w:style>
  <w:style w:type="character" w:styleId="7">
    <w:name w:val="Strong"/>
    <w:basedOn w:val="6"/>
    <w:qFormat/>
    <w:uiPriority w:val="99"/>
    <w:rPr>
      <w:rFonts w:cs="Times New Roman"/>
      <w:b/>
      <w:bCs/>
    </w:rPr>
  </w:style>
  <w:style w:type="character" w:styleId="8">
    <w:name w:val="Hyperlink"/>
    <w:basedOn w:val="6"/>
    <w:uiPriority w:val="99"/>
    <w:rPr>
      <w:color w:val="0000FF"/>
      <w:u w:val="single"/>
    </w:rPr>
  </w:style>
  <w:style w:type="character" w:customStyle="1" w:styleId="9">
    <w:name w:val="pagetext0031"/>
    <w:basedOn w:val="6"/>
    <w:uiPriority w:val="99"/>
    <w:rPr>
      <w:rFonts w:ascii="宋体" w:hAnsi="宋体" w:eastAsia="宋体" w:cs="Times New Roman"/>
      <w:color w:val="555555"/>
      <w:sz w:val="21"/>
      <w:szCs w:val="21"/>
    </w:rPr>
  </w:style>
  <w:style w:type="character" w:customStyle="1" w:styleId="10">
    <w:name w:val="页眉 Char"/>
    <w:basedOn w:val="6"/>
    <w:link w:val="3"/>
    <w:qFormat/>
    <w:uiPriority w:val="99"/>
    <w:rPr>
      <w:rFonts w:cs="Times New Roman"/>
      <w:sz w:val="18"/>
      <w:szCs w:val="18"/>
    </w:rPr>
  </w:style>
  <w:style w:type="character" w:customStyle="1" w:styleId="11">
    <w:name w:val="页脚 Char"/>
    <w:basedOn w:val="6"/>
    <w:link w:val="2"/>
    <w:qFormat/>
    <w:uiPriority w:val="99"/>
    <w:rPr>
      <w:rFonts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9</Pages>
  <Words>3509</Words>
  <Characters>3803</Characters>
  <Paragraphs>57</Paragraphs>
  <TotalTime>2</TotalTime>
  <ScaleCrop>false</ScaleCrop>
  <LinksUpToDate>false</LinksUpToDate>
  <CharactersWithSpaces>3952</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2019-01-03T06:25:00Z</dcterms:created>
  <dc:creator>Lenovo User</dc:creator>
  <cp:lastModifiedBy>不改</cp:lastModifiedBy>
  <dcterms:modified xsi:type="dcterms:W3CDTF">2021-04-16T02:43:00Z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B4E790C67FB049DEB7DD93A23B9E5D1F</vt:lpwstr>
  </property>
</Properties>
</file>