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66146D">
      <w:pPr>
        <w:spacing w:line="600" w:lineRule="exact"/>
        <w:jc w:val="center"/>
        <w:outlineLvl w:val="0"/>
        <w:rPr>
          <w:rFonts w:ascii="方正小标宋简体" w:eastAsia="方正小标宋简体"/>
          <w:color w:val="000000"/>
          <w:sz w:val="72"/>
          <w:szCs w:val="72"/>
        </w:rPr>
      </w:pPr>
      <w:bookmarkStart w:id="0" w:name="_Toc15306267"/>
    </w:p>
    <w:p w14:paraId="41C18AC5">
      <w:pPr>
        <w:spacing w:line="600" w:lineRule="exact"/>
        <w:jc w:val="center"/>
        <w:outlineLvl w:val="0"/>
        <w:rPr>
          <w:rFonts w:ascii="方正小标宋简体" w:eastAsia="方正小标宋简体"/>
          <w:color w:val="000000"/>
          <w:sz w:val="72"/>
          <w:szCs w:val="72"/>
        </w:rPr>
      </w:pPr>
    </w:p>
    <w:p w14:paraId="1C0CC3F5">
      <w:pPr>
        <w:spacing w:line="600" w:lineRule="exact"/>
        <w:jc w:val="center"/>
        <w:outlineLvl w:val="0"/>
        <w:rPr>
          <w:rFonts w:ascii="方正小标宋简体" w:eastAsia="方正小标宋简体"/>
          <w:color w:val="000000"/>
          <w:sz w:val="72"/>
          <w:szCs w:val="72"/>
        </w:rPr>
      </w:pPr>
    </w:p>
    <w:p w14:paraId="07CDEE33">
      <w:pPr>
        <w:spacing w:line="600" w:lineRule="exact"/>
        <w:jc w:val="center"/>
        <w:outlineLvl w:val="0"/>
        <w:rPr>
          <w:rFonts w:ascii="方正小标宋简体" w:eastAsia="方正小标宋简体"/>
          <w:color w:val="000000"/>
          <w:sz w:val="72"/>
          <w:szCs w:val="72"/>
        </w:rPr>
      </w:pPr>
    </w:p>
    <w:p w14:paraId="09208103">
      <w:pPr>
        <w:adjustRightInd w:val="0"/>
        <w:snapToGrid w:val="0"/>
        <w:spacing w:line="360" w:lineRule="auto"/>
        <w:jc w:val="center"/>
        <w:outlineLvl w:val="0"/>
        <w:rPr>
          <w:rFonts w:ascii="方正小标宋简体" w:eastAsia="方正小标宋简体"/>
          <w:color w:val="000000"/>
          <w:sz w:val="72"/>
          <w:szCs w:val="72"/>
        </w:rPr>
      </w:pPr>
      <w:bookmarkStart w:id="1" w:name="_Toc15377425"/>
      <w:bookmarkStart w:id="2" w:name="_Toc15396475"/>
      <w:bookmarkStart w:id="3" w:name="_Toc15396597"/>
      <w:bookmarkStart w:id="4" w:name="_Toc15377193"/>
      <w:bookmarkStart w:id="5" w:name="_Toc15378441"/>
      <w:r>
        <w:rPr>
          <w:rFonts w:ascii="黑体" w:eastAsia="黑体"/>
          <w:color w:val="000000"/>
          <w:sz w:val="72"/>
          <w:szCs w:val="72"/>
        </w:rPr>
        <w:t>20</w:t>
      </w:r>
      <w:r>
        <w:rPr>
          <w:rFonts w:hint="eastAsia" w:ascii="黑体" w:eastAsia="黑体"/>
          <w:color w:val="000000"/>
          <w:sz w:val="72"/>
          <w:szCs w:val="72"/>
          <w:lang w:val="en-US" w:eastAsia="zh-CN"/>
        </w:rPr>
        <w:t>24</w:t>
      </w:r>
      <w:r>
        <w:rPr>
          <w:rFonts w:hint="eastAsia" w:ascii="方正小标宋简体" w:eastAsia="方正小标宋简体"/>
          <w:color w:val="000000"/>
          <w:sz w:val="72"/>
          <w:szCs w:val="72"/>
        </w:rPr>
        <w:t>年度</w:t>
      </w:r>
      <w:bookmarkEnd w:id="1"/>
      <w:bookmarkEnd w:id="2"/>
      <w:bookmarkEnd w:id="3"/>
      <w:bookmarkEnd w:id="4"/>
      <w:bookmarkEnd w:id="5"/>
    </w:p>
    <w:bookmarkEnd w:id="0"/>
    <w:p w14:paraId="13FC77D4">
      <w:pPr>
        <w:adjustRightInd w:val="0"/>
        <w:snapToGrid w:val="0"/>
        <w:spacing w:line="360" w:lineRule="auto"/>
        <w:jc w:val="center"/>
        <w:outlineLvl w:val="0"/>
        <w:rPr>
          <w:rFonts w:hint="eastAsia" w:ascii="方正小标宋简体" w:eastAsia="方正小标宋简体"/>
          <w:color w:val="000000"/>
          <w:sz w:val="72"/>
          <w:szCs w:val="72"/>
          <w:lang w:eastAsia="zh-CN"/>
        </w:rPr>
      </w:pPr>
      <w:bookmarkStart w:id="6" w:name="_Toc15377194"/>
      <w:bookmarkStart w:id="7" w:name="_Toc15396476"/>
      <w:bookmarkStart w:id="8" w:name="_Toc15306268"/>
      <w:bookmarkStart w:id="9" w:name="_Toc15396598"/>
      <w:bookmarkStart w:id="10" w:name="_Toc15378442"/>
      <w:bookmarkStart w:id="11" w:name="_Toc15377426"/>
      <w:r>
        <w:rPr>
          <w:rFonts w:hint="eastAsia" w:ascii="方正小标宋简体" w:eastAsia="方正小标宋简体"/>
          <w:color w:val="000000"/>
          <w:sz w:val="72"/>
          <w:szCs w:val="72"/>
          <w:lang w:eastAsia="zh-CN"/>
        </w:rPr>
        <w:t>金川县文学艺术界联合会部门</w:t>
      </w:r>
      <w:r>
        <w:rPr>
          <w:rFonts w:hint="eastAsia" w:ascii="方正小标宋简体" w:eastAsia="方正小标宋简体"/>
          <w:color w:val="000000"/>
          <w:sz w:val="72"/>
          <w:szCs w:val="72"/>
        </w:rPr>
        <w:t>决算</w:t>
      </w:r>
      <w:bookmarkEnd w:id="6"/>
      <w:bookmarkEnd w:id="7"/>
      <w:bookmarkEnd w:id="8"/>
      <w:bookmarkEnd w:id="9"/>
      <w:bookmarkEnd w:id="10"/>
      <w:bookmarkEnd w:id="11"/>
      <w:r>
        <w:rPr>
          <w:rFonts w:hint="eastAsia" w:ascii="方正小标宋简体" w:eastAsia="方正小标宋简体"/>
          <w:color w:val="000000"/>
          <w:sz w:val="72"/>
          <w:szCs w:val="72"/>
          <w:lang w:eastAsia="zh-CN"/>
        </w:rPr>
        <w:t>分析报告</w:t>
      </w:r>
    </w:p>
    <w:p w14:paraId="1929FF83">
      <w:pPr>
        <w:widowControl/>
        <w:jc w:val="center"/>
        <w:rPr>
          <w:rFonts w:ascii="方正小标宋简体" w:eastAsia="方正小标宋简体"/>
          <w:color w:val="000000"/>
          <w:sz w:val="36"/>
          <w:szCs w:val="36"/>
        </w:rPr>
      </w:pPr>
    </w:p>
    <w:p w14:paraId="29B9D55B">
      <w:pPr>
        <w:widowControl/>
        <w:jc w:val="center"/>
        <w:rPr>
          <w:rFonts w:ascii="方正小标宋简体" w:eastAsia="方正小标宋简体"/>
          <w:color w:val="000000"/>
          <w:sz w:val="36"/>
          <w:szCs w:val="36"/>
        </w:rPr>
      </w:pPr>
    </w:p>
    <w:p w14:paraId="0A69027D">
      <w:pPr>
        <w:widowControl/>
        <w:jc w:val="center"/>
        <w:rPr>
          <w:rFonts w:ascii="方正小标宋简体" w:eastAsia="方正小标宋简体"/>
          <w:color w:val="000000"/>
          <w:sz w:val="36"/>
          <w:szCs w:val="36"/>
        </w:rPr>
      </w:pPr>
    </w:p>
    <w:p w14:paraId="50959996">
      <w:pPr>
        <w:widowControl/>
        <w:jc w:val="center"/>
        <w:rPr>
          <w:rFonts w:ascii="黑体" w:eastAsia="黑体" w:cs="Arial"/>
          <w:sz w:val="28"/>
          <w:szCs w:val="28"/>
        </w:rPr>
      </w:pPr>
      <w:r>
        <w:rPr>
          <w:rFonts w:ascii="方正小标宋简体" w:eastAsia="方正小标宋简体"/>
          <w:color w:val="000000"/>
          <w:sz w:val="36"/>
          <w:szCs w:val="36"/>
        </w:rPr>
        <w:br w:type="page"/>
      </w:r>
      <w:r>
        <w:rPr>
          <w:rFonts w:hint="eastAsia" w:ascii="黑体" w:eastAsia="黑体"/>
          <w:color w:val="000000"/>
          <w:sz w:val="48"/>
          <w:szCs w:val="48"/>
        </w:rPr>
        <w:t>目录</w:t>
      </w: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14:paraId="60B5AD2D">
      <w:pPr>
        <w:pStyle w:val="11"/>
        <w:rPr>
          <w:rFonts w:hint="eastAsia"/>
        </w:rPr>
      </w:pPr>
      <w:r>
        <w:rPr>
          <w:rFonts w:hint="eastAsia"/>
        </w:rPr>
        <w:t>公开时间：</w:t>
      </w:r>
      <w:r>
        <w:rPr>
          <w:rFonts w:hint="eastAsia"/>
          <w:lang w:val="en-US" w:eastAsia="zh-CN"/>
        </w:rPr>
        <w:t>2025</w:t>
      </w:r>
      <w:r>
        <w:rPr>
          <w:rFonts w:hint="eastAsia"/>
        </w:rPr>
        <w:t>年</w:t>
      </w:r>
      <w:r>
        <w:rPr>
          <w:rFonts w:hint="eastAsia"/>
          <w:lang w:val="en-US" w:eastAsia="zh-CN"/>
        </w:rPr>
        <w:t xml:space="preserve"> 8 </w:t>
      </w:r>
      <w:r>
        <w:rPr>
          <w:rFonts w:hint="eastAsia"/>
        </w:rPr>
        <w:t>月</w:t>
      </w:r>
      <w:r>
        <w:rPr>
          <w:rFonts w:hint="eastAsia"/>
          <w:lang w:val="en-US" w:eastAsia="zh-CN"/>
        </w:rPr>
        <w:t xml:space="preserve"> 25 </w:t>
      </w:r>
      <w:r>
        <w:rPr>
          <w:rFonts w:hint="eastAsia"/>
        </w:rPr>
        <w:t>日</w:t>
      </w:r>
    </w:p>
    <w:p w14:paraId="1DCD3F9E">
      <w:pPr>
        <w:rPr>
          <w:rFonts w:hint="eastAsia"/>
        </w:rPr>
      </w:pPr>
    </w:p>
    <w:p w14:paraId="79A1835E">
      <w:pPr>
        <w:pStyle w:val="11"/>
        <w:rPr>
          <w:rFonts w:hint="eastAsia" w:eastAsia="仿宋" w:cs="Arial"/>
          <w:lang w:val="en-US" w:eastAsia="zh-CN"/>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fldChar w:fldCharType="end"/>
      </w:r>
      <w:r>
        <w:rPr>
          <w:rFonts w:hint="eastAsia"/>
          <w:lang w:val="en-US" w:eastAsia="zh-CN"/>
        </w:rPr>
        <w:t>4</w:t>
      </w:r>
    </w:p>
    <w:p w14:paraId="05463CB0">
      <w:pPr>
        <w:pStyle w:val="13"/>
        <w:rPr>
          <w:rFonts w:hint="eastAsia" w:ascii="仿宋" w:eastAsia="仿宋" w:cs="Arial"/>
          <w:sz w:val="28"/>
          <w:szCs w:val="28"/>
          <w:lang w:val="en-US" w:eastAsia="zh-CN"/>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rPr>
        <w:fldChar w:fldCharType="end"/>
      </w:r>
      <w:r>
        <w:rPr>
          <w:rFonts w:hint="eastAsia" w:ascii="仿宋" w:eastAsia="仿宋"/>
          <w:sz w:val="28"/>
          <w:szCs w:val="28"/>
          <w:lang w:val="en-US" w:eastAsia="zh-CN"/>
        </w:rPr>
        <w:t>4</w:t>
      </w:r>
    </w:p>
    <w:p w14:paraId="7219810B">
      <w:pPr>
        <w:pStyle w:val="13"/>
        <w:rPr>
          <w:rFonts w:hint="eastAsia" w:ascii="仿宋" w:eastAsia="仿宋" w:cs="Arial"/>
          <w:sz w:val="28"/>
          <w:szCs w:val="28"/>
          <w:lang w:val="en-US" w:eastAsia="zh-CN"/>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ascii="仿宋" w:eastAsia="仿宋"/>
          <w:sz w:val="28"/>
          <w:szCs w:val="28"/>
        </w:rPr>
        <w:fldChar w:fldCharType="end"/>
      </w:r>
      <w:r>
        <w:rPr>
          <w:rFonts w:hint="eastAsia" w:ascii="仿宋" w:eastAsia="仿宋"/>
          <w:sz w:val="28"/>
          <w:szCs w:val="28"/>
          <w:lang w:val="en-US" w:eastAsia="zh-CN"/>
        </w:rPr>
        <w:t>7</w:t>
      </w:r>
    </w:p>
    <w:p w14:paraId="7723C3BE">
      <w:pPr>
        <w:pStyle w:val="11"/>
        <w:rPr>
          <w:rFonts w:hint="eastAsia" w:eastAsia="仿宋"/>
          <w:lang w:val="en-US" w:eastAsia="zh-CN"/>
        </w:rPr>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fldChar w:fldCharType="end"/>
      </w:r>
      <w:r>
        <w:rPr>
          <w:rFonts w:hint="eastAsia"/>
          <w:lang w:val="en-US" w:eastAsia="zh-CN"/>
        </w:rPr>
        <w:t>7</w:t>
      </w:r>
    </w:p>
    <w:p w14:paraId="502F26A9">
      <w:pPr>
        <w:pStyle w:val="13"/>
        <w:rPr>
          <w:rFonts w:hint="eastAsia" w:ascii="仿宋" w:eastAsia="仿宋" w:cs="Arial"/>
          <w:sz w:val="28"/>
          <w:szCs w:val="28"/>
          <w:lang w:val="en-US" w:eastAsia="zh-CN"/>
        </w:rPr>
      </w:pPr>
      <w:r>
        <w:fldChar w:fldCharType="begin"/>
      </w:r>
      <w:r>
        <w:instrText xml:space="preserve"> HYPERLINK \l "_Toc15396603" </w:instrText>
      </w:r>
      <w:r>
        <w:fldChar w:fldCharType="separate"/>
      </w:r>
      <w:r>
        <w:rPr>
          <w:rFonts w:hint="eastAsia" w:ascii="仿宋" w:eastAsia="仿宋" w:cs="Times New Roman"/>
          <w:bCs/>
          <w:sz w:val="28"/>
          <w:szCs w:val="28"/>
        </w:rPr>
        <w:t>一、</w:t>
      </w:r>
      <w:r>
        <w:rPr>
          <w:rFonts w:hint="eastAsia" w:ascii="仿宋" w:eastAsia="仿宋"/>
          <w:sz w:val="28"/>
          <w:szCs w:val="28"/>
        </w:rPr>
        <w:t>收</w:t>
      </w:r>
      <w:r>
        <w:rPr>
          <w:rFonts w:hint="eastAsia" w:ascii="仿宋" w:eastAsia="仿宋" w:cs="Times New Roman"/>
          <w:bCs/>
          <w:sz w:val="28"/>
          <w:szCs w:val="28"/>
        </w:rPr>
        <w:t>入支出决算总体情况说明</w:t>
      </w:r>
      <w:r>
        <w:rPr>
          <w:rFonts w:ascii="仿宋" w:eastAsia="仿宋"/>
          <w:sz w:val="28"/>
          <w:szCs w:val="28"/>
        </w:rPr>
        <w:tab/>
      </w:r>
      <w:r>
        <w:rPr>
          <w:rFonts w:ascii="仿宋" w:eastAsia="仿宋"/>
          <w:sz w:val="28"/>
          <w:szCs w:val="28"/>
        </w:rPr>
        <w:fldChar w:fldCharType="end"/>
      </w:r>
      <w:r>
        <w:rPr>
          <w:rFonts w:hint="eastAsia" w:ascii="仿宋" w:eastAsia="仿宋"/>
          <w:sz w:val="28"/>
          <w:szCs w:val="28"/>
          <w:lang w:val="en-US" w:eastAsia="zh-CN"/>
        </w:rPr>
        <w:t>7</w:t>
      </w:r>
    </w:p>
    <w:p w14:paraId="42B596DF">
      <w:pPr>
        <w:pStyle w:val="13"/>
        <w:rPr>
          <w:rFonts w:hint="eastAsia" w:ascii="仿宋" w:eastAsia="仿宋" w:cs="Arial"/>
          <w:sz w:val="28"/>
          <w:szCs w:val="28"/>
          <w:lang w:val="en-US" w:eastAsia="zh-CN"/>
        </w:rPr>
      </w:pPr>
      <w:r>
        <w:fldChar w:fldCharType="begin"/>
      </w:r>
      <w:r>
        <w:instrText xml:space="preserve"> HYPERLINK \l "_Toc15396604" </w:instrText>
      </w:r>
      <w:r>
        <w:fldChar w:fldCharType="separate"/>
      </w:r>
      <w:r>
        <w:rPr>
          <w:rFonts w:hint="eastAsia" w:ascii="仿宋" w:eastAsia="仿宋" w:cs="Times New Roman"/>
          <w:bCs/>
          <w:sz w:val="28"/>
          <w:szCs w:val="28"/>
        </w:rPr>
        <w:t>二、</w:t>
      </w:r>
      <w:r>
        <w:rPr>
          <w:rFonts w:hint="eastAsia" w:ascii="仿宋" w:eastAsia="仿宋"/>
          <w:sz w:val="28"/>
          <w:szCs w:val="28"/>
        </w:rPr>
        <w:t>收</w:t>
      </w:r>
      <w:r>
        <w:rPr>
          <w:rFonts w:hint="eastAsia" w:ascii="仿宋" w:eastAsia="仿宋" w:cs="Times New Roman"/>
          <w:bCs/>
          <w:sz w:val="28"/>
          <w:szCs w:val="28"/>
        </w:rPr>
        <w:t>入决算情况说明</w:t>
      </w:r>
      <w:r>
        <w:rPr>
          <w:rFonts w:ascii="仿宋" w:eastAsia="仿宋"/>
          <w:sz w:val="28"/>
          <w:szCs w:val="28"/>
        </w:rPr>
        <w:tab/>
      </w:r>
      <w:r>
        <w:rPr>
          <w:rFonts w:ascii="仿宋" w:eastAsia="仿宋"/>
          <w:sz w:val="28"/>
          <w:szCs w:val="28"/>
        </w:rPr>
        <w:fldChar w:fldCharType="end"/>
      </w:r>
      <w:r>
        <w:rPr>
          <w:rFonts w:hint="eastAsia" w:ascii="仿宋" w:eastAsia="仿宋"/>
          <w:sz w:val="28"/>
          <w:szCs w:val="28"/>
          <w:lang w:val="en-US" w:eastAsia="zh-CN"/>
        </w:rPr>
        <w:t>8</w:t>
      </w:r>
    </w:p>
    <w:p w14:paraId="52A3A11A">
      <w:pPr>
        <w:pStyle w:val="13"/>
        <w:rPr>
          <w:rFonts w:hint="eastAsia" w:ascii="仿宋" w:eastAsia="仿宋" w:cs="Arial"/>
          <w:sz w:val="28"/>
          <w:szCs w:val="28"/>
          <w:lang w:val="en-US" w:eastAsia="zh-CN"/>
        </w:rPr>
      </w:pPr>
      <w:r>
        <w:fldChar w:fldCharType="begin"/>
      </w:r>
      <w:r>
        <w:instrText xml:space="preserve"> HYPERLINK \l "_Toc15396605" </w:instrText>
      </w:r>
      <w:r>
        <w:fldChar w:fldCharType="separate"/>
      </w:r>
      <w:r>
        <w:rPr>
          <w:rFonts w:hint="eastAsia" w:ascii="仿宋" w:eastAsia="仿宋" w:cs="Times New Roman"/>
          <w:bCs/>
          <w:sz w:val="28"/>
          <w:szCs w:val="28"/>
        </w:rPr>
        <w:t>三、</w:t>
      </w:r>
      <w:r>
        <w:rPr>
          <w:rFonts w:hint="eastAsia" w:ascii="仿宋" w:eastAsia="仿宋"/>
          <w:sz w:val="28"/>
          <w:szCs w:val="28"/>
        </w:rPr>
        <w:t>支</w:t>
      </w:r>
      <w:r>
        <w:rPr>
          <w:rFonts w:hint="eastAsia" w:ascii="仿宋" w:eastAsia="仿宋" w:cs="Times New Roman"/>
          <w:bCs/>
          <w:sz w:val="28"/>
          <w:szCs w:val="28"/>
        </w:rPr>
        <w:t>出决算情况说明</w:t>
      </w:r>
      <w:r>
        <w:rPr>
          <w:rFonts w:ascii="仿宋" w:eastAsia="仿宋"/>
          <w:sz w:val="28"/>
          <w:szCs w:val="28"/>
        </w:rPr>
        <w:tab/>
      </w:r>
      <w:r>
        <w:rPr>
          <w:rFonts w:ascii="仿宋" w:eastAsia="仿宋"/>
          <w:sz w:val="28"/>
          <w:szCs w:val="28"/>
        </w:rPr>
        <w:fldChar w:fldCharType="end"/>
      </w:r>
      <w:r>
        <w:rPr>
          <w:rFonts w:hint="eastAsia" w:ascii="仿宋" w:eastAsia="仿宋"/>
          <w:sz w:val="28"/>
          <w:szCs w:val="28"/>
          <w:lang w:val="en-US" w:eastAsia="zh-CN"/>
        </w:rPr>
        <w:t>9</w:t>
      </w:r>
    </w:p>
    <w:p w14:paraId="30BEDBAD">
      <w:pPr>
        <w:pStyle w:val="13"/>
        <w:rPr>
          <w:rFonts w:hint="eastAsia" w:ascii="仿宋" w:eastAsia="仿宋" w:cs="Arial"/>
          <w:sz w:val="28"/>
          <w:szCs w:val="28"/>
          <w:lang w:val="en-US" w:eastAsia="zh-CN"/>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cs="Times New Roman"/>
          <w:bCs/>
          <w:sz w:val="28"/>
          <w:szCs w:val="28"/>
        </w:rPr>
        <w:t>政拨款收入支出决算总体情况说明</w:t>
      </w:r>
      <w:r>
        <w:rPr>
          <w:rFonts w:ascii="仿宋" w:eastAsia="仿宋"/>
          <w:sz w:val="28"/>
          <w:szCs w:val="28"/>
        </w:rPr>
        <w:tab/>
      </w:r>
      <w:r>
        <w:rPr>
          <w:rFonts w:ascii="仿宋" w:eastAsia="仿宋"/>
          <w:sz w:val="28"/>
          <w:szCs w:val="28"/>
        </w:rPr>
        <w:fldChar w:fldCharType="end"/>
      </w:r>
      <w:r>
        <w:rPr>
          <w:rFonts w:hint="eastAsia" w:ascii="仿宋" w:eastAsia="仿宋"/>
          <w:sz w:val="28"/>
          <w:szCs w:val="28"/>
          <w:lang w:val="en-US" w:eastAsia="zh-CN"/>
        </w:rPr>
        <w:t>9</w:t>
      </w:r>
    </w:p>
    <w:p w14:paraId="7BEF9243">
      <w:pPr>
        <w:pStyle w:val="13"/>
        <w:rPr>
          <w:rFonts w:hint="default" w:ascii="仿宋" w:eastAsia="仿宋" w:cs="Arial"/>
          <w:sz w:val="28"/>
          <w:szCs w:val="28"/>
          <w:lang w:val="en-US" w:eastAsia="zh-CN"/>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cs="Times New Roman"/>
          <w:bCs/>
          <w:sz w:val="28"/>
          <w:szCs w:val="28"/>
        </w:rPr>
        <w:t>般公共预算财政拨款支出决算情况说明</w:t>
      </w:r>
      <w:r>
        <w:rPr>
          <w:rFonts w:ascii="仿宋" w:eastAsia="仿宋"/>
          <w:sz w:val="28"/>
          <w:szCs w:val="28"/>
        </w:rPr>
        <w:tab/>
      </w:r>
      <w:r>
        <w:rPr>
          <w:rFonts w:ascii="仿宋" w:eastAsia="仿宋"/>
          <w:sz w:val="28"/>
          <w:szCs w:val="28"/>
        </w:rPr>
        <w:fldChar w:fldCharType="end"/>
      </w:r>
      <w:r>
        <w:rPr>
          <w:rFonts w:hint="eastAsia" w:ascii="仿宋" w:eastAsia="仿宋"/>
          <w:sz w:val="28"/>
          <w:szCs w:val="28"/>
          <w:lang w:val="en-US" w:eastAsia="zh-CN"/>
        </w:rPr>
        <w:t>10</w:t>
      </w:r>
    </w:p>
    <w:p w14:paraId="1B6497B0">
      <w:pPr>
        <w:pStyle w:val="13"/>
        <w:rPr>
          <w:rFonts w:hint="default" w:ascii="仿宋" w:eastAsia="仿宋" w:cs="Arial"/>
          <w:sz w:val="28"/>
          <w:szCs w:val="28"/>
          <w:lang w:val="en-US" w:eastAsia="zh-CN"/>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cs="Times New Roman"/>
          <w:bCs/>
          <w:sz w:val="28"/>
          <w:szCs w:val="28"/>
        </w:rPr>
        <w:t>般公共预算财政拨款基本支出决算情况说明</w:t>
      </w:r>
      <w:r>
        <w:rPr>
          <w:rFonts w:ascii="仿宋" w:eastAsia="仿宋"/>
          <w:sz w:val="28"/>
          <w:szCs w:val="28"/>
        </w:rPr>
        <w:tab/>
      </w:r>
      <w:r>
        <w:rPr>
          <w:rFonts w:ascii="仿宋" w:eastAsia="仿宋"/>
          <w:sz w:val="28"/>
          <w:szCs w:val="28"/>
        </w:rPr>
        <w:fldChar w:fldCharType="end"/>
      </w:r>
      <w:r>
        <w:rPr>
          <w:rFonts w:hint="eastAsia" w:ascii="仿宋" w:eastAsia="仿宋"/>
          <w:sz w:val="28"/>
          <w:szCs w:val="28"/>
          <w:lang w:val="en-US" w:eastAsia="zh-CN"/>
        </w:rPr>
        <w:t>12</w:t>
      </w:r>
    </w:p>
    <w:p w14:paraId="2289429F">
      <w:pPr>
        <w:pStyle w:val="13"/>
        <w:rPr>
          <w:rFonts w:hint="eastAsia" w:ascii="仿宋" w:eastAsia="仿宋" w:cs="Arial"/>
          <w:sz w:val="28"/>
          <w:szCs w:val="28"/>
          <w:lang w:val="en-US" w:eastAsia="zh-CN"/>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cs="Times New Roman"/>
          <w:bCs/>
          <w:sz w:val="28"/>
          <w:szCs w:val="28"/>
        </w:rPr>
        <w:t>三公”经费财政拨款支出决算情况说明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2</w:t>
      </w:r>
    </w:p>
    <w:p w14:paraId="4BC4CE47">
      <w:pPr>
        <w:pStyle w:val="13"/>
        <w:rPr>
          <w:rFonts w:hint="eastAsia" w:ascii="仿宋" w:eastAsia="仿宋" w:cs="Arial"/>
          <w:sz w:val="28"/>
          <w:szCs w:val="28"/>
          <w:lang w:val="en-US" w:eastAsia="zh-CN"/>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cs="Times New Roman"/>
          <w:bCs/>
          <w:sz w:val="28"/>
          <w:szCs w:val="28"/>
        </w:rPr>
        <w:t>政府性基金预算支出决算情况说明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3</w:t>
      </w:r>
    </w:p>
    <w:p w14:paraId="4F2FA5D0">
      <w:pPr>
        <w:pStyle w:val="13"/>
        <w:rPr>
          <w:rFonts w:hint="eastAsia" w:ascii="仿宋" w:eastAsia="仿宋"/>
          <w:sz w:val="28"/>
          <w:szCs w:val="28"/>
          <w:lang w:val="en-US" w:eastAsia="zh-CN"/>
        </w:rPr>
      </w:pPr>
      <w:r>
        <w:fldChar w:fldCharType="begin"/>
      </w:r>
      <w:r>
        <w:instrText xml:space="preserve"> HYPERLINK \l "_Toc15396611" </w:instrText>
      </w:r>
      <w:r>
        <w:fldChar w:fldCharType="separate"/>
      </w:r>
      <w:r>
        <w:rPr>
          <w:rFonts w:hint="eastAsia" w:ascii="仿宋" w:eastAsia="仿宋" w:cs="Times New Roman"/>
          <w:bCs/>
          <w:sz w:val="28"/>
          <w:szCs w:val="28"/>
        </w:rPr>
        <w:t>九、</w:t>
      </w:r>
      <w:r>
        <w:rPr>
          <w:rFonts w:hint="eastAsia" w:ascii="仿宋" w:eastAsia="仿宋"/>
          <w:sz w:val="28"/>
          <w:szCs w:val="28"/>
        </w:rPr>
        <w:t xml:space="preserve"> 国</w:t>
      </w:r>
      <w:r>
        <w:rPr>
          <w:rFonts w:hint="eastAsia" w:ascii="仿宋" w:eastAsia="仿宋" w:cs="Times New Roman"/>
          <w:bCs/>
          <w:sz w:val="28"/>
          <w:szCs w:val="28"/>
        </w:rPr>
        <w:t>有资本经营预算支出决算情况说明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3</w:t>
      </w:r>
    </w:p>
    <w:p w14:paraId="4A246E70">
      <w:pPr>
        <w:pStyle w:val="13"/>
        <w:rPr>
          <w:rFonts w:hint="default" w:ascii="仿宋" w:eastAsia="仿宋"/>
          <w:sz w:val="28"/>
          <w:szCs w:val="28"/>
          <w:lang w:val="en-US"/>
        </w:rPr>
      </w:pPr>
      <w:r>
        <w:rPr>
          <w:rStyle w:val="19"/>
          <w:rFonts w:hint="eastAsia" w:ascii="仿宋" w:eastAsia="仿宋" w:cs="Times New Roman"/>
          <w:bCs/>
          <w:kern w:val="2"/>
          <w:sz w:val="28"/>
          <w:szCs w:val="28"/>
          <w:lang w:val="en-US" w:eastAsia="zh-CN" w:bidi="ar-SA"/>
        </w:rPr>
        <w:t>十、预算绩效情况说明............................. .....13</w:t>
      </w:r>
    </w:p>
    <w:p w14:paraId="6B7954B6">
      <w:pPr>
        <w:pStyle w:val="13"/>
        <w:rPr>
          <w:rFonts w:hint="eastAsia" w:ascii="仿宋" w:eastAsia="仿宋" w:cs="Arial"/>
          <w:sz w:val="28"/>
          <w:szCs w:val="28"/>
          <w:lang w:val="en-US" w:eastAsia="zh-CN"/>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cs="Times New Roman"/>
          <w:bCs/>
          <w:sz w:val="28"/>
          <w:szCs w:val="28"/>
        </w:rPr>
        <w:t>一、其他重要事项的情况说明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4</w:t>
      </w:r>
    </w:p>
    <w:p w14:paraId="63AF5FB1">
      <w:pPr>
        <w:pStyle w:val="11"/>
        <w:rPr>
          <w:rFonts w:hint="eastAsia" w:ascii="仿宋" w:eastAsia="仿宋"/>
          <w:color w:val="000000"/>
          <w:sz w:val="24"/>
          <w:lang w:val="en-US" w:eastAsia="zh-CN"/>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fldChar w:fldCharType="end"/>
      </w:r>
      <w:r>
        <w:rPr>
          <w:rFonts w:hint="eastAsia"/>
          <w:lang w:val="en-US" w:eastAsia="zh-CN"/>
        </w:rPr>
        <w:t>1</w:t>
      </w:r>
      <w:r>
        <w:rPr>
          <w:rFonts w:ascii="仿宋" w:eastAsia="仿宋"/>
          <w:color w:val="000000"/>
          <w:sz w:val="24"/>
        </w:rPr>
        <w:fldChar w:fldCharType="end"/>
      </w:r>
      <w:r>
        <w:rPr>
          <w:rFonts w:hint="eastAsia"/>
          <w:color w:val="000000"/>
          <w:sz w:val="24"/>
          <w:lang w:val="en-US" w:eastAsia="zh-CN"/>
        </w:rPr>
        <w:t>5</w:t>
      </w:r>
    </w:p>
    <w:p w14:paraId="312E6026">
      <w:pPr>
        <w:spacing w:line="560" w:lineRule="exact"/>
        <w:jc w:val="center"/>
        <w:rPr>
          <w:rFonts w:hint="eastAsia" w:ascii="仿宋" w:hAnsi="Times New Roman" w:eastAsia="仿宋" w:cs="Times New Roman"/>
          <w:kern w:val="2"/>
          <w:sz w:val="28"/>
          <w:szCs w:val="28"/>
          <w:lang w:val="en-US" w:eastAsia="zh-CN" w:bidi="ar-SA"/>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ascii="仿宋" w:hAnsi="Times New Roman" w:eastAsia="仿宋" w:cs="Times New Roman"/>
          <w:kern w:val="2"/>
          <w:sz w:val="28"/>
          <w:szCs w:val="28"/>
          <w:lang w:val="en-US" w:eastAsia="zh-CN" w:bidi="ar-SA"/>
        </w:rPr>
        <w:t>金川县文学艺术界联合会202</w:t>
      </w:r>
      <w:r>
        <w:rPr>
          <w:rFonts w:hint="eastAsia" w:ascii="仿宋" w:eastAsia="仿宋" w:cs="Times New Roman"/>
          <w:kern w:val="2"/>
          <w:sz w:val="28"/>
          <w:szCs w:val="28"/>
          <w:lang w:val="en-US" w:eastAsia="zh-CN" w:bidi="ar-SA"/>
        </w:rPr>
        <w:t>2</w:t>
      </w:r>
      <w:r>
        <w:rPr>
          <w:rFonts w:hint="eastAsia" w:ascii="仿宋" w:hAnsi="Times New Roman" w:eastAsia="仿宋" w:cs="Times New Roman"/>
          <w:kern w:val="2"/>
          <w:sz w:val="28"/>
          <w:szCs w:val="28"/>
          <w:lang w:val="en-US" w:eastAsia="zh-CN" w:bidi="ar-SA"/>
        </w:rPr>
        <w:t>年部门整体支出绩效评价报告</w:t>
      </w:r>
    </w:p>
    <w:p w14:paraId="318047D8">
      <w:pPr>
        <w:pStyle w:val="11"/>
        <w:rPr>
          <w:rFonts w:hint="eastAsia" w:eastAsia="仿宋" w:cs="Arial"/>
          <w:lang w:val="en-US" w:eastAsia="zh-CN"/>
        </w:rPr>
      </w:pPr>
      <w:r>
        <w:tab/>
      </w:r>
      <w:r>
        <w:rPr>
          <w:rFonts w:hint="eastAsia"/>
        </w:rPr>
        <w:t>1</w:t>
      </w:r>
      <w:r>
        <w:rPr>
          <w:rFonts w:hint="eastAsia"/>
        </w:rPr>
        <w:fldChar w:fldCharType="end"/>
      </w:r>
      <w:r>
        <w:rPr>
          <w:rFonts w:hint="eastAsia"/>
          <w:lang w:val="en-US" w:eastAsia="zh-CN"/>
        </w:rPr>
        <w:t>7</w:t>
      </w:r>
    </w:p>
    <w:p w14:paraId="58B7B6B6">
      <w:pPr>
        <w:pStyle w:val="13"/>
        <w:ind w:left="420"/>
        <w:rPr>
          <w:rFonts w:hint="eastAsia" w:ascii="仿宋" w:eastAsia="仿宋" w:cs="Arial"/>
          <w:sz w:val="28"/>
          <w:szCs w:val="28"/>
          <w:lang w:val="en-US" w:eastAsia="zh-CN"/>
        </w:rPr>
      </w:pPr>
      <w:r>
        <w:fldChar w:fldCharType="begin"/>
      </w:r>
      <w:r>
        <w:instrText xml:space="preserve"> HYPERLINK \l "_Toc15396615" </w:instrText>
      </w:r>
      <w:r>
        <w:fldChar w:fldCharType="separate"/>
      </w:r>
      <w:r>
        <w:rPr>
          <w:rFonts w:hint="eastAsia" w:ascii="仿宋" w:eastAsia="仿宋"/>
          <w:kern w:val="44"/>
          <w:sz w:val="28"/>
          <w:szCs w:val="28"/>
        </w:rPr>
        <w:t>附件</w:t>
      </w:r>
      <w:r>
        <w:rPr>
          <w:rFonts w:ascii="仿宋" w:eastAsia="仿宋"/>
          <w:kern w:val="44"/>
          <w:sz w:val="28"/>
          <w:szCs w:val="28"/>
        </w:rPr>
        <w:t>1</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lang w:val="en-US" w:eastAsia="zh-CN"/>
        </w:rPr>
        <w:t>7</w:t>
      </w:r>
    </w:p>
    <w:p w14:paraId="78AE43A8">
      <w:pPr>
        <w:pStyle w:val="11"/>
        <w:rPr>
          <w:rFonts w:hint="default" w:eastAsia="仿宋" w:cs="Arial"/>
          <w:lang w:val="en-US" w:eastAsia="zh-CN"/>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rPr>
        <w:fldChar w:fldCharType="end"/>
      </w:r>
      <w:r>
        <w:rPr>
          <w:rFonts w:hint="eastAsia"/>
          <w:lang w:val="en-US" w:eastAsia="zh-CN"/>
        </w:rPr>
        <w:t>22</w:t>
      </w:r>
    </w:p>
    <w:p w14:paraId="2F2D5AD7">
      <w:pPr>
        <w:pStyle w:val="13"/>
        <w:ind w:left="420"/>
        <w:rPr>
          <w:rFonts w:hint="default" w:ascii="仿宋" w:eastAsia="仿宋" w:cs="Arial"/>
          <w:sz w:val="28"/>
          <w:szCs w:val="28"/>
          <w:lang w:val="en-US" w:eastAsia="zh-CN"/>
        </w:rPr>
      </w:pPr>
      <w:r>
        <w:rPr>
          <w:rFonts w:hint="eastAsia" w:ascii="仿宋" w:eastAsia="仿宋"/>
          <w:sz w:val="28"/>
          <w:szCs w:val="28"/>
        </w:rPr>
        <w:t>一、</w:t>
      </w:r>
      <w:r>
        <w:fldChar w:fldCharType="begin"/>
      </w:r>
      <w:r>
        <w:instrText xml:space="preserve"> HYPERLINK \l "_Toc15396619" </w:instrText>
      </w:r>
      <w:r>
        <w:fldChar w:fldCharType="separate"/>
      </w:r>
      <w:r>
        <w:rPr>
          <w:rFonts w:hint="eastAsia" w:ascii="仿宋" w:eastAsia="仿宋"/>
          <w:sz w:val="28"/>
          <w:szCs w:val="28"/>
        </w:rPr>
        <w:t>收入支出决算总表</w:t>
      </w:r>
      <w:r>
        <w:rPr>
          <w:rFonts w:ascii="仿宋" w:eastAsia="仿宋"/>
          <w:sz w:val="28"/>
          <w:szCs w:val="28"/>
        </w:rPr>
        <w:tab/>
      </w:r>
      <w:r>
        <w:rPr>
          <w:rFonts w:hint="eastAsia" w:ascii="仿宋" w:eastAsia="仿宋"/>
          <w:sz w:val="28"/>
          <w:szCs w:val="28"/>
        </w:rPr>
        <w:fldChar w:fldCharType="end"/>
      </w:r>
      <w:r>
        <w:rPr>
          <w:rFonts w:hint="eastAsia" w:ascii="仿宋" w:eastAsia="仿宋"/>
          <w:sz w:val="28"/>
          <w:szCs w:val="28"/>
          <w:lang w:val="en-US" w:eastAsia="zh-CN"/>
        </w:rPr>
        <w:t>22</w:t>
      </w:r>
    </w:p>
    <w:p w14:paraId="25D3B043">
      <w:pPr>
        <w:pStyle w:val="13"/>
        <w:ind w:left="420"/>
        <w:rPr>
          <w:rFonts w:hint="eastAsia" w:ascii="仿宋" w:eastAsia="仿宋" w:cs="Arial"/>
          <w:sz w:val="28"/>
          <w:szCs w:val="28"/>
          <w:lang w:val="en-US" w:eastAsia="zh-CN"/>
        </w:rPr>
      </w:pPr>
      <w:r>
        <w:rPr>
          <w:rFonts w:hint="eastAsia" w:ascii="仿宋" w:eastAsia="仿宋"/>
          <w:sz w:val="28"/>
          <w:szCs w:val="28"/>
        </w:rPr>
        <w:t>二、</w:t>
      </w:r>
      <w:r>
        <w:fldChar w:fldCharType="begin"/>
      </w:r>
      <w:r>
        <w:instrText xml:space="preserve"> HYPERLINK \l "_Toc15396620" </w:instrText>
      </w:r>
      <w:r>
        <w:fldChar w:fldCharType="separate"/>
      </w:r>
      <w:r>
        <w:rPr>
          <w:rFonts w:hint="eastAsia" w:ascii="仿宋" w:eastAsia="仿宋"/>
          <w:sz w:val="28"/>
          <w:szCs w:val="28"/>
        </w:rPr>
        <w:t>收入总表</w:t>
      </w:r>
      <w:r>
        <w:rPr>
          <w:rFonts w:ascii="仿宋" w:eastAsia="仿宋"/>
          <w:sz w:val="28"/>
          <w:szCs w:val="28"/>
        </w:rPr>
        <w:tab/>
      </w:r>
      <w:r>
        <w:rPr>
          <w:rFonts w:hint="eastAsia" w:ascii="仿宋" w:eastAsia="仿宋"/>
          <w:sz w:val="28"/>
          <w:szCs w:val="28"/>
          <w:lang w:val="en-US" w:eastAsia="zh-CN"/>
        </w:rPr>
        <w:t>2</w:t>
      </w:r>
      <w:r>
        <w:rPr>
          <w:rFonts w:hint="eastAsia" w:ascii="仿宋" w:eastAsia="仿宋"/>
          <w:sz w:val="28"/>
          <w:szCs w:val="28"/>
        </w:rPr>
        <w:fldChar w:fldCharType="end"/>
      </w:r>
      <w:r>
        <w:rPr>
          <w:rFonts w:hint="eastAsia" w:ascii="仿宋" w:eastAsia="仿宋"/>
          <w:sz w:val="28"/>
          <w:szCs w:val="28"/>
          <w:lang w:val="en-US" w:eastAsia="zh-CN"/>
        </w:rPr>
        <w:t>2</w:t>
      </w:r>
    </w:p>
    <w:p w14:paraId="411C0836">
      <w:pPr>
        <w:pStyle w:val="13"/>
        <w:ind w:left="420"/>
        <w:rPr>
          <w:rFonts w:hint="default" w:ascii="仿宋" w:eastAsia="仿宋" w:cs="Arial"/>
          <w:sz w:val="28"/>
          <w:szCs w:val="28"/>
          <w:lang w:val="en-US" w:eastAsia="zh-CN"/>
        </w:rPr>
      </w:pPr>
      <w:r>
        <w:rPr>
          <w:rFonts w:hint="eastAsia" w:ascii="仿宋" w:eastAsia="仿宋"/>
          <w:sz w:val="28"/>
          <w:szCs w:val="28"/>
        </w:rPr>
        <w:t>三、</w:t>
      </w:r>
      <w:r>
        <w:fldChar w:fldCharType="begin"/>
      </w:r>
      <w:r>
        <w:instrText xml:space="preserve"> HYPERLINK \l "_Toc15396621" </w:instrText>
      </w:r>
      <w:r>
        <w:fldChar w:fldCharType="separate"/>
      </w:r>
      <w:r>
        <w:rPr>
          <w:rFonts w:hint="eastAsia" w:ascii="仿宋" w:eastAsia="仿宋"/>
          <w:sz w:val="28"/>
          <w:szCs w:val="28"/>
        </w:rPr>
        <w:t>支出总表</w:t>
      </w:r>
      <w:r>
        <w:rPr>
          <w:rFonts w:ascii="仿宋" w:eastAsia="仿宋"/>
          <w:sz w:val="28"/>
          <w:szCs w:val="28"/>
        </w:rPr>
        <w:tab/>
      </w:r>
      <w:r>
        <w:rPr>
          <w:rFonts w:hint="eastAsia" w:ascii="仿宋" w:eastAsia="仿宋"/>
          <w:sz w:val="28"/>
          <w:szCs w:val="28"/>
        </w:rPr>
        <w:fldChar w:fldCharType="end"/>
      </w:r>
      <w:r>
        <w:rPr>
          <w:rFonts w:hint="eastAsia" w:ascii="仿宋" w:eastAsia="仿宋"/>
          <w:sz w:val="28"/>
          <w:szCs w:val="28"/>
          <w:lang w:val="en-US" w:eastAsia="zh-CN"/>
        </w:rPr>
        <w:t>22</w:t>
      </w:r>
    </w:p>
    <w:p w14:paraId="0919DD9F">
      <w:pPr>
        <w:pStyle w:val="13"/>
        <w:ind w:left="420"/>
        <w:rPr>
          <w:rFonts w:hint="default" w:ascii="仿宋" w:eastAsia="仿宋" w:cs="Arial"/>
          <w:sz w:val="28"/>
          <w:szCs w:val="28"/>
          <w:lang w:val="en-US" w:eastAsia="zh-CN"/>
        </w:rPr>
      </w:pPr>
      <w:r>
        <w:rPr>
          <w:rFonts w:hint="eastAsia" w:ascii="仿宋" w:eastAsia="仿宋"/>
          <w:sz w:val="28"/>
          <w:szCs w:val="28"/>
        </w:rPr>
        <w:t>四、</w:t>
      </w:r>
      <w:r>
        <w:fldChar w:fldCharType="begin"/>
      </w:r>
      <w:r>
        <w:instrText xml:space="preserve"> HYPERLINK \l "_Toc15396622" </w:instrText>
      </w:r>
      <w:r>
        <w:fldChar w:fldCharType="separate"/>
      </w:r>
      <w:r>
        <w:rPr>
          <w:rFonts w:hint="eastAsia" w:ascii="仿宋" w:eastAsia="仿宋"/>
          <w:sz w:val="28"/>
          <w:szCs w:val="28"/>
        </w:rPr>
        <w:t>财政拨款收入支出决算总表</w:t>
      </w:r>
      <w:r>
        <w:rPr>
          <w:rFonts w:ascii="仿宋" w:eastAsia="仿宋"/>
          <w:sz w:val="28"/>
          <w:szCs w:val="28"/>
        </w:rPr>
        <w:tab/>
      </w:r>
      <w:r>
        <w:rPr>
          <w:rFonts w:hint="eastAsia" w:ascii="仿宋" w:eastAsia="仿宋"/>
          <w:sz w:val="28"/>
          <w:szCs w:val="28"/>
        </w:rPr>
        <w:fldChar w:fldCharType="end"/>
      </w:r>
      <w:r>
        <w:rPr>
          <w:rFonts w:hint="eastAsia" w:ascii="仿宋" w:eastAsia="仿宋"/>
          <w:sz w:val="28"/>
          <w:szCs w:val="28"/>
          <w:lang w:val="en-US" w:eastAsia="zh-CN"/>
        </w:rPr>
        <w:t>22</w:t>
      </w:r>
    </w:p>
    <w:p w14:paraId="1F711F60">
      <w:pPr>
        <w:pStyle w:val="13"/>
        <w:ind w:left="420"/>
        <w:rPr>
          <w:rFonts w:hint="default" w:ascii="仿宋" w:eastAsia="仿宋"/>
          <w:sz w:val="28"/>
          <w:szCs w:val="28"/>
          <w:lang w:val="en-US" w:eastAsia="zh-CN"/>
        </w:rPr>
      </w:pPr>
      <w:r>
        <w:rPr>
          <w:rFonts w:hint="eastAsia" w:ascii="仿宋" w:eastAsia="仿宋"/>
          <w:sz w:val="28"/>
          <w:szCs w:val="28"/>
        </w:rPr>
        <w:t>五、</w:t>
      </w:r>
      <w:r>
        <w:fldChar w:fldCharType="begin"/>
      </w:r>
      <w:r>
        <w:instrText xml:space="preserve"> HYPERLINK \l "_Toc15396623" </w:instrText>
      </w:r>
      <w:r>
        <w:fldChar w:fldCharType="separate"/>
      </w:r>
      <w:r>
        <w:rPr>
          <w:rFonts w:hint="eastAsia" w:ascii="仿宋" w:eastAsia="仿宋"/>
          <w:sz w:val="28"/>
          <w:szCs w:val="28"/>
        </w:rPr>
        <w:t>财政拨款支出决算明细表（政府经济分类科目）</w:t>
      </w:r>
      <w:r>
        <w:rPr>
          <w:rFonts w:ascii="仿宋" w:eastAsia="仿宋"/>
          <w:sz w:val="28"/>
          <w:szCs w:val="28"/>
        </w:rPr>
        <w:tab/>
      </w:r>
      <w:r>
        <w:rPr>
          <w:rFonts w:hint="eastAsia" w:ascii="仿宋" w:eastAsia="仿宋"/>
          <w:sz w:val="28"/>
          <w:szCs w:val="28"/>
        </w:rPr>
        <w:fldChar w:fldCharType="end"/>
      </w:r>
      <w:r>
        <w:rPr>
          <w:rFonts w:hint="eastAsia" w:ascii="仿宋" w:eastAsia="仿宋"/>
          <w:sz w:val="28"/>
          <w:szCs w:val="28"/>
          <w:lang w:val="en-US" w:eastAsia="zh-CN"/>
        </w:rPr>
        <w:t>22</w:t>
      </w:r>
    </w:p>
    <w:p w14:paraId="434CC21E">
      <w:pPr>
        <w:pStyle w:val="13"/>
        <w:ind w:left="420"/>
        <w:rPr>
          <w:rFonts w:hint="default" w:ascii="仿宋" w:eastAsia="仿宋" w:cs="Arial"/>
          <w:sz w:val="28"/>
          <w:szCs w:val="28"/>
          <w:lang w:val="en-US" w:eastAsia="zh-CN"/>
        </w:rPr>
      </w:pPr>
      <w:r>
        <w:rPr>
          <w:rFonts w:hint="eastAsia" w:ascii="仿宋" w:eastAsia="仿宋"/>
          <w:sz w:val="28"/>
          <w:szCs w:val="28"/>
        </w:rPr>
        <w:t>六、</w:t>
      </w:r>
      <w:r>
        <w:fldChar w:fldCharType="begin"/>
      </w:r>
      <w:r>
        <w:instrText xml:space="preserve"> HYPERLINK \l "_Toc15396624" </w:instrText>
      </w:r>
      <w:r>
        <w:fldChar w:fldCharType="separate"/>
      </w:r>
      <w:r>
        <w:rPr>
          <w:rFonts w:hint="eastAsia" w:ascii="仿宋" w:eastAsia="仿宋"/>
          <w:sz w:val="28"/>
          <w:szCs w:val="28"/>
        </w:rPr>
        <w:t>一般公共预算财政拨款支出决算表</w:t>
      </w:r>
      <w:r>
        <w:rPr>
          <w:rFonts w:ascii="仿宋" w:eastAsia="仿宋"/>
          <w:sz w:val="28"/>
          <w:szCs w:val="28"/>
        </w:rPr>
        <w:tab/>
      </w:r>
      <w:r>
        <w:rPr>
          <w:rFonts w:hint="eastAsia" w:ascii="仿宋" w:eastAsia="仿宋"/>
          <w:sz w:val="28"/>
          <w:szCs w:val="28"/>
        </w:rPr>
        <w:fldChar w:fldCharType="end"/>
      </w:r>
      <w:r>
        <w:rPr>
          <w:rFonts w:hint="eastAsia" w:ascii="仿宋" w:eastAsia="仿宋"/>
          <w:sz w:val="28"/>
          <w:szCs w:val="28"/>
          <w:lang w:val="en-US" w:eastAsia="zh-CN"/>
        </w:rPr>
        <w:t>22</w:t>
      </w:r>
    </w:p>
    <w:p w14:paraId="0D718593">
      <w:pPr>
        <w:pStyle w:val="13"/>
        <w:ind w:left="420"/>
        <w:rPr>
          <w:rFonts w:hint="default" w:ascii="仿宋" w:eastAsia="仿宋" w:cs="Arial"/>
          <w:sz w:val="28"/>
          <w:szCs w:val="28"/>
          <w:lang w:val="en-US" w:eastAsia="zh-CN"/>
        </w:rPr>
      </w:pPr>
      <w:r>
        <w:rPr>
          <w:rFonts w:hint="eastAsia" w:ascii="仿宋" w:eastAsia="仿宋"/>
          <w:sz w:val="28"/>
          <w:szCs w:val="28"/>
        </w:rPr>
        <w:t>七、</w:t>
      </w:r>
      <w:r>
        <w:fldChar w:fldCharType="begin"/>
      </w:r>
      <w:r>
        <w:instrText xml:space="preserve"> HYPERLINK \l "_Toc15396625" </w:instrText>
      </w:r>
      <w:r>
        <w:fldChar w:fldCharType="separate"/>
      </w:r>
      <w:r>
        <w:rPr>
          <w:rFonts w:hint="eastAsia" w:ascii="仿宋" w:eastAsia="仿宋"/>
          <w:sz w:val="28"/>
          <w:szCs w:val="28"/>
        </w:rPr>
        <w:t>一般公共预算财政拨款支出决算明细表</w:t>
      </w:r>
      <w:r>
        <w:rPr>
          <w:rFonts w:ascii="仿宋" w:eastAsia="仿宋"/>
          <w:sz w:val="28"/>
          <w:szCs w:val="28"/>
        </w:rPr>
        <w:tab/>
      </w:r>
      <w:r>
        <w:rPr>
          <w:rFonts w:hint="eastAsia" w:ascii="仿宋" w:eastAsia="仿宋"/>
          <w:sz w:val="28"/>
          <w:szCs w:val="28"/>
        </w:rPr>
        <w:fldChar w:fldCharType="end"/>
      </w:r>
      <w:r>
        <w:rPr>
          <w:rFonts w:hint="eastAsia" w:ascii="仿宋" w:eastAsia="仿宋"/>
          <w:sz w:val="28"/>
          <w:szCs w:val="28"/>
          <w:lang w:val="en-US" w:eastAsia="zh-CN"/>
        </w:rPr>
        <w:t>22</w:t>
      </w:r>
    </w:p>
    <w:p w14:paraId="6E425E71">
      <w:pPr>
        <w:pStyle w:val="13"/>
        <w:ind w:left="420"/>
        <w:rPr>
          <w:rFonts w:hint="default" w:ascii="仿宋" w:eastAsia="仿宋" w:cs="Arial"/>
          <w:sz w:val="28"/>
          <w:szCs w:val="28"/>
          <w:lang w:val="en-US" w:eastAsia="zh-CN"/>
        </w:rPr>
      </w:pPr>
      <w:r>
        <w:rPr>
          <w:rFonts w:hint="eastAsia" w:ascii="仿宋" w:eastAsia="仿宋"/>
          <w:sz w:val="28"/>
          <w:szCs w:val="28"/>
        </w:rPr>
        <w:t>八、</w:t>
      </w:r>
      <w:r>
        <w:fldChar w:fldCharType="begin"/>
      </w:r>
      <w:r>
        <w:instrText xml:space="preserve"> HYPERLINK \l "_Toc15396626" </w:instrText>
      </w:r>
      <w:r>
        <w:fldChar w:fldCharType="separate"/>
      </w:r>
      <w:r>
        <w:rPr>
          <w:rFonts w:hint="eastAsia" w:ascii="仿宋" w:eastAsia="仿宋"/>
          <w:sz w:val="28"/>
          <w:szCs w:val="28"/>
        </w:rPr>
        <w:t>一般公共预算财政拨款基本支出决算表</w:t>
      </w:r>
      <w:r>
        <w:rPr>
          <w:rFonts w:ascii="仿宋" w:eastAsia="仿宋"/>
          <w:sz w:val="28"/>
          <w:szCs w:val="28"/>
        </w:rPr>
        <w:tab/>
      </w:r>
      <w:r>
        <w:rPr>
          <w:rFonts w:hint="eastAsia" w:ascii="仿宋" w:eastAsia="仿宋"/>
          <w:sz w:val="28"/>
          <w:szCs w:val="28"/>
        </w:rPr>
        <w:fldChar w:fldCharType="end"/>
      </w:r>
      <w:r>
        <w:rPr>
          <w:rFonts w:hint="eastAsia" w:ascii="仿宋" w:eastAsia="仿宋"/>
          <w:sz w:val="28"/>
          <w:szCs w:val="28"/>
          <w:lang w:val="en-US" w:eastAsia="zh-CN"/>
        </w:rPr>
        <w:t>22</w:t>
      </w:r>
    </w:p>
    <w:p w14:paraId="6E637AC5">
      <w:pPr>
        <w:pStyle w:val="13"/>
        <w:ind w:left="420"/>
        <w:rPr>
          <w:rFonts w:hint="default" w:ascii="仿宋" w:eastAsia="仿宋" w:cs="Arial"/>
          <w:sz w:val="28"/>
          <w:szCs w:val="28"/>
          <w:lang w:val="en-US" w:eastAsia="zh-CN"/>
        </w:rPr>
      </w:pPr>
      <w:r>
        <w:rPr>
          <w:rFonts w:hint="eastAsia" w:ascii="仿宋" w:eastAsia="仿宋"/>
          <w:sz w:val="28"/>
          <w:szCs w:val="28"/>
        </w:rPr>
        <w:t>九、</w:t>
      </w:r>
      <w:r>
        <w:fldChar w:fldCharType="begin"/>
      </w:r>
      <w:r>
        <w:instrText xml:space="preserve"> HYPERLINK \l "_Toc15396627" </w:instrText>
      </w:r>
      <w:r>
        <w:fldChar w:fldCharType="separate"/>
      </w:r>
      <w:r>
        <w:rPr>
          <w:rFonts w:hint="eastAsia" w:ascii="仿宋" w:eastAsia="仿宋"/>
          <w:sz w:val="28"/>
          <w:szCs w:val="28"/>
        </w:rPr>
        <w:t>一般公共预算财政拨款项目支出决算表</w:t>
      </w:r>
      <w:r>
        <w:rPr>
          <w:rFonts w:ascii="仿宋" w:eastAsia="仿宋"/>
          <w:sz w:val="28"/>
          <w:szCs w:val="28"/>
        </w:rPr>
        <w:tab/>
      </w:r>
      <w:r>
        <w:rPr>
          <w:rFonts w:hint="eastAsia" w:ascii="仿宋" w:eastAsia="仿宋"/>
          <w:sz w:val="28"/>
          <w:szCs w:val="28"/>
        </w:rPr>
        <w:fldChar w:fldCharType="end"/>
      </w:r>
      <w:r>
        <w:rPr>
          <w:rFonts w:hint="eastAsia" w:ascii="仿宋" w:eastAsia="仿宋"/>
          <w:sz w:val="28"/>
          <w:szCs w:val="28"/>
          <w:lang w:val="en-US" w:eastAsia="zh-CN"/>
        </w:rPr>
        <w:t>22</w:t>
      </w:r>
    </w:p>
    <w:p w14:paraId="49F92F14">
      <w:pPr>
        <w:pStyle w:val="13"/>
        <w:ind w:left="420"/>
        <w:rPr>
          <w:rFonts w:hint="default" w:ascii="仿宋" w:eastAsia="仿宋" w:cs="Arial"/>
          <w:sz w:val="28"/>
          <w:szCs w:val="28"/>
          <w:lang w:val="en-US" w:eastAsia="zh-CN"/>
        </w:rPr>
      </w:pPr>
      <w:r>
        <w:rPr>
          <w:rFonts w:hint="eastAsia" w:ascii="仿宋" w:eastAsia="仿宋"/>
          <w:sz w:val="28"/>
          <w:szCs w:val="28"/>
        </w:rPr>
        <w:t>十、</w:t>
      </w:r>
      <w:r>
        <w:fldChar w:fldCharType="begin"/>
      </w:r>
      <w:r>
        <w:instrText xml:space="preserve"> HYPERLINK \l "_Toc15396628" </w:instrText>
      </w:r>
      <w:r>
        <w:fldChar w:fldCharType="separate"/>
      </w:r>
      <w:r>
        <w:rPr>
          <w:rFonts w:hint="eastAsia" w:ascii="仿宋" w:eastAsia="仿宋"/>
          <w:sz w:val="28"/>
          <w:szCs w:val="28"/>
        </w:rPr>
        <w:t>一般公共预算财政拨款“三公”经费支出决算表</w:t>
      </w:r>
      <w:r>
        <w:rPr>
          <w:rFonts w:ascii="仿宋" w:eastAsia="仿宋"/>
          <w:sz w:val="28"/>
          <w:szCs w:val="28"/>
        </w:rPr>
        <w:tab/>
      </w:r>
      <w:r>
        <w:rPr>
          <w:rFonts w:hint="eastAsia" w:ascii="仿宋" w:eastAsia="仿宋"/>
          <w:sz w:val="28"/>
          <w:szCs w:val="28"/>
        </w:rPr>
        <w:fldChar w:fldCharType="end"/>
      </w:r>
      <w:r>
        <w:rPr>
          <w:rFonts w:hint="eastAsia" w:ascii="仿宋" w:eastAsia="仿宋"/>
          <w:sz w:val="28"/>
          <w:szCs w:val="28"/>
          <w:lang w:val="en-US" w:eastAsia="zh-CN"/>
        </w:rPr>
        <w:t>22</w:t>
      </w:r>
    </w:p>
    <w:p w14:paraId="0BBC1046">
      <w:pPr>
        <w:pStyle w:val="13"/>
        <w:ind w:left="420"/>
        <w:rPr>
          <w:rFonts w:hint="default" w:ascii="仿宋" w:eastAsia="仿宋" w:cs="Arial"/>
          <w:sz w:val="28"/>
          <w:szCs w:val="28"/>
          <w:lang w:val="en-US" w:eastAsia="zh-CN"/>
        </w:rPr>
      </w:pPr>
      <w:r>
        <w:rPr>
          <w:rFonts w:hint="eastAsia" w:ascii="仿宋" w:eastAsia="仿宋"/>
          <w:sz w:val="28"/>
          <w:szCs w:val="28"/>
        </w:rPr>
        <w:t>十一、政府</w:t>
      </w:r>
      <w:r>
        <w:rPr>
          <w:rStyle w:val="30"/>
          <w:rFonts w:hint="eastAsia" w:ascii="仿宋" w:eastAsia="仿宋"/>
          <w:b w:val="0"/>
          <w:bCs w:val="0"/>
        </w:rPr>
        <w:t>性基金预算财政拨款收入支出决算表</w:t>
      </w:r>
      <w:r>
        <w:fldChar w:fldCharType="begin"/>
      </w:r>
      <w:r>
        <w:instrText xml:space="preserve"> HYPERLINK \l "_Toc15396629" </w:instrText>
      </w:r>
      <w:r>
        <w:fldChar w:fldCharType="separate"/>
      </w:r>
      <w:r>
        <w:rPr>
          <w:rFonts w:ascii="仿宋" w:eastAsia="仿宋"/>
          <w:sz w:val="28"/>
          <w:szCs w:val="28"/>
        </w:rPr>
        <w:tab/>
      </w:r>
      <w:r>
        <w:rPr>
          <w:rFonts w:hint="eastAsia" w:ascii="仿宋" w:eastAsia="仿宋"/>
          <w:sz w:val="28"/>
          <w:szCs w:val="28"/>
        </w:rPr>
        <w:fldChar w:fldCharType="end"/>
      </w:r>
      <w:r>
        <w:rPr>
          <w:rFonts w:hint="eastAsia" w:ascii="仿宋" w:eastAsia="仿宋"/>
          <w:sz w:val="28"/>
          <w:szCs w:val="28"/>
          <w:lang w:val="en-US" w:eastAsia="zh-CN"/>
        </w:rPr>
        <w:t>22</w:t>
      </w:r>
    </w:p>
    <w:p w14:paraId="10593340">
      <w:pPr>
        <w:pStyle w:val="13"/>
        <w:ind w:left="420"/>
        <w:rPr>
          <w:rFonts w:hint="default" w:ascii="仿宋" w:eastAsia="仿宋"/>
          <w:sz w:val="28"/>
          <w:szCs w:val="28"/>
          <w:lang w:val="en-US" w:eastAsia="zh-CN"/>
        </w:rPr>
      </w:pPr>
      <w:r>
        <w:rPr>
          <w:rFonts w:hint="eastAsia" w:ascii="仿宋" w:eastAsia="仿宋"/>
          <w:sz w:val="28"/>
          <w:szCs w:val="28"/>
        </w:rPr>
        <w:t>十二、政府性基金预算财政拨款“三公”经费支出决算表</w:t>
      </w:r>
      <w:r>
        <w:rPr>
          <w:rFonts w:hint="eastAsia" w:ascii="仿宋" w:eastAsia="仿宋"/>
          <w:sz w:val="28"/>
          <w:szCs w:val="28"/>
          <w:lang w:eastAsia="zh-CN"/>
        </w:rPr>
        <w:t>　　</w:t>
      </w:r>
      <w:r>
        <w:rPr>
          <w:rFonts w:hint="eastAsia" w:ascii="仿宋" w:eastAsia="仿宋"/>
          <w:sz w:val="28"/>
          <w:szCs w:val="28"/>
          <w:lang w:val="en-US" w:eastAsia="zh-CN"/>
        </w:rPr>
        <w:t>22</w:t>
      </w:r>
    </w:p>
    <w:p w14:paraId="6889719C">
      <w:pPr>
        <w:pStyle w:val="13"/>
        <w:ind w:left="420"/>
        <w:rPr>
          <w:rFonts w:hint="default" w:ascii="仿宋" w:eastAsia="仿宋"/>
          <w:sz w:val="28"/>
          <w:szCs w:val="28"/>
          <w:lang w:val="en-US" w:eastAsia="zh-CN"/>
        </w:rPr>
      </w:pPr>
      <w:r>
        <w:rPr>
          <w:rFonts w:hint="eastAsia" w:ascii="仿宋" w:eastAsia="仿宋"/>
          <w:sz w:val="28"/>
          <w:szCs w:val="28"/>
        </w:rPr>
        <w:t>十三、国有资本经营预算财拨款收入支出决算表</w:t>
      </w:r>
      <w:r>
        <w:rPr>
          <w:rFonts w:hint="eastAsia" w:ascii="仿宋" w:eastAsia="仿宋"/>
          <w:sz w:val="28"/>
          <w:szCs w:val="28"/>
          <w:lang w:eastAsia="zh-CN"/>
        </w:rPr>
        <w:t>　　　　　　</w:t>
      </w:r>
      <w:r>
        <w:rPr>
          <w:rFonts w:hint="eastAsia" w:ascii="仿宋" w:eastAsia="仿宋"/>
          <w:sz w:val="28"/>
          <w:szCs w:val="28"/>
          <w:lang w:val="en-US" w:eastAsia="zh-CN"/>
        </w:rPr>
        <w:t>22</w:t>
      </w:r>
    </w:p>
    <w:p w14:paraId="4B3BFBC4">
      <w:pPr>
        <w:pStyle w:val="13"/>
        <w:ind w:left="420"/>
        <w:rPr>
          <w:rFonts w:hint="default" w:ascii="仿宋" w:eastAsia="仿宋"/>
          <w:sz w:val="28"/>
          <w:szCs w:val="28"/>
          <w:lang w:val="en-US" w:eastAsia="zh-CN"/>
        </w:rPr>
      </w:pPr>
      <w:r>
        <w:rPr>
          <w:rFonts w:hint="eastAsia" w:ascii="仿宋" w:eastAsia="仿宋"/>
          <w:sz w:val="28"/>
          <w:szCs w:val="28"/>
        </w:rPr>
        <w:t>十四、</w:t>
      </w:r>
      <w:r>
        <w:rPr>
          <w:rFonts w:hint="eastAsia" w:ascii="仿宋" w:eastAsia="仿宋"/>
          <w:sz w:val="28"/>
          <w:szCs w:val="28"/>
          <w:lang w:val="en-US" w:eastAsia="zh-CN"/>
        </w:rPr>
        <w:t>国有</w:t>
      </w:r>
      <w:r>
        <w:rPr>
          <w:rFonts w:hint="eastAsia" w:ascii="仿宋" w:eastAsia="仿宋"/>
          <w:sz w:val="28"/>
          <w:szCs w:val="28"/>
        </w:rPr>
        <w:t>资本经营预算财政拨款支出决算表</w:t>
      </w:r>
      <w:r>
        <w:rPr>
          <w:rFonts w:hint="eastAsia" w:ascii="仿宋" w:eastAsia="仿宋"/>
          <w:sz w:val="28"/>
          <w:szCs w:val="28"/>
          <w:lang w:eastAsia="zh-CN"/>
        </w:rPr>
        <w:t>　</w:t>
      </w:r>
      <w:r>
        <w:rPr>
          <w:rFonts w:hint="eastAsia" w:ascii="仿宋" w:eastAsia="仿宋"/>
          <w:sz w:val="28"/>
          <w:szCs w:val="28"/>
          <w:lang w:val="en-US" w:eastAsia="zh-CN"/>
        </w:rPr>
        <w:t xml:space="preserve">    </w:t>
      </w:r>
      <w:r>
        <w:rPr>
          <w:rFonts w:hint="eastAsia" w:ascii="仿宋" w:eastAsia="仿宋"/>
          <w:sz w:val="28"/>
          <w:szCs w:val="28"/>
          <w:lang w:eastAsia="zh-CN"/>
        </w:rPr>
        <w:t>　　　　</w:t>
      </w:r>
      <w:r>
        <w:rPr>
          <w:rFonts w:hint="eastAsia" w:ascii="仿宋" w:eastAsia="仿宋"/>
          <w:sz w:val="28"/>
          <w:szCs w:val="28"/>
          <w:lang w:val="en-US" w:eastAsia="zh-CN"/>
        </w:rPr>
        <w:t>22</w:t>
      </w:r>
    </w:p>
    <w:p w14:paraId="4D46E981">
      <w:pPr>
        <w:pStyle w:val="2"/>
        <w:jc w:val="center"/>
        <w:rPr>
          <w:rFonts w:hint="eastAsia" w:ascii="黑体" w:eastAsia="黑体"/>
          <w:b w:val="0"/>
        </w:rPr>
      </w:pPr>
      <w:bookmarkStart w:id="12" w:name="_Toc15377196"/>
      <w:bookmarkStart w:id="13" w:name="_Toc15396599"/>
    </w:p>
    <w:p w14:paraId="6EED3D09">
      <w:pPr>
        <w:pStyle w:val="20"/>
        <w:rPr>
          <w:rFonts w:hint="eastAsia"/>
        </w:rPr>
      </w:pPr>
    </w:p>
    <w:p w14:paraId="03D906C4">
      <w:pPr>
        <w:pStyle w:val="20"/>
        <w:rPr>
          <w:rFonts w:hint="eastAsia"/>
        </w:rPr>
      </w:pPr>
    </w:p>
    <w:p w14:paraId="1F04BBD4">
      <w:pPr>
        <w:pStyle w:val="20"/>
        <w:rPr>
          <w:rFonts w:hint="eastAsia"/>
        </w:rPr>
      </w:pPr>
    </w:p>
    <w:p w14:paraId="68CAFEFA">
      <w:pPr>
        <w:pStyle w:val="20"/>
        <w:rPr>
          <w:rFonts w:hint="eastAsia"/>
        </w:rPr>
      </w:pPr>
    </w:p>
    <w:p w14:paraId="02E166D9">
      <w:pPr>
        <w:pStyle w:val="2"/>
        <w:jc w:val="center"/>
        <w:rPr>
          <w:rFonts w:ascii="黑体" w:eastAsia="黑体"/>
          <w:color w:val="000000"/>
          <w:sz w:val="32"/>
          <w:szCs w:val="32"/>
        </w:rPr>
      </w:pPr>
      <w:r>
        <w:rPr>
          <w:rFonts w:hint="eastAsia" w:ascii="黑体" w:eastAsia="黑体"/>
          <w:b w:val="0"/>
        </w:rPr>
        <w:t xml:space="preserve">第一部分 </w:t>
      </w:r>
      <w:r>
        <w:rPr>
          <w:rStyle w:val="21"/>
          <w:rFonts w:hint="eastAsia" w:ascii="黑体" w:eastAsia="黑体"/>
          <w:b w:val="0"/>
          <w:bCs w:val="0"/>
        </w:rPr>
        <w:t>部门概况</w:t>
      </w:r>
      <w:bookmarkEnd w:id="12"/>
      <w:bookmarkEnd w:id="13"/>
    </w:p>
    <w:p w14:paraId="48F638D4">
      <w:pPr>
        <w:pStyle w:val="3"/>
        <w:keepNext/>
        <w:keepLines/>
        <w:pageBreakBefore w:val="0"/>
        <w:widowControl w:val="0"/>
        <w:kinsoku/>
        <w:wordWrap/>
        <w:overflowPunct/>
        <w:topLinePunct w:val="0"/>
        <w:autoSpaceDE/>
        <w:autoSpaceDN/>
        <w:bidi w:val="0"/>
        <w:adjustRightInd/>
        <w:snapToGrid/>
        <w:spacing w:before="0" w:after="0" w:line="240" w:lineRule="auto"/>
        <w:ind w:left="638" w:leftChars="304" w:firstLine="0" w:firstLineChars="0"/>
        <w:textAlignment w:val="auto"/>
        <w:rPr>
          <w:rStyle w:val="22"/>
          <w:rFonts w:hint="eastAsia" w:ascii="黑体" w:eastAsia="黑体"/>
          <w:b w:val="0"/>
          <w:bCs w:val="0"/>
        </w:rPr>
      </w:pPr>
      <w:bookmarkStart w:id="14" w:name="_Toc15396600"/>
      <w:bookmarkStart w:id="15" w:name="_Toc15377197"/>
      <w:r>
        <w:rPr>
          <w:rFonts w:hint="eastAsia" w:ascii="黑体" w:eastAsia="黑体"/>
          <w:b w:val="0"/>
          <w:color w:val="000000"/>
        </w:rPr>
        <w:t>一、基</w:t>
      </w:r>
      <w:r>
        <w:rPr>
          <w:rStyle w:val="22"/>
          <w:rFonts w:hint="eastAsia" w:ascii="黑体" w:eastAsia="黑体"/>
          <w:b w:val="0"/>
          <w:bCs w:val="0"/>
        </w:rPr>
        <w:t>本职能及主要工作</w:t>
      </w:r>
      <w:bookmarkEnd w:id="14"/>
      <w:bookmarkEnd w:id="15"/>
      <w:bookmarkStart w:id="16" w:name="_Toc15378445"/>
      <w:bookmarkStart w:id="17" w:name="_Toc15377198"/>
    </w:p>
    <w:p w14:paraId="4539AAFE">
      <w:pPr>
        <w:pStyle w:val="4"/>
        <w:bidi w:val="0"/>
        <w:ind w:firstLine="643" w:firstLineChars="200"/>
        <w:rPr>
          <w:rFonts w:hint="eastAsia"/>
        </w:rPr>
      </w:pPr>
      <w:r>
        <w:rPr>
          <w:rFonts w:hint="eastAsia"/>
        </w:rPr>
        <w:t>（一）主要职能</w:t>
      </w:r>
      <w:bookmarkEnd w:id="16"/>
      <w:bookmarkEnd w:id="17"/>
      <w:bookmarkStart w:id="18" w:name="_Toc15377199"/>
      <w:bookmarkStart w:id="19" w:name="_Toc15378446"/>
    </w:p>
    <w:p w14:paraId="57CA2823">
      <w:pPr>
        <w:pStyle w:val="4"/>
        <w:bidi w:val="0"/>
        <w:ind w:firstLine="640" w:firstLineChars="200"/>
        <w:rPr>
          <w:rFonts w:hint="eastAsia" w:ascii="仿宋_GB2312" w:eastAsia="仿宋_GB2312"/>
          <w:color w:val="000000"/>
          <w:sz w:val="32"/>
          <w:szCs w:val="32"/>
        </w:rPr>
      </w:pPr>
      <w:r>
        <w:rPr>
          <w:rFonts w:hint="eastAsia" w:ascii="仿宋_GB2312" w:eastAsia="仿宋_GB2312"/>
          <w:b w:val="0"/>
          <w:bCs/>
          <w:color w:val="000000"/>
          <w:sz w:val="32"/>
          <w:szCs w:val="32"/>
          <w:lang w:val="en-US" w:eastAsia="zh-CN"/>
        </w:rPr>
        <w:t>金川县文学艺术界联合会是由各文艺家协会组成的人民团体，是党和政府联系文艺界的纽带，其主要职能如下：</w:t>
      </w:r>
      <w:r>
        <w:rPr>
          <w:rFonts w:hint="eastAsia" w:ascii="仿宋_GB2312" w:eastAsia="仿宋_GB2312"/>
          <w:b/>
          <w:bCs/>
          <w:color w:val="000000"/>
          <w:sz w:val="32"/>
          <w:szCs w:val="32"/>
        </w:rPr>
        <w:t>一是</w:t>
      </w:r>
      <w:r>
        <w:rPr>
          <w:rFonts w:hint="eastAsia" w:ascii="仿宋_GB2312" w:eastAsia="仿宋_GB2312"/>
          <w:b w:val="0"/>
          <w:bCs w:val="0"/>
          <w:color w:val="000000"/>
          <w:sz w:val="32"/>
          <w:szCs w:val="32"/>
        </w:rPr>
        <w:t>团结带领全县广大文艺家和文艺工作者，高举社会主义伟大</w:t>
      </w:r>
      <w:r>
        <w:rPr>
          <w:rFonts w:hint="eastAsia" w:ascii="仿宋_GB2312" w:eastAsia="仿宋_GB2312"/>
          <w:b w:val="0"/>
          <w:bCs w:val="0"/>
          <w:color w:val="000000"/>
          <w:sz w:val="32"/>
          <w:szCs w:val="32"/>
          <w:lang w:eastAsia="zh-CN"/>
        </w:rPr>
        <w:t>旗帜</w:t>
      </w:r>
      <w:r>
        <w:rPr>
          <w:rFonts w:hint="eastAsia" w:ascii="仿宋_GB2312" w:eastAsia="仿宋_GB2312"/>
          <w:b w:val="0"/>
          <w:bCs w:val="0"/>
          <w:color w:val="000000"/>
          <w:sz w:val="32"/>
          <w:szCs w:val="32"/>
        </w:rPr>
        <w:t>，坚持文艺“为人民服务、为社会主义服务”的方向和“百花齐放、百家争鸣”的方针，坚持文艺“贴近实际、贴近生活、贴近群众”的原则，践行社会主义核心价值观，为发展和繁荣社会主义文艺事业、建设文化强县、全面建成小康社会、实现金川的路发展和长治久安努力</w:t>
      </w:r>
      <w:r>
        <w:rPr>
          <w:rFonts w:hint="eastAsia" w:ascii="仿宋_GB2312" w:eastAsia="仿宋_GB2312"/>
          <w:b w:val="0"/>
          <w:bCs w:val="0"/>
          <w:color w:val="000000"/>
          <w:sz w:val="32"/>
          <w:szCs w:val="32"/>
          <w:lang w:eastAsia="zh-CN"/>
        </w:rPr>
        <w:t>奋</w:t>
      </w:r>
      <w:r>
        <w:rPr>
          <w:rFonts w:hint="eastAsia" w:ascii="仿宋_GB2312" w:eastAsia="仿宋_GB2312"/>
          <w:b w:val="0"/>
          <w:bCs w:val="0"/>
          <w:color w:val="000000"/>
          <w:sz w:val="32"/>
          <w:szCs w:val="32"/>
        </w:rPr>
        <w:t>斗。</w:t>
      </w:r>
      <w:r>
        <w:rPr>
          <w:rFonts w:hint="eastAsia" w:ascii="仿宋_GB2312" w:eastAsia="仿宋_GB2312"/>
          <w:b/>
          <w:bCs/>
          <w:color w:val="000000"/>
          <w:sz w:val="32"/>
          <w:szCs w:val="32"/>
          <w:lang w:eastAsia="zh-CN"/>
        </w:rPr>
        <w:t>二是</w:t>
      </w:r>
      <w:r>
        <w:rPr>
          <w:rFonts w:hint="eastAsia" w:ascii="仿宋_GB2312" w:eastAsia="仿宋_GB2312"/>
          <w:b w:val="0"/>
          <w:bCs w:val="0"/>
          <w:color w:val="000000"/>
          <w:sz w:val="32"/>
          <w:szCs w:val="32"/>
        </w:rPr>
        <w:t>组织带领全县广大文艺家和文艺工作者深入生活、扎根人民，加强艺术实践，抓好文艺</w:t>
      </w:r>
      <w:r>
        <w:rPr>
          <w:rFonts w:hint="eastAsia" w:ascii="仿宋_GB2312" w:eastAsia="仿宋_GB2312"/>
          <w:b w:val="0"/>
          <w:bCs w:val="0"/>
          <w:color w:val="000000"/>
          <w:sz w:val="32"/>
          <w:szCs w:val="32"/>
          <w:lang w:val="en-US" w:eastAsia="zh-CN"/>
        </w:rPr>
        <w:t>工作</w:t>
      </w:r>
      <w:r>
        <w:rPr>
          <w:rFonts w:hint="eastAsia" w:ascii="仿宋_GB2312" w:eastAsia="仿宋_GB2312"/>
          <w:b w:val="0"/>
          <w:bCs w:val="0"/>
          <w:color w:val="000000"/>
          <w:sz w:val="32"/>
          <w:szCs w:val="32"/>
        </w:rPr>
        <w:t>作，唱主旋律、传播正能量，用科学的理论武装人，用正确的论引导人，用高尚的精神塑造人，用优秀的作品鼓舞人。</w:t>
      </w:r>
      <w:r>
        <w:rPr>
          <w:rFonts w:hint="eastAsia" w:ascii="仿宋_GB2312" w:eastAsia="仿宋_GB2312"/>
          <w:b/>
          <w:bCs/>
          <w:color w:val="000000"/>
          <w:sz w:val="32"/>
          <w:szCs w:val="32"/>
          <w:lang w:eastAsia="zh-CN"/>
        </w:rPr>
        <w:t>三是</w:t>
      </w:r>
      <w:r>
        <w:rPr>
          <w:rFonts w:hint="eastAsia" w:ascii="仿宋_GB2312" w:eastAsia="仿宋_GB2312"/>
          <w:b w:val="0"/>
          <w:bCs w:val="0"/>
          <w:color w:val="000000"/>
          <w:sz w:val="32"/>
          <w:szCs w:val="32"/>
        </w:rPr>
        <w:t>负责对有关的文学艺术社团进行监督管理，发挥人オ和专业优势，通过发展会员、组织文艺创作、学术研究、刊物出版、文艺评奖，</w:t>
      </w:r>
      <w:r>
        <w:rPr>
          <w:rFonts w:hint="eastAsia" w:ascii="仿宋_GB2312" w:eastAsia="仿宋_GB2312"/>
          <w:b w:val="0"/>
          <w:bCs w:val="0"/>
          <w:color w:val="000000"/>
          <w:sz w:val="32"/>
          <w:szCs w:val="32"/>
          <w:lang w:eastAsia="zh-CN"/>
        </w:rPr>
        <w:t>开展各种文艺活动</w:t>
      </w:r>
      <w:r>
        <w:rPr>
          <w:rFonts w:hint="eastAsia" w:ascii="仿宋_GB2312" w:eastAsia="仿宋_GB2312"/>
          <w:b w:val="0"/>
          <w:bCs w:val="0"/>
          <w:color w:val="000000"/>
          <w:sz w:val="32"/>
          <w:szCs w:val="32"/>
        </w:rPr>
        <w:t>，繁荣和发展金川县的文艺事业。</w:t>
      </w:r>
      <w:r>
        <w:rPr>
          <w:rFonts w:hint="eastAsia" w:ascii="仿宋_GB2312" w:eastAsia="仿宋_GB2312"/>
          <w:b/>
          <w:bCs/>
          <w:color w:val="000000"/>
          <w:sz w:val="32"/>
          <w:szCs w:val="32"/>
          <w:lang w:eastAsia="zh-CN"/>
        </w:rPr>
        <w:t>四是</w:t>
      </w:r>
      <w:r>
        <w:rPr>
          <w:rFonts w:hint="eastAsia" w:ascii="仿宋_GB2312" w:eastAsia="仿宋_GB2312"/>
          <w:b w:val="0"/>
          <w:bCs w:val="0"/>
          <w:color w:val="000000"/>
          <w:sz w:val="32"/>
          <w:szCs w:val="32"/>
        </w:rPr>
        <w:t>尊重各民族文艺传统，采取各种措施，积极发现、培养和扶持文艺人オ，尤其是少数民族青年文艺人オ，促进各民族文学艺术事业共同发展。</w:t>
      </w:r>
    </w:p>
    <w:p w14:paraId="171E1D57">
      <w:pPr>
        <w:widowControl/>
        <w:jc w:val="left"/>
        <w:rPr>
          <w:rFonts w:hint="eastAsia" w:ascii="仿宋_GB2312" w:hAnsi="仿宋_GB2312"/>
          <w:szCs w:val="32"/>
        </w:rPr>
      </w:pPr>
      <w:r>
        <w:rPr>
          <w:rFonts w:hint="eastAsia" w:ascii="仿宋_GB2312" w:eastAsia="仿宋_GB2312"/>
          <w:b/>
          <w:bCs/>
          <w:color w:val="000000"/>
          <w:sz w:val="32"/>
          <w:szCs w:val="32"/>
          <w:lang w:eastAsia="zh-CN"/>
        </w:rPr>
        <w:t>五是</w:t>
      </w:r>
      <w:r>
        <w:rPr>
          <w:rFonts w:hint="eastAsia" w:ascii="仿宋_GB2312" w:eastAsia="仿宋_GB2312"/>
          <w:color w:val="000000"/>
          <w:sz w:val="32"/>
          <w:szCs w:val="32"/>
        </w:rPr>
        <w:t>积极促进全县各民族文家和文艺工作者的团结，加强各地区文联系统之间的联，积极开展文艺交流活动，树立金川文艺新形象，提高金川文艺影响力。</w:t>
      </w:r>
      <w:r>
        <w:rPr>
          <w:rFonts w:hint="eastAsia" w:ascii="仿宋_GB2312" w:eastAsia="仿宋_GB2312"/>
          <w:b/>
          <w:bCs/>
          <w:color w:val="000000"/>
          <w:sz w:val="32"/>
          <w:szCs w:val="32"/>
          <w:lang w:eastAsia="zh-CN"/>
        </w:rPr>
        <w:t>六是</w:t>
      </w:r>
      <w:r>
        <w:rPr>
          <w:rFonts w:hint="eastAsia" w:ascii="仿宋_GB2312" w:eastAsia="仿宋_GB2312"/>
          <w:color w:val="000000"/>
          <w:sz w:val="32"/>
          <w:szCs w:val="32"/>
        </w:rPr>
        <w:t>倡导“爱国、为民、崇德、尚艺”文艺界核心价值观，培养良好的职业精神和职业道德;从真反映文艺界的意见、建议和要求，积极开展本县文艺领域自律维权工作维护团体会员和文学艺术家及文艺工作者的知识产权等合法权益。</w:t>
      </w:r>
      <w:r>
        <w:rPr>
          <w:rFonts w:hint="eastAsia" w:ascii="仿宋_GB2312" w:eastAsia="仿宋_GB2312"/>
          <w:b/>
          <w:bCs/>
          <w:color w:val="000000"/>
          <w:sz w:val="32"/>
          <w:szCs w:val="32"/>
          <w:lang w:eastAsia="zh-CN"/>
        </w:rPr>
        <w:t>七是</w:t>
      </w:r>
      <w:r>
        <w:rPr>
          <w:rFonts w:hint="eastAsia" w:ascii="仿宋_GB2312" w:eastAsia="仿宋_GB2312"/>
          <w:color w:val="000000"/>
          <w:sz w:val="32"/>
          <w:szCs w:val="32"/>
        </w:rPr>
        <w:t>积极开展文艺传播和文艺惠民活动，丰富和提高全县各族人民的文艺生，弘扬民族文精神，发展民族文学艺术事业。</w:t>
      </w:r>
      <w:r>
        <w:rPr>
          <w:rFonts w:hint="eastAsia" w:ascii="仿宋_GB2312" w:eastAsia="仿宋_GB2312"/>
          <w:b/>
          <w:bCs/>
          <w:color w:val="000000"/>
          <w:sz w:val="32"/>
          <w:szCs w:val="32"/>
          <w:lang w:eastAsia="zh-CN"/>
        </w:rPr>
        <w:t>八是</w:t>
      </w:r>
      <w:r>
        <w:rPr>
          <w:rFonts w:hint="eastAsia" w:ascii="仿宋_GB2312" w:eastAsia="仿宋_GB2312"/>
          <w:color w:val="000000"/>
          <w:sz w:val="32"/>
          <w:szCs w:val="32"/>
        </w:rPr>
        <w:t>组织召开金川县文联代表大会、委员会、主席团会议和全县性文学艺术会代表大会及全县性文联系统的工作会议。</w:t>
      </w:r>
      <w:r>
        <w:rPr>
          <w:rFonts w:hint="eastAsia" w:ascii="仿宋_GB2312" w:eastAsia="仿宋_GB2312"/>
          <w:b/>
          <w:bCs/>
          <w:color w:val="000000"/>
          <w:sz w:val="32"/>
          <w:szCs w:val="32"/>
          <w:lang w:eastAsia="zh-CN"/>
        </w:rPr>
        <w:t>九是</w:t>
      </w:r>
      <w:r>
        <w:rPr>
          <w:rFonts w:hint="eastAsia" w:ascii="仿宋_GB2312" w:eastAsia="仿宋_GB2312"/>
          <w:b w:val="0"/>
          <w:bCs/>
          <w:color w:val="000000"/>
          <w:sz w:val="32"/>
          <w:szCs w:val="32"/>
          <w:lang w:val="en-US" w:eastAsia="zh-CN"/>
        </w:rPr>
        <w:t>承办县委、县政府和上级有关部门交办的其它事项。</w:t>
      </w:r>
    </w:p>
    <w:p w14:paraId="26462E22">
      <w:pPr>
        <w:pStyle w:val="3"/>
        <w:spacing w:before="0" w:after="0" w:line="240" w:lineRule="auto"/>
        <w:ind w:firstLine="321" w:firstLineChars="100"/>
        <w:rPr>
          <w:rFonts w:hint="eastAsia" w:ascii="楷体" w:eastAsia="楷体" w:cs="楷体"/>
          <w:bCs/>
          <w:color w:val="000000"/>
          <w:sz w:val="32"/>
          <w:szCs w:val="32"/>
        </w:rPr>
      </w:pPr>
      <w:r>
        <w:rPr>
          <w:rFonts w:hint="eastAsia" w:ascii="楷体" w:eastAsia="楷体" w:cs="楷体"/>
          <w:bCs/>
          <w:color w:val="000000"/>
          <w:sz w:val="32"/>
          <w:szCs w:val="32"/>
        </w:rPr>
        <w:t>（二）20</w:t>
      </w:r>
      <w:r>
        <w:rPr>
          <w:rFonts w:hint="eastAsia" w:ascii="楷体" w:eastAsia="楷体" w:cs="楷体"/>
          <w:bCs/>
          <w:color w:val="000000"/>
          <w:sz w:val="32"/>
          <w:szCs w:val="32"/>
          <w:lang w:val="en-US" w:eastAsia="zh-CN"/>
        </w:rPr>
        <w:t>24</w:t>
      </w:r>
      <w:r>
        <w:rPr>
          <w:rFonts w:hint="eastAsia" w:ascii="楷体" w:eastAsia="楷体" w:cs="楷体"/>
          <w:bCs/>
          <w:color w:val="000000"/>
          <w:sz w:val="32"/>
          <w:szCs w:val="32"/>
        </w:rPr>
        <w:t>年重点工作完成情况</w:t>
      </w:r>
      <w:bookmarkEnd w:id="18"/>
      <w:bookmarkEnd w:id="19"/>
    </w:p>
    <w:p w14:paraId="389865E1">
      <w:pPr>
        <w:widowControl/>
        <w:jc w:val="left"/>
        <w:rPr>
          <w:rFonts w:hint="eastAsia" w:ascii="仿宋_GB2312" w:eastAsia="仿宋_GB2312"/>
          <w:color w:val="000000"/>
          <w:sz w:val="32"/>
          <w:szCs w:val="32"/>
          <w:lang w:eastAsia="zh-CN"/>
        </w:rPr>
      </w:pPr>
      <w:bookmarkStart w:id="20" w:name="_Toc15377200"/>
      <w:bookmarkStart w:id="21" w:name="_Toc15396601"/>
      <w:r>
        <w:rPr>
          <w:rFonts w:hint="eastAsia" w:ascii="仿宋_GB2312" w:eastAsia="仿宋_GB2312"/>
          <w:color w:val="000000"/>
          <w:sz w:val="32"/>
          <w:szCs w:val="32"/>
          <w:lang w:val="en-US" w:eastAsia="zh-CN"/>
        </w:rPr>
        <w:t>　　2024年</w:t>
      </w:r>
      <w:r>
        <w:rPr>
          <w:rFonts w:hint="eastAsia" w:ascii="仿宋_GB2312" w:eastAsia="仿宋_GB2312"/>
          <w:color w:val="000000"/>
          <w:sz w:val="32"/>
          <w:szCs w:val="32"/>
        </w:rPr>
        <w:t>，</w:t>
      </w:r>
      <w:r>
        <w:rPr>
          <w:rFonts w:hint="eastAsia" w:ascii="仿宋_GB2312" w:eastAsia="仿宋_GB2312"/>
          <w:color w:val="000000"/>
          <w:sz w:val="32"/>
          <w:szCs w:val="32"/>
          <w:lang w:eastAsia="zh-CN"/>
        </w:rPr>
        <w:t>金川</w:t>
      </w:r>
      <w:r>
        <w:rPr>
          <w:rFonts w:hint="eastAsia" w:ascii="仿宋_GB2312" w:eastAsia="仿宋_GB2312"/>
          <w:color w:val="000000"/>
          <w:sz w:val="32"/>
          <w:szCs w:val="32"/>
        </w:rPr>
        <w:t>县文联</w:t>
      </w:r>
      <w:r>
        <w:rPr>
          <w:rFonts w:hint="eastAsia" w:ascii="仿宋_GB2312" w:eastAsia="仿宋_GB2312"/>
          <w:color w:val="000000"/>
          <w:sz w:val="32"/>
          <w:szCs w:val="32"/>
          <w:lang w:eastAsia="zh-CN"/>
        </w:rPr>
        <w:t>坚持</w:t>
      </w:r>
      <w:r>
        <w:rPr>
          <w:rFonts w:hint="eastAsia" w:ascii="仿宋_GB2312" w:eastAsia="仿宋_GB2312"/>
          <w:color w:val="000000"/>
          <w:sz w:val="32"/>
          <w:szCs w:val="32"/>
        </w:rPr>
        <w:t>以</w:t>
      </w:r>
      <w:bookmarkStart w:id="70" w:name="_GoBack"/>
      <w:bookmarkEnd w:id="70"/>
      <w:r>
        <w:rPr>
          <w:rFonts w:hint="eastAsia" w:ascii="仿宋_GB2312" w:eastAsia="仿宋_GB2312"/>
          <w:color w:val="000000"/>
          <w:sz w:val="32"/>
          <w:szCs w:val="32"/>
        </w:rPr>
        <w:t>习近平新时代中国特色社会主义思想为指导，</w:t>
      </w:r>
      <w:r>
        <w:rPr>
          <w:rFonts w:hint="eastAsia" w:ascii="仿宋_GB2312" w:eastAsia="仿宋_GB2312"/>
          <w:color w:val="000000"/>
          <w:sz w:val="32"/>
          <w:szCs w:val="32"/>
          <w:lang w:eastAsia="zh-CN"/>
        </w:rPr>
        <w:t>认真学习习近平总书记关于文艺工作的重要论述精神，全面落实县委、县政府总体安排，大力实施“夯基、惠民、兴文”三大行动，繁荣金川文艺，服务经济社会健康发展。</w:t>
      </w:r>
    </w:p>
    <w:p w14:paraId="3E222897">
      <w:pPr>
        <w:widowControl/>
        <w:jc w:val="left"/>
        <w:rPr>
          <w:rFonts w:hint="default" w:ascii="仿宋_GB2312" w:eastAsia="仿宋_GB2312"/>
          <w:color w:val="000000"/>
          <w:sz w:val="32"/>
          <w:szCs w:val="32"/>
          <w:lang w:val="en-US"/>
        </w:rPr>
      </w:pPr>
      <w:r>
        <w:rPr>
          <w:rFonts w:hint="eastAsia" w:ascii="仿宋_GB2312" w:eastAsia="仿宋_GB2312"/>
          <w:color w:val="000000"/>
          <w:sz w:val="32"/>
          <w:szCs w:val="32"/>
          <w:lang w:eastAsia="zh-CN"/>
        </w:rPr>
        <w:t>　　一、从理论学习入手，持续实施“夯基”行动。持续巩固主题教育成果，组织全县文艺工作者深入学习党章、党的二十大</w:t>
      </w:r>
      <w:r>
        <w:rPr>
          <w:rFonts w:hint="eastAsia" w:ascii="仿宋_GB2312" w:eastAsia="仿宋_GB2312"/>
          <w:color w:val="000000"/>
          <w:sz w:val="32"/>
          <w:szCs w:val="32"/>
          <w:lang w:val="en-US" w:eastAsia="zh-CN"/>
        </w:rPr>
        <w:t>和二十届三中全会</w:t>
      </w:r>
      <w:r>
        <w:rPr>
          <w:rFonts w:hint="eastAsia" w:ascii="仿宋_GB2312" w:eastAsia="仿宋_GB2312"/>
          <w:color w:val="000000"/>
          <w:sz w:val="32"/>
          <w:szCs w:val="32"/>
          <w:lang w:eastAsia="zh-CN"/>
        </w:rPr>
        <w:t>精神、习近平总书记系列重要论述和指示批示精神，深刻领悟“两个确立”的决定性意义，增强“四个意识”、坚定“四个自信”、做到“两个维护”。扎实开展党纪学习教育，制定“周一”集中学习制度，采用主席领学、轮流谈心得的方式，深入学习《中国共产党纪律处分条例》等内容，利用微信群推送党纪学习知识，引导全县文艺工作者，增强纪律意识。常态开展学习提能，</w:t>
      </w:r>
      <w:r>
        <w:rPr>
          <w:rFonts w:hint="eastAsia" w:ascii="仿宋_GB2312" w:eastAsia="仿宋_GB2312"/>
          <w:color w:val="000000"/>
          <w:sz w:val="32"/>
          <w:szCs w:val="32"/>
          <w:lang w:val="en-US" w:eastAsia="zh-CN"/>
        </w:rPr>
        <w:t>充分运用“学习强国”“文联学习”等媒体平台，</w:t>
      </w:r>
      <w:r>
        <w:rPr>
          <w:rFonts w:hint="eastAsia" w:ascii="仿宋_GB2312" w:eastAsia="仿宋_GB2312"/>
          <w:color w:val="000000"/>
          <w:sz w:val="32"/>
          <w:szCs w:val="32"/>
          <w:lang w:eastAsia="zh-CN"/>
        </w:rPr>
        <w:t>组织文艺工作者</w:t>
      </w:r>
      <w:r>
        <w:rPr>
          <w:rFonts w:hint="eastAsia" w:ascii="仿宋_GB2312" w:eastAsia="仿宋_GB2312"/>
          <w:color w:val="000000"/>
          <w:sz w:val="32"/>
          <w:szCs w:val="32"/>
          <w:lang w:val="en-US" w:eastAsia="zh-CN"/>
        </w:rPr>
        <w:t>习近平总书记在中国文学艺术界联合会第十一次全国代表大会、中国作家协会第十次全国代表大会上的重要讲话精神；完善“沟通服务机制，建立“传帮带”学习模式，引导青年文艺工作者加速提升；建立“联席会议”机制，定期开展交流座谈活动，实现文艺工作者思想碰撞，经验共享。今年，王仕文同志、卢明燕同志晋升四川省作家协会会员，韩玲同志当选阿坝州作家协会副主席，代永清当选阿坝州摄影家协会副会长。</w:t>
      </w:r>
    </w:p>
    <w:p w14:paraId="6DB1F31C">
      <w:pPr>
        <w:widowControl/>
        <w:jc w:val="left"/>
        <w:rPr>
          <w:rFonts w:hint="default" w:ascii="仿宋_GB2312" w:eastAsia="仿宋_GB2312"/>
          <w:color w:val="000000"/>
          <w:sz w:val="32"/>
          <w:szCs w:val="32"/>
          <w:lang w:val="en-US" w:eastAsia="zh-CN"/>
        </w:rPr>
      </w:pPr>
      <w:r>
        <w:rPr>
          <w:rFonts w:hint="eastAsia" w:ascii="仿宋_GB2312" w:eastAsia="仿宋_GB2312"/>
          <w:color w:val="000000"/>
          <w:sz w:val="32"/>
          <w:szCs w:val="32"/>
          <w:lang w:eastAsia="zh-CN"/>
        </w:rPr>
        <w:t>　　二、从群众需求入手</w:t>
      </w:r>
      <w:r>
        <w:rPr>
          <w:rFonts w:hint="eastAsia" w:ascii="仿宋_GB2312" w:eastAsia="仿宋_GB2312"/>
          <w:color w:val="000000"/>
          <w:sz w:val="32"/>
          <w:szCs w:val="32"/>
          <w:lang w:val="en-US" w:eastAsia="zh-CN"/>
        </w:rPr>
        <w:t>，持续实施“惠民”行动。</w:t>
      </w:r>
      <w:r>
        <w:rPr>
          <w:rFonts w:hint="eastAsia" w:ascii="仿宋_GB2312" w:eastAsia="仿宋_GB2312"/>
          <w:color w:val="000000"/>
          <w:sz w:val="32"/>
          <w:szCs w:val="32"/>
          <w:lang w:eastAsia="zh-CN"/>
        </w:rPr>
        <w:t>认真践行以人民为中心的发展思路，紧扣人民群众所需所想所盼，组织开展形式多样的惠民活动。</w:t>
      </w:r>
      <w:r>
        <w:rPr>
          <w:rFonts w:hint="eastAsia" w:ascii="仿宋_GB2312" w:eastAsia="仿宋_GB2312"/>
          <w:color w:val="000000"/>
          <w:sz w:val="32"/>
          <w:szCs w:val="32"/>
        </w:rPr>
        <w:t>1月23日</w:t>
      </w:r>
      <w:r>
        <w:rPr>
          <w:rFonts w:hint="eastAsia" w:ascii="仿宋_GB2312" w:eastAsia="仿宋_GB2312"/>
          <w:color w:val="000000"/>
          <w:sz w:val="32"/>
          <w:szCs w:val="32"/>
          <w:lang w:eastAsia="zh-CN"/>
        </w:rPr>
        <w:t>，</w:t>
      </w:r>
      <w:r>
        <w:rPr>
          <w:rFonts w:hint="eastAsia" w:ascii="仿宋_GB2312" w:eastAsia="仿宋_GB2312"/>
          <w:color w:val="000000"/>
          <w:sz w:val="32"/>
          <w:szCs w:val="32"/>
        </w:rPr>
        <w:t>组织书法爱好者开展写春联送“福”字拍全家福文艺惠民活动</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到机关单位、社区和乡村拍摄全家福85张、送出春联600余幅，营造了团结奋进、喜庆祥和的迎新春氛围，提升了人民群众的幸福感和获得感；3月29日，在消防救援大队组织开展了“书写廉政文明，明德修心养性 ”廉洁文化作品征集评选活动，给文艺增添青春的颜色，给青春灌注文艺的内涵和廉洁的精髓；4月30日，发挥《民族文学》金川创阅中心的功能，在金川县第二中学开展“扬帆启航 读书为本”图书捐赠活动，赠送图书2000余册，为青少年提供了更多的学习资源，推动“书香金川”建设；5月30日，开展金川首届红色讲解员大赛，强化讲解员队伍建设，加强爱国主义教育基地、烈士陵园和红色旅游经典景区的宣传教育功能，深化了爱国主义、集体主义、社会主义教育；6月11日，在东方红小学组织开展阿坝州第三届青少年书画大赛预赛（金川赛场），金中、二中、东小、二小等十多所中小学校120名学生参加比赛，让青少年们深入地了解书画艺术的魅力，激发他们对传统文化的热爱和传承。9月10日，承办了“阿坝文艺大讲堂”大型公益讲座，《四川文学》执行主编卓慧以“品味散文之美”为主题，通过精美散文案例剖析，从散文的定义、情感表达、创作技巧，深入分享了散文创作经验，让大家体会散文“心灵之声”的独特魅力，吸引了全县100余名文学爱好者、青年学生现场聆听。</w:t>
      </w:r>
    </w:p>
    <w:p w14:paraId="00501635">
      <w:pPr>
        <w:widowControl/>
        <w:jc w:val="left"/>
        <w:rPr>
          <w:rFonts w:hint="default" w:ascii="仿宋_GB2312" w:hAnsi="Times New Roman" w:eastAsia="仿宋_GB2312" w:cs="Times New Roman"/>
          <w:color w:val="000000"/>
          <w:sz w:val="32"/>
          <w:szCs w:val="32"/>
          <w:lang w:val="en-US" w:eastAsia="zh-CN"/>
        </w:rPr>
      </w:pPr>
      <w:r>
        <w:rPr>
          <w:rFonts w:hint="eastAsia" w:ascii="仿宋_GB2312" w:eastAsia="仿宋_GB2312"/>
          <w:color w:val="000000"/>
          <w:sz w:val="32"/>
          <w:szCs w:val="32"/>
          <w:lang w:val="en-US" w:eastAsia="zh-CN"/>
        </w:rPr>
        <w:t>　　三、以挖掘传统文化入手，持续实施“兴文”行动。深入实施“金川民俗”展示行动，鼓励引导</w:t>
      </w:r>
      <w:r>
        <w:rPr>
          <w:rFonts w:hint="eastAsia" w:ascii="仿宋_GB2312" w:eastAsia="仿宋_GB2312"/>
          <w:color w:val="000000"/>
          <w:sz w:val="32"/>
          <w:szCs w:val="32"/>
        </w:rPr>
        <w:t>民间</w:t>
      </w:r>
      <w:r>
        <w:rPr>
          <w:rFonts w:hint="eastAsia" w:ascii="仿宋_GB2312" w:eastAsia="仿宋_GB2312"/>
          <w:color w:val="000000"/>
          <w:sz w:val="32"/>
          <w:szCs w:val="32"/>
          <w:lang w:eastAsia="zh-CN"/>
        </w:rPr>
        <w:t>艺术家</w:t>
      </w:r>
      <w:r>
        <w:rPr>
          <w:rFonts w:hint="eastAsia" w:ascii="仿宋_GB2312" w:eastAsia="仿宋_GB2312"/>
          <w:color w:val="000000"/>
          <w:sz w:val="32"/>
          <w:szCs w:val="32"/>
        </w:rPr>
        <w:t>搜集</w:t>
      </w:r>
      <w:r>
        <w:rPr>
          <w:rFonts w:hint="eastAsia" w:ascii="仿宋_GB2312" w:eastAsia="仿宋_GB2312"/>
          <w:color w:val="000000"/>
          <w:sz w:val="32"/>
          <w:szCs w:val="32"/>
          <w:lang w:eastAsia="zh-CN"/>
        </w:rPr>
        <w:t>金川</w:t>
      </w:r>
      <w:r>
        <w:rPr>
          <w:rFonts w:hint="eastAsia" w:ascii="仿宋_GB2312" w:eastAsia="仿宋_GB2312"/>
          <w:color w:val="000000"/>
          <w:sz w:val="32"/>
          <w:szCs w:val="32"/>
        </w:rPr>
        <w:t>故事、谚语、</w:t>
      </w:r>
      <w:r>
        <w:rPr>
          <w:rFonts w:hint="eastAsia" w:ascii="仿宋_GB2312" w:eastAsia="仿宋_GB2312"/>
          <w:color w:val="000000"/>
          <w:sz w:val="32"/>
          <w:szCs w:val="32"/>
          <w:lang w:eastAsia="zh-CN"/>
        </w:rPr>
        <w:t>歌曲</w:t>
      </w:r>
      <w:r>
        <w:rPr>
          <w:rFonts w:hint="eastAsia" w:ascii="仿宋_GB2312" w:eastAsia="仿宋_GB2312"/>
          <w:color w:val="000000"/>
          <w:sz w:val="32"/>
          <w:szCs w:val="32"/>
        </w:rPr>
        <w:t>、风物等</w:t>
      </w:r>
      <w:r>
        <w:rPr>
          <w:rFonts w:hint="eastAsia" w:ascii="仿宋_GB2312" w:eastAsia="仿宋_GB2312"/>
          <w:color w:val="000000"/>
          <w:sz w:val="32"/>
          <w:szCs w:val="32"/>
          <w:lang w:val="en-US" w:eastAsia="zh-CN"/>
        </w:rPr>
        <w:t>历史、民俗、传统文化等资源，整理成文字、图片、视频等形式，进行展示和宣传。组织编撰《聆听 金川山歌集》，加强珍贵物质文化遗产的保护与传承，推动金川山歌艺术创造性保护和创新性发展；2024年8月16日举办了“金川首届山歌文化交流会暨《聆听 金川山歌集》意见建议征集会，县委书记郭素梅同志出席会议并讲话，她提出：要抓住‘人才’这个前提、‘创作’这个核心、‘传播’这个关键、‘转化’这个目标，采取多种形式，着力将山歌作品转化为文创产品，把文化资源优势转化为文化产业优势”，会上，30余名本土文化学者、文艺代表、现代音乐人，就进一步修改完善、精美化编排设计、深层次开发利用展开了热烈讨论，收集梳理意见建议26条。有序推进《阿木穰将军》专著编撰工作，深入阿木穰将军生活、战斗和涉及阿木穰将军资料留存的地方开展实地踏勘，6月到成都，实地调研走访王桂英故里、四川省档案馆地，查阅阿坝州屯兵史料、采访大金川河西千总阿木穰后人，并对屯兵资料进行系统地归纳梳理汇总，确保专著内容的针对性和实用性，为金川促进文化产业的发展，注入新的活力提供有力支撑。办精办优《东女文艺》微信公众平台，铸造金川文化文艺品牌，累计发布75篇，传递积极向上的社会价值观，引领社会风尚。本土作家王仕文《云上墨尔多山行记》发表于《民族文学》汉文版；韩玲创作的《故乡的年味》发表于2024年《民族文学》头条，《抵达》发表于《中国作家》第12期，《印象观音桥》发表于《四川文学》第三期，卷首语《文学与生活》发表于内蒙《百柳》第三期，《也曾为师》发表于《草地》头条，《驿站》发表于《中国副刊》9月20日版，《香山上的碉楼》发表于《四川法制报》，《老街图鉴》获2023年度四川报纸副刊一等奖。大力鼓励全县农民工参加“四川省第五届农民工原创文艺作品大赛”，征集作品60篇，李本鸿的《雅江之火，逆行者之歌》荣获美术类二等奖，张云刚《数星星的孩子》荣获文学-小说类三等奖。</w:t>
      </w:r>
    </w:p>
    <w:p w14:paraId="0C732F4F">
      <w:pPr>
        <w:spacing w:line="578" w:lineRule="exact"/>
        <w:ind w:left="0" w:firstLine="640" w:firstLineChars="200"/>
        <w:rPr>
          <w:rStyle w:val="22"/>
          <w:b w:val="0"/>
          <w:bCs w:val="0"/>
        </w:rPr>
      </w:pPr>
      <w:r>
        <w:rPr>
          <w:rStyle w:val="22"/>
          <w:rFonts w:hint="eastAsia" w:ascii="黑体" w:eastAsia="黑体"/>
          <w:b w:val="0"/>
          <w:bCs w:val="0"/>
        </w:rPr>
        <w:t>二、机构设置</w:t>
      </w:r>
      <w:bookmarkEnd w:id="20"/>
      <w:bookmarkEnd w:id="21"/>
    </w:p>
    <w:p w14:paraId="6516262D">
      <w:pPr>
        <w:widowControl/>
        <w:ind w:firstLine="640" w:firstLineChars="200"/>
        <w:jc w:val="left"/>
        <w:rPr>
          <w:rFonts w:hint="eastAsia" w:ascii="仿宋_GB2312" w:hAnsi="Times New Roman" w:eastAsia="仿宋_GB2312" w:cs="Times New Roman"/>
          <w:color w:val="000000"/>
          <w:sz w:val="32"/>
          <w:szCs w:val="32"/>
          <w:lang w:val="en-US" w:eastAsia="zh-CN"/>
        </w:rPr>
      </w:pPr>
      <w:r>
        <w:rPr>
          <w:rFonts w:hint="eastAsia" w:ascii="仿宋_GB2312" w:hAnsi="Times New Roman" w:eastAsia="仿宋_GB2312" w:cs="Times New Roman"/>
          <w:color w:val="000000"/>
          <w:sz w:val="32"/>
          <w:szCs w:val="32"/>
          <w:lang w:val="en-US" w:eastAsia="zh-CN"/>
        </w:rPr>
        <w:t>文联为正科级事业单位，一个行政核算机构，经费形式为全额拨款。内设机构1个（办公室），核定事业编制4名，实有事业管理人员4人。</w:t>
      </w:r>
    </w:p>
    <w:p w14:paraId="020B556B">
      <w:pPr>
        <w:pStyle w:val="2"/>
        <w:ind w:right="440"/>
        <w:jc w:val="right"/>
      </w:pPr>
      <w:bookmarkStart w:id="22" w:name="_Toc15377204"/>
      <w:bookmarkStart w:id="23" w:name="_Toc15396602"/>
      <w:r>
        <w:rPr>
          <w:rFonts w:hint="eastAsia" w:ascii="黑体" w:eastAsia="黑体"/>
          <w:b w:val="0"/>
          <w:color w:val="000000"/>
        </w:rPr>
        <w:t>第二部分</w:t>
      </w:r>
      <w:r>
        <w:rPr>
          <w:rFonts w:hint="eastAsia" w:ascii="黑体" w:eastAsia="黑体"/>
          <w:color w:val="000000"/>
        </w:rPr>
        <w:t xml:space="preserve"> </w:t>
      </w:r>
      <w:r>
        <w:rPr>
          <w:rStyle w:val="21"/>
          <w:rFonts w:hint="eastAsia" w:ascii="黑体" w:eastAsia="黑体"/>
          <w:b w:val="0"/>
          <w:bCs w:val="0"/>
        </w:rPr>
        <w:t>20</w:t>
      </w:r>
      <w:r>
        <w:rPr>
          <w:rStyle w:val="21"/>
          <w:rFonts w:hint="eastAsia" w:ascii="黑体" w:eastAsia="黑体"/>
          <w:b w:val="0"/>
          <w:bCs w:val="0"/>
          <w:lang w:val="en-US"/>
        </w:rPr>
        <w:t>24</w:t>
      </w:r>
      <w:r>
        <w:rPr>
          <w:rStyle w:val="21"/>
          <w:rFonts w:hint="eastAsia" w:ascii="黑体" w:eastAsia="黑体"/>
          <w:b w:val="0"/>
          <w:bCs w:val="0"/>
        </w:rPr>
        <w:t>年度部门决算情况说明</w:t>
      </w:r>
      <w:bookmarkEnd w:id="22"/>
      <w:bookmarkEnd w:id="23"/>
    </w:p>
    <w:p w14:paraId="618145EE">
      <w:pPr>
        <w:pStyle w:val="27"/>
        <w:numPr>
          <w:ilvl w:val="0"/>
          <w:numId w:val="0"/>
        </w:numPr>
        <w:spacing w:line="240" w:lineRule="auto"/>
        <w:ind w:leftChars="0" w:firstLine="640" w:firstLineChars="200"/>
        <w:outlineLvl w:val="1"/>
        <w:rPr>
          <w:rStyle w:val="22"/>
          <w:rFonts w:ascii="黑体" w:eastAsia="黑体"/>
          <w:b w:val="0"/>
        </w:rPr>
      </w:pPr>
      <w:bookmarkStart w:id="24" w:name="_Toc15377205"/>
      <w:bookmarkStart w:id="25" w:name="_Toc15396603"/>
      <w:r>
        <w:rPr>
          <w:rFonts w:hint="eastAsia" w:ascii="黑体" w:eastAsia="黑体"/>
          <w:color w:val="000000"/>
          <w:sz w:val="32"/>
          <w:szCs w:val="32"/>
          <w:lang w:eastAsia="zh-CN"/>
        </w:rPr>
        <w:t>一、</w:t>
      </w:r>
      <w:r>
        <w:rPr>
          <w:rFonts w:hint="eastAsia" w:ascii="黑体" w:eastAsia="黑体"/>
          <w:color w:val="000000"/>
          <w:sz w:val="32"/>
          <w:szCs w:val="32"/>
        </w:rPr>
        <w:t>收</w:t>
      </w:r>
      <w:r>
        <w:rPr>
          <w:rStyle w:val="22"/>
          <w:rFonts w:hint="eastAsia" w:ascii="黑体" w:eastAsia="黑体"/>
          <w:b w:val="0"/>
        </w:rPr>
        <w:t>入支出决算总体情况说明</w:t>
      </w:r>
      <w:bookmarkEnd w:id="24"/>
      <w:bookmarkEnd w:id="25"/>
    </w:p>
    <w:p w14:paraId="6D7A41C6">
      <w:pPr>
        <w:widowControl/>
        <w:ind w:firstLine="640" w:firstLineChars="200"/>
        <w:jc w:val="left"/>
        <w:rPr>
          <w:rFonts w:hint="eastAsia" w:ascii="仿宋_GB2312" w:hAnsi="Times New Roman" w:eastAsia="仿宋_GB2312" w:cs="Times New Roman"/>
          <w:color w:val="000000"/>
          <w:sz w:val="32"/>
          <w:szCs w:val="32"/>
          <w:lang w:val="en-US" w:eastAsia="zh-CN"/>
        </w:rPr>
      </w:pPr>
      <w:r>
        <w:rPr>
          <w:rFonts w:hint="eastAsia" w:ascii="仿宋_GB2312" w:hAnsi="Times New Roman" w:eastAsia="仿宋_GB2312" w:cs="Times New Roman"/>
          <w:color w:val="000000"/>
          <w:sz w:val="32"/>
          <w:szCs w:val="32"/>
          <w:lang w:val="en-US" w:eastAsia="zh-CN"/>
        </w:rPr>
        <w:t>202</w:t>
      </w:r>
      <w:r>
        <w:rPr>
          <w:rFonts w:hint="eastAsia" w:ascii="仿宋_GB2312" w:eastAsia="仿宋_GB2312" w:cs="Times New Roman"/>
          <w:color w:val="000000"/>
          <w:sz w:val="32"/>
          <w:szCs w:val="32"/>
          <w:lang w:val="en-US" w:eastAsia="zh-CN"/>
        </w:rPr>
        <w:t>4</w:t>
      </w:r>
      <w:r>
        <w:rPr>
          <w:rFonts w:hint="eastAsia" w:ascii="仿宋_GB2312" w:hAnsi="Times New Roman" w:eastAsia="仿宋_GB2312" w:cs="Times New Roman"/>
          <w:color w:val="000000"/>
          <w:sz w:val="32"/>
          <w:szCs w:val="32"/>
          <w:lang w:val="en-US" w:eastAsia="zh-CN"/>
        </w:rPr>
        <w:t>年度总收入</w:t>
      </w:r>
      <w:r>
        <w:rPr>
          <w:rFonts w:hint="eastAsia" w:ascii="仿宋_GB2312" w:eastAsia="仿宋_GB2312" w:cs="Times New Roman"/>
          <w:color w:val="000000"/>
          <w:sz w:val="32"/>
          <w:szCs w:val="32"/>
          <w:lang w:val="en-US" w:eastAsia="zh-CN"/>
        </w:rPr>
        <w:t>104.80</w:t>
      </w:r>
      <w:r>
        <w:rPr>
          <w:rFonts w:hint="eastAsia" w:ascii="仿宋_GB2312" w:hAnsi="Times New Roman" w:eastAsia="仿宋_GB2312" w:cs="Times New Roman"/>
          <w:color w:val="000000"/>
          <w:sz w:val="32"/>
          <w:szCs w:val="32"/>
          <w:lang w:val="en-US" w:eastAsia="zh-CN"/>
        </w:rPr>
        <w:t>万元，较上年收入增加</w:t>
      </w:r>
      <w:r>
        <w:rPr>
          <w:rFonts w:hint="eastAsia" w:ascii="仿宋_GB2312" w:eastAsia="仿宋_GB2312" w:cs="Times New Roman"/>
          <w:color w:val="000000"/>
          <w:sz w:val="32"/>
          <w:szCs w:val="32"/>
          <w:lang w:val="en-US" w:eastAsia="zh-CN"/>
        </w:rPr>
        <w:t>8.14</w:t>
      </w:r>
      <w:r>
        <w:rPr>
          <w:rFonts w:hint="eastAsia" w:ascii="仿宋_GB2312" w:hAnsi="Times New Roman" w:eastAsia="仿宋_GB2312" w:cs="Times New Roman"/>
          <w:color w:val="000000"/>
          <w:sz w:val="32"/>
          <w:szCs w:val="32"/>
          <w:lang w:val="en-US" w:eastAsia="zh-CN"/>
        </w:rPr>
        <w:t>万元，增加</w:t>
      </w:r>
      <w:r>
        <w:rPr>
          <w:rFonts w:hint="eastAsia" w:ascii="仿宋_GB2312" w:eastAsia="仿宋_GB2312" w:cs="Times New Roman"/>
          <w:color w:val="000000"/>
          <w:sz w:val="32"/>
          <w:szCs w:val="32"/>
          <w:lang w:val="en-US" w:eastAsia="zh-CN"/>
        </w:rPr>
        <w:t>8.42</w:t>
      </w:r>
      <w:r>
        <w:rPr>
          <w:rFonts w:hint="eastAsia" w:ascii="仿宋_GB2312" w:hAnsi="Times New Roman" w:eastAsia="仿宋_GB2312" w:cs="Times New Roman"/>
          <w:color w:val="000000"/>
          <w:sz w:val="32"/>
          <w:szCs w:val="32"/>
          <w:lang w:val="en-US" w:eastAsia="zh-CN"/>
        </w:rPr>
        <w:t>%。 其增加的主要原因是调整了人员的基本工资和津贴补贴</w:t>
      </w:r>
      <w:r>
        <w:rPr>
          <w:rFonts w:hint="eastAsia" w:ascii="仿宋_GB2312" w:eastAsia="仿宋_GB2312" w:cs="Times New Roman"/>
          <w:color w:val="000000"/>
          <w:sz w:val="32"/>
          <w:szCs w:val="32"/>
          <w:lang w:val="en-US" w:eastAsia="zh-CN"/>
        </w:rPr>
        <w:t>及日常经费</w:t>
      </w:r>
      <w:r>
        <w:rPr>
          <w:rFonts w:hint="eastAsia" w:ascii="仿宋_GB2312" w:hAnsi="Times New Roman" w:eastAsia="仿宋_GB2312" w:cs="Times New Roman"/>
          <w:color w:val="000000"/>
          <w:sz w:val="32"/>
          <w:szCs w:val="32"/>
          <w:lang w:val="en-US" w:eastAsia="zh-CN"/>
        </w:rPr>
        <w:t>。</w:t>
      </w:r>
    </w:p>
    <w:p w14:paraId="79D7AED6">
      <w:pPr>
        <w:widowControl/>
        <w:ind w:firstLine="640" w:firstLineChars="200"/>
        <w:jc w:val="left"/>
        <w:rPr>
          <w:rFonts w:hint="eastAsia" w:ascii="仿宋_GB2312" w:hAnsi="Times New Roman" w:eastAsia="仿宋_GB2312" w:cs="Times New Roman"/>
          <w:color w:val="000000"/>
          <w:sz w:val="32"/>
          <w:szCs w:val="32"/>
          <w:lang w:val="en-US" w:eastAsia="zh-CN"/>
        </w:rPr>
      </w:pPr>
      <w:r>
        <w:rPr>
          <w:rFonts w:hint="eastAsia" w:ascii="仿宋_GB2312" w:hAnsi="Times New Roman" w:eastAsia="仿宋_GB2312" w:cs="Times New Roman"/>
          <w:color w:val="000000"/>
          <w:sz w:val="32"/>
          <w:szCs w:val="32"/>
          <w:lang w:val="en-US" w:eastAsia="zh-CN"/>
        </w:rPr>
        <w:t>202</w:t>
      </w:r>
      <w:r>
        <w:rPr>
          <w:rFonts w:hint="eastAsia" w:ascii="仿宋_GB2312" w:eastAsia="仿宋_GB2312" w:cs="Times New Roman"/>
          <w:color w:val="000000"/>
          <w:sz w:val="32"/>
          <w:szCs w:val="32"/>
          <w:lang w:val="en-US" w:eastAsia="zh-CN"/>
        </w:rPr>
        <w:t>4</w:t>
      </w:r>
      <w:r>
        <w:rPr>
          <w:rFonts w:hint="eastAsia" w:ascii="仿宋_GB2312" w:hAnsi="Times New Roman" w:eastAsia="仿宋_GB2312" w:cs="Times New Roman"/>
          <w:color w:val="000000"/>
          <w:sz w:val="32"/>
          <w:szCs w:val="32"/>
          <w:lang w:val="en-US" w:eastAsia="zh-CN"/>
        </w:rPr>
        <w:t>年总支出</w:t>
      </w:r>
      <w:r>
        <w:rPr>
          <w:rFonts w:hint="eastAsia" w:ascii="仿宋_GB2312" w:eastAsia="仿宋_GB2312" w:cs="Times New Roman"/>
          <w:color w:val="000000"/>
          <w:sz w:val="32"/>
          <w:szCs w:val="32"/>
          <w:lang w:val="en-US" w:eastAsia="zh-CN"/>
        </w:rPr>
        <w:t>104.80</w:t>
      </w:r>
      <w:r>
        <w:rPr>
          <w:rFonts w:hint="eastAsia" w:ascii="仿宋_GB2312" w:hAnsi="Times New Roman" w:eastAsia="仿宋_GB2312" w:cs="Times New Roman"/>
          <w:color w:val="000000"/>
          <w:sz w:val="32"/>
          <w:szCs w:val="32"/>
          <w:lang w:val="en-US" w:eastAsia="zh-CN"/>
        </w:rPr>
        <w:t>万元，较上年支出增加</w:t>
      </w:r>
      <w:r>
        <w:rPr>
          <w:rFonts w:hint="eastAsia" w:ascii="仿宋_GB2312" w:eastAsia="仿宋_GB2312" w:cs="Times New Roman"/>
          <w:color w:val="000000"/>
          <w:sz w:val="32"/>
          <w:szCs w:val="32"/>
          <w:lang w:val="en-US" w:eastAsia="zh-CN"/>
        </w:rPr>
        <w:t>8.14</w:t>
      </w:r>
      <w:r>
        <w:rPr>
          <w:rFonts w:hint="eastAsia" w:ascii="仿宋_GB2312" w:hAnsi="Times New Roman" w:eastAsia="仿宋_GB2312" w:cs="Times New Roman"/>
          <w:color w:val="000000"/>
          <w:sz w:val="32"/>
          <w:szCs w:val="32"/>
          <w:lang w:val="en-US" w:eastAsia="zh-CN"/>
        </w:rPr>
        <w:t>万元，增加</w:t>
      </w:r>
      <w:r>
        <w:rPr>
          <w:rFonts w:hint="eastAsia" w:ascii="仿宋_GB2312" w:eastAsia="仿宋_GB2312" w:cs="Times New Roman"/>
          <w:color w:val="000000"/>
          <w:sz w:val="32"/>
          <w:szCs w:val="32"/>
          <w:lang w:val="en-US" w:eastAsia="zh-CN"/>
        </w:rPr>
        <w:t>8.42</w:t>
      </w:r>
      <w:r>
        <w:rPr>
          <w:rFonts w:hint="eastAsia" w:ascii="仿宋_GB2312" w:hAnsi="Times New Roman" w:eastAsia="仿宋_GB2312" w:cs="Times New Roman"/>
          <w:color w:val="000000"/>
          <w:sz w:val="32"/>
          <w:szCs w:val="32"/>
          <w:lang w:val="en-US" w:eastAsia="zh-CN"/>
        </w:rPr>
        <w:t>%。主要原因是调整了人员的基本工资和津贴补贴</w:t>
      </w:r>
      <w:r>
        <w:rPr>
          <w:rFonts w:hint="eastAsia" w:ascii="仿宋_GB2312" w:eastAsia="仿宋_GB2312" w:cs="Times New Roman"/>
          <w:color w:val="000000"/>
          <w:sz w:val="32"/>
          <w:szCs w:val="32"/>
          <w:lang w:val="en-US" w:eastAsia="zh-CN"/>
        </w:rPr>
        <w:t>及日常经费</w:t>
      </w:r>
      <w:r>
        <w:rPr>
          <w:rFonts w:hint="eastAsia" w:ascii="仿宋_GB2312" w:hAnsi="Times New Roman" w:eastAsia="仿宋_GB2312" w:cs="Times New Roman"/>
          <w:color w:val="000000"/>
          <w:sz w:val="32"/>
          <w:szCs w:val="32"/>
          <w:lang w:val="en-US" w:eastAsia="zh-CN"/>
        </w:rPr>
        <w:t>。</w:t>
      </w:r>
    </w:p>
    <w:p w14:paraId="1B9F1AF5">
      <w:pPr>
        <w:snapToGrid w:val="0"/>
        <w:spacing w:line="240" w:lineRule="auto"/>
        <w:jc w:val="both"/>
        <w:rPr>
          <w:rFonts w:hint="eastAsia" w:ascii="仿宋_GB2312" w:hAnsi="Times New Roman" w:eastAsia="仿宋_GB2312" w:cs="Times New Roman"/>
          <w:color w:val="000000"/>
          <w:sz w:val="32"/>
          <w:szCs w:val="32"/>
          <w:lang w:val="en-US" w:eastAsia="zh-CN"/>
        </w:rPr>
      </w:pPr>
      <w:bookmarkStart w:id="26" w:name="_Toc15377206"/>
      <w:bookmarkStart w:id="27" w:name="_Toc15396604"/>
      <w:r>
        <w:rPr>
          <w:rFonts w:hint="eastAsia" w:ascii="仿宋_GB2312" w:hAnsi="Times New Roman" w:eastAsia="仿宋_GB2312" w:cs="Times New Roman"/>
          <w:color w:val="000000"/>
          <w:sz w:val="32"/>
          <w:szCs w:val="32"/>
          <w:lang w:val="en-US" w:eastAsia="zh-CN"/>
        </w:rPr>
        <w:drawing>
          <wp:inline distT="0" distB="0" distL="114300" distR="114300">
            <wp:extent cx="4839970" cy="2755265"/>
            <wp:effectExtent l="0" t="0" r="17780" b="6985"/>
            <wp:docPr id="18" name="图片 18" descr="图片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图片9"/>
                    <pic:cNvPicPr>
                      <a:picLocks noChangeAspect="1"/>
                    </pic:cNvPicPr>
                  </pic:nvPicPr>
                  <pic:blipFill>
                    <a:blip r:embed="rId6"/>
                    <a:stretch>
                      <a:fillRect/>
                    </a:stretch>
                  </pic:blipFill>
                  <pic:spPr>
                    <a:xfrm>
                      <a:off x="0" y="0"/>
                      <a:ext cx="4839970" cy="2755265"/>
                    </a:xfrm>
                    <a:prstGeom prst="rect">
                      <a:avLst/>
                    </a:prstGeom>
                  </pic:spPr>
                </pic:pic>
              </a:graphicData>
            </a:graphic>
          </wp:inline>
        </w:drawing>
      </w:r>
    </w:p>
    <w:p w14:paraId="7019B161">
      <w:pPr>
        <w:snapToGrid w:val="0"/>
        <w:spacing w:line="520" w:lineRule="exact"/>
        <w:ind w:firstLine="640" w:firstLineChars="200"/>
        <w:rPr>
          <w:rStyle w:val="22"/>
          <w:rFonts w:ascii="黑体" w:eastAsia="黑体"/>
          <w:b w:val="0"/>
        </w:rPr>
      </w:pPr>
      <w:r>
        <w:rPr>
          <w:rFonts w:hint="eastAsia" w:ascii="黑体" w:eastAsia="黑体" w:cs="Times New Roman"/>
          <w:color w:val="000000"/>
          <w:kern w:val="2"/>
          <w:sz w:val="32"/>
          <w:szCs w:val="32"/>
          <w:lang w:val="en-US" w:eastAsia="zh-CN" w:bidi="ar-SA"/>
        </w:rPr>
        <w:t>二、收入决</w:t>
      </w:r>
      <w:r>
        <w:rPr>
          <w:rStyle w:val="22"/>
          <w:rFonts w:hint="eastAsia" w:ascii="黑体" w:eastAsia="黑体"/>
          <w:b w:val="0"/>
        </w:rPr>
        <w:t>算情况说明</w:t>
      </w:r>
      <w:bookmarkEnd w:id="26"/>
      <w:bookmarkEnd w:id="27"/>
    </w:p>
    <w:p w14:paraId="25741756">
      <w:pPr>
        <w:widowControl/>
        <w:ind w:firstLine="640" w:firstLineChars="200"/>
        <w:jc w:val="left"/>
        <w:rPr>
          <w:rFonts w:hint="eastAsia" w:ascii="仿宋_GB2312" w:hAnsi="Times New Roman" w:eastAsia="仿宋_GB2312" w:cs="Times New Roman"/>
          <w:color w:val="000000"/>
          <w:sz w:val="32"/>
          <w:szCs w:val="32"/>
          <w:lang w:val="en-US" w:eastAsia="zh-CN"/>
        </w:rPr>
      </w:pPr>
      <w:r>
        <w:rPr>
          <w:rFonts w:hint="eastAsia" w:ascii="仿宋_GB2312" w:hAnsi="Times New Roman" w:eastAsia="仿宋_GB2312" w:cs="Times New Roman"/>
          <w:color w:val="000000"/>
          <w:sz w:val="32"/>
          <w:szCs w:val="32"/>
        </w:rPr>
        <w:t>20</w:t>
      </w:r>
      <w:r>
        <w:rPr>
          <w:rFonts w:hint="eastAsia" w:ascii="仿宋_GB2312" w:hAnsi="Times New Roman" w:eastAsia="仿宋_GB2312" w:cs="Times New Roman"/>
          <w:color w:val="000000"/>
          <w:sz w:val="32"/>
          <w:szCs w:val="32"/>
          <w:lang w:val="en-US" w:eastAsia="zh-CN"/>
        </w:rPr>
        <w:t>2</w:t>
      </w:r>
      <w:r>
        <w:rPr>
          <w:rFonts w:hint="eastAsia" w:ascii="仿宋_GB2312" w:eastAsia="仿宋_GB2312" w:cs="Times New Roman"/>
          <w:color w:val="000000"/>
          <w:sz w:val="32"/>
          <w:szCs w:val="32"/>
          <w:lang w:val="en-US" w:eastAsia="zh-CN"/>
        </w:rPr>
        <w:t>4</w:t>
      </w:r>
      <w:r>
        <w:rPr>
          <w:rFonts w:hint="eastAsia" w:ascii="仿宋_GB2312" w:hAnsi="Times New Roman" w:eastAsia="仿宋_GB2312" w:cs="Times New Roman"/>
          <w:color w:val="000000"/>
          <w:sz w:val="32"/>
          <w:szCs w:val="32"/>
        </w:rPr>
        <w:t>年</w:t>
      </w:r>
      <w:r>
        <w:rPr>
          <w:rFonts w:hint="eastAsia" w:ascii="仿宋_GB2312" w:hAnsi="Times New Roman" w:eastAsia="仿宋_GB2312" w:cs="Times New Roman"/>
          <w:color w:val="000000"/>
          <w:sz w:val="32"/>
          <w:szCs w:val="32"/>
          <w:lang w:val="en-US" w:eastAsia="zh-CN"/>
        </w:rPr>
        <w:t>总</w:t>
      </w:r>
      <w:r>
        <w:rPr>
          <w:rFonts w:hint="eastAsia" w:ascii="仿宋_GB2312" w:hAnsi="Times New Roman" w:eastAsia="仿宋_GB2312" w:cs="Times New Roman"/>
          <w:color w:val="000000"/>
          <w:sz w:val="32"/>
          <w:szCs w:val="32"/>
        </w:rPr>
        <w:t>收入</w:t>
      </w:r>
      <w:r>
        <w:rPr>
          <w:rFonts w:hint="eastAsia" w:ascii="仿宋_GB2312" w:eastAsia="仿宋_GB2312" w:cs="Times New Roman"/>
          <w:color w:val="000000"/>
          <w:sz w:val="32"/>
          <w:szCs w:val="32"/>
          <w:lang w:val="en-US" w:eastAsia="zh-CN"/>
        </w:rPr>
        <w:t>104.80</w:t>
      </w:r>
      <w:r>
        <w:rPr>
          <w:rFonts w:hint="eastAsia" w:ascii="仿宋_GB2312" w:hAnsi="Times New Roman" w:eastAsia="仿宋_GB2312" w:cs="Times New Roman"/>
          <w:color w:val="000000"/>
          <w:sz w:val="32"/>
          <w:szCs w:val="32"/>
        </w:rPr>
        <w:t>万元，其中：一般公共预算财政拨款收入</w:t>
      </w:r>
      <w:r>
        <w:rPr>
          <w:rFonts w:hint="eastAsia" w:ascii="仿宋_GB2312" w:eastAsia="仿宋_GB2312" w:cs="Times New Roman"/>
          <w:color w:val="000000"/>
          <w:sz w:val="32"/>
          <w:szCs w:val="32"/>
          <w:lang w:val="en-US" w:eastAsia="zh-CN"/>
        </w:rPr>
        <w:t>104.80</w:t>
      </w:r>
      <w:r>
        <w:rPr>
          <w:rFonts w:hint="eastAsia" w:ascii="仿宋_GB2312" w:hAnsi="Times New Roman" w:eastAsia="仿宋_GB2312" w:cs="Times New Roman"/>
          <w:color w:val="000000"/>
          <w:sz w:val="32"/>
          <w:szCs w:val="32"/>
        </w:rPr>
        <w:t>万元，占</w:t>
      </w:r>
      <w:r>
        <w:rPr>
          <w:rFonts w:hint="eastAsia" w:ascii="仿宋_GB2312" w:hAnsi="Times New Roman" w:eastAsia="仿宋_GB2312" w:cs="Times New Roman"/>
          <w:color w:val="000000"/>
          <w:sz w:val="32"/>
          <w:szCs w:val="32"/>
          <w:lang w:val="en-US" w:eastAsia="zh-CN"/>
        </w:rPr>
        <w:t>100</w:t>
      </w:r>
      <w:r>
        <w:rPr>
          <w:rFonts w:hint="eastAsia" w:ascii="仿宋_GB2312" w:hAnsi="Times New Roman" w:eastAsia="仿宋_GB2312" w:cs="Times New Roman"/>
          <w:color w:val="000000"/>
          <w:sz w:val="32"/>
          <w:szCs w:val="32"/>
        </w:rPr>
        <w:t>%；政府性基金预算财政拨款收入</w:t>
      </w:r>
      <w:r>
        <w:rPr>
          <w:rFonts w:hint="eastAsia" w:ascii="仿宋_GB2312" w:hAnsi="Times New Roman" w:eastAsia="仿宋_GB2312" w:cs="Times New Roman"/>
          <w:color w:val="000000"/>
          <w:sz w:val="32"/>
          <w:szCs w:val="32"/>
          <w:lang w:val="en-US" w:eastAsia="zh-CN"/>
        </w:rPr>
        <w:t>0</w:t>
      </w:r>
      <w:r>
        <w:rPr>
          <w:rFonts w:hint="eastAsia" w:ascii="仿宋_GB2312" w:hAnsi="Times New Roman" w:eastAsia="仿宋_GB2312" w:cs="Times New Roman"/>
          <w:color w:val="000000"/>
          <w:sz w:val="32"/>
          <w:szCs w:val="32"/>
        </w:rPr>
        <w:t>万元，占</w:t>
      </w:r>
      <w:r>
        <w:rPr>
          <w:rFonts w:hint="eastAsia" w:ascii="仿宋_GB2312" w:hAnsi="Times New Roman" w:eastAsia="仿宋_GB2312" w:cs="Times New Roman"/>
          <w:color w:val="000000"/>
          <w:sz w:val="32"/>
          <w:szCs w:val="32"/>
          <w:lang w:val="en-US" w:eastAsia="zh-CN"/>
        </w:rPr>
        <w:t>0</w:t>
      </w:r>
      <w:r>
        <w:rPr>
          <w:rFonts w:hint="eastAsia" w:ascii="仿宋_GB2312" w:hAnsi="Times New Roman" w:eastAsia="仿宋_GB2312" w:cs="Times New Roman"/>
          <w:color w:val="000000"/>
          <w:sz w:val="32"/>
          <w:szCs w:val="32"/>
        </w:rPr>
        <w:t>%；国有资本经营预算财政拨款收入</w:t>
      </w:r>
      <w:r>
        <w:rPr>
          <w:rFonts w:hint="eastAsia" w:ascii="仿宋_GB2312" w:hAnsi="Times New Roman" w:eastAsia="仿宋_GB2312" w:cs="Times New Roman"/>
          <w:color w:val="000000"/>
          <w:sz w:val="32"/>
          <w:szCs w:val="32"/>
          <w:lang w:val="en-US" w:eastAsia="zh-CN"/>
        </w:rPr>
        <w:t>0</w:t>
      </w:r>
      <w:r>
        <w:rPr>
          <w:rFonts w:hint="eastAsia" w:ascii="仿宋_GB2312" w:hAnsi="Times New Roman" w:eastAsia="仿宋_GB2312" w:cs="Times New Roman"/>
          <w:color w:val="000000"/>
          <w:sz w:val="32"/>
          <w:szCs w:val="32"/>
        </w:rPr>
        <w:t>万元，占</w:t>
      </w:r>
      <w:r>
        <w:rPr>
          <w:rFonts w:hint="eastAsia" w:ascii="仿宋_GB2312" w:hAnsi="Times New Roman" w:eastAsia="仿宋_GB2312" w:cs="Times New Roman"/>
          <w:color w:val="000000"/>
          <w:sz w:val="32"/>
          <w:szCs w:val="32"/>
          <w:lang w:val="en-US" w:eastAsia="zh-CN"/>
        </w:rPr>
        <w:t>0</w:t>
      </w:r>
      <w:r>
        <w:rPr>
          <w:rFonts w:hint="eastAsia" w:ascii="仿宋_GB2312" w:hAnsi="Times New Roman" w:eastAsia="仿宋_GB2312" w:cs="Times New Roman"/>
          <w:color w:val="000000"/>
          <w:sz w:val="32"/>
          <w:szCs w:val="32"/>
        </w:rPr>
        <w:t>%；事业收入</w:t>
      </w:r>
      <w:r>
        <w:rPr>
          <w:rFonts w:hint="eastAsia" w:ascii="仿宋_GB2312" w:hAnsi="Times New Roman" w:eastAsia="仿宋_GB2312" w:cs="Times New Roman"/>
          <w:color w:val="000000"/>
          <w:sz w:val="32"/>
          <w:szCs w:val="32"/>
          <w:lang w:val="en-US" w:eastAsia="zh-CN"/>
        </w:rPr>
        <w:t>0</w:t>
      </w:r>
      <w:r>
        <w:rPr>
          <w:rFonts w:hint="eastAsia" w:ascii="仿宋_GB2312" w:hAnsi="Times New Roman" w:eastAsia="仿宋_GB2312" w:cs="Times New Roman"/>
          <w:color w:val="000000"/>
          <w:sz w:val="32"/>
          <w:szCs w:val="32"/>
        </w:rPr>
        <w:t>万元，占</w:t>
      </w:r>
      <w:r>
        <w:rPr>
          <w:rFonts w:hint="eastAsia" w:ascii="仿宋_GB2312" w:hAnsi="Times New Roman" w:eastAsia="仿宋_GB2312" w:cs="Times New Roman"/>
          <w:color w:val="000000"/>
          <w:sz w:val="32"/>
          <w:szCs w:val="32"/>
          <w:lang w:val="en-US" w:eastAsia="zh-CN"/>
        </w:rPr>
        <w:t>0</w:t>
      </w:r>
      <w:r>
        <w:rPr>
          <w:rFonts w:hint="eastAsia" w:ascii="仿宋_GB2312" w:hAnsi="Times New Roman" w:eastAsia="仿宋_GB2312" w:cs="Times New Roman"/>
          <w:color w:val="000000"/>
          <w:sz w:val="32"/>
          <w:szCs w:val="32"/>
        </w:rPr>
        <w:t>%；经营收入</w:t>
      </w:r>
      <w:r>
        <w:rPr>
          <w:rFonts w:hint="eastAsia" w:ascii="仿宋_GB2312" w:hAnsi="Times New Roman" w:eastAsia="仿宋_GB2312" w:cs="Times New Roman"/>
          <w:color w:val="000000"/>
          <w:sz w:val="32"/>
          <w:szCs w:val="32"/>
          <w:lang w:val="en-US" w:eastAsia="zh-CN"/>
        </w:rPr>
        <w:t>0</w:t>
      </w:r>
      <w:r>
        <w:rPr>
          <w:rFonts w:hint="eastAsia" w:ascii="仿宋_GB2312" w:hAnsi="Times New Roman" w:eastAsia="仿宋_GB2312" w:cs="Times New Roman"/>
          <w:color w:val="000000"/>
          <w:sz w:val="32"/>
          <w:szCs w:val="32"/>
        </w:rPr>
        <w:t>万元，占</w:t>
      </w:r>
      <w:r>
        <w:rPr>
          <w:rFonts w:hint="eastAsia" w:ascii="仿宋_GB2312" w:hAnsi="Times New Roman" w:eastAsia="仿宋_GB2312" w:cs="Times New Roman"/>
          <w:color w:val="000000"/>
          <w:sz w:val="32"/>
          <w:szCs w:val="32"/>
          <w:lang w:val="en-US" w:eastAsia="zh-CN"/>
        </w:rPr>
        <w:t>0</w:t>
      </w:r>
      <w:r>
        <w:rPr>
          <w:rFonts w:hint="eastAsia" w:ascii="仿宋_GB2312" w:hAnsi="Times New Roman" w:eastAsia="仿宋_GB2312" w:cs="Times New Roman"/>
          <w:color w:val="000000"/>
          <w:sz w:val="32"/>
          <w:szCs w:val="32"/>
        </w:rPr>
        <w:t>%；附属单位上缴收入</w:t>
      </w:r>
      <w:r>
        <w:rPr>
          <w:rFonts w:hint="eastAsia" w:ascii="仿宋_GB2312" w:hAnsi="Times New Roman" w:eastAsia="仿宋_GB2312" w:cs="Times New Roman"/>
          <w:color w:val="000000"/>
          <w:sz w:val="32"/>
          <w:szCs w:val="32"/>
          <w:lang w:val="en-US" w:eastAsia="zh-CN"/>
        </w:rPr>
        <w:t>0</w:t>
      </w:r>
      <w:r>
        <w:rPr>
          <w:rFonts w:hint="eastAsia" w:ascii="仿宋_GB2312" w:hAnsi="Times New Roman" w:eastAsia="仿宋_GB2312" w:cs="Times New Roman"/>
          <w:color w:val="000000"/>
          <w:sz w:val="32"/>
          <w:szCs w:val="32"/>
        </w:rPr>
        <w:t>万元，占</w:t>
      </w:r>
      <w:r>
        <w:rPr>
          <w:rFonts w:hint="eastAsia" w:ascii="仿宋_GB2312" w:hAnsi="Times New Roman" w:eastAsia="仿宋_GB2312" w:cs="Times New Roman"/>
          <w:color w:val="000000"/>
          <w:sz w:val="32"/>
          <w:szCs w:val="32"/>
          <w:lang w:val="en-US" w:eastAsia="zh-CN"/>
        </w:rPr>
        <w:t>0</w:t>
      </w:r>
      <w:r>
        <w:rPr>
          <w:rFonts w:hint="eastAsia" w:ascii="仿宋_GB2312" w:hAnsi="Times New Roman" w:eastAsia="仿宋_GB2312" w:cs="Times New Roman"/>
          <w:color w:val="000000"/>
          <w:sz w:val="32"/>
          <w:szCs w:val="32"/>
        </w:rPr>
        <w:t>%；其他收入</w:t>
      </w:r>
      <w:r>
        <w:rPr>
          <w:rFonts w:hint="eastAsia" w:ascii="仿宋_GB2312" w:hAnsi="Times New Roman" w:eastAsia="仿宋_GB2312" w:cs="Times New Roman"/>
          <w:color w:val="000000"/>
          <w:sz w:val="32"/>
          <w:szCs w:val="32"/>
          <w:lang w:val="en-US" w:eastAsia="zh-CN"/>
        </w:rPr>
        <w:t>0</w:t>
      </w:r>
      <w:r>
        <w:rPr>
          <w:rFonts w:hint="eastAsia" w:ascii="仿宋_GB2312" w:hAnsi="Times New Roman" w:eastAsia="仿宋_GB2312" w:cs="Times New Roman"/>
          <w:color w:val="000000"/>
          <w:sz w:val="32"/>
          <w:szCs w:val="32"/>
        </w:rPr>
        <w:t>万元，占</w:t>
      </w:r>
      <w:r>
        <w:rPr>
          <w:rFonts w:hint="eastAsia" w:ascii="仿宋_GB2312" w:hAnsi="Times New Roman" w:eastAsia="仿宋_GB2312" w:cs="Times New Roman"/>
          <w:color w:val="000000"/>
          <w:sz w:val="32"/>
          <w:szCs w:val="32"/>
          <w:lang w:val="en-US" w:eastAsia="zh-CN"/>
        </w:rPr>
        <w:t>0</w:t>
      </w:r>
      <w:r>
        <w:rPr>
          <w:rFonts w:hint="eastAsia" w:ascii="仿宋_GB2312" w:hAnsi="Times New Roman" w:eastAsia="仿宋_GB2312" w:cs="Times New Roman"/>
          <w:color w:val="000000"/>
          <w:sz w:val="32"/>
          <w:szCs w:val="32"/>
        </w:rPr>
        <w:t>%</w:t>
      </w:r>
      <w:r>
        <w:rPr>
          <w:rFonts w:hint="eastAsia" w:ascii="仿宋_GB2312" w:hAnsi="Times New Roman" w:eastAsia="仿宋_GB2312" w:cs="Times New Roman"/>
          <w:color w:val="000000"/>
          <w:sz w:val="32"/>
          <w:szCs w:val="32"/>
          <w:lang w:val="en-US" w:eastAsia="zh-CN"/>
        </w:rPr>
        <w:t>。</w:t>
      </w:r>
    </w:p>
    <w:p w14:paraId="746BCA0B">
      <w:pPr>
        <w:spacing w:line="240" w:lineRule="auto"/>
        <w:ind w:firstLine="640" w:firstLineChars="200"/>
        <w:outlineLvl w:val="1"/>
        <w:rPr>
          <w:rFonts w:hint="eastAsia" w:ascii="黑体" w:eastAsia="黑体" w:cs="Times New Roman"/>
          <w:color w:val="000000" w:themeColor="text1"/>
          <w:kern w:val="2"/>
          <w:sz w:val="32"/>
          <w:szCs w:val="32"/>
          <w:lang w:val="en-US" w:eastAsia="zh-CN" w:bidi="ar-SA"/>
          <w14:textFill>
            <w14:solidFill>
              <w14:schemeClr w14:val="tx1"/>
            </w14:solidFill>
          </w14:textFill>
        </w:rPr>
      </w:pPr>
      <w:bookmarkStart w:id="28" w:name="_Toc15377207"/>
      <w:bookmarkStart w:id="29" w:name="_Toc15396605"/>
      <w:r>
        <w:rPr>
          <w:rFonts w:hint="eastAsia" w:ascii="黑体" w:eastAsia="黑体" w:cs="Times New Roman"/>
          <w:color w:val="000000" w:themeColor="text1"/>
          <w:kern w:val="2"/>
          <w:sz w:val="32"/>
          <w:szCs w:val="32"/>
          <w:lang w:val="en-US" w:eastAsia="zh-CN" w:bidi="ar-SA"/>
          <w14:textFill>
            <w14:solidFill>
              <w14:schemeClr w14:val="tx1"/>
            </w14:solidFill>
          </w14:textFill>
        </w:rPr>
        <w:drawing>
          <wp:inline distT="0" distB="0" distL="114300" distR="114300">
            <wp:extent cx="5126990" cy="2755265"/>
            <wp:effectExtent l="0" t="0" r="16510" b="6985"/>
            <wp:docPr id="8" name="图片 8"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片2"/>
                    <pic:cNvPicPr>
                      <a:picLocks noChangeAspect="1"/>
                    </pic:cNvPicPr>
                  </pic:nvPicPr>
                  <pic:blipFill>
                    <a:blip r:embed="rId7"/>
                    <a:stretch>
                      <a:fillRect/>
                    </a:stretch>
                  </pic:blipFill>
                  <pic:spPr>
                    <a:xfrm>
                      <a:off x="0" y="0"/>
                      <a:ext cx="5126990" cy="2755265"/>
                    </a:xfrm>
                    <a:prstGeom prst="rect">
                      <a:avLst/>
                    </a:prstGeom>
                  </pic:spPr>
                </pic:pic>
              </a:graphicData>
            </a:graphic>
          </wp:inline>
        </w:drawing>
      </w:r>
    </w:p>
    <w:p w14:paraId="39090F1F">
      <w:pPr>
        <w:spacing w:line="600" w:lineRule="exact"/>
        <w:ind w:firstLine="640" w:firstLineChars="200"/>
        <w:outlineLvl w:val="1"/>
        <w:rPr>
          <w:rStyle w:val="22"/>
          <w:rFonts w:ascii="黑体" w:eastAsia="黑体"/>
          <w:b w:val="0"/>
          <w:color w:val="000000" w:themeColor="text1"/>
          <w14:textFill>
            <w14:solidFill>
              <w14:schemeClr w14:val="tx1"/>
            </w14:solidFill>
          </w14:textFill>
        </w:rPr>
      </w:pPr>
      <w:r>
        <w:rPr>
          <w:rFonts w:hint="eastAsia" w:ascii="黑体" w:eastAsia="黑体" w:cs="Times New Roman"/>
          <w:color w:val="000000" w:themeColor="text1"/>
          <w:kern w:val="2"/>
          <w:sz w:val="32"/>
          <w:szCs w:val="32"/>
          <w:lang w:val="en-US" w:eastAsia="zh-CN" w:bidi="ar-SA"/>
          <w14:textFill>
            <w14:solidFill>
              <w14:schemeClr w14:val="tx1"/>
            </w14:solidFill>
          </w14:textFill>
        </w:rPr>
        <w:t>三、支出决</w:t>
      </w:r>
      <w:r>
        <w:rPr>
          <w:rStyle w:val="22"/>
          <w:rFonts w:hint="eastAsia" w:ascii="黑体" w:eastAsia="黑体"/>
          <w:b w:val="0"/>
          <w:color w:val="000000" w:themeColor="text1"/>
          <w14:textFill>
            <w14:solidFill>
              <w14:schemeClr w14:val="tx1"/>
            </w14:solidFill>
          </w14:textFill>
        </w:rPr>
        <w:t>算情况说明</w:t>
      </w:r>
      <w:bookmarkEnd w:id="28"/>
      <w:bookmarkEnd w:id="29"/>
    </w:p>
    <w:p w14:paraId="2CC65B06">
      <w:pPr>
        <w:widowControl/>
        <w:ind w:firstLine="640" w:firstLineChars="200"/>
        <w:jc w:val="left"/>
        <w:rPr>
          <w:rFonts w:hint="eastAsia" w:ascii="仿宋_GB2312" w:hAnsi="Times New Roman" w:eastAsia="仿宋_GB2312" w:cs="Times New Roman"/>
          <w:color w:val="000000"/>
          <w:sz w:val="32"/>
          <w:szCs w:val="32"/>
          <w:lang w:val="en-US" w:eastAsia="zh-CN"/>
        </w:rPr>
      </w:pPr>
      <w:r>
        <w:rPr>
          <w:rFonts w:hint="eastAsia" w:ascii="仿宋_GB2312" w:hAnsi="Times New Roman" w:eastAsia="仿宋_GB2312" w:cs="Times New Roman"/>
          <w:color w:val="000000"/>
          <w:sz w:val="32"/>
          <w:szCs w:val="32"/>
        </w:rPr>
        <w:t>20</w:t>
      </w:r>
      <w:r>
        <w:rPr>
          <w:rFonts w:hint="eastAsia" w:ascii="仿宋_GB2312" w:hAnsi="Times New Roman" w:eastAsia="仿宋_GB2312" w:cs="Times New Roman"/>
          <w:color w:val="000000"/>
          <w:sz w:val="32"/>
          <w:szCs w:val="32"/>
          <w:lang w:val="en-US" w:eastAsia="zh-CN"/>
        </w:rPr>
        <w:t>2</w:t>
      </w:r>
      <w:r>
        <w:rPr>
          <w:rFonts w:hint="eastAsia" w:ascii="仿宋_GB2312" w:eastAsia="仿宋_GB2312" w:cs="Times New Roman"/>
          <w:color w:val="000000"/>
          <w:sz w:val="32"/>
          <w:szCs w:val="32"/>
          <w:lang w:val="en-US" w:eastAsia="zh-CN"/>
        </w:rPr>
        <w:t>4</w:t>
      </w:r>
      <w:r>
        <w:rPr>
          <w:rFonts w:hint="eastAsia" w:ascii="仿宋_GB2312" w:hAnsi="Times New Roman" w:eastAsia="仿宋_GB2312" w:cs="Times New Roman"/>
          <w:color w:val="000000"/>
          <w:sz w:val="32"/>
          <w:szCs w:val="32"/>
        </w:rPr>
        <w:t>年本年</w:t>
      </w:r>
      <w:r>
        <w:rPr>
          <w:rFonts w:hint="eastAsia" w:ascii="仿宋_GB2312" w:hAnsi="Times New Roman" w:eastAsia="仿宋_GB2312" w:cs="Times New Roman"/>
          <w:color w:val="000000"/>
          <w:sz w:val="32"/>
          <w:szCs w:val="32"/>
          <w:lang w:val="en-US" w:eastAsia="zh-CN"/>
        </w:rPr>
        <w:t>总</w:t>
      </w:r>
      <w:r>
        <w:rPr>
          <w:rFonts w:hint="eastAsia" w:ascii="仿宋_GB2312" w:hAnsi="Times New Roman" w:eastAsia="仿宋_GB2312" w:cs="Times New Roman"/>
          <w:color w:val="000000"/>
          <w:sz w:val="32"/>
          <w:szCs w:val="32"/>
        </w:rPr>
        <w:t>支出</w:t>
      </w:r>
      <w:r>
        <w:rPr>
          <w:rFonts w:hint="eastAsia" w:ascii="仿宋_GB2312" w:eastAsia="仿宋_GB2312" w:cs="Times New Roman"/>
          <w:color w:val="000000"/>
          <w:sz w:val="32"/>
          <w:szCs w:val="32"/>
          <w:lang w:val="en-US" w:eastAsia="zh-CN"/>
        </w:rPr>
        <w:t>104.80</w:t>
      </w:r>
      <w:r>
        <w:rPr>
          <w:rFonts w:hint="eastAsia" w:ascii="仿宋_GB2312" w:hAnsi="Times New Roman" w:eastAsia="仿宋_GB2312" w:cs="Times New Roman"/>
          <w:color w:val="000000"/>
          <w:sz w:val="32"/>
          <w:szCs w:val="32"/>
        </w:rPr>
        <w:t>万元，其中：</w:t>
      </w:r>
      <w:r>
        <w:rPr>
          <w:rFonts w:hint="eastAsia" w:ascii="仿宋_GB2312" w:hAnsi="Times New Roman" w:eastAsia="仿宋_GB2312" w:cs="Times New Roman"/>
          <w:b/>
          <w:bCs/>
          <w:color w:val="000000"/>
          <w:sz w:val="32"/>
          <w:szCs w:val="32"/>
          <w:lang w:eastAsia="zh-CN"/>
        </w:rPr>
        <w:t>文化旅游体育与传媒</w:t>
      </w:r>
      <w:r>
        <w:rPr>
          <w:rFonts w:hint="eastAsia" w:ascii="仿宋_GB2312" w:hAnsi="Times New Roman" w:eastAsia="仿宋_GB2312" w:cs="Times New Roman"/>
          <w:color w:val="000000"/>
          <w:sz w:val="32"/>
          <w:szCs w:val="32"/>
          <w:lang w:eastAsia="zh-CN"/>
        </w:rPr>
        <w:t>支出为</w:t>
      </w:r>
      <w:r>
        <w:rPr>
          <w:rFonts w:hint="eastAsia" w:ascii="仿宋_GB2312" w:eastAsia="仿宋_GB2312" w:cs="Times New Roman"/>
          <w:color w:val="000000"/>
          <w:sz w:val="32"/>
          <w:szCs w:val="32"/>
          <w:lang w:val="en-US" w:eastAsia="zh-CN"/>
        </w:rPr>
        <w:t>78.56</w:t>
      </w:r>
      <w:r>
        <w:rPr>
          <w:rFonts w:hint="eastAsia" w:ascii="仿宋_GB2312" w:hAnsi="Times New Roman" w:eastAsia="仿宋_GB2312" w:cs="Times New Roman"/>
          <w:color w:val="000000"/>
          <w:sz w:val="32"/>
          <w:szCs w:val="32"/>
          <w:lang w:val="en-US" w:eastAsia="zh-CN"/>
        </w:rPr>
        <w:t>万元，占比</w:t>
      </w:r>
      <w:r>
        <w:rPr>
          <w:rFonts w:hint="eastAsia" w:ascii="仿宋_GB2312" w:eastAsia="仿宋_GB2312" w:cs="Times New Roman"/>
          <w:color w:val="000000"/>
          <w:sz w:val="32"/>
          <w:szCs w:val="32"/>
          <w:lang w:val="en-US" w:eastAsia="zh-CN"/>
        </w:rPr>
        <w:t>74.96</w:t>
      </w:r>
      <w:r>
        <w:rPr>
          <w:rFonts w:hint="eastAsia" w:ascii="仿宋_GB2312" w:hAnsi="Times New Roman" w:eastAsia="仿宋_GB2312" w:cs="Times New Roman"/>
          <w:color w:val="000000"/>
          <w:sz w:val="32"/>
          <w:szCs w:val="32"/>
          <w:lang w:val="en-US" w:eastAsia="zh-CN"/>
        </w:rPr>
        <w:t>%；</w:t>
      </w:r>
      <w:r>
        <w:rPr>
          <w:rFonts w:hint="eastAsia" w:ascii="仿宋_GB2312" w:hAnsi="Times New Roman" w:eastAsia="仿宋_GB2312" w:cs="Times New Roman"/>
          <w:b/>
          <w:bCs/>
          <w:color w:val="000000"/>
          <w:sz w:val="32"/>
          <w:szCs w:val="32"/>
          <w:lang w:val="en-US" w:eastAsia="zh-CN"/>
        </w:rPr>
        <w:t>社会保障和就业</w:t>
      </w:r>
      <w:r>
        <w:rPr>
          <w:rFonts w:hint="eastAsia" w:ascii="仿宋_GB2312" w:hAnsi="Times New Roman" w:eastAsia="仿宋_GB2312" w:cs="Times New Roman"/>
          <w:color w:val="000000"/>
          <w:sz w:val="32"/>
          <w:szCs w:val="32"/>
          <w:lang w:val="en-US" w:eastAsia="zh-CN"/>
        </w:rPr>
        <w:t>支出为</w:t>
      </w:r>
      <w:r>
        <w:rPr>
          <w:rFonts w:hint="eastAsia" w:ascii="仿宋_GB2312" w:eastAsia="仿宋_GB2312" w:cs="Times New Roman"/>
          <w:color w:val="000000"/>
          <w:sz w:val="32"/>
          <w:szCs w:val="32"/>
          <w:lang w:val="en-US" w:eastAsia="zh-CN"/>
        </w:rPr>
        <w:t>13.63</w:t>
      </w:r>
      <w:r>
        <w:rPr>
          <w:rFonts w:hint="eastAsia" w:ascii="仿宋_GB2312" w:hAnsi="Times New Roman" w:eastAsia="仿宋_GB2312" w:cs="Times New Roman"/>
          <w:color w:val="000000"/>
          <w:sz w:val="32"/>
          <w:szCs w:val="32"/>
          <w:lang w:val="en-US" w:eastAsia="zh-CN"/>
        </w:rPr>
        <w:t>万元，占比</w:t>
      </w:r>
      <w:r>
        <w:rPr>
          <w:rFonts w:hint="eastAsia" w:ascii="仿宋_GB2312" w:eastAsia="仿宋_GB2312" w:cs="Times New Roman"/>
          <w:color w:val="000000"/>
          <w:sz w:val="32"/>
          <w:szCs w:val="32"/>
          <w:lang w:val="en-US" w:eastAsia="zh-CN"/>
        </w:rPr>
        <w:t>13.01</w:t>
      </w:r>
      <w:r>
        <w:rPr>
          <w:rFonts w:hint="eastAsia" w:ascii="仿宋_GB2312" w:hAnsi="Times New Roman" w:eastAsia="仿宋_GB2312" w:cs="Times New Roman"/>
          <w:color w:val="000000"/>
          <w:sz w:val="32"/>
          <w:szCs w:val="32"/>
          <w:lang w:val="en-US" w:eastAsia="zh-CN"/>
        </w:rPr>
        <w:t>%；</w:t>
      </w:r>
      <w:r>
        <w:rPr>
          <w:rFonts w:hint="eastAsia" w:ascii="仿宋_GB2312" w:hAnsi="Times New Roman" w:eastAsia="仿宋_GB2312" w:cs="Times New Roman"/>
          <w:b/>
          <w:bCs/>
          <w:color w:val="000000"/>
          <w:sz w:val="32"/>
          <w:szCs w:val="32"/>
          <w:lang w:val="en-US" w:eastAsia="zh-CN"/>
        </w:rPr>
        <w:t>卫生健康</w:t>
      </w:r>
      <w:r>
        <w:rPr>
          <w:rFonts w:hint="eastAsia" w:ascii="仿宋_GB2312" w:hAnsi="Times New Roman" w:eastAsia="仿宋_GB2312" w:cs="Times New Roman"/>
          <w:color w:val="000000"/>
          <w:sz w:val="32"/>
          <w:szCs w:val="32"/>
          <w:lang w:val="en-US" w:eastAsia="zh-CN"/>
        </w:rPr>
        <w:t>支出</w:t>
      </w:r>
      <w:r>
        <w:rPr>
          <w:rFonts w:hint="eastAsia" w:ascii="仿宋_GB2312" w:eastAsia="仿宋_GB2312" w:cs="Times New Roman"/>
          <w:color w:val="000000"/>
          <w:sz w:val="32"/>
          <w:szCs w:val="32"/>
          <w:lang w:val="en-US" w:eastAsia="zh-CN"/>
        </w:rPr>
        <w:t>5.48</w:t>
      </w:r>
      <w:r>
        <w:rPr>
          <w:rFonts w:hint="eastAsia" w:ascii="仿宋_GB2312" w:hAnsi="Times New Roman" w:eastAsia="仿宋_GB2312" w:cs="Times New Roman"/>
          <w:color w:val="000000"/>
          <w:sz w:val="32"/>
          <w:szCs w:val="32"/>
          <w:lang w:val="en-US" w:eastAsia="zh-CN"/>
        </w:rPr>
        <w:t>万元，占比</w:t>
      </w:r>
      <w:r>
        <w:rPr>
          <w:rFonts w:hint="eastAsia" w:ascii="仿宋_GB2312" w:eastAsia="仿宋_GB2312" w:cs="Times New Roman"/>
          <w:color w:val="000000"/>
          <w:sz w:val="32"/>
          <w:szCs w:val="32"/>
          <w:lang w:val="en-US" w:eastAsia="zh-CN"/>
        </w:rPr>
        <w:t>5.23</w:t>
      </w:r>
      <w:r>
        <w:rPr>
          <w:rFonts w:hint="eastAsia" w:ascii="仿宋_GB2312" w:hAnsi="Times New Roman" w:eastAsia="仿宋_GB2312" w:cs="Times New Roman"/>
          <w:color w:val="000000"/>
          <w:sz w:val="32"/>
          <w:szCs w:val="32"/>
          <w:lang w:val="en-US" w:eastAsia="zh-CN"/>
        </w:rPr>
        <w:t>%；</w:t>
      </w:r>
      <w:r>
        <w:rPr>
          <w:rFonts w:hint="eastAsia" w:ascii="仿宋_GB2312" w:hAnsi="Times New Roman" w:eastAsia="仿宋_GB2312" w:cs="Times New Roman"/>
          <w:b/>
          <w:bCs/>
          <w:color w:val="000000"/>
          <w:sz w:val="32"/>
          <w:szCs w:val="32"/>
          <w:lang w:val="en-US" w:eastAsia="zh-CN"/>
        </w:rPr>
        <w:t>住房保障</w:t>
      </w:r>
      <w:r>
        <w:rPr>
          <w:rFonts w:hint="eastAsia" w:ascii="仿宋_GB2312" w:hAnsi="Times New Roman" w:eastAsia="仿宋_GB2312" w:cs="Times New Roman"/>
          <w:color w:val="000000"/>
          <w:sz w:val="32"/>
          <w:szCs w:val="32"/>
          <w:lang w:val="en-US" w:eastAsia="zh-CN"/>
        </w:rPr>
        <w:t>支出</w:t>
      </w:r>
      <w:r>
        <w:rPr>
          <w:rFonts w:hint="eastAsia" w:ascii="仿宋_GB2312" w:eastAsia="仿宋_GB2312" w:cs="Times New Roman"/>
          <w:color w:val="000000"/>
          <w:sz w:val="32"/>
          <w:szCs w:val="32"/>
          <w:lang w:val="en-US" w:eastAsia="zh-CN"/>
        </w:rPr>
        <w:t>7.13</w:t>
      </w:r>
      <w:r>
        <w:rPr>
          <w:rFonts w:hint="eastAsia" w:ascii="仿宋_GB2312" w:hAnsi="Times New Roman" w:eastAsia="仿宋_GB2312" w:cs="Times New Roman"/>
          <w:color w:val="000000"/>
          <w:sz w:val="32"/>
          <w:szCs w:val="32"/>
          <w:lang w:val="en-US" w:eastAsia="zh-CN"/>
        </w:rPr>
        <w:t>万元，占比</w:t>
      </w:r>
      <w:r>
        <w:rPr>
          <w:rFonts w:hint="eastAsia" w:ascii="仿宋_GB2312" w:eastAsia="仿宋_GB2312" w:cs="Times New Roman"/>
          <w:color w:val="000000"/>
          <w:sz w:val="32"/>
          <w:szCs w:val="32"/>
          <w:lang w:val="en-US" w:eastAsia="zh-CN"/>
        </w:rPr>
        <w:t>6.8</w:t>
      </w:r>
      <w:r>
        <w:rPr>
          <w:rFonts w:hint="eastAsia" w:ascii="仿宋_GB2312" w:hAnsi="Times New Roman" w:eastAsia="仿宋_GB2312" w:cs="Times New Roman"/>
          <w:color w:val="000000"/>
          <w:sz w:val="32"/>
          <w:szCs w:val="32"/>
          <w:lang w:val="en-US" w:eastAsia="zh-CN"/>
        </w:rPr>
        <w:t>%。</w:t>
      </w:r>
    </w:p>
    <w:p w14:paraId="5E38A0ED">
      <w:pPr>
        <w:pStyle w:val="12"/>
        <w:jc w:val="center"/>
        <w:rPr>
          <w:rFonts w:hint="eastAsia"/>
          <w:lang w:val="en-US" w:eastAsia="zh-CN"/>
        </w:rPr>
      </w:pPr>
      <w:r>
        <w:rPr>
          <w:rFonts w:hint="eastAsia"/>
          <w:lang w:val="en-US" w:eastAsia="zh-CN"/>
        </w:rPr>
        <w:drawing>
          <wp:inline distT="0" distB="0" distL="114300" distR="114300">
            <wp:extent cx="4839970" cy="2755265"/>
            <wp:effectExtent l="0" t="0" r="17780" b="6985"/>
            <wp:docPr id="9" name="图片 9"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片3"/>
                    <pic:cNvPicPr>
                      <a:picLocks noChangeAspect="1"/>
                    </pic:cNvPicPr>
                  </pic:nvPicPr>
                  <pic:blipFill>
                    <a:blip r:embed="rId8"/>
                    <a:stretch>
                      <a:fillRect/>
                    </a:stretch>
                  </pic:blipFill>
                  <pic:spPr>
                    <a:xfrm>
                      <a:off x="0" y="0"/>
                      <a:ext cx="4839970" cy="2755265"/>
                    </a:xfrm>
                    <a:prstGeom prst="rect">
                      <a:avLst/>
                    </a:prstGeom>
                  </pic:spPr>
                </pic:pic>
              </a:graphicData>
            </a:graphic>
          </wp:inline>
        </w:drawing>
      </w:r>
    </w:p>
    <w:p w14:paraId="63F275A6">
      <w:pPr>
        <w:pStyle w:val="12"/>
        <w:rPr>
          <w:rFonts w:hint="default"/>
          <w:lang w:val="en-US"/>
        </w:rPr>
      </w:pPr>
    </w:p>
    <w:p w14:paraId="719B3E08">
      <w:pPr>
        <w:numPr>
          <w:ilvl w:val="0"/>
          <w:numId w:val="1"/>
        </w:numPr>
        <w:spacing w:line="600" w:lineRule="exact"/>
        <w:ind w:firstLine="640" w:firstLineChars="200"/>
        <w:rPr>
          <w:rFonts w:hint="eastAsia" w:ascii="黑体" w:hAnsi="Times New Roman" w:eastAsia="黑体" w:cs="Times New Roman"/>
          <w:color w:val="000000" w:themeColor="text1"/>
          <w:kern w:val="2"/>
          <w:sz w:val="32"/>
          <w:szCs w:val="32"/>
          <w:lang w:val="en-US" w:eastAsia="zh-CN" w:bidi="ar-SA"/>
          <w14:textFill>
            <w14:solidFill>
              <w14:schemeClr w14:val="tx1"/>
            </w14:solidFill>
          </w14:textFill>
        </w:rPr>
      </w:pPr>
      <w:bookmarkStart w:id="30" w:name="_Toc15377208"/>
      <w:bookmarkStart w:id="31" w:name="_Toc15396606"/>
      <w:r>
        <w:rPr>
          <w:rFonts w:hint="eastAsia" w:ascii="黑体" w:hAnsi="Times New Roman" w:eastAsia="黑体" w:cs="Times New Roman"/>
          <w:color w:val="000000" w:themeColor="text1"/>
          <w:kern w:val="2"/>
          <w:sz w:val="32"/>
          <w:szCs w:val="32"/>
          <w:lang w:val="en-US" w:eastAsia="zh-CN" w:bidi="ar-SA"/>
          <w14:textFill>
            <w14:solidFill>
              <w14:schemeClr w14:val="tx1"/>
            </w14:solidFill>
          </w14:textFill>
        </w:rPr>
        <w:t>财政拨款收入支出决算总体情况说明</w:t>
      </w:r>
      <w:bookmarkEnd w:id="30"/>
      <w:bookmarkEnd w:id="31"/>
    </w:p>
    <w:p w14:paraId="3756AC8C">
      <w:pPr>
        <w:widowControl/>
        <w:ind w:firstLine="640" w:firstLineChars="200"/>
        <w:jc w:val="left"/>
        <w:rPr>
          <w:rFonts w:hint="eastAsia" w:ascii="仿宋_GB2312" w:hAnsi="Times New Roman" w:eastAsia="仿宋_GB2312" w:cs="Times New Roman"/>
          <w:color w:val="000000"/>
          <w:sz w:val="32"/>
          <w:szCs w:val="32"/>
          <w:lang w:val="en-US" w:eastAsia="zh-CN"/>
        </w:rPr>
      </w:pPr>
      <w:r>
        <w:rPr>
          <w:rFonts w:hint="eastAsia" w:ascii="仿宋_GB2312" w:hAnsi="Times New Roman" w:eastAsia="仿宋_GB2312" w:cs="Times New Roman"/>
          <w:color w:val="000000"/>
          <w:sz w:val="32"/>
          <w:szCs w:val="32"/>
          <w:lang w:val="en-US" w:eastAsia="zh-CN"/>
        </w:rPr>
        <w:t>202</w:t>
      </w:r>
      <w:r>
        <w:rPr>
          <w:rFonts w:hint="eastAsia" w:ascii="仿宋_GB2312" w:eastAsia="仿宋_GB2312" w:cs="Times New Roman"/>
          <w:color w:val="000000"/>
          <w:sz w:val="32"/>
          <w:szCs w:val="32"/>
          <w:lang w:val="en-US" w:eastAsia="zh-CN"/>
        </w:rPr>
        <w:t>4</w:t>
      </w:r>
      <w:r>
        <w:rPr>
          <w:rFonts w:hint="eastAsia" w:ascii="仿宋_GB2312" w:hAnsi="Times New Roman" w:eastAsia="仿宋_GB2312" w:cs="Times New Roman"/>
          <w:color w:val="000000"/>
          <w:sz w:val="32"/>
          <w:szCs w:val="32"/>
          <w:lang w:val="en-US" w:eastAsia="zh-CN"/>
        </w:rPr>
        <w:t>年财政拨款收入</w:t>
      </w:r>
      <w:r>
        <w:rPr>
          <w:rFonts w:hint="eastAsia" w:ascii="仿宋_GB2312" w:eastAsia="仿宋_GB2312" w:cs="Times New Roman"/>
          <w:color w:val="000000"/>
          <w:sz w:val="32"/>
          <w:szCs w:val="32"/>
          <w:lang w:val="en-US" w:eastAsia="zh-CN"/>
        </w:rPr>
        <w:t>104.80</w:t>
      </w:r>
      <w:r>
        <w:rPr>
          <w:rFonts w:hint="eastAsia" w:ascii="仿宋_GB2312" w:hAnsi="Times New Roman" w:eastAsia="仿宋_GB2312" w:cs="Times New Roman"/>
          <w:color w:val="000000"/>
          <w:sz w:val="32"/>
          <w:szCs w:val="32"/>
          <w:lang w:val="en-US" w:eastAsia="zh-CN"/>
        </w:rPr>
        <w:t>万元。与202</w:t>
      </w:r>
      <w:r>
        <w:rPr>
          <w:rFonts w:hint="eastAsia" w:ascii="仿宋_GB2312" w:eastAsia="仿宋_GB2312" w:cs="Times New Roman"/>
          <w:color w:val="000000"/>
          <w:sz w:val="32"/>
          <w:szCs w:val="32"/>
          <w:lang w:val="en-US" w:eastAsia="zh-CN"/>
        </w:rPr>
        <w:t>3</w:t>
      </w:r>
      <w:r>
        <w:rPr>
          <w:rFonts w:hint="eastAsia" w:ascii="仿宋_GB2312" w:hAnsi="Times New Roman" w:eastAsia="仿宋_GB2312" w:cs="Times New Roman"/>
          <w:color w:val="000000"/>
          <w:sz w:val="32"/>
          <w:szCs w:val="32"/>
          <w:lang w:val="en-US" w:eastAsia="zh-CN"/>
        </w:rPr>
        <w:t>年相比，一般公共预算财政拨款收入较上年增加</w:t>
      </w:r>
      <w:r>
        <w:rPr>
          <w:rFonts w:hint="eastAsia" w:ascii="仿宋_GB2312" w:eastAsia="仿宋_GB2312" w:cs="Times New Roman"/>
          <w:color w:val="000000"/>
          <w:sz w:val="32"/>
          <w:szCs w:val="32"/>
          <w:lang w:val="en-US" w:eastAsia="zh-CN"/>
        </w:rPr>
        <w:t>8.14</w:t>
      </w:r>
      <w:r>
        <w:rPr>
          <w:rFonts w:hint="eastAsia" w:ascii="仿宋_GB2312" w:hAnsi="Times New Roman" w:eastAsia="仿宋_GB2312" w:cs="Times New Roman"/>
          <w:color w:val="000000"/>
          <w:sz w:val="32"/>
          <w:szCs w:val="32"/>
          <w:lang w:val="en-US" w:eastAsia="zh-CN"/>
        </w:rPr>
        <w:t>万元，增加</w:t>
      </w:r>
      <w:r>
        <w:rPr>
          <w:rFonts w:hint="eastAsia" w:ascii="仿宋_GB2312" w:eastAsia="仿宋_GB2312" w:cs="Times New Roman"/>
          <w:color w:val="000000"/>
          <w:sz w:val="32"/>
          <w:szCs w:val="32"/>
          <w:lang w:val="en-US" w:eastAsia="zh-CN"/>
        </w:rPr>
        <w:t>8.42</w:t>
      </w:r>
      <w:r>
        <w:rPr>
          <w:rFonts w:hint="eastAsia" w:ascii="仿宋_GB2312" w:hAnsi="Times New Roman" w:eastAsia="仿宋_GB2312" w:cs="Times New Roman"/>
          <w:color w:val="000000"/>
          <w:sz w:val="32"/>
          <w:szCs w:val="32"/>
          <w:lang w:val="en-US" w:eastAsia="zh-CN"/>
        </w:rPr>
        <w:t>%。增加的主要原因是调整了人员的基本工资和津贴补贴</w:t>
      </w:r>
      <w:r>
        <w:rPr>
          <w:rFonts w:hint="eastAsia" w:ascii="仿宋_GB2312" w:eastAsia="仿宋_GB2312" w:cs="Times New Roman"/>
          <w:color w:val="000000"/>
          <w:sz w:val="32"/>
          <w:szCs w:val="32"/>
          <w:lang w:val="en-US" w:eastAsia="zh-CN"/>
        </w:rPr>
        <w:t>及日常经费</w:t>
      </w:r>
      <w:r>
        <w:rPr>
          <w:rFonts w:hint="eastAsia" w:ascii="仿宋_GB2312" w:hAnsi="Times New Roman" w:eastAsia="仿宋_GB2312" w:cs="Times New Roman"/>
          <w:color w:val="000000"/>
          <w:sz w:val="32"/>
          <w:szCs w:val="32"/>
          <w:lang w:val="en-US" w:eastAsia="zh-CN"/>
        </w:rPr>
        <w:t>。</w:t>
      </w:r>
      <w:bookmarkStart w:id="32" w:name="_Toc15377209"/>
      <w:bookmarkStart w:id="33" w:name="_Toc15396607"/>
    </w:p>
    <w:p w14:paraId="4CC1B6F0">
      <w:pPr>
        <w:widowControl/>
        <w:ind w:firstLine="640" w:firstLineChars="200"/>
        <w:jc w:val="center"/>
        <w:rPr>
          <w:rFonts w:hint="eastAsia" w:ascii="仿宋_GB2312" w:hAnsi="Times New Roman" w:eastAsia="仿宋_GB2312" w:cs="Times New Roman"/>
          <w:color w:val="000000"/>
          <w:sz w:val="32"/>
          <w:szCs w:val="32"/>
          <w:lang w:val="en-US" w:eastAsia="zh-CN"/>
        </w:rPr>
      </w:pPr>
      <w:r>
        <w:rPr>
          <w:rFonts w:hint="eastAsia" w:ascii="仿宋_GB2312" w:hAnsi="Times New Roman" w:eastAsia="仿宋_GB2312" w:cs="Times New Roman"/>
          <w:color w:val="000000"/>
          <w:sz w:val="32"/>
          <w:szCs w:val="32"/>
          <w:lang w:val="en-US" w:eastAsia="zh-CN"/>
        </w:rPr>
        <w:drawing>
          <wp:inline distT="0" distB="0" distL="114300" distR="114300">
            <wp:extent cx="3918585" cy="2230755"/>
            <wp:effectExtent l="0" t="0" r="5715" b="17145"/>
            <wp:docPr id="19" name="图片 19" descr="图片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图片10"/>
                    <pic:cNvPicPr>
                      <a:picLocks noChangeAspect="1"/>
                    </pic:cNvPicPr>
                  </pic:nvPicPr>
                  <pic:blipFill>
                    <a:blip r:embed="rId9"/>
                    <a:stretch>
                      <a:fillRect/>
                    </a:stretch>
                  </pic:blipFill>
                  <pic:spPr>
                    <a:xfrm>
                      <a:off x="0" y="0"/>
                      <a:ext cx="3918585" cy="2230755"/>
                    </a:xfrm>
                    <a:prstGeom prst="rect">
                      <a:avLst/>
                    </a:prstGeom>
                  </pic:spPr>
                </pic:pic>
              </a:graphicData>
            </a:graphic>
          </wp:inline>
        </w:drawing>
      </w:r>
    </w:p>
    <w:p w14:paraId="5AD055AA">
      <w:pPr>
        <w:pStyle w:val="12"/>
        <w:ind w:left="0" w:leftChars="0" w:firstLine="640" w:firstLineChars="200"/>
        <w:rPr>
          <w:rStyle w:val="22"/>
          <w:rFonts w:ascii="黑体" w:eastAsia="黑体"/>
          <w:b w:val="0"/>
        </w:rPr>
      </w:pPr>
      <w:r>
        <w:rPr>
          <w:rFonts w:hint="eastAsia" w:ascii="黑体" w:eastAsia="黑体"/>
          <w:color w:val="000000"/>
          <w:sz w:val="32"/>
          <w:szCs w:val="32"/>
        </w:rPr>
        <w:t>五、</w:t>
      </w:r>
      <w:r>
        <w:rPr>
          <w:rFonts w:hint="eastAsia" w:ascii="黑体" w:eastAsia="黑体"/>
          <w:b/>
          <w:color w:val="000000"/>
          <w:sz w:val="32"/>
          <w:szCs w:val="32"/>
        </w:rPr>
        <w:t>一</w:t>
      </w:r>
      <w:r>
        <w:rPr>
          <w:rStyle w:val="22"/>
          <w:rFonts w:hint="eastAsia" w:ascii="黑体" w:eastAsia="黑体"/>
          <w:b w:val="0"/>
        </w:rPr>
        <w:t>般公共预算财政拨款支出决算情况说明</w:t>
      </w:r>
      <w:bookmarkEnd w:id="32"/>
      <w:bookmarkEnd w:id="33"/>
    </w:p>
    <w:p w14:paraId="379BFD86">
      <w:pPr>
        <w:spacing w:line="600" w:lineRule="exact"/>
        <w:ind w:firstLine="643" w:firstLineChars="200"/>
        <w:outlineLvl w:val="2"/>
        <w:rPr>
          <w:rFonts w:ascii="仿宋" w:eastAsia="仿宋"/>
          <w:b/>
          <w:color w:val="000000"/>
          <w:sz w:val="32"/>
          <w:szCs w:val="32"/>
        </w:rPr>
      </w:pPr>
      <w:bookmarkStart w:id="34" w:name="_Toc15377210"/>
      <w:r>
        <w:rPr>
          <w:rFonts w:hint="eastAsia" w:ascii="仿宋" w:eastAsia="仿宋"/>
          <w:b/>
          <w:color w:val="000000"/>
          <w:sz w:val="32"/>
          <w:szCs w:val="32"/>
        </w:rPr>
        <w:t>（一）一般公共预算财政拨款支出决算总体情况</w:t>
      </w:r>
      <w:bookmarkEnd w:id="34"/>
    </w:p>
    <w:p w14:paraId="46E45A27">
      <w:pPr>
        <w:widowControl/>
        <w:ind w:firstLine="640" w:firstLineChars="200"/>
        <w:jc w:val="left"/>
        <w:rPr>
          <w:rFonts w:hint="eastAsia"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20</w:t>
      </w:r>
      <w:r>
        <w:rPr>
          <w:rFonts w:hint="eastAsia" w:ascii="仿宋_GB2312" w:hAnsi="Times New Roman" w:eastAsia="仿宋_GB2312" w:cs="Times New Roman"/>
          <w:color w:val="000000"/>
          <w:sz w:val="32"/>
          <w:szCs w:val="32"/>
          <w:lang w:val="en-US" w:eastAsia="zh-CN"/>
        </w:rPr>
        <w:t>2</w:t>
      </w:r>
      <w:r>
        <w:rPr>
          <w:rFonts w:hint="eastAsia" w:ascii="仿宋_GB2312" w:eastAsia="仿宋_GB2312" w:cs="Times New Roman"/>
          <w:color w:val="000000"/>
          <w:sz w:val="32"/>
          <w:szCs w:val="32"/>
          <w:lang w:val="en-US" w:eastAsia="zh-CN"/>
        </w:rPr>
        <w:t>4</w:t>
      </w:r>
      <w:r>
        <w:rPr>
          <w:rFonts w:hint="eastAsia" w:ascii="仿宋_GB2312" w:hAnsi="Times New Roman" w:eastAsia="仿宋_GB2312" w:cs="Times New Roman"/>
          <w:color w:val="000000"/>
          <w:sz w:val="32"/>
          <w:szCs w:val="32"/>
        </w:rPr>
        <w:t>年</w:t>
      </w:r>
      <w:r>
        <w:rPr>
          <w:rFonts w:hint="eastAsia" w:ascii="仿宋_GB2312" w:hAnsi="Times New Roman" w:eastAsia="仿宋_GB2312" w:cs="Times New Roman"/>
          <w:color w:val="000000"/>
          <w:sz w:val="32"/>
          <w:szCs w:val="32"/>
          <w:lang w:val="en-US" w:eastAsia="zh-CN"/>
        </w:rPr>
        <w:t>一般公共预算财政拨款支出</w:t>
      </w:r>
      <w:r>
        <w:rPr>
          <w:rFonts w:hint="eastAsia" w:ascii="仿宋_GB2312" w:eastAsia="仿宋_GB2312" w:cs="Times New Roman"/>
          <w:color w:val="000000"/>
          <w:sz w:val="32"/>
          <w:szCs w:val="32"/>
          <w:lang w:val="en-US" w:eastAsia="zh-CN"/>
        </w:rPr>
        <w:t>104.80</w:t>
      </w:r>
      <w:r>
        <w:rPr>
          <w:rFonts w:hint="eastAsia" w:ascii="仿宋_GB2312" w:hAnsi="Times New Roman" w:eastAsia="仿宋_GB2312" w:cs="Times New Roman"/>
          <w:color w:val="000000"/>
          <w:sz w:val="32"/>
          <w:szCs w:val="32"/>
          <w:lang w:val="en-US" w:eastAsia="zh-CN"/>
        </w:rPr>
        <w:t>万元，</w:t>
      </w:r>
      <w:r>
        <w:rPr>
          <w:rFonts w:hint="eastAsia" w:ascii="仿宋_GB2312" w:hAnsi="Times New Roman" w:eastAsia="仿宋_GB2312" w:cs="Times New Roman"/>
          <w:color w:val="000000"/>
          <w:sz w:val="32"/>
          <w:szCs w:val="32"/>
        </w:rPr>
        <w:t>占本年</w:t>
      </w:r>
      <w:r>
        <w:rPr>
          <w:rFonts w:hint="eastAsia" w:ascii="仿宋_GB2312" w:hAnsi="Times New Roman" w:eastAsia="仿宋_GB2312" w:cs="Times New Roman"/>
          <w:color w:val="000000"/>
          <w:sz w:val="32"/>
          <w:szCs w:val="32"/>
          <w:lang w:val="en-US" w:eastAsia="zh-CN"/>
        </w:rPr>
        <w:t>总</w:t>
      </w:r>
      <w:r>
        <w:rPr>
          <w:rFonts w:hint="eastAsia" w:ascii="仿宋_GB2312" w:hAnsi="Times New Roman" w:eastAsia="仿宋_GB2312" w:cs="Times New Roman"/>
          <w:color w:val="000000"/>
          <w:sz w:val="32"/>
          <w:szCs w:val="32"/>
        </w:rPr>
        <w:t>支出</w:t>
      </w:r>
      <w:r>
        <w:rPr>
          <w:rFonts w:hint="eastAsia" w:ascii="仿宋_GB2312" w:hAnsi="Times New Roman" w:eastAsia="仿宋_GB2312" w:cs="Times New Roman"/>
          <w:color w:val="000000"/>
          <w:sz w:val="32"/>
          <w:szCs w:val="32"/>
          <w:lang w:val="en-US" w:eastAsia="zh-CN"/>
        </w:rPr>
        <w:t>的100</w:t>
      </w:r>
      <w:r>
        <w:rPr>
          <w:rFonts w:hint="eastAsia" w:ascii="仿宋_GB2312" w:hAnsi="Times New Roman" w:eastAsia="仿宋_GB2312" w:cs="Times New Roman"/>
          <w:color w:val="000000"/>
          <w:sz w:val="32"/>
          <w:szCs w:val="32"/>
        </w:rPr>
        <w:t>%</w:t>
      </w:r>
      <w:r>
        <w:rPr>
          <w:rFonts w:hint="eastAsia" w:ascii="仿宋_GB2312" w:hAnsi="Times New Roman" w:eastAsia="仿宋_GB2312" w:cs="Times New Roman"/>
          <w:color w:val="000000"/>
          <w:sz w:val="32"/>
          <w:szCs w:val="32"/>
          <w:lang w:eastAsia="zh-CN"/>
        </w:rPr>
        <w:t>。</w:t>
      </w:r>
      <w:r>
        <w:rPr>
          <w:rFonts w:hint="eastAsia" w:ascii="仿宋_GB2312" w:hAnsi="Times New Roman" w:eastAsia="仿宋_GB2312" w:cs="Times New Roman"/>
          <w:color w:val="000000"/>
          <w:sz w:val="32"/>
          <w:szCs w:val="32"/>
        </w:rPr>
        <w:t>与20</w:t>
      </w:r>
      <w:r>
        <w:rPr>
          <w:rFonts w:hint="eastAsia" w:ascii="仿宋_GB2312" w:hAnsi="Times New Roman" w:eastAsia="仿宋_GB2312" w:cs="Times New Roman"/>
          <w:color w:val="000000"/>
          <w:sz w:val="32"/>
          <w:szCs w:val="32"/>
          <w:lang w:val="en-US" w:eastAsia="zh-CN"/>
        </w:rPr>
        <w:t>2</w:t>
      </w:r>
      <w:r>
        <w:rPr>
          <w:rFonts w:hint="eastAsia" w:ascii="仿宋_GB2312" w:eastAsia="仿宋_GB2312" w:cs="Times New Roman"/>
          <w:color w:val="000000"/>
          <w:sz w:val="32"/>
          <w:szCs w:val="32"/>
          <w:lang w:val="en-US" w:eastAsia="zh-CN"/>
        </w:rPr>
        <w:t>3</w:t>
      </w:r>
      <w:r>
        <w:rPr>
          <w:rFonts w:hint="eastAsia" w:ascii="仿宋_GB2312" w:hAnsi="Times New Roman" w:eastAsia="仿宋_GB2312" w:cs="Times New Roman"/>
          <w:color w:val="000000"/>
          <w:sz w:val="32"/>
          <w:szCs w:val="32"/>
        </w:rPr>
        <w:t>年相比，一般公共预算财政拨款</w:t>
      </w:r>
      <w:r>
        <w:rPr>
          <w:rFonts w:hint="eastAsia" w:ascii="仿宋_GB2312" w:hAnsi="Times New Roman" w:eastAsia="仿宋_GB2312" w:cs="Times New Roman"/>
          <w:color w:val="000000"/>
          <w:sz w:val="32"/>
          <w:szCs w:val="32"/>
          <w:lang w:val="en-US" w:eastAsia="zh-CN"/>
        </w:rPr>
        <w:t>支出增加</w:t>
      </w:r>
      <w:r>
        <w:rPr>
          <w:rFonts w:hint="eastAsia" w:ascii="仿宋_GB2312" w:eastAsia="仿宋_GB2312" w:cs="Times New Roman"/>
          <w:color w:val="000000"/>
          <w:sz w:val="32"/>
          <w:szCs w:val="32"/>
          <w:lang w:val="en-US" w:eastAsia="zh-CN"/>
        </w:rPr>
        <w:t>8.42</w:t>
      </w:r>
      <w:r>
        <w:rPr>
          <w:rFonts w:hint="eastAsia" w:ascii="仿宋_GB2312" w:hAnsi="Times New Roman" w:eastAsia="仿宋_GB2312" w:cs="Times New Roman"/>
          <w:color w:val="000000"/>
          <w:sz w:val="32"/>
          <w:szCs w:val="32"/>
          <w:lang w:val="en-US" w:eastAsia="zh-CN"/>
        </w:rPr>
        <w:t>%。增加的主要原因是调整了人员的基本工资和津贴补贴</w:t>
      </w:r>
      <w:r>
        <w:rPr>
          <w:rFonts w:hint="eastAsia" w:ascii="仿宋_GB2312" w:eastAsia="仿宋_GB2312" w:cs="Times New Roman"/>
          <w:color w:val="000000"/>
          <w:sz w:val="32"/>
          <w:szCs w:val="32"/>
          <w:lang w:val="en-US" w:eastAsia="zh-CN"/>
        </w:rPr>
        <w:t>及日常经费</w:t>
      </w:r>
      <w:r>
        <w:rPr>
          <w:rFonts w:hint="eastAsia" w:ascii="仿宋_GB2312" w:hAnsi="Times New Roman" w:eastAsia="仿宋_GB2312" w:cs="Times New Roman"/>
          <w:color w:val="000000"/>
          <w:sz w:val="32"/>
          <w:szCs w:val="32"/>
          <w:lang w:val="en-US" w:eastAsia="zh-CN"/>
        </w:rPr>
        <w:t>。</w:t>
      </w:r>
    </w:p>
    <w:p w14:paraId="5B49B0B5">
      <w:pPr>
        <w:snapToGrid w:val="0"/>
        <w:spacing w:line="240" w:lineRule="auto"/>
        <w:ind w:firstLine="643" w:firstLineChars="200"/>
        <w:rPr>
          <w:rFonts w:hint="eastAsia" w:ascii="仿宋" w:eastAsia="仿宋"/>
          <w:b/>
          <w:color w:val="000000"/>
          <w:sz w:val="32"/>
          <w:szCs w:val="32"/>
          <w:lang w:eastAsia="zh-CN"/>
        </w:rPr>
      </w:pPr>
      <w:bookmarkStart w:id="35" w:name="_Toc15377211"/>
      <w:r>
        <w:rPr>
          <w:rFonts w:hint="eastAsia" w:ascii="仿宋" w:eastAsia="仿宋"/>
          <w:b/>
          <w:color w:val="000000"/>
          <w:sz w:val="32"/>
          <w:szCs w:val="32"/>
          <w:lang w:eastAsia="zh-CN"/>
        </w:rPr>
        <w:drawing>
          <wp:inline distT="0" distB="0" distL="114300" distR="114300">
            <wp:extent cx="4839970" cy="2755265"/>
            <wp:effectExtent l="0" t="0" r="17780" b="6985"/>
            <wp:docPr id="20" name="图片 20" descr="图片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图片11"/>
                    <pic:cNvPicPr>
                      <a:picLocks noChangeAspect="1"/>
                    </pic:cNvPicPr>
                  </pic:nvPicPr>
                  <pic:blipFill>
                    <a:blip r:embed="rId10"/>
                    <a:stretch>
                      <a:fillRect/>
                    </a:stretch>
                  </pic:blipFill>
                  <pic:spPr>
                    <a:xfrm>
                      <a:off x="0" y="0"/>
                      <a:ext cx="4839970" cy="2755265"/>
                    </a:xfrm>
                    <a:prstGeom prst="rect">
                      <a:avLst/>
                    </a:prstGeom>
                  </pic:spPr>
                </pic:pic>
              </a:graphicData>
            </a:graphic>
          </wp:inline>
        </w:drawing>
      </w:r>
    </w:p>
    <w:p w14:paraId="5E978B96">
      <w:pPr>
        <w:snapToGrid w:val="0"/>
        <w:spacing w:line="520" w:lineRule="exact"/>
        <w:ind w:firstLine="643" w:firstLineChars="200"/>
        <w:rPr>
          <w:rFonts w:ascii="仿宋" w:eastAsia="仿宋"/>
          <w:b/>
          <w:color w:val="000000"/>
          <w:sz w:val="32"/>
          <w:szCs w:val="32"/>
        </w:rPr>
      </w:pPr>
      <w:r>
        <w:rPr>
          <w:rFonts w:hint="eastAsia" w:ascii="仿宋" w:eastAsia="仿宋"/>
          <w:b/>
          <w:color w:val="000000"/>
          <w:sz w:val="32"/>
          <w:szCs w:val="32"/>
        </w:rPr>
        <w:t>（二）一般公共预算财政拨款支出决算结构情况</w:t>
      </w:r>
      <w:bookmarkEnd w:id="35"/>
    </w:p>
    <w:p w14:paraId="68AE4EF8">
      <w:pPr>
        <w:spacing w:line="600" w:lineRule="exact"/>
        <w:ind w:firstLine="640"/>
        <w:rPr>
          <w:rFonts w:hint="eastAsia"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24</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104.80</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eastAsia="仿宋"/>
          <w:b/>
          <w:color w:val="000000"/>
          <w:sz w:val="32"/>
          <w:szCs w:val="32"/>
          <w:lang w:eastAsia="zh-CN"/>
        </w:rPr>
        <w:t>文化体育与传媒</w:t>
      </w:r>
      <w:r>
        <w:rPr>
          <w:rFonts w:hint="eastAsia" w:ascii="仿宋" w:eastAsia="仿宋"/>
          <w:color w:val="000000"/>
          <w:sz w:val="32"/>
          <w:szCs w:val="32"/>
        </w:rPr>
        <w:t>支出</w:t>
      </w:r>
      <w:r>
        <w:rPr>
          <w:rFonts w:hint="eastAsia" w:ascii="仿宋" w:eastAsia="仿宋"/>
          <w:color w:val="000000"/>
          <w:sz w:val="32"/>
          <w:szCs w:val="32"/>
          <w:lang w:val="en-US" w:eastAsia="zh-CN"/>
        </w:rPr>
        <w:t>78.56</w:t>
      </w:r>
      <w:r>
        <w:rPr>
          <w:rFonts w:hint="eastAsia" w:ascii="仿宋" w:eastAsia="仿宋"/>
          <w:color w:val="000000"/>
          <w:sz w:val="32"/>
          <w:szCs w:val="32"/>
        </w:rPr>
        <w:t>万元，占</w:t>
      </w:r>
      <w:r>
        <w:rPr>
          <w:rFonts w:hint="eastAsia" w:ascii="仿宋" w:eastAsia="仿宋"/>
          <w:color w:val="000000"/>
          <w:sz w:val="32"/>
          <w:szCs w:val="32"/>
          <w:lang w:val="en-US" w:eastAsia="zh-CN"/>
        </w:rPr>
        <w:t>74.96</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w:t>
      </w:r>
      <w:r>
        <w:rPr>
          <w:rFonts w:hint="eastAsia" w:ascii="仿宋" w:eastAsia="仿宋"/>
          <w:color w:val="000000"/>
          <w:sz w:val="32"/>
          <w:szCs w:val="32"/>
        </w:rPr>
        <w:t>支出</w:t>
      </w:r>
      <w:r>
        <w:rPr>
          <w:rFonts w:hint="eastAsia" w:ascii="仿宋" w:eastAsia="仿宋"/>
          <w:color w:val="000000"/>
          <w:sz w:val="32"/>
          <w:szCs w:val="32"/>
          <w:lang w:val="en-US" w:eastAsia="zh-CN"/>
        </w:rPr>
        <w:t>13.63</w:t>
      </w:r>
      <w:r>
        <w:rPr>
          <w:rFonts w:hint="eastAsia" w:ascii="仿宋" w:eastAsia="仿宋"/>
          <w:color w:val="000000"/>
          <w:sz w:val="32"/>
          <w:szCs w:val="32"/>
        </w:rPr>
        <w:t>万元，占</w:t>
      </w:r>
      <w:r>
        <w:rPr>
          <w:rFonts w:hint="eastAsia" w:ascii="仿宋" w:eastAsia="仿宋"/>
          <w:color w:val="000000"/>
          <w:sz w:val="32"/>
          <w:szCs w:val="32"/>
          <w:lang w:val="en-US" w:eastAsia="zh-CN"/>
        </w:rPr>
        <w:t>13.01</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w:t>
      </w:r>
      <w:r>
        <w:rPr>
          <w:rFonts w:hint="eastAsia" w:ascii="仿宋" w:eastAsia="仿宋"/>
          <w:b/>
          <w:bCs/>
          <w:color w:val="000000"/>
          <w:sz w:val="32"/>
          <w:szCs w:val="32"/>
          <w:lang w:eastAsia="zh-CN"/>
        </w:rPr>
        <w:t>健康</w:t>
      </w:r>
      <w:r>
        <w:rPr>
          <w:rFonts w:hint="eastAsia" w:ascii="仿宋" w:eastAsia="仿宋"/>
          <w:b/>
          <w:bCs/>
          <w:color w:val="000000"/>
          <w:sz w:val="32"/>
          <w:szCs w:val="32"/>
        </w:rPr>
        <w:t>支出</w:t>
      </w:r>
      <w:r>
        <w:rPr>
          <w:rFonts w:hint="eastAsia" w:ascii="仿宋" w:eastAsia="仿宋"/>
          <w:color w:val="000000"/>
          <w:sz w:val="32"/>
          <w:szCs w:val="32"/>
          <w:lang w:val="en-US" w:eastAsia="zh-CN"/>
        </w:rPr>
        <w:t>5.48</w:t>
      </w:r>
      <w:r>
        <w:rPr>
          <w:rFonts w:hint="eastAsia" w:ascii="仿宋" w:eastAsia="仿宋"/>
          <w:color w:val="000000"/>
          <w:sz w:val="32"/>
          <w:szCs w:val="32"/>
        </w:rPr>
        <w:t>万元，占</w:t>
      </w:r>
      <w:r>
        <w:rPr>
          <w:rFonts w:hint="eastAsia" w:ascii="仿宋" w:eastAsia="仿宋"/>
          <w:color w:val="000000"/>
          <w:sz w:val="32"/>
          <w:szCs w:val="32"/>
          <w:lang w:val="en-US" w:eastAsia="zh-CN"/>
        </w:rPr>
        <w:t>5.23</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住房保障支出</w:t>
      </w:r>
      <w:r>
        <w:rPr>
          <w:rFonts w:hint="eastAsia" w:ascii="仿宋" w:eastAsia="仿宋"/>
          <w:color w:val="000000"/>
          <w:sz w:val="32"/>
          <w:szCs w:val="32"/>
          <w:lang w:val="en-US" w:eastAsia="zh-CN"/>
        </w:rPr>
        <w:t>7.13</w:t>
      </w:r>
      <w:r>
        <w:rPr>
          <w:rFonts w:hint="eastAsia" w:ascii="仿宋" w:eastAsia="仿宋"/>
          <w:color w:val="000000"/>
          <w:sz w:val="32"/>
          <w:szCs w:val="32"/>
        </w:rPr>
        <w:t>万元，占</w:t>
      </w:r>
      <w:r>
        <w:rPr>
          <w:rFonts w:hint="eastAsia" w:ascii="仿宋" w:eastAsia="仿宋"/>
          <w:color w:val="000000"/>
          <w:sz w:val="32"/>
          <w:szCs w:val="32"/>
          <w:lang w:val="en-US" w:eastAsia="zh-CN"/>
        </w:rPr>
        <w:t>6.8</w:t>
      </w:r>
      <w:r>
        <w:rPr>
          <w:rFonts w:ascii="仿宋" w:eastAsia="仿宋"/>
          <w:color w:val="000000"/>
          <w:sz w:val="32"/>
          <w:szCs w:val="32"/>
        </w:rPr>
        <w:t>%</w:t>
      </w:r>
      <w:r>
        <w:rPr>
          <w:rFonts w:hint="eastAsia" w:ascii="仿宋" w:eastAsia="仿宋"/>
          <w:color w:val="000000"/>
          <w:sz w:val="32"/>
          <w:szCs w:val="32"/>
        </w:rPr>
        <w:t>。</w:t>
      </w:r>
    </w:p>
    <w:p w14:paraId="1FEB3560">
      <w:pPr>
        <w:rPr>
          <w:rFonts w:hint="eastAsia"/>
        </w:rPr>
      </w:pPr>
    </w:p>
    <w:p w14:paraId="0413AAC3">
      <w:pPr>
        <w:jc w:val="center"/>
        <w:rPr>
          <w:rFonts w:hint="eastAsia" w:eastAsia="宋体"/>
          <w:lang w:eastAsia="zh-CN"/>
        </w:rPr>
      </w:pPr>
      <w:r>
        <w:rPr>
          <w:rFonts w:hint="eastAsia" w:eastAsia="宋体"/>
          <w:lang w:eastAsia="zh-CN"/>
        </w:rPr>
        <w:drawing>
          <wp:inline distT="0" distB="0" distL="114300" distR="114300">
            <wp:extent cx="4839970" cy="2755265"/>
            <wp:effectExtent l="0" t="0" r="17780" b="6985"/>
            <wp:docPr id="17" name="图片 17" descr="图片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图片8"/>
                    <pic:cNvPicPr>
                      <a:picLocks noChangeAspect="1"/>
                    </pic:cNvPicPr>
                  </pic:nvPicPr>
                  <pic:blipFill>
                    <a:blip r:embed="rId11"/>
                    <a:stretch>
                      <a:fillRect/>
                    </a:stretch>
                  </pic:blipFill>
                  <pic:spPr>
                    <a:xfrm>
                      <a:off x="0" y="0"/>
                      <a:ext cx="4839970" cy="2755265"/>
                    </a:xfrm>
                    <a:prstGeom prst="rect">
                      <a:avLst/>
                    </a:prstGeom>
                  </pic:spPr>
                </pic:pic>
              </a:graphicData>
            </a:graphic>
          </wp:inline>
        </w:drawing>
      </w:r>
    </w:p>
    <w:p w14:paraId="2FA22C4D">
      <w:pPr>
        <w:spacing w:line="600" w:lineRule="exact"/>
        <w:ind w:firstLine="643" w:firstLineChars="200"/>
        <w:outlineLvl w:val="2"/>
        <w:rPr>
          <w:rFonts w:hint="eastAsia" w:ascii="仿宋" w:eastAsia="仿宋"/>
          <w:b/>
          <w:color w:val="000000"/>
          <w:sz w:val="32"/>
          <w:szCs w:val="32"/>
          <w:lang w:val="en-US" w:eastAsia="zh-CN"/>
        </w:rPr>
      </w:pPr>
      <w:bookmarkStart w:id="36" w:name="_Toc15377212"/>
      <w:bookmarkStart w:id="37" w:name="_Toc15377213"/>
      <w:bookmarkStart w:id="38" w:name="_Toc15377444"/>
      <w:bookmarkStart w:id="39" w:name="_Toc15378460"/>
      <w:r>
        <w:rPr>
          <w:rFonts w:hint="eastAsia" w:ascii="仿宋" w:eastAsia="仿宋"/>
          <w:b/>
          <w:color w:val="000000"/>
          <w:sz w:val="32"/>
          <w:szCs w:val="32"/>
        </w:rPr>
        <w:t>（三）一般公共预算财政拨款支出决算具体情况</w:t>
      </w:r>
      <w:bookmarkEnd w:id="36"/>
    </w:p>
    <w:p w14:paraId="4A69AAAC">
      <w:pPr>
        <w:spacing w:line="600" w:lineRule="exact"/>
        <w:outlineLvl w:val="2"/>
        <w:rPr>
          <w:rFonts w:ascii="仿宋" w:eastAsia="仿宋"/>
          <w:b w:val="0"/>
          <w:bCs/>
          <w:color w:val="FF0000"/>
          <w:sz w:val="32"/>
          <w:szCs w:val="32"/>
        </w:rPr>
      </w:pPr>
      <w:r>
        <w:rPr>
          <w:rFonts w:hint="eastAsia" w:ascii="仿宋" w:eastAsia="仿宋"/>
          <w:b w:val="0"/>
          <w:bCs/>
          <w:color w:val="000000"/>
          <w:sz w:val="32"/>
          <w:szCs w:val="32"/>
          <w:lang w:val="en-US" w:eastAsia="zh-CN"/>
        </w:rPr>
        <w:t xml:space="preserve">    </w:t>
      </w:r>
      <w:r>
        <w:rPr>
          <w:rFonts w:hint="eastAsia" w:ascii="仿宋" w:eastAsia="仿宋"/>
          <w:b w:val="0"/>
          <w:bCs/>
          <w:color w:val="000000"/>
          <w:sz w:val="32"/>
          <w:szCs w:val="32"/>
        </w:rPr>
        <w:t>20</w:t>
      </w:r>
      <w:r>
        <w:rPr>
          <w:rFonts w:hint="eastAsia" w:ascii="仿宋" w:eastAsia="仿宋"/>
          <w:b w:val="0"/>
          <w:bCs/>
          <w:color w:val="000000"/>
          <w:sz w:val="32"/>
          <w:szCs w:val="32"/>
          <w:lang w:val="en-US" w:eastAsia="zh-CN"/>
        </w:rPr>
        <w:t>24</w:t>
      </w:r>
      <w:r>
        <w:rPr>
          <w:rFonts w:hint="eastAsia" w:ascii="仿宋" w:eastAsia="仿宋"/>
          <w:b w:val="0"/>
          <w:bCs/>
          <w:color w:val="000000"/>
          <w:sz w:val="32"/>
          <w:szCs w:val="32"/>
        </w:rPr>
        <w:t>年</w:t>
      </w:r>
      <w:r>
        <w:rPr>
          <w:rFonts w:hint="eastAsia" w:ascii="仿宋" w:eastAsia="仿宋"/>
          <w:b w:val="0"/>
          <w:bCs/>
          <w:color w:val="000000"/>
          <w:sz w:val="32"/>
          <w:szCs w:val="32"/>
          <w:lang w:eastAsia="zh-CN"/>
        </w:rPr>
        <w:t>一</w:t>
      </w:r>
      <w:r>
        <w:rPr>
          <w:rFonts w:hint="eastAsia" w:ascii="仿宋" w:eastAsia="仿宋"/>
          <w:b w:val="0"/>
          <w:bCs/>
          <w:color w:val="000000"/>
          <w:sz w:val="32"/>
          <w:szCs w:val="32"/>
        </w:rPr>
        <w:t>般公共预算</w:t>
      </w:r>
      <w:r>
        <w:rPr>
          <w:rFonts w:hint="eastAsia" w:ascii="仿宋" w:eastAsia="仿宋"/>
          <w:b w:val="0"/>
          <w:bCs/>
          <w:color w:val="000000"/>
          <w:sz w:val="32"/>
          <w:szCs w:val="32"/>
          <w:lang w:val="en-US" w:eastAsia="zh-CN"/>
        </w:rPr>
        <w:t>数为104.80万元，</w:t>
      </w:r>
      <w:r>
        <w:rPr>
          <w:rFonts w:hint="eastAsia" w:ascii="仿宋" w:eastAsia="仿宋"/>
          <w:b w:val="0"/>
          <w:bCs/>
          <w:color w:val="000000"/>
          <w:sz w:val="32"/>
          <w:szCs w:val="32"/>
        </w:rPr>
        <w:t>支出决算数为</w:t>
      </w:r>
      <w:r>
        <w:rPr>
          <w:rFonts w:hint="eastAsia" w:ascii="仿宋" w:eastAsia="仿宋"/>
          <w:b w:val="0"/>
          <w:bCs/>
          <w:color w:val="000000"/>
          <w:sz w:val="32"/>
          <w:szCs w:val="32"/>
          <w:lang w:val="en-US" w:eastAsia="zh-CN"/>
        </w:rPr>
        <w:t>104.80万元</w:t>
      </w:r>
      <w:r>
        <w:rPr>
          <w:rFonts w:hint="eastAsia" w:ascii="仿宋" w:eastAsia="仿宋"/>
          <w:b w:val="0"/>
          <w:bCs/>
          <w:color w:val="000000"/>
          <w:sz w:val="32"/>
          <w:szCs w:val="32"/>
        </w:rPr>
        <w:t>，完</w:t>
      </w:r>
      <w:r>
        <w:rPr>
          <w:rStyle w:val="18"/>
          <w:rFonts w:hint="eastAsia" w:ascii="仿宋" w:eastAsia="仿宋"/>
          <w:b w:val="0"/>
          <w:bCs/>
          <w:color w:val="000000"/>
          <w:sz w:val="32"/>
          <w:szCs w:val="32"/>
        </w:rPr>
        <w:t>成预算</w:t>
      </w:r>
      <w:r>
        <w:rPr>
          <w:rStyle w:val="18"/>
          <w:rFonts w:hint="eastAsia" w:ascii="仿宋" w:eastAsia="仿宋"/>
          <w:b w:val="0"/>
          <w:bCs/>
          <w:color w:val="000000"/>
          <w:sz w:val="32"/>
          <w:szCs w:val="32"/>
          <w:lang w:val="en-US" w:eastAsia="zh-CN"/>
        </w:rPr>
        <w:t>100</w:t>
      </w:r>
      <w:r>
        <w:rPr>
          <w:rStyle w:val="18"/>
          <w:rFonts w:ascii="仿宋" w:eastAsia="仿宋"/>
          <w:b w:val="0"/>
          <w:bCs/>
          <w:color w:val="000000"/>
          <w:sz w:val="32"/>
          <w:szCs w:val="32"/>
        </w:rPr>
        <w:t>%</w:t>
      </w:r>
      <w:r>
        <w:rPr>
          <w:rStyle w:val="18"/>
          <w:rFonts w:hint="eastAsia" w:ascii="仿宋" w:eastAsia="仿宋"/>
          <w:b w:val="0"/>
          <w:bCs/>
          <w:color w:val="000000"/>
          <w:sz w:val="32"/>
          <w:szCs w:val="32"/>
        </w:rPr>
        <w:t>。其中：</w:t>
      </w:r>
      <w:bookmarkEnd w:id="37"/>
      <w:bookmarkEnd w:id="38"/>
      <w:bookmarkEnd w:id="39"/>
    </w:p>
    <w:p w14:paraId="528D6DA9">
      <w:pPr>
        <w:spacing w:line="600" w:lineRule="exact"/>
        <w:ind w:left="0" w:firstLine="643" w:firstLineChars="200"/>
        <w:rPr>
          <w:rStyle w:val="18"/>
          <w:rFonts w:hint="eastAsia" w:ascii="仿宋" w:eastAsia="仿宋"/>
          <w:b w:val="0"/>
          <w:bCs/>
          <w:color w:val="000000" w:themeColor="text1"/>
          <w:sz w:val="32"/>
          <w:szCs w:val="32"/>
          <w14:textFill>
            <w14:solidFill>
              <w14:schemeClr w14:val="tx1"/>
            </w14:solidFill>
          </w14:textFill>
        </w:rPr>
      </w:pPr>
      <w:r>
        <w:rPr>
          <w:rStyle w:val="18"/>
          <w:rFonts w:hint="eastAsia" w:ascii="仿宋" w:eastAsia="仿宋"/>
          <w:bCs/>
          <w:color w:val="000000" w:themeColor="text1"/>
          <w:sz w:val="32"/>
          <w:szCs w:val="32"/>
          <w:lang w:val="en-US" w:eastAsia="zh-CN"/>
          <w14:textFill>
            <w14:solidFill>
              <w14:schemeClr w14:val="tx1"/>
            </w14:solidFill>
          </w14:textFill>
        </w:rPr>
        <w:t>1.</w:t>
      </w:r>
      <w:r>
        <w:rPr>
          <w:rStyle w:val="18"/>
          <w:rFonts w:hint="eastAsia" w:ascii="仿宋" w:eastAsia="仿宋"/>
          <w:bCs/>
          <w:color w:val="000000" w:themeColor="text1"/>
          <w:sz w:val="32"/>
          <w:szCs w:val="32"/>
          <w:lang w:eastAsia="zh-CN"/>
          <w14:textFill>
            <w14:solidFill>
              <w14:schemeClr w14:val="tx1"/>
            </w14:solidFill>
          </w14:textFill>
        </w:rPr>
        <w:t>文化体育与传媒</w:t>
      </w:r>
      <w:r>
        <w:rPr>
          <w:rStyle w:val="18"/>
          <w:rFonts w:hint="eastAsia" w:ascii="仿宋" w:eastAsia="仿宋"/>
          <w:bCs/>
          <w:color w:val="000000" w:themeColor="text1"/>
          <w:sz w:val="32"/>
          <w:szCs w:val="32"/>
          <w:lang w:val="en-US" w:eastAsia="zh-CN"/>
          <w14:textFill>
            <w14:solidFill>
              <w14:schemeClr w14:val="tx1"/>
            </w14:solidFill>
          </w14:textFill>
        </w:rPr>
        <w:t>207</w:t>
      </w:r>
      <w:r>
        <w:rPr>
          <w:rStyle w:val="18"/>
          <w:rFonts w:hint="eastAsia" w:ascii="仿宋" w:eastAsia="仿宋"/>
          <w:bCs/>
          <w:color w:val="000000" w:themeColor="text1"/>
          <w:sz w:val="32"/>
          <w:szCs w:val="32"/>
          <w14:textFill>
            <w14:solidFill>
              <w14:schemeClr w14:val="tx1"/>
            </w14:solidFill>
          </w14:textFill>
        </w:rPr>
        <w:t>（类）</w:t>
      </w:r>
      <w:r>
        <w:rPr>
          <w:rStyle w:val="18"/>
          <w:rFonts w:hint="eastAsia" w:ascii="仿宋" w:eastAsia="仿宋"/>
          <w:bCs/>
          <w:color w:val="000000" w:themeColor="text1"/>
          <w:sz w:val="32"/>
          <w:szCs w:val="32"/>
          <w:lang w:val="en-US" w:eastAsia="zh-CN"/>
          <w14:textFill>
            <w14:solidFill>
              <w14:schemeClr w14:val="tx1"/>
            </w14:solidFill>
          </w14:textFill>
        </w:rPr>
        <w:t>文化01（款）其他文化支出99</w:t>
      </w:r>
      <w:r>
        <w:rPr>
          <w:rStyle w:val="18"/>
          <w:rFonts w:hint="eastAsia" w:ascii="仿宋" w:eastAsia="仿宋"/>
          <w:bCs/>
          <w:color w:val="000000" w:themeColor="text1"/>
          <w:sz w:val="32"/>
          <w:szCs w:val="32"/>
          <w14:textFill>
            <w14:solidFill>
              <w14:schemeClr w14:val="tx1"/>
            </w14:solidFill>
          </w14:textFill>
        </w:rPr>
        <w:t>（项）</w:t>
      </w:r>
      <w:r>
        <w:rPr>
          <w:rStyle w:val="18"/>
          <w:rFonts w:ascii="仿宋" w:eastAsia="仿宋"/>
          <w:bCs/>
          <w:color w:val="000000" w:themeColor="text1"/>
          <w:sz w:val="32"/>
          <w:szCs w:val="32"/>
          <w14:textFill>
            <w14:solidFill>
              <w14:schemeClr w14:val="tx1"/>
            </w14:solidFill>
          </w14:textFill>
        </w:rPr>
        <w:t>:</w:t>
      </w:r>
      <w:r>
        <w:rPr>
          <w:rStyle w:val="18"/>
          <w:rFonts w:ascii="仿宋" w:eastAsia="仿宋"/>
          <w:b w:val="0"/>
          <w:bCs/>
          <w:color w:val="000000" w:themeColor="text1"/>
          <w:sz w:val="32"/>
          <w:szCs w:val="32"/>
          <w14:textFill>
            <w14:solidFill>
              <w14:schemeClr w14:val="tx1"/>
            </w14:solidFill>
          </w14:textFill>
        </w:rPr>
        <w:t xml:space="preserve"> </w:t>
      </w:r>
      <w:r>
        <w:rPr>
          <w:rStyle w:val="18"/>
          <w:rFonts w:hint="eastAsia" w:ascii="仿宋" w:eastAsia="仿宋"/>
          <w:b w:val="0"/>
          <w:bCs/>
          <w:color w:val="000000" w:themeColor="text1"/>
          <w:sz w:val="32"/>
          <w:szCs w:val="32"/>
          <w14:textFill>
            <w14:solidFill>
              <w14:schemeClr w14:val="tx1"/>
            </w14:solidFill>
          </w14:textFill>
        </w:rPr>
        <w:t>支出决算为</w:t>
      </w:r>
      <w:r>
        <w:rPr>
          <w:rStyle w:val="18"/>
          <w:rFonts w:hint="eastAsia" w:ascii="仿宋" w:eastAsia="仿宋"/>
          <w:b w:val="0"/>
          <w:bCs/>
          <w:color w:val="000000" w:themeColor="text1"/>
          <w:sz w:val="32"/>
          <w:szCs w:val="32"/>
          <w:lang w:val="en-US" w:eastAsia="zh-CN"/>
          <w14:textFill>
            <w14:solidFill>
              <w14:schemeClr w14:val="tx1"/>
            </w14:solidFill>
          </w14:textFill>
        </w:rPr>
        <w:t>78.56</w:t>
      </w:r>
      <w:r>
        <w:rPr>
          <w:rStyle w:val="18"/>
          <w:rFonts w:hint="eastAsia" w:ascii="仿宋" w:eastAsia="仿宋"/>
          <w:b w:val="0"/>
          <w:bCs/>
          <w:color w:val="000000" w:themeColor="text1"/>
          <w:sz w:val="32"/>
          <w:szCs w:val="32"/>
          <w14:textFill>
            <w14:solidFill>
              <w14:schemeClr w14:val="tx1"/>
            </w14:solidFill>
          </w14:textFill>
        </w:rPr>
        <w:t>万元，完成预算</w:t>
      </w:r>
      <w:r>
        <w:rPr>
          <w:rStyle w:val="18"/>
          <w:rFonts w:hint="eastAsia" w:ascii="仿宋" w:eastAsia="仿宋"/>
          <w:b w:val="0"/>
          <w:bCs/>
          <w:color w:val="000000" w:themeColor="text1"/>
          <w:sz w:val="32"/>
          <w:szCs w:val="32"/>
          <w:lang w:val="en-US" w:eastAsia="zh-CN"/>
          <w14:textFill>
            <w14:solidFill>
              <w14:schemeClr w14:val="tx1"/>
            </w14:solidFill>
          </w14:textFill>
        </w:rPr>
        <w:t>100</w:t>
      </w:r>
      <w:r>
        <w:rPr>
          <w:rStyle w:val="18"/>
          <w:rFonts w:ascii="仿宋" w:eastAsia="仿宋"/>
          <w:b w:val="0"/>
          <w:bCs/>
          <w:color w:val="000000" w:themeColor="text1"/>
          <w:sz w:val="32"/>
          <w:szCs w:val="32"/>
          <w14:textFill>
            <w14:solidFill>
              <w14:schemeClr w14:val="tx1"/>
            </w14:solidFill>
          </w14:textFill>
        </w:rPr>
        <w:t>%</w:t>
      </w:r>
      <w:r>
        <w:rPr>
          <w:rStyle w:val="18"/>
          <w:rFonts w:hint="eastAsia" w:ascii="仿宋" w:eastAsia="仿宋"/>
          <w:b w:val="0"/>
          <w:bCs/>
          <w:color w:val="000000" w:themeColor="text1"/>
          <w:sz w:val="32"/>
          <w:szCs w:val="32"/>
          <w14:textFill>
            <w14:solidFill>
              <w14:schemeClr w14:val="tx1"/>
            </w14:solidFill>
          </w14:textFill>
        </w:rPr>
        <w:t>，</w:t>
      </w:r>
    </w:p>
    <w:p w14:paraId="1E51A76D">
      <w:pPr>
        <w:spacing w:line="600" w:lineRule="exact"/>
        <w:ind w:firstLine="643" w:firstLineChars="200"/>
        <w:rPr>
          <w:rFonts w:ascii="仿宋" w:eastAsia="仿宋"/>
          <w:b/>
          <w:color w:val="000000"/>
          <w:sz w:val="32"/>
          <w:szCs w:val="32"/>
        </w:rPr>
      </w:pPr>
      <w:r>
        <w:rPr>
          <w:rStyle w:val="18"/>
          <w:rFonts w:ascii="仿宋" w:eastAsia="仿宋"/>
          <w:bCs/>
          <w:color w:val="000000"/>
          <w:sz w:val="32"/>
          <w:szCs w:val="32"/>
        </w:rPr>
        <w:t>2.</w:t>
      </w:r>
      <w:r>
        <w:rPr>
          <w:rStyle w:val="18"/>
          <w:rFonts w:hint="eastAsia" w:ascii="仿宋" w:eastAsia="仿宋"/>
          <w:bCs/>
          <w:color w:val="000000"/>
          <w:sz w:val="32"/>
          <w:szCs w:val="32"/>
        </w:rPr>
        <w:t>社会保障和就业</w:t>
      </w:r>
      <w:r>
        <w:rPr>
          <w:rStyle w:val="18"/>
          <w:rFonts w:hint="eastAsia" w:ascii="仿宋" w:eastAsia="仿宋"/>
          <w:bCs/>
          <w:color w:val="000000"/>
          <w:sz w:val="32"/>
          <w:szCs w:val="32"/>
          <w:lang w:val="en-US" w:eastAsia="zh-CN"/>
        </w:rPr>
        <w:t>208</w:t>
      </w:r>
      <w:r>
        <w:rPr>
          <w:rStyle w:val="18"/>
          <w:rFonts w:hint="eastAsia" w:ascii="仿宋" w:eastAsia="仿宋"/>
          <w:bCs/>
          <w:color w:val="000000"/>
          <w:sz w:val="32"/>
          <w:szCs w:val="32"/>
        </w:rPr>
        <w:t>（类）</w:t>
      </w:r>
      <w:r>
        <w:rPr>
          <w:rStyle w:val="18"/>
          <w:rFonts w:hint="eastAsia" w:ascii="仿宋" w:eastAsia="仿宋"/>
          <w:bCs/>
          <w:color w:val="000000"/>
          <w:sz w:val="32"/>
          <w:szCs w:val="32"/>
          <w:lang w:val="en-US" w:eastAsia="zh-CN"/>
        </w:rPr>
        <w:t>行政事业单位离退休05</w:t>
      </w:r>
      <w:r>
        <w:rPr>
          <w:rStyle w:val="18"/>
          <w:rFonts w:hint="eastAsia" w:ascii="仿宋" w:eastAsia="仿宋"/>
          <w:bCs/>
          <w:color w:val="000000"/>
          <w:sz w:val="32"/>
          <w:szCs w:val="32"/>
        </w:rPr>
        <w:t>（款）</w:t>
      </w:r>
      <w:r>
        <w:rPr>
          <w:rStyle w:val="18"/>
          <w:rFonts w:hint="eastAsia" w:ascii="仿宋" w:eastAsia="仿宋"/>
          <w:bCs/>
          <w:color w:val="000000"/>
          <w:sz w:val="32"/>
          <w:szCs w:val="32"/>
          <w:lang w:val="en-US" w:eastAsia="zh-CN"/>
        </w:rPr>
        <w:t>机关事业单位基本养老保险缴费支出05</w:t>
      </w:r>
      <w:r>
        <w:rPr>
          <w:rStyle w:val="18"/>
          <w:rFonts w:hint="eastAsia" w:ascii="仿宋" w:eastAsia="仿宋"/>
          <w:bCs/>
          <w:color w:val="000000"/>
          <w:sz w:val="32"/>
          <w:szCs w:val="32"/>
        </w:rPr>
        <w:t>（项）</w:t>
      </w:r>
      <w:r>
        <w:rPr>
          <w:rStyle w:val="18"/>
          <w:rFonts w:ascii="仿宋" w:eastAsia="仿宋"/>
          <w:bCs/>
          <w:color w:val="000000"/>
          <w:sz w:val="32"/>
          <w:szCs w:val="32"/>
        </w:rPr>
        <w:t>:</w:t>
      </w:r>
      <w:r>
        <w:rPr>
          <w:rStyle w:val="18"/>
          <w:rFonts w:ascii="仿宋" w:eastAsia="仿宋"/>
          <w:b w:val="0"/>
          <w:bCs/>
          <w:color w:val="000000"/>
          <w:sz w:val="32"/>
          <w:szCs w:val="32"/>
        </w:rPr>
        <w:t xml:space="preserve"> </w:t>
      </w:r>
      <w:r>
        <w:rPr>
          <w:rStyle w:val="18"/>
          <w:rFonts w:hint="eastAsia" w:ascii="仿宋" w:eastAsia="仿宋"/>
          <w:b w:val="0"/>
          <w:bCs/>
          <w:color w:val="000000"/>
          <w:sz w:val="32"/>
          <w:szCs w:val="32"/>
        </w:rPr>
        <w:t>支出决算为</w:t>
      </w:r>
      <w:r>
        <w:rPr>
          <w:rStyle w:val="18"/>
          <w:rFonts w:hint="eastAsia" w:ascii="仿宋" w:eastAsia="仿宋"/>
          <w:b w:val="0"/>
          <w:bCs/>
          <w:color w:val="000000"/>
          <w:sz w:val="32"/>
          <w:szCs w:val="32"/>
          <w:lang w:val="en-US" w:eastAsia="zh-CN"/>
        </w:rPr>
        <w:t>9.09</w:t>
      </w:r>
      <w:r>
        <w:rPr>
          <w:rStyle w:val="18"/>
          <w:rFonts w:hint="eastAsia" w:ascii="仿宋" w:eastAsia="仿宋"/>
          <w:b w:val="0"/>
          <w:bCs/>
          <w:color w:val="000000"/>
          <w:sz w:val="32"/>
          <w:szCs w:val="32"/>
        </w:rPr>
        <w:t>万元，完成预算</w:t>
      </w:r>
      <w:r>
        <w:rPr>
          <w:rStyle w:val="18"/>
          <w:rFonts w:hint="eastAsia" w:ascii="仿宋" w:eastAsia="仿宋"/>
          <w:b w:val="0"/>
          <w:bCs/>
          <w:color w:val="000000"/>
          <w:sz w:val="32"/>
          <w:szCs w:val="32"/>
          <w:lang w:val="en-US" w:eastAsia="zh-CN"/>
        </w:rPr>
        <w:t>100</w:t>
      </w:r>
      <w:r>
        <w:rPr>
          <w:rStyle w:val="18"/>
          <w:rFonts w:ascii="仿宋" w:eastAsia="仿宋"/>
          <w:b w:val="0"/>
          <w:bCs/>
          <w:color w:val="000000"/>
          <w:sz w:val="32"/>
          <w:szCs w:val="32"/>
        </w:rPr>
        <w:t>%</w:t>
      </w:r>
      <w:r>
        <w:rPr>
          <w:rStyle w:val="18"/>
          <w:rFonts w:hint="eastAsia" w:ascii="仿宋" w:eastAsia="仿宋"/>
          <w:b w:val="0"/>
          <w:bCs/>
          <w:color w:val="000000"/>
          <w:sz w:val="32"/>
          <w:szCs w:val="32"/>
        </w:rPr>
        <w:t>。</w:t>
      </w:r>
    </w:p>
    <w:p w14:paraId="2383A97E">
      <w:pPr>
        <w:spacing w:line="600" w:lineRule="exact"/>
        <w:ind w:firstLine="643" w:firstLineChars="200"/>
        <w:rPr>
          <w:rFonts w:ascii="仿宋" w:eastAsia="仿宋"/>
          <w:b/>
          <w:color w:val="000000"/>
          <w:sz w:val="32"/>
          <w:szCs w:val="32"/>
        </w:rPr>
      </w:pPr>
      <w:r>
        <w:rPr>
          <w:rStyle w:val="18"/>
          <w:rFonts w:hint="eastAsia" w:ascii="仿宋" w:eastAsia="仿宋"/>
          <w:bCs/>
          <w:color w:val="000000"/>
          <w:sz w:val="32"/>
          <w:szCs w:val="32"/>
          <w:lang w:val="en-US" w:eastAsia="zh-CN"/>
        </w:rPr>
        <w:t>3.</w:t>
      </w:r>
      <w:r>
        <w:rPr>
          <w:rStyle w:val="18"/>
          <w:rFonts w:hint="eastAsia" w:ascii="仿宋" w:eastAsia="仿宋"/>
          <w:bCs/>
          <w:color w:val="000000"/>
          <w:sz w:val="32"/>
          <w:szCs w:val="32"/>
        </w:rPr>
        <w:t>社会保障和就业</w:t>
      </w:r>
      <w:r>
        <w:rPr>
          <w:rStyle w:val="18"/>
          <w:rFonts w:hint="eastAsia" w:ascii="仿宋" w:eastAsia="仿宋"/>
          <w:bCs/>
          <w:color w:val="000000"/>
          <w:sz w:val="32"/>
          <w:szCs w:val="32"/>
          <w:lang w:val="en-US" w:eastAsia="zh-CN"/>
        </w:rPr>
        <w:t>208</w:t>
      </w:r>
      <w:r>
        <w:rPr>
          <w:rStyle w:val="18"/>
          <w:rFonts w:hint="eastAsia" w:ascii="仿宋" w:eastAsia="仿宋"/>
          <w:bCs/>
          <w:color w:val="000000"/>
          <w:sz w:val="32"/>
          <w:szCs w:val="32"/>
        </w:rPr>
        <w:t>（类）</w:t>
      </w:r>
      <w:r>
        <w:rPr>
          <w:rStyle w:val="18"/>
          <w:rFonts w:hint="eastAsia" w:ascii="仿宋" w:eastAsia="仿宋"/>
          <w:bCs/>
          <w:color w:val="000000"/>
          <w:sz w:val="32"/>
          <w:szCs w:val="32"/>
          <w:lang w:val="en-US" w:eastAsia="zh-CN"/>
        </w:rPr>
        <w:t>行政事业单位离退休05</w:t>
      </w:r>
      <w:r>
        <w:rPr>
          <w:rStyle w:val="18"/>
          <w:rFonts w:hint="eastAsia" w:ascii="仿宋" w:eastAsia="仿宋"/>
          <w:bCs/>
          <w:color w:val="000000"/>
          <w:sz w:val="32"/>
          <w:szCs w:val="32"/>
        </w:rPr>
        <w:t>（款）</w:t>
      </w:r>
      <w:r>
        <w:rPr>
          <w:rStyle w:val="18"/>
          <w:rFonts w:hint="eastAsia" w:ascii="仿宋" w:eastAsia="仿宋"/>
          <w:bCs/>
          <w:color w:val="000000"/>
          <w:sz w:val="32"/>
          <w:szCs w:val="32"/>
          <w:lang w:val="en-US" w:eastAsia="zh-CN"/>
        </w:rPr>
        <w:t>机关事业单位基本职业年金缴费支出06</w:t>
      </w:r>
      <w:r>
        <w:rPr>
          <w:rStyle w:val="18"/>
          <w:rFonts w:hint="eastAsia" w:ascii="仿宋" w:eastAsia="仿宋"/>
          <w:bCs/>
          <w:color w:val="000000"/>
          <w:sz w:val="32"/>
          <w:szCs w:val="32"/>
        </w:rPr>
        <w:t>（项）</w:t>
      </w:r>
      <w:r>
        <w:rPr>
          <w:rStyle w:val="18"/>
          <w:rFonts w:ascii="仿宋" w:eastAsia="仿宋"/>
          <w:bCs/>
          <w:color w:val="000000"/>
          <w:sz w:val="32"/>
          <w:szCs w:val="32"/>
        </w:rPr>
        <w:t>:</w:t>
      </w:r>
      <w:r>
        <w:rPr>
          <w:rStyle w:val="18"/>
          <w:rFonts w:hint="eastAsia" w:ascii="仿宋" w:eastAsia="仿宋"/>
          <w:b w:val="0"/>
          <w:bCs/>
          <w:color w:val="000000"/>
          <w:sz w:val="32"/>
          <w:szCs w:val="32"/>
        </w:rPr>
        <w:t>支出决算为</w:t>
      </w:r>
      <w:r>
        <w:rPr>
          <w:rStyle w:val="18"/>
          <w:rFonts w:hint="eastAsia" w:ascii="仿宋" w:eastAsia="仿宋"/>
          <w:b w:val="0"/>
          <w:bCs/>
          <w:color w:val="000000"/>
          <w:sz w:val="32"/>
          <w:szCs w:val="32"/>
          <w:lang w:val="en-US" w:eastAsia="zh-CN"/>
        </w:rPr>
        <w:t>4.54</w:t>
      </w:r>
      <w:r>
        <w:rPr>
          <w:rStyle w:val="18"/>
          <w:rFonts w:hint="eastAsia" w:ascii="仿宋" w:eastAsia="仿宋"/>
          <w:b w:val="0"/>
          <w:bCs/>
          <w:color w:val="000000"/>
          <w:sz w:val="32"/>
          <w:szCs w:val="32"/>
        </w:rPr>
        <w:t>万元，完成预算</w:t>
      </w:r>
      <w:r>
        <w:rPr>
          <w:rStyle w:val="18"/>
          <w:rFonts w:hint="eastAsia" w:ascii="仿宋" w:eastAsia="仿宋"/>
          <w:b w:val="0"/>
          <w:bCs/>
          <w:color w:val="000000"/>
          <w:sz w:val="32"/>
          <w:szCs w:val="32"/>
          <w:lang w:val="en-US" w:eastAsia="zh-CN"/>
        </w:rPr>
        <w:t>100</w:t>
      </w:r>
      <w:r>
        <w:rPr>
          <w:rStyle w:val="18"/>
          <w:rFonts w:ascii="仿宋" w:eastAsia="仿宋"/>
          <w:b w:val="0"/>
          <w:bCs/>
          <w:color w:val="000000"/>
          <w:sz w:val="32"/>
          <w:szCs w:val="32"/>
        </w:rPr>
        <w:t>%</w:t>
      </w:r>
      <w:r>
        <w:rPr>
          <w:rStyle w:val="18"/>
          <w:rFonts w:hint="eastAsia" w:ascii="仿宋" w:eastAsia="仿宋"/>
          <w:b w:val="0"/>
          <w:bCs/>
          <w:color w:val="000000"/>
          <w:sz w:val="32"/>
          <w:szCs w:val="32"/>
        </w:rPr>
        <w:t>。</w:t>
      </w:r>
    </w:p>
    <w:p w14:paraId="416C9B99">
      <w:pPr>
        <w:spacing w:line="600" w:lineRule="exact"/>
        <w:ind w:firstLine="643" w:firstLineChars="200"/>
        <w:rPr>
          <w:rFonts w:ascii="仿宋" w:eastAsia="仿宋"/>
          <w:color w:val="000000"/>
          <w:sz w:val="32"/>
          <w:szCs w:val="32"/>
        </w:rPr>
      </w:pPr>
      <w:r>
        <w:rPr>
          <w:rStyle w:val="18"/>
          <w:rFonts w:hint="eastAsia" w:ascii="仿宋" w:eastAsia="仿宋"/>
          <w:bCs/>
          <w:color w:val="000000"/>
          <w:sz w:val="32"/>
          <w:szCs w:val="32"/>
          <w:lang w:val="en-US" w:eastAsia="zh-CN"/>
        </w:rPr>
        <w:t>4.</w:t>
      </w:r>
      <w:r>
        <w:rPr>
          <w:rStyle w:val="18"/>
          <w:rFonts w:hint="eastAsia" w:ascii="仿宋" w:eastAsia="仿宋"/>
          <w:bCs/>
          <w:color w:val="000000"/>
          <w:sz w:val="32"/>
          <w:szCs w:val="32"/>
          <w:lang w:eastAsia="zh-CN"/>
        </w:rPr>
        <w:t>卫生健康支出</w:t>
      </w:r>
      <w:r>
        <w:rPr>
          <w:rStyle w:val="18"/>
          <w:rFonts w:hint="eastAsia" w:ascii="仿宋" w:eastAsia="仿宋"/>
          <w:bCs/>
          <w:color w:val="000000"/>
          <w:sz w:val="32"/>
          <w:szCs w:val="32"/>
          <w:lang w:val="en-US" w:eastAsia="zh-CN"/>
        </w:rPr>
        <w:t>210</w:t>
      </w:r>
      <w:r>
        <w:rPr>
          <w:rStyle w:val="18"/>
          <w:rFonts w:hint="eastAsia" w:ascii="仿宋" w:eastAsia="仿宋"/>
          <w:bCs/>
          <w:color w:val="000000"/>
          <w:sz w:val="32"/>
          <w:szCs w:val="32"/>
        </w:rPr>
        <w:t>（类）</w:t>
      </w:r>
      <w:r>
        <w:rPr>
          <w:rStyle w:val="18"/>
          <w:rFonts w:hint="eastAsia" w:ascii="仿宋" w:eastAsia="仿宋"/>
          <w:bCs/>
          <w:color w:val="000000"/>
          <w:sz w:val="32"/>
          <w:szCs w:val="32"/>
          <w:lang w:val="en-US" w:eastAsia="zh-CN"/>
        </w:rPr>
        <w:t>行政事业单位医疗11</w:t>
      </w:r>
      <w:r>
        <w:rPr>
          <w:rStyle w:val="18"/>
          <w:rFonts w:hint="eastAsia" w:ascii="仿宋" w:eastAsia="仿宋"/>
          <w:bCs/>
          <w:color w:val="000000"/>
          <w:sz w:val="32"/>
          <w:szCs w:val="32"/>
        </w:rPr>
        <w:t>（款）</w:t>
      </w:r>
      <w:r>
        <w:rPr>
          <w:rStyle w:val="18"/>
          <w:rFonts w:hint="eastAsia" w:ascii="仿宋" w:eastAsia="仿宋"/>
          <w:bCs/>
          <w:color w:val="000000"/>
          <w:sz w:val="32"/>
          <w:szCs w:val="32"/>
          <w:lang w:val="en-US" w:eastAsia="zh-CN"/>
        </w:rPr>
        <w:t>事业单位医疗02</w:t>
      </w:r>
      <w:r>
        <w:rPr>
          <w:rStyle w:val="18"/>
          <w:rFonts w:hint="eastAsia" w:ascii="仿宋" w:eastAsia="仿宋"/>
          <w:bCs/>
          <w:color w:val="000000"/>
          <w:sz w:val="32"/>
          <w:szCs w:val="32"/>
        </w:rPr>
        <w:t>（项）</w:t>
      </w:r>
      <w:r>
        <w:rPr>
          <w:rStyle w:val="18"/>
          <w:rFonts w:ascii="仿宋" w:eastAsia="仿宋"/>
          <w:bCs/>
          <w:color w:val="000000"/>
          <w:sz w:val="32"/>
          <w:szCs w:val="32"/>
        </w:rPr>
        <w:t>:</w:t>
      </w:r>
      <w:r>
        <w:rPr>
          <w:rStyle w:val="18"/>
          <w:rFonts w:hint="eastAsia" w:ascii="仿宋" w:eastAsia="仿宋"/>
          <w:b w:val="0"/>
          <w:bCs/>
          <w:color w:val="000000"/>
          <w:sz w:val="32"/>
          <w:szCs w:val="32"/>
        </w:rPr>
        <w:t>支出决算为</w:t>
      </w:r>
      <w:r>
        <w:rPr>
          <w:rStyle w:val="18"/>
          <w:rFonts w:hint="eastAsia" w:ascii="仿宋" w:eastAsia="仿宋"/>
          <w:b w:val="0"/>
          <w:bCs/>
          <w:color w:val="000000"/>
          <w:sz w:val="32"/>
          <w:szCs w:val="32"/>
          <w:lang w:val="en-US" w:eastAsia="zh-CN"/>
        </w:rPr>
        <w:t>5.48</w:t>
      </w:r>
      <w:r>
        <w:rPr>
          <w:rStyle w:val="18"/>
          <w:rFonts w:hint="eastAsia" w:ascii="仿宋" w:eastAsia="仿宋"/>
          <w:b w:val="0"/>
          <w:bCs/>
          <w:color w:val="000000"/>
          <w:sz w:val="32"/>
          <w:szCs w:val="32"/>
        </w:rPr>
        <w:t>万元，完成预算</w:t>
      </w:r>
      <w:r>
        <w:rPr>
          <w:rStyle w:val="18"/>
          <w:rFonts w:hint="eastAsia" w:ascii="仿宋" w:eastAsia="仿宋"/>
          <w:b w:val="0"/>
          <w:bCs/>
          <w:color w:val="000000"/>
          <w:sz w:val="32"/>
          <w:szCs w:val="32"/>
          <w:lang w:val="en-US" w:eastAsia="zh-CN"/>
        </w:rPr>
        <w:t>100</w:t>
      </w:r>
      <w:r>
        <w:rPr>
          <w:rStyle w:val="18"/>
          <w:rFonts w:ascii="仿宋" w:eastAsia="仿宋"/>
          <w:b w:val="0"/>
          <w:bCs/>
          <w:color w:val="000000"/>
          <w:sz w:val="32"/>
          <w:szCs w:val="32"/>
        </w:rPr>
        <w:t>%</w:t>
      </w:r>
      <w:r>
        <w:rPr>
          <w:rStyle w:val="18"/>
          <w:rFonts w:hint="eastAsia" w:ascii="仿宋" w:eastAsia="仿宋"/>
          <w:b w:val="0"/>
          <w:bCs/>
          <w:color w:val="000000"/>
          <w:sz w:val="32"/>
          <w:szCs w:val="32"/>
        </w:rPr>
        <w:t>，</w:t>
      </w:r>
    </w:p>
    <w:p w14:paraId="6E156EBA">
      <w:pPr>
        <w:spacing w:line="600" w:lineRule="exact"/>
        <w:ind w:firstLine="643" w:firstLineChars="200"/>
        <w:rPr>
          <w:rFonts w:hint="default" w:ascii="仿宋_GB2312" w:eastAsia="仿宋_GB2312"/>
          <w:sz w:val="32"/>
          <w:szCs w:val="32"/>
          <w:lang w:val="en-US" w:eastAsia="zh-CN"/>
        </w:rPr>
      </w:pPr>
      <w:r>
        <w:rPr>
          <w:rStyle w:val="18"/>
          <w:rFonts w:hint="eastAsia" w:ascii="仿宋" w:eastAsia="仿宋"/>
          <w:bCs/>
          <w:color w:val="auto"/>
          <w:sz w:val="32"/>
          <w:szCs w:val="32"/>
          <w:lang w:val="en-US" w:eastAsia="zh-CN"/>
        </w:rPr>
        <w:t>5.</w:t>
      </w:r>
      <w:r>
        <w:rPr>
          <w:rStyle w:val="18"/>
          <w:rFonts w:hint="eastAsia" w:ascii="仿宋" w:eastAsia="仿宋"/>
          <w:bCs/>
          <w:color w:val="auto"/>
          <w:sz w:val="32"/>
          <w:szCs w:val="32"/>
          <w:lang w:eastAsia="zh-CN"/>
        </w:rPr>
        <w:t>卫生健康支出</w:t>
      </w:r>
      <w:r>
        <w:rPr>
          <w:rStyle w:val="18"/>
          <w:rFonts w:hint="eastAsia" w:ascii="仿宋" w:eastAsia="仿宋"/>
          <w:bCs/>
          <w:color w:val="auto"/>
          <w:sz w:val="32"/>
          <w:szCs w:val="32"/>
          <w:lang w:val="en-US" w:eastAsia="zh-CN"/>
        </w:rPr>
        <w:t>210</w:t>
      </w:r>
      <w:r>
        <w:rPr>
          <w:rStyle w:val="18"/>
          <w:rFonts w:hint="eastAsia" w:ascii="仿宋" w:eastAsia="仿宋"/>
          <w:bCs/>
          <w:color w:val="auto"/>
          <w:sz w:val="32"/>
          <w:szCs w:val="32"/>
        </w:rPr>
        <w:t>（类）</w:t>
      </w:r>
      <w:r>
        <w:rPr>
          <w:rStyle w:val="18"/>
          <w:rFonts w:hint="eastAsia" w:ascii="仿宋" w:eastAsia="仿宋"/>
          <w:bCs/>
          <w:color w:val="auto"/>
          <w:sz w:val="32"/>
          <w:szCs w:val="32"/>
          <w:lang w:val="en-US" w:eastAsia="zh-CN"/>
        </w:rPr>
        <w:t>行政事业单位医疗11</w:t>
      </w:r>
      <w:r>
        <w:rPr>
          <w:rStyle w:val="18"/>
          <w:rFonts w:hint="eastAsia" w:ascii="仿宋" w:eastAsia="仿宋"/>
          <w:bCs/>
          <w:color w:val="auto"/>
          <w:sz w:val="32"/>
          <w:szCs w:val="32"/>
        </w:rPr>
        <w:t>（款）</w:t>
      </w:r>
      <w:r>
        <w:rPr>
          <w:rFonts w:hint="eastAsia" w:ascii="仿宋_GB2312" w:eastAsia="仿宋_GB2312"/>
          <w:sz w:val="32"/>
          <w:szCs w:val="32"/>
          <w:lang w:eastAsia="zh-CN"/>
        </w:rPr>
        <w:t>其他行政事业单位医疗支出</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（项）</w:t>
      </w:r>
      <w:r>
        <w:rPr>
          <w:rFonts w:hint="eastAsia" w:ascii="仿宋_GB2312" w:eastAsia="仿宋_GB2312"/>
          <w:color w:val="000000"/>
          <w:sz w:val="32"/>
          <w:szCs w:val="32"/>
          <w:lang w:eastAsia="zh-CN"/>
        </w:rPr>
        <w:t>：</w:t>
      </w:r>
      <w:r>
        <w:rPr>
          <w:rStyle w:val="18"/>
          <w:rFonts w:hint="eastAsia" w:ascii="仿宋" w:eastAsia="仿宋"/>
          <w:b w:val="0"/>
          <w:bCs/>
          <w:color w:val="000000"/>
          <w:sz w:val="32"/>
          <w:szCs w:val="32"/>
        </w:rPr>
        <w:t>支出决算</w:t>
      </w:r>
      <w:r>
        <w:rPr>
          <w:rFonts w:hint="eastAsia" w:ascii="仿宋_GB2312" w:eastAsia="仿宋_GB2312"/>
          <w:sz w:val="32"/>
          <w:szCs w:val="32"/>
        </w:rPr>
        <w:t>为</w:t>
      </w:r>
      <w:r>
        <w:rPr>
          <w:rFonts w:hint="eastAsia" w:ascii="仿宋_GB2312" w:eastAsia="仿宋_GB2312"/>
          <w:sz w:val="32"/>
          <w:szCs w:val="32"/>
          <w:lang w:val="en-US" w:eastAsia="zh-CN"/>
        </w:rPr>
        <w:t>1.11万元。</w:t>
      </w:r>
    </w:p>
    <w:p w14:paraId="23BC379D">
      <w:pPr>
        <w:spacing w:line="600" w:lineRule="exact"/>
        <w:ind w:firstLine="643" w:firstLineChars="200"/>
        <w:rPr>
          <w:rStyle w:val="18"/>
          <w:rFonts w:ascii="仿宋" w:eastAsia="仿宋"/>
          <w:bCs/>
          <w:color w:val="000000"/>
          <w:sz w:val="32"/>
          <w:szCs w:val="32"/>
          <w:lang w:val="en-US" w:eastAsia="zh-CN"/>
        </w:rPr>
      </w:pPr>
      <w:bookmarkStart w:id="40" w:name="_Toc15396608"/>
      <w:bookmarkStart w:id="41" w:name="_Toc15377214"/>
      <w:r>
        <w:rPr>
          <w:rStyle w:val="18"/>
          <w:rFonts w:hint="eastAsia" w:ascii="仿宋" w:eastAsia="仿宋"/>
          <w:bCs/>
          <w:color w:val="000000"/>
          <w:sz w:val="32"/>
          <w:szCs w:val="32"/>
          <w:lang w:val="en-US" w:eastAsia="zh-CN"/>
        </w:rPr>
        <w:t>6.住房保障221（类）住房改革支出02（款）住房公积金01（项）：</w:t>
      </w:r>
      <w:r>
        <w:rPr>
          <w:rStyle w:val="18"/>
          <w:rFonts w:hint="eastAsia" w:ascii="仿宋" w:eastAsia="仿宋"/>
          <w:b w:val="0"/>
          <w:bCs/>
          <w:color w:val="000000"/>
          <w:sz w:val="32"/>
          <w:szCs w:val="32"/>
        </w:rPr>
        <w:t>支出决算为</w:t>
      </w:r>
      <w:r>
        <w:rPr>
          <w:rStyle w:val="18"/>
          <w:rFonts w:hint="eastAsia" w:ascii="仿宋" w:eastAsia="仿宋"/>
          <w:b w:val="0"/>
          <w:bCs/>
          <w:color w:val="000000"/>
          <w:sz w:val="32"/>
          <w:szCs w:val="32"/>
          <w:lang w:val="en-US" w:eastAsia="zh-CN"/>
        </w:rPr>
        <w:t>7.13</w:t>
      </w:r>
      <w:r>
        <w:rPr>
          <w:rStyle w:val="18"/>
          <w:rFonts w:hint="eastAsia" w:ascii="仿宋" w:eastAsia="仿宋"/>
          <w:b w:val="0"/>
          <w:bCs/>
          <w:color w:val="000000"/>
          <w:sz w:val="32"/>
          <w:szCs w:val="32"/>
        </w:rPr>
        <w:t>万元，完成预算</w:t>
      </w:r>
      <w:r>
        <w:rPr>
          <w:rStyle w:val="18"/>
          <w:rFonts w:hint="eastAsia" w:ascii="仿宋" w:eastAsia="仿宋"/>
          <w:b w:val="0"/>
          <w:bCs/>
          <w:color w:val="000000"/>
          <w:sz w:val="32"/>
          <w:szCs w:val="32"/>
          <w:lang w:val="en-US" w:eastAsia="zh-CN"/>
        </w:rPr>
        <w:t>100</w:t>
      </w:r>
      <w:r>
        <w:rPr>
          <w:rStyle w:val="18"/>
          <w:rFonts w:ascii="仿宋" w:eastAsia="仿宋"/>
          <w:b w:val="0"/>
          <w:bCs/>
          <w:color w:val="000000"/>
          <w:sz w:val="32"/>
          <w:szCs w:val="32"/>
        </w:rPr>
        <w:t>%</w:t>
      </w:r>
      <w:r>
        <w:rPr>
          <w:rStyle w:val="18"/>
          <w:rFonts w:hint="eastAsia" w:ascii="仿宋" w:eastAsia="仿宋"/>
          <w:b w:val="0"/>
          <w:bCs/>
          <w:color w:val="000000"/>
          <w:sz w:val="32"/>
          <w:szCs w:val="32"/>
        </w:rPr>
        <w:t>。</w:t>
      </w:r>
    </w:p>
    <w:p w14:paraId="4D8402FD">
      <w:pPr>
        <w:spacing w:line="600" w:lineRule="exact"/>
        <w:ind w:firstLine="640"/>
        <w:rPr>
          <w:rStyle w:val="22"/>
          <w:color w:val="000000" w:themeColor="text1"/>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六</w:t>
      </w:r>
      <w:r>
        <w:rPr>
          <w:rFonts w:hint="eastAsia" w:ascii="黑体" w:eastAsia="黑体"/>
          <w:b/>
          <w:color w:val="000000" w:themeColor="text1"/>
          <w:sz w:val="32"/>
          <w:szCs w:val="32"/>
          <w14:textFill>
            <w14:solidFill>
              <w14:schemeClr w14:val="tx1"/>
            </w14:solidFill>
          </w14:textFill>
        </w:rPr>
        <w:t>、一</w:t>
      </w:r>
      <w:r>
        <w:rPr>
          <w:rStyle w:val="22"/>
          <w:rFonts w:hint="eastAsia" w:ascii="黑体" w:eastAsia="黑体"/>
          <w:b w:val="0"/>
          <w:color w:val="000000" w:themeColor="text1"/>
          <w14:textFill>
            <w14:solidFill>
              <w14:schemeClr w14:val="tx1"/>
            </w14:solidFill>
          </w14:textFill>
        </w:rPr>
        <w:t>般公共预算财政拨款基本支出决算情况说明</w:t>
      </w:r>
      <w:bookmarkEnd w:id="40"/>
      <w:bookmarkEnd w:id="41"/>
      <w:r>
        <w:rPr>
          <w:rStyle w:val="22"/>
          <w:rFonts w:ascii="黑体" w:eastAsia="黑体"/>
          <w:b w:val="0"/>
          <w:color w:val="000000" w:themeColor="text1"/>
          <w14:textFill>
            <w14:solidFill>
              <w14:schemeClr w14:val="tx1"/>
            </w14:solidFill>
          </w14:textFill>
        </w:rPr>
        <w:tab/>
      </w:r>
    </w:p>
    <w:p w14:paraId="7DC57C39">
      <w:pPr>
        <w:spacing w:line="600" w:lineRule="exact"/>
        <w:ind w:firstLine="640" w:firstLineChars="200"/>
        <w:rPr>
          <w:rFonts w:hint="eastAsia" w:ascii="仿宋" w:eastAsia="仿宋"/>
          <w:color w:val="000000"/>
          <w:sz w:val="32"/>
          <w:szCs w:val="32"/>
          <w:lang w:eastAsia="zh-CN"/>
        </w:rPr>
      </w:pPr>
      <w:r>
        <w:rPr>
          <w:rFonts w:ascii="仿宋" w:eastAsia="仿宋"/>
          <w:color w:val="000000"/>
          <w:sz w:val="32"/>
          <w:szCs w:val="32"/>
        </w:rPr>
        <w:t>20</w:t>
      </w:r>
      <w:r>
        <w:rPr>
          <w:rFonts w:hint="eastAsia" w:ascii="仿宋" w:eastAsia="仿宋"/>
          <w:color w:val="000000"/>
          <w:sz w:val="32"/>
          <w:szCs w:val="32"/>
          <w:lang w:val="en-US" w:eastAsia="zh-CN"/>
        </w:rPr>
        <w:t>24</w:t>
      </w:r>
      <w:r>
        <w:rPr>
          <w:rFonts w:hint="eastAsia" w:ascii="仿宋" w:eastAsia="仿宋"/>
          <w:color w:val="000000"/>
          <w:sz w:val="32"/>
          <w:szCs w:val="32"/>
        </w:rPr>
        <w:t>年一般公共预算财政拨款基本支出</w:t>
      </w:r>
      <w:r>
        <w:rPr>
          <w:rFonts w:hint="eastAsia" w:ascii="仿宋" w:eastAsia="仿宋"/>
          <w:color w:val="000000"/>
          <w:sz w:val="32"/>
          <w:szCs w:val="32"/>
          <w:lang w:val="en-US" w:eastAsia="zh-CN"/>
        </w:rPr>
        <w:t>104.80</w:t>
      </w:r>
      <w:r>
        <w:rPr>
          <w:rFonts w:hint="eastAsia" w:ascii="仿宋" w:eastAsia="仿宋"/>
          <w:color w:val="000000"/>
          <w:sz w:val="32"/>
          <w:szCs w:val="32"/>
        </w:rPr>
        <w:t>万元，其中：人员经费</w:t>
      </w:r>
      <w:r>
        <w:rPr>
          <w:rFonts w:hint="eastAsia" w:ascii="仿宋" w:eastAsia="仿宋"/>
          <w:color w:val="000000"/>
          <w:sz w:val="32"/>
          <w:szCs w:val="32"/>
          <w:lang w:val="en-US" w:eastAsia="zh-CN"/>
        </w:rPr>
        <w:t>91.83</w:t>
      </w:r>
      <w:r>
        <w:rPr>
          <w:rFonts w:hint="eastAsia" w:ascii="仿宋" w:eastAsia="仿宋"/>
          <w:color w:val="000000"/>
          <w:sz w:val="32"/>
          <w:szCs w:val="32"/>
        </w:rPr>
        <w:t>万元，主要包括：基本工资</w:t>
      </w:r>
      <w:r>
        <w:rPr>
          <w:rFonts w:hint="eastAsia" w:ascii="仿宋" w:eastAsia="仿宋"/>
          <w:color w:val="000000"/>
          <w:sz w:val="32"/>
          <w:szCs w:val="32"/>
          <w:lang w:val="en-US" w:eastAsia="zh-CN"/>
        </w:rPr>
        <w:t>18.70万元</w:t>
      </w:r>
      <w:r>
        <w:rPr>
          <w:rFonts w:hint="eastAsia" w:ascii="仿宋" w:eastAsia="仿宋"/>
          <w:color w:val="000000"/>
          <w:sz w:val="32"/>
          <w:szCs w:val="32"/>
        </w:rPr>
        <w:t>、津贴补贴</w:t>
      </w:r>
      <w:r>
        <w:rPr>
          <w:rFonts w:hint="eastAsia" w:ascii="仿宋" w:eastAsia="仿宋"/>
          <w:color w:val="000000"/>
          <w:sz w:val="32"/>
          <w:szCs w:val="32"/>
          <w:lang w:val="en-US" w:eastAsia="zh-CN"/>
        </w:rPr>
        <w:t>8.94万元</w:t>
      </w:r>
      <w:r>
        <w:rPr>
          <w:rFonts w:hint="eastAsia" w:ascii="仿宋" w:eastAsia="仿宋"/>
          <w:color w:val="000000"/>
          <w:sz w:val="32"/>
          <w:szCs w:val="32"/>
        </w:rPr>
        <w:t>、奖金</w:t>
      </w:r>
      <w:r>
        <w:rPr>
          <w:rFonts w:hint="eastAsia" w:ascii="仿宋" w:eastAsia="仿宋"/>
          <w:color w:val="000000"/>
          <w:sz w:val="32"/>
          <w:szCs w:val="32"/>
          <w:lang w:val="en-US" w:eastAsia="zh-CN"/>
        </w:rPr>
        <w:t>22.61万元</w:t>
      </w:r>
      <w:r>
        <w:rPr>
          <w:rFonts w:hint="eastAsia" w:ascii="仿宋" w:eastAsia="仿宋"/>
          <w:color w:val="000000"/>
          <w:sz w:val="32"/>
          <w:szCs w:val="32"/>
        </w:rPr>
        <w:t>、</w:t>
      </w:r>
      <w:r>
        <w:rPr>
          <w:rFonts w:hint="eastAsia" w:ascii="仿宋" w:eastAsia="仿宋"/>
          <w:color w:val="000000"/>
          <w:sz w:val="32"/>
          <w:szCs w:val="32"/>
          <w:lang w:eastAsia="zh-CN"/>
        </w:rPr>
        <w:t>绩效工资</w:t>
      </w:r>
      <w:r>
        <w:rPr>
          <w:rFonts w:hint="eastAsia" w:ascii="仿宋" w:eastAsia="仿宋"/>
          <w:color w:val="000000"/>
          <w:sz w:val="32"/>
          <w:szCs w:val="32"/>
          <w:lang w:val="en-US" w:eastAsia="zh-CN"/>
        </w:rPr>
        <w:t>13.06万元、</w:t>
      </w:r>
      <w:r>
        <w:rPr>
          <w:rFonts w:hint="eastAsia" w:ascii="仿宋" w:eastAsia="仿宋"/>
          <w:color w:val="000000"/>
          <w:sz w:val="32"/>
          <w:szCs w:val="32"/>
        </w:rPr>
        <w:t>机关事业单位基本养老保险缴费</w:t>
      </w:r>
      <w:r>
        <w:rPr>
          <w:rFonts w:hint="eastAsia" w:ascii="仿宋" w:eastAsia="仿宋"/>
          <w:color w:val="000000"/>
          <w:sz w:val="32"/>
          <w:szCs w:val="32"/>
          <w:lang w:val="en-US" w:eastAsia="zh-CN"/>
        </w:rPr>
        <w:t>9.09万元</w:t>
      </w:r>
      <w:r>
        <w:rPr>
          <w:rFonts w:hint="eastAsia" w:ascii="仿宋" w:eastAsia="仿宋"/>
          <w:color w:val="000000"/>
          <w:sz w:val="32"/>
          <w:szCs w:val="32"/>
        </w:rPr>
        <w:t>、职业年金缴费</w:t>
      </w:r>
      <w:r>
        <w:rPr>
          <w:rFonts w:hint="eastAsia" w:ascii="仿宋" w:eastAsia="仿宋"/>
          <w:color w:val="000000"/>
          <w:sz w:val="32"/>
          <w:szCs w:val="32"/>
          <w:lang w:val="en-US" w:eastAsia="zh-CN"/>
        </w:rPr>
        <w:t>4.54万元</w:t>
      </w:r>
      <w:r>
        <w:rPr>
          <w:rFonts w:hint="eastAsia" w:ascii="仿宋" w:eastAsia="仿宋"/>
          <w:color w:val="000000"/>
          <w:sz w:val="32"/>
          <w:szCs w:val="32"/>
        </w:rPr>
        <w:t>、</w:t>
      </w:r>
      <w:r>
        <w:rPr>
          <w:rFonts w:hint="eastAsia" w:ascii="仿宋" w:eastAsia="仿宋"/>
          <w:color w:val="000000"/>
          <w:sz w:val="32"/>
          <w:szCs w:val="32"/>
          <w:lang w:val="en-US" w:eastAsia="zh-CN"/>
        </w:rPr>
        <w:t>职工基本医疗保险缴费4.38万元、公务员医疗补助缴费1.1万元、</w:t>
      </w:r>
      <w:r>
        <w:rPr>
          <w:rFonts w:hint="eastAsia" w:ascii="仿宋" w:eastAsia="仿宋"/>
          <w:color w:val="000000"/>
          <w:sz w:val="32"/>
          <w:szCs w:val="32"/>
        </w:rPr>
        <w:t>其他社会保障缴费</w:t>
      </w:r>
      <w:r>
        <w:rPr>
          <w:rFonts w:hint="eastAsia" w:ascii="仿宋" w:eastAsia="仿宋"/>
          <w:color w:val="000000"/>
          <w:sz w:val="32"/>
          <w:szCs w:val="32"/>
          <w:lang w:val="en-US" w:eastAsia="zh-CN"/>
        </w:rPr>
        <w:t>1.30万元</w:t>
      </w:r>
      <w:r>
        <w:rPr>
          <w:rFonts w:hint="eastAsia" w:ascii="仿宋" w:eastAsia="仿宋"/>
          <w:color w:val="000000"/>
          <w:sz w:val="32"/>
          <w:szCs w:val="32"/>
        </w:rPr>
        <w:t>、住房公积金</w:t>
      </w:r>
      <w:r>
        <w:rPr>
          <w:rFonts w:hint="eastAsia" w:ascii="仿宋" w:eastAsia="仿宋"/>
          <w:color w:val="000000"/>
          <w:sz w:val="32"/>
          <w:szCs w:val="32"/>
          <w:lang w:val="en-US" w:eastAsia="zh-CN"/>
        </w:rPr>
        <w:t>7.13万元、生活补助0.98万元</w:t>
      </w:r>
      <w:r>
        <w:rPr>
          <w:rFonts w:hint="eastAsia" w:ascii="仿宋" w:eastAsia="仿宋"/>
          <w:color w:val="000000"/>
          <w:sz w:val="32"/>
          <w:szCs w:val="32"/>
        </w:rPr>
        <w:t>。</w:t>
      </w:r>
    </w:p>
    <w:p w14:paraId="13E5DBB2">
      <w:pPr>
        <w:spacing w:line="600" w:lineRule="exact"/>
        <w:ind w:firstLine="645"/>
        <w:rPr>
          <w:rFonts w:ascii="仿宋" w:eastAsia="仿宋"/>
          <w:color w:val="000000"/>
          <w:sz w:val="32"/>
          <w:szCs w:val="32"/>
        </w:rPr>
      </w:pPr>
      <w:r>
        <w:rPr>
          <w:rFonts w:hint="eastAsia" w:ascii="仿宋" w:eastAsia="仿宋"/>
          <w:color w:val="000000"/>
          <w:sz w:val="32"/>
          <w:szCs w:val="32"/>
        </w:rPr>
        <w:t>公用经费</w:t>
      </w:r>
      <w:r>
        <w:rPr>
          <w:rFonts w:hint="eastAsia" w:ascii="仿宋" w:eastAsia="仿宋"/>
          <w:color w:val="000000"/>
          <w:sz w:val="32"/>
          <w:szCs w:val="32"/>
          <w:lang w:val="en-US" w:eastAsia="zh-CN"/>
        </w:rPr>
        <w:t>12.97</w:t>
      </w:r>
      <w:r>
        <w:rPr>
          <w:rFonts w:hint="eastAsia" w:ascii="仿宋" w:eastAsia="仿宋"/>
          <w:color w:val="000000"/>
          <w:sz w:val="32"/>
          <w:szCs w:val="32"/>
        </w:rPr>
        <w:t>万元，主要包括：办公费</w:t>
      </w:r>
      <w:r>
        <w:rPr>
          <w:rFonts w:hint="eastAsia" w:ascii="仿宋" w:eastAsia="仿宋"/>
          <w:color w:val="000000"/>
          <w:sz w:val="32"/>
          <w:szCs w:val="32"/>
          <w:lang w:val="en-US" w:eastAsia="zh-CN"/>
        </w:rPr>
        <w:t>4.57万元</w:t>
      </w:r>
      <w:r>
        <w:rPr>
          <w:rFonts w:hint="eastAsia" w:ascii="仿宋" w:eastAsia="仿宋"/>
          <w:color w:val="000000"/>
          <w:sz w:val="32"/>
          <w:szCs w:val="32"/>
        </w:rPr>
        <w:t>、邮电费</w:t>
      </w:r>
      <w:r>
        <w:rPr>
          <w:rFonts w:hint="eastAsia" w:ascii="仿宋" w:eastAsia="仿宋"/>
          <w:color w:val="000000"/>
          <w:sz w:val="32"/>
          <w:szCs w:val="32"/>
          <w:lang w:val="en-US" w:eastAsia="zh-CN"/>
        </w:rPr>
        <w:t>0.7万元</w:t>
      </w:r>
      <w:r>
        <w:rPr>
          <w:rFonts w:hint="eastAsia" w:ascii="仿宋" w:eastAsia="仿宋"/>
          <w:color w:val="000000"/>
          <w:sz w:val="32"/>
          <w:szCs w:val="32"/>
        </w:rPr>
        <w:t>、差旅费</w:t>
      </w:r>
      <w:r>
        <w:rPr>
          <w:rFonts w:hint="eastAsia" w:ascii="仿宋" w:eastAsia="仿宋"/>
          <w:color w:val="000000"/>
          <w:sz w:val="32"/>
          <w:szCs w:val="32"/>
          <w:lang w:val="en-US" w:eastAsia="zh-CN"/>
        </w:rPr>
        <w:t>2.80万元</w:t>
      </w:r>
      <w:r>
        <w:rPr>
          <w:rFonts w:hint="eastAsia" w:ascii="仿宋" w:eastAsia="仿宋"/>
          <w:color w:val="000000"/>
          <w:sz w:val="32"/>
          <w:szCs w:val="32"/>
        </w:rPr>
        <w:t>、</w:t>
      </w:r>
      <w:r>
        <w:rPr>
          <w:rFonts w:hint="eastAsia" w:ascii="仿宋" w:eastAsia="仿宋"/>
          <w:color w:val="000000"/>
          <w:sz w:val="32"/>
          <w:szCs w:val="32"/>
          <w:lang w:eastAsia="zh-CN"/>
        </w:rPr>
        <w:t>租赁费</w:t>
      </w:r>
      <w:r>
        <w:rPr>
          <w:rFonts w:hint="eastAsia" w:ascii="仿宋" w:eastAsia="仿宋"/>
          <w:color w:val="000000"/>
          <w:sz w:val="32"/>
          <w:szCs w:val="32"/>
          <w:lang w:val="en-US" w:eastAsia="zh-CN"/>
        </w:rPr>
        <w:t>0.4万元</w:t>
      </w:r>
      <w:r>
        <w:rPr>
          <w:rFonts w:hint="eastAsia" w:ascii="仿宋" w:eastAsia="仿宋"/>
          <w:color w:val="000000"/>
          <w:sz w:val="32"/>
          <w:szCs w:val="32"/>
        </w:rPr>
        <w:t>、</w:t>
      </w:r>
      <w:r>
        <w:rPr>
          <w:rFonts w:hint="eastAsia" w:ascii="仿宋" w:eastAsia="仿宋"/>
          <w:color w:val="000000"/>
          <w:sz w:val="32"/>
          <w:szCs w:val="32"/>
          <w:lang w:val="en-US" w:eastAsia="zh-CN"/>
        </w:rPr>
        <w:t>劳务费2.5万元、其他交通费用2万元</w:t>
      </w:r>
      <w:r>
        <w:rPr>
          <w:rFonts w:hint="eastAsia" w:ascii="仿宋" w:eastAsia="仿宋"/>
          <w:color w:val="000000"/>
          <w:sz w:val="32"/>
          <w:szCs w:val="32"/>
        </w:rPr>
        <w:t>。</w:t>
      </w:r>
    </w:p>
    <w:p w14:paraId="25327C0D">
      <w:pPr>
        <w:spacing w:line="600" w:lineRule="exact"/>
        <w:ind w:firstLine="640" w:firstLineChars="200"/>
        <w:outlineLvl w:val="1"/>
        <w:rPr>
          <w:rStyle w:val="22"/>
          <w:rFonts w:ascii="黑体" w:eastAsia="黑体"/>
          <w:b w:val="0"/>
        </w:rPr>
      </w:pPr>
      <w:bookmarkStart w:id="42" w:name="_Toc15377215"/>
      <w:bookmarkStart w:id="43" w:name="_Toc15396609"/>
      <w:r>
        <w:rPr>
          <w:rFonts w:hint="eastAsia" w:ascii="黑体" w:eastAsia="黑体"/>
          <w:color w:val="000000"/>
          <w:sz w:val="32"/>
          <w:szCs w:val="32"/>
        </w:rPr>
        <w:t>七、</w:t>
      </w:r>
      <w:r>
        <w:rPr>
          <w:rStyle w:val="22"/>
          <w:rFonts w:hint="eastAsia" w:ascii="黑体" w:eastAsia="黑体"/>
        </w:rPr>
        <w:t>“</w:t>
      </w:r>
      <w:r>
        <w:rPr>
          <w:rStyle w:val="22"/>
          <w:rFonts w:hint="eastAsia" w:ascii="黑体" w:eastAsia="黑体"/>
          <w:b w:val="0"/>
        </w:rPr>
        <w:t>三公”经费财政拨款支出决算情况说明</w:t>
      </w:r>
      <w:bookmarkEnd w:id="42"/>
      <w:bookmarkEnd w:id="43"/>
    </w:p>
    <w:p w14:paraId="23E457E1">
      <w:pPr>
        <w:spacing w:line="600" w:lineRule="exact"/>
        <w:ind w:firstLine="640"/>
        <w:outlineLvl w:val="2"/>
        <w:rPr>
          <w:rFonts w:ascii="仿宋" w:eastAsia="仿宋"/>
          <w:b/>
          <w:color w:val="000000"/>
          <w:sz w:val="32"/>
          <w:szCs w:val="32"/>
        </w:rPr>
      </w:pPr>
      <w:bookmarkStart w:id="44" w:name="_Toc15377216"/>
      <w:r>
        <w:rPr>
          <w:rFonts w:hint="eastAsia" w:ascii="仿宋" w:eastAsia="仿宋"/>
          <w:b/>
          <w:color w:val="000000"/>
          <w:sz w:val="32"/>
          <w:szCs w:val="32"/>
        </w:rPr>
        <w:t>（一）“三公”经费财政拨款支出决算总体情况说明</w:t>
      </w:r>
      <w:bookmarkEnd w:id="44"/>
    </w:p>
    <w:p w14:paraId="224D3693">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24</w:t>
      </w:r>
      <w:r>
        <w:rPr>
          <w:rFonts w:hint="eastAsia" w:ascii="仿宋" w:eastAsia="仿宋"/>
          <w:color w:val="000000"/>
          <w:sz w:val="32"/>
          <w:szCs w:val="32"/>
        </w:rPr>
        <w:t>年“三公”经费财政拨款支出决算</w:t>
      </w:r>
      <w:r>
        <w:rPr>
          <w:rFonts w:hint="eastAsia" w:ascii="仿宋" w:eastAsia="仿宋"/>
          <w:color w:val="000000"/>
          <w:sz w:val="32"/>
          <w:szCs w:val="32"/>
          <w:lang w:eastAsia="zh-CN"/>
        </w:rPr>
        <w:t>中，无因公出国（境）费支出；无公务用车购置及运行维护费支出</w:t>
      </w:r>
      <w:r>
        <w:rPr>
          <w:rFonts w:hint="eastAsia" w:ascii="仿宋" w:eastAsia="仿宋"/>
          <w:color w:val="000000"/>
          <w:sz w:val="32"/>
          <w:szCs w:val="32"/>
          <w:lang w:val="en-US" w:eastAsia="zh-CN"/>
        </w:rPr>
        <w:t>；无公务接待费支出</w:t>
      </w:r>
      <w:r>
        <w:rPr>
          <w:rFonts w:hint="eastAsia" w:ascii="仿宋" w:eastAsia="仿宋"/>
          <w:color w:val="000000"/>
          <w:sz w:val="32"/>
          <w:szCs w:val="32"/>
        </w:rPr>
        <w:t>。</w:t>
      </w:r>
    </w:p>
    <w:p w14:paraId="7B1D2F4F">
      <w:pPr>
        <w:spacing w:line="600" w:lineRule="exact"/>
        <w:ind w:firstLine="640"/>
        <w:outlineLvl w:val="2"/>
        <w:rPr>
          <w:rFonts w:ascii="仿宋" w:eastAsia="仿宋"/>
          <w:b/>
          <w:color w:val="000000"/>
          <w:sz w:val="32"/>
          <w:szCs w:val="32"/>
        </w:rPr>
      </w:pPr>
      <w:bookmarkStart w:id="45" w:name="_Toc15377217"/>
      <w:r>
        <w:rPr>
          <w:rFonts w:hint="eastAsia" w:ascii="仿宋" w:eastAsia="仿宋"/>
          <w:b/>
          <w:color w:val="000000"/>
          <w:sz w:val="32"/>
          <w:szCs w:val="32"/>
        </w:rPr>
        <w:t>（二）“三公”经费财政拨款支出决算具体情况说明</w:t>
      </w:r>
      <w:bookmarkEnd w:id="45"/>
    </w:p>
    <w:p w14:paraId="187B5921">
      <w:pPr>
        <w:spacing w:line="600" w:lineRule="exact"/>
        <w:ind w:firstLine="640"/>
        <w:rPr>
          <w:rFonts w:hint="eastAsia"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24</w:t>
      </w:r>
      <w:r>
        <w:rPr>
          <w:rFonts w:hint="eastAsia" w:ascii="仿宋" w:eastAsia="仿宋"/>
          <w:color w:val="000000"/>
          <w:sz w:val="32"/>
          <w:szCs w:val="32"/>
        </w:rPr>
        <w:t>年“三公”经费财政拨款支出</w:t>
      </w:r>
      <w:r>
        <w:rPr>
          <w:rFonts w:hint="eastAsia" w:ascii="仿宋" w:eastAsia="仿宋"/>
          <w:color w:val="auto"/>
          <w:sz w:val="32"/>
          <w:szCs w:val="32"/>
        </w:rPr>
        <w:t>决算</w:t>
      </w:r>
      <w:r>
        <w:rPr>
          <w:rFonts w:hint="eastAsia" w:ascii="仿宋" w:eastAsia="仿宋"/>
          <w:color w:val="auto"/>
          <w:sz w:val="32"/>
          <w:szCs w:val="32"/>
          <w:lang w:val="en-US" w:eastAsia="zh-CN"/>
        </w:rPr>
        <w:t>0万元</w:t>
      </w:r>
      <w:r>
        <w:rPr>
          <w:rFonts w:hint="eastAsia" w:ascii="仿宋" w:eastAsia="仿宋"/>
          <w:color w:val="000000"/>
          <w:sz w:val="32"/>
          <w:szCs w:val="32"/>
        </w:rPr>
        <w:t>，</w:t>
      </w:r>
      <w:r>
        <w:rPr>
          <w:rFonts w:hint="eastAsia" w:ascii="仿宋" w:eastAsia="仿宋"/>
          <w:color w:val="000000"/>
          <w:sz w:val="32"/>
          <w:szCs w:val="32"/>
          <w:lang w:val="en-US" w:eastAsia="zh-CN"/>
        </w:rPr>
        <w:t>其中：</w:t>
      </w:r>
      <w:r>
        <w:rPr>
          <w:rFonts w:hint="eastAsia" w:ascii="仿宋" w:eastAsia="仿宋"/>
          <w:color w:val="000000"/>
          <w:sz w:val="32"/>
          <w:szCs w:val="32"/>
        </w:rPr>
        <w:t>因公出国（境）费支出决算</w:t>
      </w:r>
      <w:r>
        <w:rPr>
          <w:rFonts w:hint="eastAsia" w:ascii="仿宋" w:eastAsia="仿宋"/>
          <w:color w:val="000000"/>
          <w:sz w:val="32"/>
          <w:szCs w:val="32"/>
          <w:lang w:val="en-US" w:eastAsia="zh-CN"/>
        </w:rPr>
        <w:t>0</w:t>
      </w:r>
      <w:r>
        <w:rPr>
          <w:rFonts w:hint="eastAsia" w:ascii="仿宋" w:eastAsia="仿宋"/>
          <w:color w:val="000000"/>
          <w:sz w:val="32"/>
          <w:szCs w:val="32"/>
        </w:rPr>
        <w:t>万元</w:t>
      </w:r>
      <w:r>
        <w:rPr>
          <w:rFonts w:hint="eastAsia" w:ascii="仿宋" w:eastAsia="仿宋"/>
          <w:color w:val="000000"/>
          <w:sz w:val="32"/>
          <w:szCs w:val="32"/>
          <w:lang w:val="en-US" w:eastAsia="zh-CN"/>
        </w:rPr>
        <w:t>0</w:t>
      </w:r>
      <w:r>
        <w:rPr>
          <w:rFonts w:hint="eastAsia" w:ascii="仿宋" w:eastAsia="仿宋"/>
          <w:color w:val="000000"/>
          <w:sz w:val="32"/>
          <w:szCs w:val="32"/>
        </w:rPr>
        <w:t>；公务用车购置及运行维护费支出决算</w:t>
      </w:r>
      <w:r>
        <w:rPr>
          <w:rFonts w:hint="eastAsia" w:ascii="仿宋" w:eastAsia="仿宋"/>
          <w:color w:val="000000"/>
          <w:sz w:val="32"/>
          <w:szCs w:val="32"/>
          <w:lang w:val="en-US" w:eastAsia="zh-CN"/>
        </w:rPr>
        <w:t>0</w:t>
      </w:r>
      <w:r>
        <w:rPr>
          <w:rFonts w:hint="eastAsia" w:ascii="仿宋" w:eastAsia="仿宋"/>
          <w:color w:val="000000"/>
          <w:sz w:val="32"/>
          <w:szCs w:val="32"/>
        </w:rPr>
        <w:t>万元</w:t>
      </w:r>
      <w:r>
        <w:rPr>
          <w:rFonts w:hint="eastAsia" w:ascii="仿宋" w:eastAsia="仿宋"/>
          <w:color w:val="000000"/>
          <w:sz w:val="32"/>
          <w:szCs w:val="32"/>
          <w:lang w:val="en-US" w:eastAsia="zh-CN"/>
        </w:rPr>
        <w:t>0</w:t>
      </w:r>
      <w:r>
        <w:rPr>
          <w:rFonts w:hint="eastAsia" w:ascii="仿宋" w:eastAsia="仿宋"/>
          <w:color w:val="000000"/>
          <w:sz w:val="32"/>
          <w:szCs w:val="32"/>
        </w:rPr>
        <w:t>；公务接待费支出决算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万元。具体情况如下：</w:t>
      </w:r>
    </w:p>
    <w:p w14:paraId="62AC50D5">
      <w:pPr>
        <w:numPr>
          <w:ilvl w:val="0"/>
          <w:numId w:val="2"/>
        </w:numPr>
        <w:spacing w:line="600" w:lineRule="exact"/>
        <w:ind w:left="-10" w:leftChars="0" w:firstLine="640" w:firstLineChars="0"/>
        <w:rPr>
          <w:rFonts w:hint="eastAsia" w:ascii="仿宋_GB2312" w:eastAsia="仿宋_GB2312" w:cs="仿宋"/>
          <w:color w:val="000000"/>
          <w:sz w:val="32"/>
          <w:szCs w:val="32"/>
          <w:lang w:val="en-US" w:eastAsia="zh-CN"/>
        </w:rPr>
      </w:pPr>
      <w:r>
        <w:rPr>
          <w:rFonts w:hint="eastAsia" w:ascii="仿宋_GB2312" w:eastAsia="仿宋_GB2312"/>
          <w:b/>
          <w:color w:val="000000"/>
          <w:sz w:val="32"/>
          <w:szCs w:val="32"/>
        </w:rPr>
        <w:t>因公出国（境）经费支出</w:t>
      </w:r>
    </w:p>
    <w:p w14:paraId="5DF5C2D0">
      <w:pPr>
        <w:pStyle w:val="20"/>
        <w:numPr>
          <w:ilvl w:val="0"/>
          <w:numId w:val="0"/>
        </w:numPr>
        <w:ind w:firstLine="960" w:firstLineChars="300"/>
        <w:rPr>
          <w:rFonts w:hint="eastAsia" w:eastAsia="仿宋"/>
          <w:lang w:eastAsia="zh-CN"/>
        </w:rPr>
      </w:pPr>
      <w:r>
        <w:rPr>
          <w:rFonts w:hint="eastAsia" w:ascii="仿宋" w:eastAsia="仿宋"/>
          <w:color w:val="000000"/>
          <w:sz w:val="32"/>
          <w:szCs w:val="32"/>
          <w:lang w:val="en-US" w:eastAsia="zh-CN"/>
        </w:rPr>
        <w:t>2024无</w:t>
      </w:r>
      <w:r>
        <w:rPr>
          <w:rFonts w:hint="eastAsia" w:ascii="仿宋" w:eastAsia="仿宋"/>
          <w:color w:val="000000"/>
          <w:sz w:val="32"/>
          <w:szCs w:val="32"/>
        </w:rPr>
        <w:t>因公出国（境）费支出</w:t>
      </w:r>
      <w:r>
        <w:rPr>
          <w:rFonts w:hint="eastAsia" w:ascii="仿宋" w:eastAsia="仿宋"/>
          <w:color w:val="000000"/>
          <w:sz w:val="32"/>
          <w:szCs w:val="32"/>
          <w:lang w:eastAsia="zh-CN"/>
        </w:rPr>
        <w:t>。</w:t>
      </w:r>
    </w:p>
    <w:p w14:paraId="1E3FEA06">
      <w:pPr>
        <w:numPr>
          <w:ilvl w:val="0"/>
          <w:numId w:val="2"/>
        </w:numPr>
        <w:spacing w:line="600" w:lineRule="exact"/>
        <w:ind w:left="-10" w:leftChars="0" w:firstLine="640" w:firstLineChars="0"/>
        <w:rPr>
          <w:rFonts w:hint="eastAsia" w:ascii="仿宋_GB2312" w:eastAsia="仿宋_GB2312"/>
          <w:b/>
          <w:color w:val="000000"/>
          <w:sz w:val="32"/>
          <w:szCs w:val="32"/>
        </w:rPr>
      </w:pPr>
      <w:r>
        <w:rPr>
          <w:rFonts w:hint="eastAsia" w:ascii="仿宋_GB2312" w:eastAsia="仿宋_GB2312"/>
          <w:b/>
          <w:color w:val="000000"/>
          <w:sz w:val="32"/>
          <w:szCs w:val="32"/>
          <w:lang w:val="en-US" w:eastAsia="zh-CN"/>
        </w:rPr>
        <w:t>公务</w:t>
      </w:r>
      <w:r>
        <w:rPr>
          <w:rFonts w:hint="eastAsia" w:ascii="仿宋_GB2312" w:eastAsia="仿宋_GB2312"/>
          <w:b/>
          <w:color w:val="auto"/>
          <w:sz w:val="32"/>
          <w:szCs w:val="32"/>
          <w:shd w:val="clear" w:color="auto" w:fill="auto"/>
        </w:rPr>
        <w:t>用车</w:t>
      </w:r>
      <w:r>
        <w:rPr>
          <w:rFonts w:hint="eastAsia" w:ascii="仿宋_GB2312" w:eastAsia="仿宋_GB2312"/>
          <w:b/>
          <w:color w:val="000000"/>
          <w:sz w:val="32"/>
          <w:szCs w:val="32"/>
          <w:shd w:val="clear" w:color="auto" w:fill="auto"/>
        </w:rPr>
        <w:t>购置</w:t>
      </w:r>
      <w:r>
        <w:rPr>
          <w:rFonts w:hint="eastAsia" w:ascii="仿宋_GB2312" w:eastAsia="仿宋_GB2312"/>
          <w:b/>
          <w:color w:val="000000"/>
          <w:sz w:val="32"/>
          <w:szCs w:val="32"/>
        </w:rPr>
        <w:t>及运行维护费支出</w:t>
      </w:r>
    </w:p>
    <w:p w14:paraId="7FA0EAC3">
      <w:pPr>
        <w:pStyle w:val="20"/>
        <w:numPr>
          <w:ilvl w:val="0"/>
          <w:numId w:val="0"/>
        </w:numPr>
        <w:ind w:firstLine="960" w:firstLineChars="300"/>
        <w:rPr>
          <w:rFonts w:hint="default" w:ascii="仿宋" w:eastAsia="仿宋" w:cs="Times New Roman"/>
          <w:color w:val="000000"/>
          <w:sz w:val="32"/>
          <w:szCs w:val="32"/>
          <w:lang w:val="en-US" w:eastAsia="zh-CN"/>
        </w:rPr>
      </w:pPr>
      <w:r>
        <w:rPr>
          <w:rFonts w:hint="eastAsia" w:ascii="仿宋" w:eastAsia="仿宋" w:cs="Times New Roman"/>
          <w:color w:val="000000"/>
          <w:sz w:val="32"/>
          <w:szCs w:val="32"/>
          <w:lang w:val="en-US" w:eastAsia="zh-CN"/>
        </w:rPr>
        <w:t>2024无公务用车购置及运行维护费支出。</w:t>
      </w:r>
    </w:p>
    <w:p w14:paraId="6BEE8DF3">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b/>
          <w:color w:val="000000"/>
          <w:sz w:val="32"/>
          <w:szCs w:val="32"/>
        </w:rPr>
        <w:t>公务用车运行维护费支出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p>
    <w:p w14:paraId="49F0C0AF">
      <w:pPr>
        <w:numPr>
          <w:ilvl w:val="0"/>
          <w:numId w:val="2"/>
        </w:numPr>
        <w:spacing w:line="600" w:lineRule="exact"/>
        <w:ind w:left="-10" w:leftChars="0" w:firstLine="640" w:firstLineChars="0"/>
        <w:rPr>
          <w:rFonts w:hint="eastAsia" w:ascii="仿宋_GB2312" w:eastAsia="仿宋_GB2312"/>
          <w:b/>
          <w:color w:val="000000"/>
          <w:sz w:val="32"/>
          <w:szCs w:val="32"/>
        </w:rPr>
      </w:pPr>
      <w:r>
        <w:rPr>
          <w:rFonts w:hint="eastAsia" w:ascii="仿宋_GB2312" w:eastAsia="仿宋_GB2312"/>
          <w:b/>
          <w:color w:val="000000"/>
          <w:sz w:val="32"/>
          <w:szCs w:val="32"/>
        </w:rPr>
        <w:t>公务接待费支出</w:t>
      </w:r>
    </w:p>
    <w:p w14:paraId="3799FD98">
      <w:pPr>
        <w:pStyle w:val="20"/>
        <w:rPr>
          <w:rFonts w:hint="eastAsia" w:ascii="仿宋" w:hAnsi="仿宋" w:eastAsia="仿宋" w:cs="仿宋"/>
          <w:b w:val="0"/>
          <w:bCs w:val="0"/>
          <w:sz w:val="32"/>
          <w:szCs w:val="32"/>
          <w:lang w:val="en-US" w:eastAsia="zh-CN"/>
        </w:rPr>
      </w:pPr>
      <w:r>
        <w:rPr>
          <w:rFonts w:hint="eastAsia"/>
          <w:b w:val="0"/>
          <w:bCs/>
          <w:lang w:val="en-US" w:eastAsia="zh-CN"/>
        </w:rPr>
        <w:t xml:space="preserve">     </w:t>
      </w:r>
      <w:r>
        <w:rPr>
          <w:rFonts w:hint="eastAsia" w:ascii="仿宋" w:hAnsi="仿宋" w:eastAsia="仿宋" w:cs="仿宋"/>
          <w:b w:val="0"/>
          <w:bCs w:val="0"/>
          <w:sz w:val="32"/>
          <w:szCs w:val="32"/>
          <w:lang w:val="en-US" w:eastAsia="zh-CN"/>
        </w:rPr>
        <w:t xml:space="preserve"> 2024年公务接待费0万元。</w:t>
      </w:r>
    </w:p>
    <w:p w14:paraId="4244E49D">
      <w:pPr>
        <w:spacing w:line="600" w:lineRule="exact"/>
        <w:ind w:firstLine="640"/>
        <w:outlineLvl w:val="1"/>
        <w:rPr>
          <w:rStyle w:val="22"/>
          <w:rFonts w:ascii="黑体" w:eastAsia="黑体"/>
        </w:rPr>
      </w:pPr>
      <w:bookmarkStart w:id="46" w:name="_Toc15377218"/>
      <w:bookmarkStart w:id="47" w:name="_Toc15396610"/>
      <w:r>
        <w:rPr>
          <w:rFonts w:hint="eastAsia" w:ascii="黑体" w:eastAsia="黑体"/>
          <w:color w:val="000000"/>
          <w:sz w:val="32"/>
          <w:szCs w:val="32"/>
        </w:rPr>
        <w:t>八、</w:t>
      </w:r>
      <w:r>
        <w:rPr>
          <w:rStyle w:val="22"/>
          <w:rFonts w:hint="eastAsia" w:ascii="黑体" w:eastAsia="黑体"/>
          <w:b w:val="0"/>
        </w:rPr>
        <w:t>政府性基金预算支出决算情况说明</w:t>
      </w:r>
      <w:bookmarkEnd w:id="46"/>
      <w:bookmarkEnd w:id="47"/>
    </w:p>
    <w:p w14:paraId="11C8F5E2">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7A377963">
      <w:pPr>
        <w:numPr>
          <w:ilvl w:val="0"/>
          <w:numId w:val="3"/>
        </w:numPr>
        <w:spacing w:line="600" w:lineRule="exact"/>
        <w:ind w:left="0" w:firstLine="640"/>
        <w:outlineLvl w:val="1"/>
        <w:rPr>
          <w:rStyle w:val="22"/>
          <w:rFonts w:ascii="黑体" w:eastAsia="黑体"/>
          <w:b w:val="0"/>
        </w:rPr>
      </w:pPr>
      <w:bookmarkStart w:id="48" w:name="_Toc15396611"/>
      <w:bookmarkStart w:id="49" w:name="_Toc15377219"/>
      <w:r>
        <w:rPr>
          <w:rStyle w:val="22"/>
          <w:rFonts w:hint="eastAsia" w:ascii="黑体" w:eastAsia="黑体"/>
          <w:b w:val="0"/>
        </w:rPr>
        <w:t>国有资本经营预算支出决算情况说明</w:t>
      </w:r>
      <w:bookmarkEnd w:id="48"/>
      <w:bookmarkEnd w:id="49"/>
    </w:p>
    <w:p w14:paraId="051C7CC1">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4CD643A9">
      <w:pPr>
        <w:pStyle w:val="27"/>
        <w:numPr>
          <w:ilvl w:val="0"/>
          <w:numId w:val="0"/>
        </w:numPr>
        <w:spacing w:line="580" w:lineRule="exact"/>
        <w:ind w:firstLine="640" w:firstLineChars="200"/>
        <w:rPr>
          <w:rStyle w:val="22"/>
          <w:rFonts w:ascii="黑体" w:eastAsia="黑体"/>
          <w:b w:val="0"/>
        </w:rPr>
      </w:pPr>
      <w:r>
        <w:rPr>
          <w:rStyle w:val="22"/>
          <w:rFonts w:hint="eastAsia" w:ascii="黑体" w:eastAsia="黑体"/>
          <w:b w:val="0"/>
        </w:rPr>
        <w:t>十、预算绩效情况说明</w:t>
      </w:r>
    </w:p>
    <w:p w14:paraId="207CAC64">
      <w:pPr>
        <w:spacing w:line="600" w:lineRule="atLeast"/>
        <w:ind w:firstLine="643" w:firstLineChars="200"/>
        <w:rPr>
          <w:rFonts w:hint="eastAsia" w:ascii="仿宋" w:eastAsia="仿宋" w:cs="楷体_GB2312"/>
          <w:b/>
          <w:bCs/>
          <w:sz w:val="32"/>
          <w:szCs w:val="32"/>
        </w:rPr>
      </w:pPr>
      <w:r>
        <w:rPr>
          <w:rFonts w:hint="eastAsia" w:ascii="仿宋" w:eastAsia="仿宋" w:cs="楷体_GB2312"/>
          <w:b/>
          <w:bCs/>
          <w:sz w:val="32"/>
          <w:szCs w:val="32"/>
          <w:lang w:eastAsia="zh-CN"/>
        </w:rPr>
        <w:t>（一）</w:t>
      </w:r>
      <w:r>
        <w:rPr>
          <w:rFonts w:hint="eastAsia" w:ascii="仿宋" w:eastAsia="仿宋" w:cs="楷体_GB2312"/>
          <w:b/>
          <w:bCs/>
          <w:sz w:val="32"/>
          <w:szCs w:val="32"/>
        </w:rPr>
        <w:t>预算绩效管理工作开展情况。</w:t>
      </w:r>
    </w:p>
    <w:p w14:paraId="3D455608">
      <w:pPr>
        <w:spacing w:line="600" w:lineRule="atLeas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按照预算绩效管理要求，本部门对202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年一般公共预算项目支出开展了绩效目标管理，共编制绩效目标1个，涉及财政资金</w:t>
      </w:r>
      <w:r>
        <w:rPr>
          <w:rFonts w:hint="eastAsia" w:ascii="仿宋_GB2312" w:eastAsia="仿宋_GB2312"/>
          <w:color w:val="000000"/>
          <w:sz w:val="32"/>
          <w:szCs w:val="32"/>
          <w:lang w:val="en-US" w:eastAsia="zh-CN"/>
        </w:rPr>
        <w:t>104.8</w:t>
      </w:r>
      <w:r>
        <w:rPr>
          <w:rFonts w:hint="eastAsia" w:ascii="仿宋_GB2312" w:eastAsia="仿宋_GB2312"/>
          <w:color w:val="000000"/>
          <w:sz w:val="32"/>
          <w:szCs w:val="32"/>
        </w:rPr>
        <w:t>万元，覆盖率达到100%。</w:t>
      </w:r>
    </w:p>
    <w:p w14:paraId="35117432">
      <w:pPr>
        <w:autoSpaceDE w:val="0"/>
        <w:autoSpaceDN w:val="0"/>
        <w:adjustRightInd w:val="0"/>
        <w:spacing w:line="600" w:lineRule="exact"/>
        <w:ind w:firstLine="643" w:firstLineChars="200"/>
        <w:jc w:val="left"/>
        <w:rPr>
          <w:rFonts w:hint="eastAsia" w:ascii="仿宋_GB2312" w:eastAsia="仿宋_GB2312"/>
          <w:b/>
          <w:color w:val="000000"/>
          <w:sz w:val="32"/>
          <w:szCs w:val="32"/>
        </w:rPr>
      </w:pPr>
      <w:r>
        <w:rPr>
          <w:rFonts w:hint="eastAsia" w:ascii="仿宋_GB2312" w:eastAsia="仿宋_GB2312"/>
          <w:b/>
          <w:color w:val="000000"/>
          <w:sz w:val="32"/>
          <w:szCs w:val="32"/>
        </w:rPr>
        <w:t>（</w:t>
      </w:r>
      <w:r>
        <w:rPr>
          <w:rFonts w:hint="eastAsia" w:ascii="仿宋_GB2312" w:eastAsia="仿宋_GB2312"/>
          <w:b/>
          <w:color w:val="000000"/>
          <w:sz w:val="32"/>
          <w:szCs w:val="32"/>
          <w:lang w:eastAsia="zh-CN"/>
        </w:rPr>
        <w:t>二</w:t>
      </w:r>
      <w:r>
        <w:rPr>
          <w:rFonts w:hint="eastAsia" w:ascii="仿宋_GB2312" w:eastAsia="仿宋_GB2312"/>
          <w:b/>
          <w:color w:val="000000"/>
          <w:sz w:val="32"/>
          <w:szCs w:val="32"/>
        </w:rPr>
        <w:t>）预算绩效</w:t>
      </w:r>
      <w:r>
        <w:rPr>
          <w:rFonts w:hint="eastAsia" w:ascii="仿宋_GB2312" w:eastAsia="仿宋_GB2312"/>
          <w:b/>
          <w:color w:val="000000"/>
          <w:sz w:val="32"/>
          <w:szCs w:val="32"/>
          <w:lang w:eastAsia="zh-CN"/>
        </w:rPr>
        <w:t>完成</w:t>
      </w:r>
      <w:r>
        <w:rPr>
          <w:rFonts w:hint="eastAsia" w:ascii="仿宋_GB2312" w:eastAsia="仿宋_GB2312"/>
          <w:b/>
          <w:color w:val="000000"/>
          <w:sz w:val="32"/>
          <w:szCs w:val="32"/>
        </w:rPr>
        <w:t>情况</w:t>
      </w:r>
    </w:p>
    <w:p w14:paraId="114E7309">
      <w:pPr>
        <w:spacing w:line="600" w:lineRule="atLeast"/>
        <w:ind w:firstLine="640" w:firstLineChars="200"/>
        <w:rPr>
          <w:rFonts w:hint="eastAsia" w:ascii="仿宋_GB2312" w:hAnsi="仿宋_GB2312" w:eastAsia="仿宋_GB2312" w:cs="仿宋_GB2312"/>
          <w:sz w:val="32"/>
          <w:szCs w:val="32"/>
        </w:rPr>
      </w:pPr>
      <w:r>
        <w:rPr>
          <w:rFonts w:hint="eastAsia" w:ascii="仿宋_GB2312" w:eastAsia="仿宋_GB2312"/>
          <w:color w:val="000000"/>
          <w:sz w:val="32"/>
          <w:szCs w:val="32"/>
        </w:rPr>
        <w:t>按照预算绩效管理要求，本部门对202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年整体支出开展绩效自评，自评得分</w:t>
      </w:r>
      <w:r>
        <w:rPr>
          <w:rFonts w:hint="eastAsia" w:ascii="仿宋_GB2312" w:eastAsia="仿宋_GB2312"/>
          <w:color w:val="000000"/>
          <w:sz w:val="32"/>
          <w:szCs w:val="32"/>
          <w:lang w:val="en-US" w:eastAsia="zh-CN"/>
        </w:rPr>
        <w:t>93</w:t>
      </w:r>
      <w:r>
        <w:rPr>
          <w:rFonts w:hint="eastAsia" w:ascii="仿宋_GB2312" w:eastAsia="仿宋_GB2312"/>
          <w:color w:val="000000"/>
          <w:sz w:val="32"/>
          <w:szCs w:val="32"/>
        </w:rPr>
        <w:t>分，存在的问题：</w:t>
      </w:r>
      <w:r>
        <w:rPr>
          <w:rFonts w:hint="eastAsia" w:ascii="仿宋_GB2312" w:hAnsi="仿宋_GB2312" w:eastAsia="仿宋_GB2312" w:cs="仿宋_GB2312"/>
          <w:sz w:val="32"/>
          <w:szCs w:val="32"/>
          <w:lang w:eastAsia="zh-CN"/>
        </w:rPr>
        <w:t>资</w:t>
      </w:r>
      <w:r>
        <w:rPr>
          <w:rFonts w:hint="eastAsia" w:ascii="仿宋_GB2312" w:hAnsi="仿宋_GB2312" w:eastAsia="仿宋_GB2312" w:cs="仿宋_GB2312"/>
          <w:sz w:val="32"/>
          <w:szCs w:val="32"/>
        </w:rPr>
        <w:t>金拨付进度不够及时、效率有待提高。下一步改进措施：一是加快完善部门财务规章制度建设；二是加强会计核算和财务管理能力。</w:t>
      </w:r>
    </w:p>
    <w:p w14:paraId="4C6492BA">
      <w:pPr>
        <w:numPr>
          <w:ilvl w:val="0"/>
          <w:numId w:val="0"/>
        </w:numPr>
        <w:tabs>
          <w:tab w:val="left" w:pos="0"/>
        </w:tabs>
        <w:spacing w:line="580" w:lineRule="exact"/>
        <w:ind w:leftChars="200" w:firstLine="321" w:firstLineChars="100"/>
        <w:rPr>
          <w:rFonts w:ascii="仿宋" w:eastAsia="仿宋" w:cs="仿宋_GB2312"/>
          <w:sz w:val="32"/>
          <w:szCs w:val="32"/>
        </w:rPr>
      </w:pPr>
      <w:r>
        <w:rPr>
          <w:rFonts w:hint="eastAsia" w:ascii="仿宋" w:eastAsia="仿宋" w:cs="楷体_GB2312"/>
          <w:b/>
          <w:bCs/>
          <w:sz w:val="32"/>
          <w:szCs w:val="32"/>
          <w:lang w:val="en-US" w:eastAsia="zh-CN"/>
        </w:rPr>
        <w:t xml:space="preserve">(三） </w:t>
      </w:r>
      <w:r>
        <w:rPr>
          <w:rFonts w:hint="eastAsia" w:ascii="仿宋" w:eastAsia="仿宋" w:cs="楷体_GB2312"/>
          <w:b/>
          <w:bCs/>
          <w:sz w:val="32"/>
          <w:szCs w:val="32"/>
        </w:rPr>
        <w:t>部门开展绩效评价结果。</w:t>
      </w:r>
    </w:p>
    <w:p w14:paraId="5AE8A2F1">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本部门按要求对20</w:t>
      </w:r>
      <w:r>
        <w:rPr>
          <w:rFonts w:hint="eastAsia" w:ascii="仿宋_GB2312" w:eastAsia="仿宋_GB2312" w:cs="仿宋_GB2312"/>
          <w:sz w:val="32"/>
          <w:szCs w:val="32"/>
          <w:lang w:val="en-US" w:eastAsia="zh-CN"/>
        </w:rPr>
        <w:t>24</w:t>
      </w:r>
      <w:r>
        <w:rPr>
          <w:rFonts w:hint="eastAsia" w:ascii="仿宋_GB2312" w:eastAsia="仿宋_GB2312" w:cs="仿宋_GB2312"/>
          <w:sz w:val="32"/>
          <w:szCs w:val="32"/>
        </w:rPr>
        <w:t>年部门整体支出绩效评价情况开展自评，</w:t>
      </w:r>
      <w:r>
        <w:rPr>
          <w:rFonts w:hint="eastAsia" w:ascii="仿宋_GB2312" w:eastAsia="仿宋_GB2312"/>
          <w:sz w:val="32"/>
          <w:szCs w:val="32"/>
        </w:rPr>
        <w:t>《</w:t>
      </w:r>
      <w:r>
        <w:rPr>
          <w:rFonts w:hint="eastAsia" w:ascii="仿宋_GB2312" w:eastAsia="仿宋_GB2312"/>
          <w:sz w:val="32"/>
          <w:szCs w:val="32"/>
          <w:lang w:eastAsia="zh-CN"/>
        </w:rPr>
        <w:t>金川县文学艺术界联合会</w:t>
      </w:r>
      <w:r>
        <w:rPr>
          <w:rFonts w:hint="eastAsia" w:ascii="仿宋_GB2312" w:eastAsia="仿宋_GB2312"/>
          <w:sz w:val="32"/>
          <w:szCs w:val="32"/>
          <w:lang w:val="en-US" w:eastAsia="zh-CN"/>
        </w:rPr>
        <w:t>2024</w:t>
      </w:r>
      <w:r>
        <w:rPr>
          <w:rFonts w:hint="eastAsia" w:ascii="仿宋_GB2312" w:eastAsia="仿宋_GB2312"/>
          <w:sz w:val="32"/>
          <w:szCs w:val="32"/>
        </w:rPr>
        <w:t>年部门</w:t>
      </w:r>
      <w:r>
        <w:rPr>
          <w:rFonts w:hint="eastAsia" w:ascii="仿宋_GB2312" w:eastAsia="仿宋_GB2312"/>
          <w:sz w:val="32"/>
          <w:szCs w:val="32"/>
          <w:lang w:eastAsia="zh-CN"/>
        </w:rPr>
        <w:t>预算</w:t>
      </w:r>
      <w:r>
        <w:rPr>
          <w:rFonts w:hint="eastAsia" w:ascii="仿宋_GB2312" w:eastAsia="仿宋_GB2312"/>
          <w:sz w:val="32"/>
          <w:szCs w:val="32"/>
          <w:lang w:val="en-US" w:eastAsia="zh-CN"/>
        </w:rPr>
        <w:t>整体</w:t>
      </w:r>
      <w:r>
        <w:rPr>
          <w:rFonts w:hint="eastAsia" w:ascii="仿宋_GB2312" w:eastAsia="仿宋_GB2312"/>
          <w:sz w:val="32"/>
          <w:szCs w:val="32"/>
        </w:rPr>
        <w:t>支出绩效</w:t>
      </w:r>
      <w:r>
        <w:rPr>
          <w:rFonts w:hint="eastAsia" w:ascii="仿宋_GB2312" w:eastAsia="仿宋_GB2312"/>
          <w:sz w:val="32"/>
          <w:szCs w:val="32"/>
          <w:lang w:val="en-US" w:eastAsia="zh-CN"/>
        </w:rPr>
        <w:t>评价</w:t>
      </w:r>
      <w:r>
        <w:rPr>
          <w:rFonts w:hint="eastAsia" w:ascii="仿宋_GB2312" w:eastAsia="仿宋_GB2312"/>
          <w:sz w:val="32"/>
          <w:szCs w:val="32"/>
        </w:rPr>
        <w:t>报告》</w:t>
      </w:r>
      <w:r>
        <w:rPr>
          <w:rFonts w:hint="eastAsia" w:ascii="仿宋_GB2312" w:eastAsia="仿宋_GB2312" w:cs="仿宋_GB2312"/>
          <w:sz w:val="32"/>
          <w:szCs w:val="32"/>
        </w:rPr>
        <w:t>见附件。</w:t>
      </w:r>
    </w:p>
    <w:p w14:paraId="79242374">
      <w:pPr>
        <w:spacing w:line="600" w:lineRule="exact"/>
        <w:ind w:firstLine="640" w:firstLineChars="200"/>
        <w:outlineLvl w:val="1"/>
        <w:rPr>
          <w:rStyle w:val="22"/>
          <w:rFonts w:ascii="黑体" w:eastAsia="黑体"/>
        </w:rPr>
      </w:pPr>
      <w:bookmarkStart w:id="50" w:name="_Toc15396612"/>
      <w:bookmarkStart w:id="51" w:name="_Toc15377221"/>
      <w:r>
        <w:rPr>
          <w:rFonts w:hint="eastAsia" w:ascii="黑体" w:eastAsia="黑体"/>
          <w:color w:val="000000"/>
          <w:sz w:val="32"/>
          <w:szCs w:val="32"/>
        </w:rPr>
        <w:t>十</w:t>
      </w:r>
      <w:r>
        <w:rPr>
          <w:rFonts w:hint="eastAsia" w:ascii="黑体" w:eastAsia="黑体"/>
          <w:color w:val="000000"/>
          <w:sz w:val="32"/>
          <w:szCs w:val="32"/>
          <w:lang w:eastAsia="zh-CN"/>
        </w:rPr>
        <w:t>一</w:t>
      </w:r>
      <w:r>
        <w:rPr>
          <w:rStyle w:val="22"/>
          <w:rFonts w:hint="eastAsia" w:ascii="黑体" w:eastAsia="黑体"/>
        </w:rPr>
        <w:t>、</w:t>
      </w:r>
      <w:r>
        <w:rPr>
          <w:rStyle w:val="22"/>
          <w:rFonts w:hint="eastAsia" w:ascii="黑体" w:eastAsia="黑体"/>
          <w:b w:val="0"/>
        </w:rPr>
        <w:t>其他重要事项的情况说明</w:t>
      </w:r>
      <w:bookmarkEnd w:id="50"/>
      <w:bookmarkEnd w:id="51"/>
    </w:p>
    <w:p w14:paraId="0730A7A8">
      <w:pPr>
        <w:spacing w:line="600" w:lineRule="exact"/>
        <w:ind w:firstLine="643" w:firstLineChars="200"/>
        <w:rPr>
          <w:rFonts w:hint="eastAsia" w:ascii="仿宋_GB2312" w:eastAsia="仿宋_GB2312"/>
          <w:color w:val="000000"/>
          <w:sz w:val="32"/>
          <w:szCs w:val="32"/>
        </w:rPr>
      </w:pPr>
      <w:r>
        <w:rPr>
          <w:rFonts w:hint="eastAsia" w:ascii="仿宋_GB2312" w:eastAsia="仿宋_GB2312"/>
          <w:b/>
          <w:color w:val="000000"/>
          <w:sz w:val="32"/>
          <w:szCs w:val="32"/>
        </w:rPr>
        <w:t>（一）机关运行经费支出情况</w:t>
      </w:r>
    </w:p>
    <w:p w14:paraId="0B7900B6">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年度，事业运行经费支出</w:t>
      </w:r>
      <w:r>
        <w:rPr>
          <w:rFonts w:hint="eastAsia" w:ascii="仿宋_GB2312" w:eastAsia="仿宋_GB2312"/>
          <w:color w:val="000000"/>
          <w:sz w:val="32"/>
          <w:szCs w:val="32"/>
          <w:lang w:val="en-US" w:eastAsia="zh-CN"/>
        </w:rPr>
        <w:t>7.97</w:t>
      </w:r>
      <w:r>
        <w:rPr>
          <w:rFonts w:hint="eastAsia" w:ascii="仿宋_GB2312" w:eastAsia="仿宋_GB2312"/>
          <w:color w:val="000000"/>
          <w:sz w:val="32"/>
          <w:szCs w:val="32"/>
        </w:rPr>
        <w:t>万元。</w:t>
      </w:r>
    </w:p>
    <w:p w14:paraId="6C273789">
      <w:pPr>
        <w:autoSpaceDE w:val="0"/>
        <w:autoSpaceDN w:val="0"/>
        <w:adjustRightInd w:val="0"/>
        <w:spacing w:line="600" w:lineRule="exact"/>
        <w:ind w:firstLine="643" w:firstLineChars="200"/>
        <w:jc w:val="left"/>
        <w:rPr>
          <w:rFonts w:ascii="仿宋_GB2312" w:eastAsia="仿宋_GB2312"/>
          <w:b/>
          <w:color w:val="000000"/>
          <w:sz w:val="32"/>
          <w:szCs w:val="32"/>
        </w:rPr>
      </w:pPr>
      <w:r>
        <w:rPr>
          <w:rFonts w:hint="eastAsia" w:ascii="仿宋_GB2312" w:eastAsia="仿宋_GB2312"/>
          <w:b/>
          <w:color w:val="000000"/>
          <w:sz w:val="32"/>
          <w:szCs w:val="32"/>
        </w:rPr>
        <w:t>（二）政府采购支出情况</w:t>
      </w:r>
    </w:p>
    <w:p w14:paraId="3A02035F">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年度，采购支出0万元。</w:t>
      </w:r>
    </w:p>
    <w:p w14:paraId="0070D255">
      <w:pPr>
        <w:autoSpaceDE w:val="0"/>
        <w:autoSpaceDN w:val="0"/>
        <w:adjustRightInd w:val="0"/>
        <w:spacing w:line="600" w:lineRule="exact"/>
        <w:ind w:firstLine="643" w:firstLineChars="200"/>
        <w:jc w:val="left"/>
        <w:rPr>
          <w:rFonts w:ascii="仿宋_GB2312" w:eastAsia="仿宋_GB2312"/>
          <w:b/>
          <w:color w:val="000000"/>
          <w:sz w:val="32"/>
          <w:szCs w:val="32"/>
        </w:rPr>
      </w:pPr>
      <w:r>
        <w:rPr>
          <w:rFonts w:hint="eastAsia" w:ascii="仿宋_GB2312" w:eastAsia="仿宋_GB2312"/>
          <w:b/>
          <w:color w:val="000000"/>
          <w:sz w:val="32"/>
          <w:szCs w:val="32"/>
        </w:rPr>
        <w:t>（三）国有资产占有使用情况</w:t>
      </w:r>
    </w:p>
    <w:p w14:paraId="378895E5">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截至202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年12月31日，我</w:t>
      </w:r>
      <w:r>
        <w:rPr>
          <w:rFonts w:hint="eastAsia" w:ascii="仿宋_GB2312" w:eastAsia="仿宋_GB2312"/>
          <w:color w:val="000000"/>
          <w:sz w:val="32"/>
          <w:szCs w:val="32"/>
          <w:lang w:eastAsia="zh-CN"/>
        </w:rPr>
        <w:t>单位</w:t>
      </w:r>
      <w:r>
        <w:rPr>
          <w:rFonts w:hint="eastAsia" w:ascii="仿宋_GB2312" w:eastAsia="仿宋_GB2312"/>
          <w:color w:val="000000"/>
          <w:sz w:val="32"/>
          <w:szCs w:val="32"/>
        </w:rPr>
        <w:t>有公有车辆0辆；单价50万元以上通用设备0套，无单价100万元以上专用设备。</w:t>
      </w:r>
    </w:p>
    <w:p w14:paraId="79526D6F">
      <w:pPr>
        <w:widowControl/>
        <w:ind w:firstLine="643" w:firstLineChars="200"/>
        <w:jc w:val="left"/>
        <w:rPr>
          <w:rFonts w:ascii="仿宋_GB2312" w:eastAsia="仿宋_GB2312"/>
          <w:b/>
          <w:color w:val="000000"/>
          <w:sz w:val="32"/>
          <w:szCs w:val="32"/>
          <w:lang w:val="en-US" w:eastAsia="zh-CN"/>
        </w:rPr>
      </w:pPr>
    </w:p>
    <w:p w14:paraId="7101F2E6">
      <w:pPr>
        <w:pStyle w:val="12"/>
        <w:rPr>
          <w:rFonts w:ascii="仿宋_GB2312" w:eastAsia="仿宋_GB2312"/>
          <w:b/>
          <w:color w:val="000000"/>
          <w:sz w:val="32"/>
          <w:szCs w:val="32"/>
          <w:lang w:val="en-US" w:eastAsia="zh-CN"/>
        </w:rPr>
      </w:pPr>
    </w:p>
    <w:p w14:paraId="25BAD9A6">
      <w:pPr>
        <w:rPr>
          <w:rFonts w:ascii="仿宋_GB2312" w:eastAsia="仿宋_GB2312"/>
          <w:b/>
          <w:color w:val="000000"/>
          <w:sz w:val="32"/>
          <w:szCs w:val="32"/>
          <w:lang w:val="en-US" w:eastAsia="zh-CN"/>
        </w:rPr>
      </w:pPr>
    </w:p>
    <w:p w14:paraId="2421987D">
      <w:pPr>
        <w:pStyle w:val="12"/>
        <w:rPr>
          <w:rFonts w:ascii="仿宋_GB2312" w:eastAsia="仿宋_GB2312"/>
          <w:b/>
          <w:color w:val="000000"/>
          <w:sz w:val="32"/>
          <w:szCs w:val="32"/>
          <w:lang w:val="en-US" w:eastAsia="zh-CN"/>
        </w:rPr>
      </w:pPr>
    </w:p>
    <w:p w14:paraId="14B19E20">
      <w:pPr>
        <w:rPr>
          <w:rFonts w:ascii="仿宋_GB2312" w:eastAsia="仿宋_GB2312"/>
          <w:b/>
          <w:color w:val="000000"/>
          <w:sz w:val="32"/>
          <w:szCs w:val="32"/>
          <w:lang w:val="en-US" w:eastAsia="zh-CN"/>
        </w:rPr>
      </w:pPr>
    </w:p>
    <w:p w14:paraId="276887D3">
      <w:pPr>
        <w:pStyle w:val="12"/>
        <w:rPr>
          <w:rFonts w:ascii="仿宋_GB2312" w:eastAsia="仿宋_GB2312"/>
          <w:b/>
          <w:color w:val="000000"/>
          <w:sz w:val="32"/>
          <w:szCs w:val="32"/>
          <w:lang w:val="en-US" w:eastAsia="zh-CN"/>
        </w:rPr>
      </w:pPr>
    </w:p>
    <w:p w14:paraId="052D0CDA">
      <w:pPr>
        <w:rPr>
          <w:rFonts w:ascii="仿宋_GB2312" w:eastAsia="仿宋_GB2312"/>
          <w:b/>
          <w:color w:val="000000"/>
          <w:sz w:val="32"/>
          <w:szCs w:val="32"/>
          <w:lang w:val="en-US" w:eastAsia="zh-CN"/>
        </w:rPr>
      </w:pPr>
    </w:p>
    <w:p w14:paraId="789B1914">
      <w:pPr>
        <w:pStyle w:val="12"/>
        <w:rPr>
          <w:rFonts w:ascii="仿宋_GB2312" w:eastAsia="仿宋_GB2312"/>
          <w:b/>
          <w:color w:val="000000"/>
          <w:sz w:val="32"/>
          <w:szCs w:val="32"/>
          <w:lang w:val="en-US" w:eastAsia="zh-CN"/>
        </w:rPr>
      </w:pPr>
    </w:p>
    <w:p w14:paraId="7A9A9E3D">
      <w:pPr>
        <w:rPr>
          <w:lang w:val="en-US" w:eastAsia="zh-CN"/>
        </w:rPr>
      </w:pPr>
    </w:p>
    <w:p w14:paraId="2230B611">
      <w:pPr>
        <w:rPr>
          <w:lang w:val="en-US" w:eastAsia="zh-CN"/>
        </w:rPr>
      </w:pPr>
    </w:p>
    <w:p w14:paraId="4DA321A9">
      <w:pPr>
        <w:numPr>
          <w:ilvl w:val="0"/>
          <w:numId w:val="4"/>
        </w:numPr>
        <w:spacing w:line="600" w:lineRule="exact"/>
        <w:ind w:left="0" w:firstLine="663" w:firstLineChars="150"/>
        <w:jc w:val="center"/>
        <w:outlineLvl w:val="0"/>
        <w:rPr>
          <w:rStyle w:val="21"/>
          <w:rFonts w:ascii="黑体" w:eastAsia="黑体"/>
          <w:b w:val="0"/>
        </w:rPr>
      </w:pPr>
      <w:bookmarkStart w:id="52" w:name="_Toc15377225"/>
      <w:bookmarkStart w:id="53" w:name="_Toc15396613"/>
      <w:r>
        <w:rPr>
          <w:rFonts w:hint="eastAsia" w:ascii="黑体" w:eastAsia="黑体"/>
          <w:b/>
          <w:color w:val="000000"/>
          <w:sz w:val="44"/>
          <w:szCs w:val="44"/>
        </w:rPr>
        <w:t>名</w:t>
      </w:r>
      <w:r>
        <w:rPr>
          <w:rStyle w:val="21"/>
          <w:rFonts w:hint="eastAsia" w:ascii="黑体" w:eastAsia="黑体"/>
          <w:b w:val="0"/>
        </w:rPr>
        <w:t>词解释</w:t>
      </w:r>
      <w:bookmarkEnd w:id="52"/>
      <w:bookmarkEnd w:id="53"/>
    </w:p>
    <w:p w14:paraId="7848BA01">
      <w:pPr>
        <w:pStyle w:val="26"/>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1.财政拨款收入：指州级财政当年拨付的资金。 </w:t>
      </w:r>
    </w:p>
    <w:p w14:paraId="7F205F47">
      <w:pPr>
        <w:pStyle w:val="26"/>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2. </w:t>
      </w:r>
      <w:r>
        <w:rPr>
          <w:rStyle w:val="18"/>
          <w:rFonts w:hint="eastAsia" w:ascii="仿宋_GB2312" w:eastAsia="仿宋_GB2312"/>
          <w:b w:val="0"/>
          <w:bCs w:val="0"/>
          <w:sz w:val="32"/>
          <w:szCs w:val="32"/>
        </w:rPr>
        <w:t>文化体育与传媒支出207</w:t>
      </w:r>
      <w:r>
        <w:rPr>
          <w:rFonts w:hint="eastAsia" w:ascii="仿宋_GB2312" w:eastAsia="仿宋_GB2312"/>
          <w:color w:val="000000"/>
          <w:sz w:val="32"/>
          <w:szCs w:val="32"/>
        </w:rPr>
        <w:t>（类）</w:t>
      </w:r>
      <w:r>
        <w:rPr>
          <w:rStyle w:val="18"/>
          <w:rFonts w:hint="eastAsia" w:ascii="仿宋_GB2312" w:eastAsia="仿宋_GB2312"/>
          <w:b w:val="0"/>
          <w:bCs w:val="0"/>
          <w:sz w:val="32"/>
          <w:szCs w:val="32"/>
        </w:rPr>
        <w:t>文化01</w:t>
      </w:r>
      <w:r>
        <w:rPr>
          <w:rFonts w:hint="eastAsia" w:ascii="仿宋_GB2312" w:eastAsia="仿宋_GB2312"/>
          <w:color w:val="000000"/>
          <w:sz w:val="32"/>
          <w:szCs w:val="32"/>
        </w:rPr>
        <w:t>（款）</w:t>
      </w:r>
      <w:r>
        <w:rPr>
          <w:rStyle w:val="18"/>
          <w:rFonts w:hint="eastAsia" w:ascii="仿宋_GB2312" w:eastAsia="仿宋_GB2312"/>
          <w:b w:val="0"/>
          <w:bCs w:val="0"/>
          <w:sz w:val="32"/>
          <w:szCs w:val="32"/>
        </w:rPr>
        <w:t>其他文化支出</w:t>
      </w:r>
      <w:r>
        <w:rPr>
          <w:rFonts w:hint="eastAsia" w:ascii="仿宋_GB2312" w:eastAsia="仿宋_GB2312"/>
          <w:color w:val="000000"/>
          <w:sz w:val="32"/>
          <w:szCs w:val="32"/>
        </w:rPr>
        <w:t>（项）</w:t>
      </w:r>
      <w:r>
        <w:rPr>
          <w:rStyle w:val="18"/>
          <w:rFonts w:hint="eastAsia" w:ascii="仿宋_GB2312" w:eastAsia="仿宋_GB2312"/>
          <w:b w:val="0"/>
          <w:bCs w:val="0"/>
          <w:sz w:val="32"/>
          <w:szCs w:val="32"/>
        </w:rPr>
        <w:t>99：指其它用于文化方面的支出。</w:t>
      </w:r>
    </w:p>
    <w:p w14:paraId="69EC02C7">
      <w:pPr>
        <w:spacing w:line="600" w:lineRule="exact"/>
        <w:ind w:firstLine="640" w:firstLineChars="200"/>
        <w:rPr>
          <w:rStyle w:val="18"/>
          <w:rFonts w:hint="eastAsia" w:ascii="仿宋_GB2312" w:eastAsia="仿宋_GB2312"/>
          <w:b w:val="0"/>
          <w:bCs w:val="0"/>
          <w:sz w:val="32"/>
          <w:szCs w:val="32"/>
        </w:rPr>
      </w:pPr>
      <w:r>
        <w:rPr>
          <w:rFonts w:hint="eastAsia" w:ascii="仿宋_GB2312" w:eastAsia="仿宋_GB2312"/>
          <w:color w:val="000000"/>
          <w:sz w:val="32"/>
          <w:szCs w:val="32"/>
        </w:rPr>
        <w:t>3.社会保障和就业208（类）行政事业单位离退休05（款）机关事业单位基本养老保险缴费支出（项）05：指机关事业单位实施养老保险制度由单位缴纳的基本养老保险费支出。</w:t>
      </w:r>
    </w:p>
    <w:p w14:paraId="549BD9C0">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4.社会保障和就业208（类）行政事业单位离退休05（款）机关事业单位职业年金缴费支出（项）06：指机关事业单位实施养老保险制度由单位缴纳的职业年金支出。</w:t>
      </w:r>
    </w:p>
    <w:p w14:paraId="20598A7C">
      <w:pPr>
        <w:numPr>
          <w:ilvl w:val="0"/>
          <w:numId w:val="0"/>
        </w:num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5.</w:t>
      </w:r>
      <w:r>
        <w:rPr>
          <w:rFonts w:hint="eastAsia" w:ascii="仿宋_GB2312" w:eastAsia="仿宋_GB2312"/>
          <w:color w:val="000000"/>
          <w:sz w:val="32"/>
          <w:szCs w:val="32"/>
          <w:lang w:eastAsia="zh-CN"/>
        </w:rPr>
        <w:t>卫生健康支出</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行政事业单位医疗11</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事业单位医疗02</w:t>
      </w:r>
      <w:r>
        <w:rPr>
          <w:rFonts w:hint="eastAsia" w:ascii="仿宋_GB2312" w:eastAsia="仿宋_GB2312"/>
          <w:color w:val="000000"/>
          <w:sz w:val="32"/>
          <w:szCs w:val="32"/>
        </w:rPr>
        <w:t>（项）：指反映财政部门集中安排的事业单位基本医疗保险缴费经费。</w:t>
      </w:r>
    </w:p>
    <w:p w14:paraId="34840427">
      <w:pPr>
        <w:pStyle w:val="20"/>
        <w:numPr>
          <w:ilvl w:val="0"/>
          <w:numId w:val="0"/>
        </w:numPr>
        <w:ind w:firstLine="640" w:firstLineChars="200"/>
        <w:rPr>
          <w:rFonts w:hint="eastAsia"/>
        </w:rPr>
      </w:pPr>
      <w:r>
        <w:rPr>
          <w:rFonts w:hint="eastAsia" w:ascii="仿宋_GB2312" w:eastAsia="仿宋_GB2312"/>
          <w:color w:val="000000"/>
          <w:sz w:val="32"/>
          <w:szCs w:val="32"/>
          <w:lang w:val="en-US" w:eastAsia="zh-CN"/>
        </w:rPr>
        <w:t>6.</w:t>
      </w:r>
      <w:r>
        <w:rPr>
          <w:rFonts w:hint="eastAsia" w:ascii="仿宋_GB2312" w:eastAsia="仿宋_GB2312"/>
          <w:color w:val="000000"/>
          <w:sz w:val="32"/>
          <w:szCs w:val="32"/>
          <w:lang w:eastAsia="zh-CN"/>
        </w:rPr>
        <w:t>卫生健康支出</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行政事业单位医疗11</w:t>
      </w:r>
      <w:r>
        <w:rPr>
          <w:rFonts w:hint="eastAsia" w:ascii="仿宋_GB2312" w:eastAsia="仿宋_GB2312"/>
          <w:color w:val="000000"/>
          <w:sz w:val="32"/>
          <w:szCs w:val="32"/>
        </w:rPr>
        <w:t>（款）</w:t>
      </w:r>
      <w:r>
        <w:rPr>
          <w:rFonts w:hint="eastAsia" w:ascii="仿宋_GB2312" w:eastAsia="仿宋_GB2312"/>
          <w:sz w:val="32"/>
          <w:szCs w:val="32"/>
          <w:lang w:eastAsia="zh-CN"/>
        </w:rPr>
        <w:t>其他行政事业单位医疗支出</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（项）</w:t>
      </w:r>
      <w:r>
        <w:rPr>
          <w:rFonts w:hint="eastAsia" w:ascii="仿宋_GB2312" w:eastAsia="仿宋_GB2312"/>
          <w:color w:val="000000"/>
          <w:sz w:val="32"/>
          <w:szCs w:val="32"/>
          <w:lang w:eastAsia="zh-CN"/>
        </w:rPr>
        <w:t>：指反映财政部门集中安排的公务员医疗补助缴费。</w:t>
      </w:r>
    </w:p>
    <w:p w14:paraId="49CF0079">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住房保障221（类）住房改革支出02（款）住房公积金01（项）</w:t>
      </w:r>
      <w:r>
        <w:rPr>
          <w:rFonts w:hint="eastAsia" w:ascii="仿宋_GB2312" w:eastAsia="仿宋_GB2312"/>
          <w:color w:val="000000"/>
          <w:sz w:val="32"/>
          <w:szCs w:val="32"/>
          <w:lang w:eastAsia="zh-CN"/>
        </w:rPr>
        <w:t>：</w:t>
      </w:r>
      <w:r>
        <w:rPr>
          <w:rFonts w:hint="eastAsia" w:ascii="仿宋_GB2312" w:eastAsia="仿宋_GB2312"/>
          <w:color w:val="000000"/>
          <w:sz w:val="32"/>
          <w:szCs w:val="32"/>
        </w:rPr>
        <w:t>指反映行政事业单位按人力资源和社会保障部、财政部规定的基本工资和津贴补贴以及规定比例为职工缴纳的住房公积金。</w:t>
      </w:r>
    </w:p>
    <w:p w14:paraId="5139006A">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.年末结转和结余：基本支出：指为保障机构正常运转、完成日常工作任务而发生的人员支出和公用支出。</w:t>
      </w:r>
    </w:p>
    <w:p w14:paraId="4BD956AD">
      <w:pPr>
        <w:pStyle w:val="26"/>
        <w:spacing w:line="560" w:lineRule="exact"/>
        <w:ind w:firstLine="640" w:firstLineChars="200"/>
        <w:rPr>
          <w:rFonts w:hint="eastAsia" w:ascii="仿宋_GB2312" w:eastAsia="仿宋_GB2312"/>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w:t>
      </w:r>
      <w:r>
        <w:rPr>
          <w:rFonts w:hint="eastAsia" w:ascii="仿宋_GB2312" w:eastAsia="仿宋_GB2312"/>
          <w:sz w:val="32"/>
          <w:szCs w:val="32"/>
        </w:rPr>
        <w:t>“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41654988">
      <w:pPr>
        <w:pStyle w:val="26"/>
        <w:spacing w:line="560" w:lineRule="exact"/>
        <w:ind w:firstLine="640" w:firstLineChars="200"/>
        <w:rPr>
          <w:rFonts w:hint="eastAsia" w:ascii="仿宋_GB2312" w:eastAsia="仿宋_GB2312"/>
          <w:sz w:val="32"/>
          <w:szCs w:val="32"/>
        </w:rPr>
      </w:pPr>
    </w:p>
    <w:p w14:paraId="32445BAB">
      <w:pPr>
        <w:pStyle w:val="26"/>
        <w:spacing w:line="560" w:lineRule="exact"/>
        <w:ind w:firstLine="640" w:firstLineChars="200"/>
        <w:rPr>
          <w:rFonts w:hint="eastAsia" w:ascii="仿宋_GB2312" w:eastAsia="仿宋_GB2312"/>
          <w:sz w:val="32"/>
          <w:szCs w:val="32"/>
        </w:rPr>
      </w:pPr>
    </w:p>
    <w:p w14:paraId="0D3D4C92">
      <w:pPr>
        <w:pStyle w:val="26"/>
        <w:spacing w:line="560" w:lineRule="exact"/>
        <w:ind w:firstLine="640" w:firstLineChars="200"/>
        <w:rPr>
          <w:rFonts w:hint="eastAsia" w:ascii="仿宋_GB2312" w:eastAsia="仿宋_GB2312"/>
          <w:sz w:val="32"/>
          <w:szCs w:val="32"/>
        </w:rPr>
      </w:pPr>
    </w:p>
    <w:p w14:paraId="0E61FC19">
      <w:pPr>
        <w:pStyle w:val="26"/>
        <w:spacing w:line="560" w:lineRule="exact"/>
        <w:ind w:firstLine="640" w:firstLineChars="200"/>
        <w:rPr>
          <w:rFonts w:hint="eastAsia" w:ascii="仿宋_GB2312" w:eastAsia="仿宋_GB2312"/>
          <w:sz w:val="32"/>
          <w:szCs w:val="32"/>
        </w:rPr>
      </w:pPr>
    </w:p>
    <w:p w14:paraId="6C9265F1">
      <w:pPr>
        <w:pStyle w:val="26"/>
        <w:spacing w:line="560" w:lineRule="exact"/>
        <w:ind w:firstLine="640" w:firstLineChars="200"/>
        <w:rPr>
          <w:rFonts w:hint="eastAsia" w:ascii="仿宋_GB2312" w:eastAsia="仿宋_GB2312"/>
          <w:sz w:val="32"/>
          <w:szCs w:val="32"/>
        </w:rPr>
      </w:pPr>
    </w:p>
    <w:p w14:paraId="58DC10FC">
      <w:pPr>
        <w:pStyle w:val="26"/>
        <w:spacing w:line="560" w:lineRule="exact"/>
        <w:ind w:firstLine="640" w:firstLineChars="200"/>
        <w:rPr>
          <w:rFonts w:hint="eastAsia" w:ascii="仿宋_GB2312" w:eastAsia="仿宋_GB2312"/>
          <w:sz w:val="32"/>
          <w:szCs w:val="32"/>
        </w:rPr>
      </w:pPr>
    </w:p>
    <w:p w14:paraId="4F33148A">
      <w:pPr>
        <w:pStyle w:val="26"/>
        <w:spacing w:line="560" w:lineRule="exact"/>
        <w:ind w:firstLine="640" w:firstLineChars="200"/>
        <w:rPr>
          <w:rFonts w:hint="eastAsia" w:ascii="仿宋_GB2312" w:eastAsia="仿宋_GB2312"/>
          <w:sz w:val="32"/>
          <w:szCs w:val="32"/>
        </w:rPr>
      </w:pPr>
    </w:p>
    <w:p w14:paraId="0B3E71A7">
      <w:pPr>
        <w:pStyle w:val="26"/>
        <w:spacing w:line="560" w:lineRule="exact"/>
        <w:ind w:firstLine="640" w:firstLineChars="200"/>
        <w:rPr>
          <w:rFonts w:hint="eastAsia" w:ascii="仿宋_GB2312" w:eastAsia="仿宋_GB2312"/>
          <w:sz w:val="32"/>
          <w:szCs w:val="32"/>
        </w:rPr>
      </w:pPr>
    </w:p>
    <w:p w14:paraId="3CC5A014">
      <w:pPr>
        <w:pStyle w:val="26"/>
        <w:spacing w:line="560" w:lineRule="exact"/>
        <w:ind w:firstLine="640" w:firstLineChars="200"/>
        <w:rPr>
          <w:rFonts w:hint="eastAsia" w:ascii="仿宋_GB2312" w:eastAsia="仿宋_GB2312"/>
          <w:sz w:val="32"/>
          <w:szCs w:val="32"/>
        </w:rPr>
      </w:pPr>
    </w:p>
    <w:p w14:paraId="057F54EF">
      <w:pPr>
        <w:pStyle w:val="26"/>
        <w:spacing w:line="560" w:lineRule="exact"/>
        <w:ind w:firstLine="640" w:firstLineChars="200"/>
        <w:rPr>
          <w:rFonts w:hint="eastAsia" w:ascii="仿宋_GB2312" w:eastAsia="仿宋_GB2312"/>
          <w:sz w:val="32"/>
          <w:szCs w:val="32"/>
        </w:rPr>
      </w:pPr>
    </w:p>
    <w:p w14:paraId="1E7CFF64">
      <w:pPr>
        <w:pStyle w:val="26"/>
        <w:spacing w:line="560" w:lineRule="exact"/>
        <w:ind w:firstLine="640" w:firstLineChars="200"/>
        <w:rPr>
          <w:rFonts w:hint="eastAsia" w:ascii="仿宋_GB2312" w:eastAsia="仿宋_GB2312"/>
          <w:sz w:val="32"/>
          <w:szCs w:val="32"/>
        </w:rPr>
      </w:pPr>
    </w:p>
    <w:p w14:paraId="5A4C1EE7">
      <w:pPr>
        <w:pStyle w:val="26"/>
        <w:spacing w:line="560" w:lineRule="exact"/>
        <w:ind w:firstLine="640" w:firstLineChars="200"/>
        <w:rPr>
          <w:rFonts w:hint="eastAsia" w:ascii="仿宋_GB2312" w:eastAsia="仿宋_GB2312"/>
          <w:sz w:val="32"/>
          <w:szCs w:val="32"/>
        </w:rPr>
      </w:pPr>
    </w:p>
    <w:p w14:paraId="7AB0447D">
      <w:pPr>
        <w:pStyle w:val="26"/>
        <w:spacing w:line="560" w:lineRule="exact"/>
        <w:ind w:firstLine="640" w:firstLineChars="200"/>
        <w:rPr>
          <w:rFonts w:hint="eastAsia" w:ascii="仿宋_GB2312" w:eastAsia="仿宋_GB2312"/>
          <w:sz w:val="32"/>
          <w:szCs w:val="32"/>
        </w:rPr>
      </w:pPr>
    </w:p>
    <w:p w14:paraId="6B888D43">
      <w:pPr>
        <w:pStyle w:val="12"/>
        <w:rPr>
          <w:rFonts w:hint="eastAsia"/>
        </w:rPr>
      </w:pPr>
      <w:bookmarkStart w:id="54" w:name="_Toc15396615"/>
    </w:p>
    <w:p w14:paraId="6D38C3FF">
      <w:pPr>
        <w:rPr>
          <w:rFonts w:hint="eastAsia"/>
        </w:rPr>
      </w:pPr>
    </w:p>
    <w:p w14:paraId="584A5DF6">
      <w:pPr>
        <w:rPr>
          <w:rFonts w:hint="eastAsia"/>
        </w:rPr>
      </w:pPr>
    </w:p>
    <w:p w14:paraId="6097E9A8">
      <w:pPr>
        <w:rPr>
          <w:rFonts w:hint="eastAsia"/>
        </w:rPr>
      </w:pPr>
    </w:p>
    <w:bookmarkEnd w:id="54"/>
    <w:p w14:paraId="79660107">
      <w:pPr>
        <w:numPr>
          <w:ilvl w:val="0"/>
          <w:numId w:val="4"/>
        </w:numPr>
        <w:spacing w:line="600" w:lineRule="exact"/>
        <w:ind w:firstLine="660" w:firstLineChars="150"/>
        <w:jc w:val="center"/>
        <w:outlineLvl w:val="0"/>
        <w:rPr>
          <w:rStyle w:val="29"/>
          <w:rFonts w:ascii="黑体" w:eastAsia="黑体"/>
          <w:b w:val="0"/>
        </w:rPr>
      </w:pPr>
      <w:r>
        <w:rPr>
          <w:rStyle w:val="29"/>
          <w:rFonts w:hint="eastAsia" w:ascii="黑体" w:eastAsia="黑体"/>
          <w:b w:val="0"/>
        </w:rPr>
        <w:t>附件</w:t>
      </w:r>
    </w:p>
    <w:p w14:paraId="349A6CEF">
      <w:pPr>
        <w:pStyle w:val="3"/>
        <w:rPr>
          <w:rStyle w:val="29"/>
          <w:rFonts w:ascii="仿宋" w:eastAsia="仿宋"/>
          <w:b w:val="0"/>
          <w:bCs w:val="0"/>
          <w:sz w:val="32"/>
          <w:szCs w:val="32"/>
        </w:rPr>
      </w:pPr>
      <w:r>
        <w:rPr>
          <w:rStyle w:val="29"/>
          <w:rFonts w:hint="eastAsia" w:ascii="仿宋" w:eastAsia="仿宋"/>
          <w:b w:val="0"/>
          <w:bCs w:val="0"/>
          <w:sz w:val="32"/>
          <w:szCs w:val="32"/>
        </w:rPr>
        <w:t>附件1</w:t>
      </w:r>
    </w:p>
    <w:p w14:paraId="77E81B1D">
      <w:pPr>
        <w:outlineLvl w:val="0"/>
        <w:rPr>
          <w:rStyle w:val="29"/>
          <w:rFonts w:ascii="黑体" w:eastAsia="黑体"/>
          <w:b w:val="0"/>
        </w:rPr>
      </w:pPr>
    </w:p>
    <w:p w14:paraId="0D663CAC">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金川县</w:t>
      </w:r>
      <w:r>
        <w:rPr>
          <w:rFonts w:hint="eastAsia" w:ascii="方正小标宋简体" w:eastAsia="方正小标宋简体"/>
          <w:sz w:val="44"/>
          <w:szCs w:val="44"/>
          <w:lang w:eastAsia="zh-CN"/>
        </w:rPr>
        <w:t>文学艺术界联合</w:t>
      </w:r>
      <w:r>
        <w:rPr>
          <w:rFonts w:hint="eastAsia" w:ascii="方正小标宋简体" w:eastAsia="方正小标宋简体"/>
          <w:sz w:val="44"/>
          <w:szCs w:val="44"/>
        </w:rPr>
        <w:t>会</w:t>
      </w:r>
    </w:p>
    <w:p w14:paraId="5EDA0F32">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202</w:t>
      </w:r>
      <w:r>
        <w:rPr>
          <w:rFonts w:hint="eastAsia" w:ascii="方正小标宋简体" w:eastAsia="方正小标宋简体"/>
          <w:sz w:val="44"/>
          <w:szCs w:val="44"/>
          <w:lang w:val="en-US" w:eastAsia="zh-CN"/>
        </w:rPr>
        <w:t>4</w:t>
      </w:r>
      <w:r>
        <w:rPr>
          <w:rFonts w:hint="eastAsia" w:ascii="方正小标宋简体" w:eastAsia="方正小标宋简体"/>
          <w:sz w:val="44"/>
          <w:szCs w:val="44"/>
        </w:rPr>
        <w:t>年部门整体支出绩效评价报告</w:t>
      </w:r>
    </w:p>
    <w:p w14:paraId="55B5B7C4">
      <w:pPr>
        <w:ind w:firstLine="640" w:firstLineChars="200"/>
        <w:rPr>
          <w:rFonts w:ascii="仿宋_GB2312" w:eastAsia="仿宋_GB2312"/>
          <w:sz w:val="32"/>
          <w:szCs w:val="32"/>
        </w:rPr>
      </w:pPr>
    </w:p>
    <w:p w14:paraId="389CA7D5">
      <w:pPr>
        <w:ind w:firstLine="640" w:firstLineChars="200"/>
        <w:rPr>
          <w:rFonts w:hint="eastAsia" w:ascii="仿宋_GB2312" w:eastAsia="仿宋_GB2312"/>
          <w:sz w:val="32"/>
          <w:szCs w:val="32"/>
        </w:rPr>
      </w:pPr>
      <w:r>
        <w:rPr>
          <w:rFonts w:hint="eastAsia" w:ascii="仿宋_GB2312" w:eastAsia="仿宋_GB2312"/>
          <w:sz w:val="32"/>
          <w:szCs w:val="32"/>
        </w:rPr>
        <w:t>根据</w:t>
      </w:r>
      <w:r>
        <w:rPr>
          <w:rFonts w:hint="eastAsia" w:ascii="仿宋_GB2312" w:eastAsia="仿宋_GB2312"/>
          <w:sz w:val="32"/>
          <w:szCs w:val="32"/>
          <w:lang w:eastAsia="zh-CN"/>
        </w:rPr>
        <w:t>县财政局相关</w:t>
      </w:r>
      <w:r>
        <w:rPr>
          <w:rFonts w:hint="eastAsia" w:ascii="仿宋_GB2312" w:eastAsia="仿宋_GB2312"/>
          <w:sz w:val="32"/>
          <w:szCs w:val="32"/>
        </w:rPr>
        <w:t>文件精神，县</w:t>
      </w:r>
      <w:r>
        <w:rPr>
          <w:rFonts w:hint="eastAsia" w:ascii="仿宋_GB2312" w:eastAsia="仿宋_GB2312"/>
          <w:sz w:val="32"/>
          <w:szCs w:val="32"/>
          <w:lang w:eastAsia="zh-CN"/>
        </w:rPr>
        <w:t>文联</w:t>
      </w:r>
      <w:r>
        <w:rPr>
          <w:rFonts w:hint="eastAsia" w:ascii="仿宋_GB2312" w:eastAsia="仿宋_GB2312"/>
          <w:sz w:val="32"/>
          <w:szCs w:val="32"/>
        </w:rPr>
        <w:t>对202</w:t>
      </w:r>
      <w:r>
        <w:rPr>
          <w:rFonts w:hint="eastAsia" w:ascii="仿宋_GB2312" w:eastAsia="仿宋_GB2312"/>
          <w:sz w:val="32"/>
          <w:szCs w:val="32"/>
          <w:lang w:val="en-US" w:eastAsia="zh-CN"/>
        </w:rPr>
        <w:t>4</w:t>
      </w:r>
      <w:r>
        <w:rPr>
          <w:rFonts w:hint="eastAsia" w:ascii="仿宋_GB2312" w:eastAsia="仿宋_GB2312"/>
          <w:sz w:val="32"/>
          <w:szCs w:val="32"/>
        </w:rPr>
        <w:t>年部门整体支出绩效进行了全面综合评价。现将有关情况报告如下：</w:t>
      </w:r>
    </w:p>
    <w:p w14:paraId="48E94B85">
      <w:pPr>
        <w:ind w:firstLine="640" w:firstLineChars="200"/>
        <w:jc w:val="both"/>
        <w:rPr>
          <w:rFonts w:ascii="黑体" w:eastAsia="黑体"/>
          <w:sz w:val="32"/>
          <w:szCs w:val="32"/>
        </w:rPr>
      </w:pPr>
      <w:r>
        <w:rPr>
          <w:rFonts w:hint="eastAsia" w:ascii="黑体" w:eastAsia="黑体"/>
          <w:sz w:val="32"/>
          <w:szCs w:val="32"/>
        </w:rPr>
        <w:t>一、部门概况</w:t>
      </w:r>
    </w:p>
    <w:p w14:paraId="11C22987">
      <w:pPr>
        <w:ind w:firstLine="643" w:firstLineChars="200"/>
        <w:jc w:val="both"/>
        <w:rPr>
          <w:rFonts w:hint="eastAsia" w:ascii="仿宋_GB2312" w:eastAsia="仿宋_GB2312"/>
          <w:sz w:val="32"/>
          <w:szCs w:val="32"/>
        </w:rPr>
      </w:pPr>
      <w:r>
        <w:rPr>
          <w:rFonts w:hint="eastAsia" w:ascii="楷体_GB2312" w:eastAsia="楷体_GB2312"/>
          <w:b/>
          <w:sz w:val="32"/>
          <w:szCs w:val="32"/>
        </w:rPr>
        <w:t>（一）机构组成。</w:t>
      </w:r>
      <w:r>
        <w:rPr>
          <w:rFonts w:hint="eastAsia" w:ascii="仿宋_GB2312" w:eastAsia="仿宋_GB2312"/>
          <w:sz w:val="32"/>
          <w:szCs w:val="32"/>
        </w:rPr>
        <w:t>县</w:t>
      </w:r>
      <w:r>
        <w:rPr>
          <w:rFonts w:hint="eastAsia" w:ascii="仿宋_GB2312" w:eastAsia="仿宋_GB2312"/>
          <w:sz w:val="32"/>
          <w:szCs w:val="32"/>
          <w:lang w:eastAsia="zh-CN"/>
        </w:rPr>
        <w:t>文联</w:t>
      </w:r>
      <w:r>
        <w:rPr>
          <w:rFonts w:hint="eastAsia" w:ascii="仿宋_GB2312" w:eastAsia="仿宋_GB2312"/>
          <w:sz w:val="32"/>
          <w:szCs w:val="32"/>
        </w:rPr>
        <w:t>为县本级一级预算单位，</w:t>
      </w:r>
      <w:r>
        <w:rPr>
          <w:rFonts w:hint="eastAsia" w:ascii="仿宋_GB2312" w:eastAsia="仿宋_GB2312"/>
          <w:sz w:val="32"/>
          <w:szCs w:val="32"/>
          <w:lang w:eastAsia="zh-CN"/>
        </w:rPr>
        <w:t>是一个</w:t>
      </w:r>
      <w:r>
        <w:rPr>
          <w:rFonts w:hint="eastAsia" w:ascii="仿宋_GB2312" w:eastAsia="仿宋_GB2312"/>
          <w:sz w:val="32"/>
          <w:szCs w:val="32"/>
        </w:rPr>
        <w:t>独立核算机构</w:t>
      </w:r>
      <w:r>
        <w:rPr>
          <w:rFonts w:hint="eastAsia" w:ascii="仿宋_GB2312" w:eastAsia="仿宋_GB2312"/>
          <w:sz w:val="32"/>
          <w:szCs w:val="32"/>
          <w:lang w:eastAsia="zh-CN"/>
        </w:rPr>
        <w:t>的事业单位</w:t>
      </w:r>
      <w:r>
        <w:rPr>
          <w:rFonts w:hint="eastAsia" w:ascii="仿宋_GB2312" w:eastAsia="仿宋_GB2312"/>
          <w:sz w:val="32"/>
          <w:szCs w:val="32"/>
        </w:rPr>
        <w:t>。</w:t>
      </w:r>
    </w:p>
    <w:p w14:paraId="7E76264C">
      <w:pPr>
        <w:widowControl/>
        <w:ind w:firstLine="643" w:firstLineChars="200"/>
        <w:jc w:val="both"/>
        <w:rPr>
          <w:rFonts w:hint="eastAsia" w:ascii="仿宋_GB2312" w:eastAsia="仿宋_GB2312"/>
          <w:sz w:val="32"/>
          <w:szCs w:val="32"/>
        </w:rPr>
      </w:pPr>
      <w:r>
        <w:rPr>
          <w:rFonts w:hint="eastAsia" w:ascii="楷体_GB2312" w:eastAsia="楷体_GB2312"/>
          <w:b/>
          <w:sz w:val="32"/>
          <w:szCs w:val="32"/>
        </w:rPr>
        <w:t>（二）机构职能。</w:t>
      </w:r>
      <w:r>
        <w:rPr>
          <w:rFonts w:hint="eastAsia" w:ascii="仿宋_GB2312" w:eastAsia="仿宋_GB2312"/>
          <w:sz w:val="32"/>
          <w:szCs w:val="32"/>
        </w:rPr>
        <w:t>一是团结带领全县广大文艺家和文艺工作者，高举社会主义伟大</w:t>
      </w:r>
      <w:r>
        <w:rPr>
          <w:rFonts w:hint="eastAsia" w:ascii="仿宋_GB2312" w:eastAsia="仿宋_GB2312"/>
          <w:sz w:val="32"/>
          <w:szCs w:val="32"/>
          <w:lang w:eastAsia="zh-CN"/>
        </w:rPr>
        <w:t>旗帜</w:t>
      </w:r>
      <w:r>
        <w:rPr>
          <w:rFonts w:hint="eastAsia" w:ascii="仿宋_GB2312" w:eastAsia="仿宋_GB2312"/>
          <w:sz w:val="32"/>
          <w:szCs w:val="32"/>
        </w:rPr>
        <w:t>，坚持文艺“为人民服务、为社会主义服务”的方向和“百花齐放、百家争鸣”的方针，坚持文艺“贴近实际、贴近生活、贴近群众”的原则，践行社会主义核心价值观，为发展和繁荣社会主义文艺事业、建设文化强县、全面建成小康社会、实现金川的发展和长治久安努力斗。</w:t>
      </w:r>
      <w:r>
        <w:rPr>
          <w:rFonts w:hint="eastAsia" w:ascii="仿宋_GB2312" w:eastAsia="仿宋_GB2312"/>
          <w:sz w:val="32"/>
          <w:szCs w:val="32"/>
          <w:lang w:eastAsia="zh-CN"/>
        </w:rPr>
        <w:t>二是</w:t>
      </w:r>
      <w:r>
        <w:rPr>
          <w:rFonts w:hint="eastAsia" w:ascii="仿宋_GB2312" w:eastAsia="仿宋_GB2312"/>
          <w:sz w:val="32"/>
          <w:szCs w:val="32"/>
        </w:rPr>
        <w:t>组织带领全县广大文艺家和文艺工作者深入生活、扎根人民，加强艺术实践，抓好文艺</w:t>
      </w:r>
      <w:r>
        <w:rPr>
          <w:rFonts w:hint="eastAsia" w:ascii="仿宋_GB2312" w:eastAsia="仿宋_GB2312"/>
          <w:sz w:val="32"/>
          <w:szCs w:val="32"/>
          <w:lang w:val="en-US" w:eastAsia="zh-CN"/>
        </w:rPr>
        <w:t>工</w:t>
      </w:r>
      <w:r>
        <w:rPr>
          <w:rFonts w:hint="eastAsia" w:ascii="仿宋_GB2312" w:eastAsia="仿宋_GB2312"/>
          <w:sz w:val="32"/>
          <w:szCs w:val="32"/>
        </w:rPr>
        <w:t>作，唱主旋律、传播正能量，用科学的理论武装人，用正确的论引导人，用高尚的精神塑造人，用优秀的作品鼓舞人。</w:t>
      </w:r>
      <w:r>
        <w:rPr>
          <w:rFonts w:hint="eastAsia" w:ascii="仿宋_GB2312" w:eastAsia="仿宋_GB2312"/>
          <w:sz w:val="32"/>
          <w:szCs w:val="32"/>
          <w:lang w:eastAsia="zh-CN"/>
        </w:rPr>
        <w:t>三是</w:t>
      </w:r>
      <w:r>
        <w:rPr>
          <w:rFonts w:hint="eastAsia" w:ascii="仿宋_GB2312" w:eastAsia="仿宋_GB2312"/>
          <w:sz w:val="32"/>
          <w:szCs w:val="32"/>
        </w:rPr>
        <w:t>负责对有关的文学艺术社团进行监督管理，发挥人オ和专业优势，通过发展会员、组织文艺创作、学术研究、刊物出版、文艺评奖，</w:t>
      </w:r>
      <w:r>
        <w:rPr>
          <w:rFonts w:hint="eastAsia" w:ascii="仿宋_GB2312" w:eastAsia="仿宋_GB2312"/>
          <w:sz w:val="32"/>
          <w:szCs w:val="32"/>
          <w:lang w:eastAsia="zh-CN"/>
        </w:rPr>
        <w:t>开展各种文艺活动</w:t>
      </w:r>
      <w:r>
        <w:rPr>
          <w:rFonts w:hint="eastAsia" w:ascii="仿宋_GB2312" w:eastAsia="仿宋_GB2312"/>
          <w:sz w:val="32"/>
          <w:szCs w:val="32"/>
        </w:rPr>
        <w:t>，繁荣和发展金川县的文艺事业。</w:t>
      </w:r>
      <w:r>
        <w:rPr>
          <w:rFonts w:hint="eastAsia" w:ascii="仿宋_GB2312" w:eastAsia="仿宋_GB2312"/>
          <w:sz w:val="32"/>
          <w:szCs w:val="32"/>
          <w:lang w:eastAsia="zh-CN"/>
        </w:rPr>
        <w:t>四是</w:t>
      </w:r>
      <w:r>
        <w:rPr>
          <w:rFonts w:hint="eastAsia" w:ascii="仿宋_GB2312" w:eastAsia="仿宋_GB2312"/>
          <w:sz w:val="32"/>
          <w:szCs w:val="32"/>
        </w:rPr>
        <w:t>尊重各民族文艺传统，采取各种措施，积极发现、培养和扶持文艺人</w:t>
      </w:r>
      <w:r>
        <w:rPr>
          <w:rFonts w:hint="eastAsia" w:ascii="仿宋_GB2312" w:eastAsia="仿宋_GB2312"/>
          <w:sz w:val="32"/>
          <w:szCs w:val="32"/>
          <w:lang w:eastAsia="zh-CN"/>
        </w:rPr>
        <w:t>才</w:t>
      </w:r>
      <w:r>
        <w:rPr>
          <w:rFonts w:hint="eastAsia" w:ascii="仿宋_GB2312" w:eastAsia="仿宋_GB2312"/>
          <w:sz w:val="32"/>
          <w:szCs w:val="32"/>
        </w:rPr>
        <w:t>，尤其是少数民族青年文艺人</w:t>
      </w:r>
      <w:r>
        <w:rPr>
          <w:rFonts w:hint="eastAsia" w:ascii="仿宋_GB2312" w:eastAsia="仿宋_GB2312"/>
          <w:sz w:val="32"/>
          <w:szCs w:val="32"/>
          <w:lang w:eastAsia="zh-CN"/>
        </w:rPr>
        <w:t>才</w:t>
      </w:r>
      <w:r>
        <w:rPr>
          <w:rFonts w:hint="eastAsia" w:ascii="仿宋_GB2312" w:eastAsia="仿宋_GB2312"/>
          <w:sz w:val="32"/>
          <w:szCs w:val="32"/>
        </w:rPr>
        <w:t>，促进各民族文学艺术事业共同发展。</w:t>
      </w:r>
      <w:r>
        <w:rPr>
          <w:rFonts w:hint="eastAsia" w:ascii="仿宋_GB2312" w:eastAsia="仿宋_GB2312"/>
          <w:sz w:val="32"/>
          <w:szCs w:val="32"/>
          <w:lang w:eastAsia="zh-CN"/>
        </w:rPr>
        <w:t>五是</w:t>
      </w:r>
      <w:r>
        <w:rPr>
          <w:rFonts w:hint="eastAsia" w:ascii="仿宋_GB2312" w:eastAsia="仿宋_GB2312"/>
          <w:sz w:val="32"/>
          <w:szCs w:val="32"/>
        </w:rPr>
        <w:t>积极促进全县各民族文家和文艺工作者的团结，加强各地区文联系统之间的联，积极开展文艺交流活动，树立金川文艺新形象，提高金川文艺影响力。</w:t>
      </w:r>
      <w:r>
        <w:rPr>
          <w:rFonts w:hint="eastAsia" w:ascii="仿宋_GB2312" w:eastAsia="仿宋_GB2312"/>
          <w:sz w:val="32"/>
          <w:szCs w:val="32"/>
          <w:lang w:eastAsia="zh-CN"/>
        </w:rPr>
        <w:t>六是</w:t>
      </w:r>
      <w:r>
        <w:rPr>
          <w:rFonts w:hint="eastAsia" w:ascii="仿宋_GB2312" w:eastAsia="仿宋_GB2312"/>
          <w:sz w:val="32"/>
          <w:szCs w:val="32"/>
        </w:rPr>
        <w:t>倡导“爱国、为民、崇德、尚艺”文艺界核心价值观，培养良好的职业精神和职业道德;从真反映文艺界的意见、建议和要求，积极开展本县文艺领域自律维权工作维护团体会员和文学艺术家及文艺工作者的知识产权等合法权益。</w:t>
      </w:r>
      <w:r>
        <w:rPr>
          <w:rFonts w:hint="eastAsia" w:ascii="仿宋_GB2312" w:eastAsia="仿宋_GB2312"/>
          <w:sz w:val="32"/>
          <w:szCs w:val="32"/>
          <w:lang w:eastAsia="zh-CN"/>
        </w:rPr>
        <w:t>七是</w:t>
      </w:r>
      <w:r>
        <w:rPr>
          <w:rFonts w:hint="eastAsia" w:ascii="仿宋_GB2312" w:eastAsia="仿宋_GB2312"/>
          <w:sz w:val="32"/>
          <w:szCs w:val="32"/>
        </w:rPr>
        <w:t>积极开展文艺传播和文艺惠民活动，丰富和提高全县各族人民的文艺生，弘扬民族文精神，发展民族文学艺术事业。</w:t>
      </w:r>
      <w:r>
        <w:rPr>
          <w:rFonts w:hint="eastAsia" w:ascii="仿宋_GB2312" w:eastAsia="仿宋_GB2312"/>
          <w:sz w:val="32"/>
          <w:szCs w:val="32"/>
          <w:lang w:eastAsia="zh-CN"/>
        </w:rPr>
        <w:t>八是</w:t>
      </w:r>
      <w:r>
        <w:rPr>
          <w:rFonts w:hint="eastAsia" w:ascii="仿宋_GB2312" w:eastAsia="仿宋_GB2312"/>
          <w:sz w:val="32"/>
          <w:szCs w:val="32"/>
        </w:rPr>
        <w:t>组织召开金川县文联代表大会、委员会、主席团会议和全县性文学艺术会代表大会及全县性文联系统的工作会议。</w:t>
      </w:r>
      <w:r>
        <w:rPr>
          <w:rFonts w:hint="eastAsia" w:ascii="仿宋_GB2312" w:eastAsia="仿宋_GB2312"/>
          <w:sz w:val="32"/>
          <w:szCs w:val="32"/>
          <w:lang w:eastAsia="zh-CN"/>
        </w:rPr>
        <w:t>九是</w:t>
      </w:r>
      <w:r>
        <w:rPr>
          <w:rFonts w:hint="eastAsia" w:ascii="仿宋_GB2312" w:eastAsia="仿宋_GB2312"/>
          <w:sz w:val="32"/>
          <w:szCs w:val="32"/>
          <w:lang w:val="en-US" w:eastAsia="zh-CN"/>
        </w:rPr>
        <w:t>承办县委、县政府和上级有关部门交办的其它事项。</w:t>
      </w:r>
    </w:p>
    <w:p w14:paraId="08D7E068">
      <w:pPr>
        <w:widowControl/>
        <w:adjustRightInd w:val="0"/>
        <w:snapToGrid w:val="0"/>
        <w:spacing w:line="580" w:lineRule="exact"/>
        <w:ind w:firstLine="643" w:firstLineChars="200"/>
        <w:contextualSpacing/>
        <w:jc w:val="both"/>
        <w:rPr>
          <w:rFonts w:hint="eastAsia" w:ascii="仿宋_GB2312" w:eastAsia="仿宋_GB2312"/>
          <w:sz w:val="32"/>
          <w:szCs w:val="32"/>
          <w:lang w:eastAsia="zh-CN"/>
        </w:rPr>
      </w:pPr>
      <w:r>
        <w:rPr>
          <w:rFonts w:hint="eastAsia" w:ascii="楷体_GB2312" w:eastAsia="楷体_GB2312"/>
          <w:b/>
          <w:sz w:val="32"/>
          <w:szCs w:val="32"/>
        </w:rPr>
        <w:t>（三）人员概况</w:t>
      </w:r>
      <w:r>
        <w:rPr>
          <w:rFonts w:hint="eastAsia" w:ascii="楷体_GB2312" w:eastAsia="楷体_GB2312"/>
          <w:b/>
          <w:sz w:val="32"/>
          <w:szCs w:val="32"/>
          <w:lang w:eastAsia="zh-CN"/>
        </w:rPr>
        <w:t>　</w:t>
      </w:r>
      <w:r>
        <w:rPr>
          <w:rFonts w:hint="eastAsia" w:ascii="仿宋_GB2312" w:eastAsia="仿宋_GB2312"/>
          <w:sz w:val="32"/>
          <w:szCs w:val="32"/>
          <w:lang w:eastAsia="zh-CN"/>
        </w:rPr>
        <w:t>文联</w:t>
      </w:r>
      <w:r>
        <w:rPr>
          <w:rFonts w:hint="eastAsia" w:ascii="仿宋_GB2312" w:eastAsia="仿宋_GB2312"/>
          <w:sz w:val="32"/>
          <w:szCs w:val="32"/>
        </w:rPr>
        <w:t>总编制</w:t>
      </w:r>
      <w:r>
        <w:rPr>
          <w:rFonts w:hint="eastAsia" w:ascii="仿宋_GB2312" w:eastAsia="仿宋_GB2312"/>
          <w:sz w:val="32"/>
          <w:szCs w:val="32"/>
          <w:lang w:val="en-US" w:eastAsia="zh-CN"/>
        </w:rPr>
        <w:t>4</w:t>
      </w:r>
      <w:r>
        <w:rPr>
          <w:rFonts w:hint="eastAsia" w:ascii="仿宋_GB2312" w:eastAsia="仿宋_GB2312"/>
          <w:sz w:val="32"/>
          <w:szCs w:val="32"/>
        </w:rPr>
        <w:t>个,核定事业编制</w:t>
      </w:r>
      <w:r>
        <w:rPr>
          <w:rFonts w:hint="eastAsia" w:ascii="仿宋_GB2312" w:eastAsia="仿宋_GB2312"/>
          <w:sz w:val="32"/>
          <w:szCs w:val="32"/>
          <w:lang w:val="en-US" w:eastAsia="zh-CN"/>
        </w:rPr>
        <w:t>4</w:t>
      </w:r>
      <w:r>
        <w:rPr>
          <w:rFonts w:hint="eastAsia" w:ascii="仿宋_GB2312" w:eastAsia="仿宋_GB2312"/>
          <w:sz w:val="32"/>
          <w:szCs w:val="32"/>
        </w:rPr>
        <w:t>名</w:t>
      </w:r>
      <w:r>
        <w:rPr>
          <w:rFonts w:hint="eastAsia" w:ascii="仿宋_GB2312" w:eastAsia="仿宋_GB2312"/>
          <w:sz w:val="32"/>
          <w:szCs w:val="32"/>
          <w:lang w:eastAsia="zh-CN"/>
        </w:rPr>
        <w:t>，</w:t>
      </w: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年年末在职人数</w:t>
      </w:r>
      <w:r>
        <w:rPr>
          <w:rFonts w:hint="eastAsia" w:ascii="仿宋_GB2312" w:eastAsia="仿宋_GB2312"/>
          <w:sz w:val="32"/>
          <w:szCs w:val="32"/>
          <w:lang w:val="en-US" w:eastAsia="zh-CN"/>
        </w:rPr>
        <w:t>4</w:t>
      </w:r>
      <w:r>
        <w:rPr>
          <w:rFonts w:hint="eastAsia" w:ascii="仿宋_GB2312" w:eastAsia="仿宋_GB2312"/>
          <w:sz w:val="32"/>
          <w:szCs w:val="32"/>
        </w:rPr>
        <w:t>人</w:t>
      </w:r>
      <w:r>
        <w:rPr>
          <w:rFonts w:hint="eastAsia" w:ascii="仿宋_GB2312" w:eastAsia="仿宋_GB2312"/>
          <w:sz w:val="32"/>
          <w:szCs w:val="32"/>
          <w:lang w:val="en-US" w:eastAsia="zh-CN"/>
        </w:rPr>
        <w:t>，</w:t>
      </w:r>
      <w:r>
        <w:rPr>
          <w:rFonts w:hint="eastAsia" w:ascii="仿宋_GB2312" w:eastAsia="仿宋_GB2312"/>
          <w:sz w:val="32"/>
          <w:szCs w:val="32"/>
          <w:lang w:eastAsia="zh-CN"/>
        </w:rPr>
        <w:t>退休1人（工资由社保部门发放）。</w:t>
      </w:r>
    </w:p>
    <w:p w14:paraId="70F76862">
      <w:pPr>
        <w:ind w:firstLine="640" w:firstLineChars="200"/>
        <w:jc w:val="both"/>
        <w:rPr>
          <w:rFonts w:hint="eastAsia" w:ascii="黑体" w:eastAsia="黑体"/>
          <w:sz w:val="32"/>
          <w:szCs w:val="32"/>
        </w:rPr>
      </w:pPr>
      <w:r>
        <w:rPr>
          <w:rFonts w:hint="eastAsia" w:ascii="黑体" w:eastAsia="黑体"/>
          <w:sz w:val="32"/>
          <w:szCs w:val="32"/>
          <w:lang w:eastAsia="zh-CN"/>
        </w:rPr>
        <w:t>二、</w:t>
      </w:r>
      <w:r>
        <w:rPr>
          <w:rFonts w:hint="eastAsia" w:ascii="黑体" w:eastAsia="黑体"/>
          <w:sz w:val="32"/>
          <w:szCs w:val="32"/>
        </w:rPr>
        <w:t>财政资金收支情况</w:t>
      </w:r>
    </w:p>
    <w:p w14:paraId="64EAA996">
      <w:pPr>
        <w:widowControl/>
        <w:adjustRightInd w:val="0"/>
        <w:snapToGrid w:val="0"/>
        <w:spacing w:line="580" w:lineRule="exact"/>
        <w:ind w:firstLine="643" w:firstLineChars="200"/>
        <w:contextualSpacing/>
        <w:jc w:val="both"/>
        <w:rPr>
          <w:rFonts w:hint="eastAsia" w:ascii="仿宋_GB2312" w:eastAsia="仿宋_GB2312"/>
          <w:sz w:val="32"/>
          <w:szCs w:val="32"/>
        </w:rPr>
      </w:pPr>
      <w:r>
        <w:rPr>
          <w:rFonts w:hint="eastAsia" w:ascii="楷体_GB2312" w:eastAsia="楷体_GB2312"/>
          <w:b/>
          <w:bCs w:val="0"/>
          <w:sz w:val="32"/>
          <w:szCs w:val="32"/>
          <w:lang w:val="zh-CN"/>
        </w:rPr>
        <w:t>（一）部门财政资金收入情况。</w:t>
      </w: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年县</w:t>
      </w:r>
      <w:r>
        <w:rPr>
          <w:rFonts w:hint="eastAsia" w:ascii="仿宋_GB2312" w:eastAsia="仿宋_GB2312"/>
          <w:sz w:val="32"/>
          <w:szCs w:val="32"/>
          <w:lang w:eastAsia="zh-CN"/>
        </w:rPr>
        <w:t>文联</w:t>
      </w:r>
      <w:r>
        <w:rPr>
          <w:rFonts w:hint="eastAsia" w:ascii="仿宋_GB2312" w:eastAsia="仿宋_GB2312"/>
          <w:sz w:val="32"/>
          <w:szCs w:val="32"/>
        </w:rPr>
        <w:t>本年收入合计</w:t>
      </w:r>
      <w:r>
        <w:rPr>
          <w:rFonts w:hint="eastAsia" w:ascii="仿宋_GB2312" w:eastAsia="仿宋_GB2312"/>
          <w:sz w:val="32"/>
          <w:szCs w:val="32"/>
          <w:lang w:val="en-US" w:eastAsia="zh-CN"/>
        </w:rPr>
        <w:t>104.8</w:t>
      </w:r>
      <w:r>
        <w:rPr>
          <w:rFonts w:hint="eastAsia" w:ascii="仿宋_GB2312" w:eastAsia="仿宋_GB2312"/>
          <w:sz w:val="32"/>
          <w:szCs w:val="32"/>
        </w:rPr>
        <w:t>万元，其中：财政拨款收入</w:t>
      </w:r>
      <w:r>
        <w:rPr>
          <w:rFonts w:hint="eastAsia" w:ascii="仿宋_GB2312" w:eastAsia="仿宋_GB2312"/>
          <w:sz w:val="32"/>
          <w:szCs w:val="32"/>
          <w:lang w:val="en-US" w:eastAsia="zh-CN"/>
        </w:rPr>
        <w:t>104.8</w:t>
      </w:r>
      <w:r>
        <w:rPr>
          <w:rFonts w:hint="eastAsia" w:ascii="仿宋_GB2312" w:eastAsia="仿宋_GB2312"/>
          <w:sz w:val="32"/>
          <w:szCs w:val="32"/>
        </w:rPr>
        <w:t>万元。包括人员经费</w:t>
      </w:r>
      <w:r>
        <w:rPr>
          <w:rFonts w:hint="eastAsia" w:ascii="仿宋_GB2312" w:eastAsia="仿宋_GB2312"/>
          <w:sz w:val="32"/>
          <w:szCs w:val="32"/>
          <w:lang w:val="en-US" w:eastAsia="zh-CN"/>
        </w:rPr>
        <w:t>91.83</w:t>
      </w:r>
      <w:r>
        <w:rPr>
          <w:rFonts w:hint="eastAsia" w:ascii="仿宋_GB2312" w:eastAsia="仿宋_GB2312"/>
          <w:sz w:val="32"/>
          <w:szCs w:val="32"/>
        </w:rPr>
        <w:t>万元，公用经费</w:t>
      </w:r>
      <w:r>
        <w:rPr>
          <w:rFonts w:hint="eastAsia" w:ascii="仿宋_GB2312" w:eastAsia="仿宋_GB2312"/>
          <w:sz w:val="32"/>
          <w:szCs w:val="32"/>
          <w:lang w:val="en-US" w:eastAsia="zh-CN"/>
        </w:rPr>
        <w:t>12.97</w:t>
      </w:r>
      <w:r>
        <w:rPr>
          <w:rFonts w:hint="eastAsia" w:ascii="仿宋_GB2312" w:eastAsia="仿宋_GB2312"/>
          <w:sz w:val="32"/>
          <w:szCs w:val="32"/>
        </w:rPr>
        <w:t>万元。</w:t>
      </w:r>
    </w:p>
    <w:p w14:paraId="76134986">
      <w:pPr>
        <w:ind w:firstLine="643" w:firstLineChars="200"/>
        <w:jc w:val="both"/>
        <w:rPr>
          <w:rFonts w:hint="eastAsia" w:ascii="仿宋_GB2312" w:eastAsia="仿宋_GB2312"/>
          <w:sz w:val="32"/>
          <w:szCs w:val="32"/>
        </w:rPr>
      </w:pPr>
      <w:r>
        <w:rPr>
          <w:rFonts w:hint="eastAsia" w:ascii="楷体_GB2312" w:eastAsia="楷体_GB2312"/>
          <w:b/>
          <w:bCs w:val="0"/>
          <w:sz w:val="32"/>
          <w:szCs w:val="32"/>
          <w:lang w:val="zh-CN"/>
        </w:rPr>
        <w:t>（二）部门财政资金支出情况。</w:t>
      </w: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年县</w:t>
      </w:r>
      <w:r>
        <w:rPr>
          <w:rFonts w:hint="eastAsia" w:ascii="仿宋_GB2312" w:eastAsia="仿宋_GB2312"/>
          <w:sz w:val="32"/>
          <w:szCs w:val="32"/>
          <w:lang w:eastAsia="zh-CN"/>
        </w:rPr>
        <w:t>文联</w:t>
      </w:r>
      <w:r>
        <w:rPr>
          <w:rFonts w:hint="eastAsia" w:ascii="仿宋_GB2312" w:eastAsia="仿宋_GB2312"/>
          <w:sz w:val="32"/>
          <w:szCs w:val="32"/>
        </w:rPr>
        <w:t>本年支出合计</w:t>
      </w:r>
      <w:r>
        <w:rPr>
          <w:rFonts w:hint="eastAsia" w:ascii="仿宋_GB2312" w:eastAsia="仿宋_GB2312"/>
          <w:sz w:val="32"/>
          <w:szCs w:val="32"/>
          <w:lang w:val="en-US" w:eastAsia="zh-CN"/>
        </w:rPr>
        <w:t>104.8</w:t>
      </w:r>
      <w:r>
        <w:rPr>
          <w:rFonts w:hint="eastAsia" w:ascii="仿宋_GB2312" w:eastAsia="仿宋_GB2312"/>
          <w:sz w:val="32"/>
          <w:szCs w:val="32"/>
        </w:rPr>
        <w:t>万元，其中：基本支出</w:t>
      </w:r>
      <w:r>
        <w:rPr>
          <w:rFonts w:hint="eastAsia" w:ascii="仿宋_GB2312" w:eastAsia="仿宋_GB2312"/>
          <w:sz w:val="32"/>
          <w:szCs w:val="32"/>
          <w:lang w:val="en-US" w:eastAsia="zh-CN"/>
        </w:rPr>
        <w:t>104.8</w:t>
      </w:r>
      <w:r>
        <w:rPr>
          <w:rFonts w:hint="eastAsia" w:ascii="仿宋_GB2312" w:eastAsia="仿宋_GB2312"/>
          <w:sz w:val="32"/>
          <w:szCs w:val="32"/>
        </w:rPr>
        <w:t>万元，占</w:t>
      </w:r>
      <w:r>
        <w:rPr>
          <w:rFonts w:hint="eastAsia" w:ascii="仿宋_GB2312" w:eastAsia="仿宋_GB2312"/>
          <w:sz w:val="32"/>
          <w:szCs w:val="32"/>
          <w:lang w:val="en-US" w:eastAsia="zh-CN"/>
        </w:rPr>
        <w:t>100</w:t>
      </w:r>
      <w:r>
        <w:rPr>
          <w:rFonts w:hint="eastAsia" w:ascii="仿宋_GB2312" w:eastAsia="仿宋_GB2312"/>
          <w:sz w:val="32"/>
          <w:szCs w:val="32"/>
        </w:rPr>
        <w:t>%。主要用于以下方面:</w:t>
      </w:r>
    </w:p>
    <w:p w14:paraId="275BFDD0">
      <w:pPr>
        <w:ind w:firstLine="640" w:firstLineChars="200"/>
        <w:jc w:val="both"/>
        <w:rPr>
          <w:rFonts w:hint="eastAsia" w:ascii="仿宋_GB2312" w:eastAsia="仿宋_GB2312"/>
          <w:sz w:val="32"/>
          <w:szCs w:val="32"/>
        </w:rPr>
      </w:pPr>
      <w:r>
        <w:rPr>
          <w:rFonts w:hint="eastAsia" w:ascii="仿宋_GB2312" w:eastAsia="仿宋_GB2312"/>
          <w:sz w:val="32"/>
          <w:szCs w:val="32"/>
          <w:lang w:eastAsia="zh-CN"/>
        </w:rPr>
        <w:t>文化体育与传媒</w:t>
      </w:r>
      <w:r>
        <w:rPr>
          <w:rFonts w:hint="eastAsia" w:ascii="仿宋_GB2312" w:eastAsia="仿宋_GB2312"/>
          <w:sz w:val="32"/>
          <w:szCs w:val="32"/>
        </w:rPr>
        <w:t>支出</w:t>
      </w:r>
      <w:r>
        <w:rPr>
          <w:rFonts w:hint="eastAsia" w:ascii="仿宋_GB2312" w:eastAsia="仿宋_GB2312"/>
          <w:sz w:val="32"/>
          <w:szCs w:val="32"/>
          <w:lang w:val="en-US" w:eastAsia="zh-CN"/>
        </w:rPr>
        <w:t>78.56</w:t>
      </w:r>
      <w:r>
        <w:rPr>
          <w:rFonts w:hint="eastAsia" w:ascii="仿宋_GB2312" w:eastAsia="仿宋_GB2312"/>
          <w:sz w:val="32"/>
          <w:szCs w:val="32"/>
        </w:rPr>
        <w:t>万元，占总支出的</w:t>
      </w:r>
      <w:r>
        <w:rPr>
          <w:rFonts w:hint="eastAsia" w:ascii="仿宋_GB2312" w:eastAsia="仿宋_GB2312"/>
          <w:sz w:val="32"/>
          <w:szCs w:val="32"/>
          <w:lang w:val="en-US" w:eastAsia="zh-CN"/>
        </w:rPr>
        <w:t>74.96</w:t>
      </w:r>
      <w:r>
        <w:rPr>
          <w:rFonts w:hint="eastAsia" w:ascii="仿宋_GB2312" w:eastAsia="仿宋_GB2312"/>
          <w:sz w:val="32"/>
          <w:szCs w:val="32"/>
        </w:rPr>
        <w:t>%。包括了基本工资</w:t>
      </w:r>
      <w:r>
        <w:rPr>
          <w:rFonts w:hint="eastAsia" w:ascii="仿宋_GB2312" w:eastAsia="仿宋_GB2312"/>
          <w:sz w:val="32"/>
          <w:szCs w:val="32"/>
          <w:lang w:val="en-US" w:eastAsia="zh-CN"/>
        </w:rPr>
        <w:t>18.7</w:t>
      </w:r>
      <w:r>
        <w:rPr>
          <w:rFonts w:hint="eastAsia" w:ascii="仿宋_GB2312" w:eastAsia="仿宋_GB2312"/>
          <w:sz w:val="32"/>
          <w:szCs w:val="32"/>
        </w:rPr>
        <w:t>万元，津贴补贴</w:t>
      </w:r>
      <w:r>
        <w:rPr>
          <w:rFonts w:hint="eastAsia" w:ascii="仿宋_GB2312" w:eastAsia="仿宋_GB2312"/>
          <w:sz w:val="32"/>
          <w:szCs w:val="32"/>
          <w:lang w:val="en-US" w:eastAsia="zh-CN"/>
        </w:rPr>
        <w:t>8.94</w:t>
      </w:r>
      <w:r>
        <w:rPr>
          <w:rFonts w:hint="eastAsia" w:ascii="仿宋_GB2312" w:eastAsia="仿宋_GB2312"/>
          <w:sz w:val="32"/>
          <w:szCs w:val="32"/>
        </w:rPr>
        <w:t>万元，奖金</w:t>
      </w:r>
      <w:r>
        <w:rPr>
          <w:rFonts w:hint="eastAsia" w:ascii="仿宋_GB2312" w:eastAsia="仿宋_GB2312"/>
          <w:sz w:val="32"/>
          <w:szCs w:val="32"/>
          <w:lang w:val="en-US" w:eastAsia="zh-CN"/>
        </w:rPr>
        <w:t>22.61</w:t>
      </w:r>
      <w:r>
        <w:rPr>
          <w:rFonts w:hint="eastAsia" w:ascii="仿宋_GB2312" w:eastAsia="仿宋_GB2312"/>
          <w:sz w:val="32"/>
          <w:szCs w:val="32"/>
        </w:rPr>
        <w:t>万元，</w:t>
      </w:r>
      <w:r>
        <w:rPr>
          <w:rFonts w:hint="eastAsia" w:ascii="仿宋_GB2312" w:eastAsia="仿宋_GB2312"/>
          <w:sz w:val="32"/>
          <w:szCs w:val="32"/>
          <w:lang w:eastAsia="zh-CN"/>
        </w:rPr>
        <w:t>绩效工资</w:t>
      </w:r>
      <w:r>
        <w:rPr>
          <w:rFonts w:hint="eastAsia" w:ascii="仿宋_GB2312" w:eastAsia="仿宋_GB2312"/>
          <w:sz w:val="32"/>
          <w:szCs w:val="32"/>
          <w:lang w:val="en-US" w:eastAsia="zh-CN"/>
        </w:rPr>
        <w:t>13.06万元，</w:t>
      </w:r>
      <w:r>
        <w:rPr>
          <w:rFonts w:hint="eastAsia" w:ascii="仿宋_GB2312" w:eastAsia="仿宋_GB2312"/>
          <w:sz w:val="32"/>
          <w:szCs w:val="32"/>
        </w:rPr>
        <w:t>其他社会保障缴费</w:t>
      </w:r>
      <w:r>
        <w:rPr>
          <w:rFonts w:hint="eastAsia" w:ascii="仿宋_GB2312" w:eastAsia="仿宋_GB2312"/>
          <w:sz w:val="32"/>
          <w:szCs w:val="32"/>
          <w:lang w:val="en-US" w:eastAsia="zh-CN"/>
        </w:rPr>
        <w:t>1.30</w:t>
      </w:r>
      <w:r>
        <w:rPr>
          <w:rFonts w:hint="eastAsia" w:ascii="仿宋_GB2312" w:eastAsia="仿宋_GB2312"/>
          <w:sz w:val="32"/>
          <w:szCs w:val="32"/>
        </w:rPr>
        <w:t>万元，办公费</w:t>
      </w:r>
      <w:r>
        <w:rPr>
          <w:rFonts w:hint="eastAsia" w:ascii="仿宋_GB2312" w:eastAsia="仿宋_GB2312"/>
          <w:sz w:val="32"/>
          <w:szCs w:val="32"/>
          <w:lang w:val="en-US" w:eastAsia="zh-CN"/>
        </w:rPr>
        <w:t>4.57</w:t>
      </w:r>
      <w:r>
        <w:rPr>
          <w:rFonts w:hint="eastAsia" w:ascii="仿宋_GB2312" w:eastAsia="仿宋_GB2312"/>
          <w:sz w:val="32"/>
          <w:szCs w:val="32"/>
        </w:rPr>
        <w:t>万元，邮电费</w:t>
      </w:r>
      <w:r>
        <w:rPr>
          <w:rFonts w:hint="eastAsia" w:ascii="仿宋_GB2312" w:eastAsia="仿宋_GB2312"/>
          <w:sz w:val="32"/>
          <w:szCs w:val="32"/>
          <w:lang w:val="en-US" w:eastAsia="zh-CN"/>
        </w:rPr>
        <w:t>0.7</w:t>
      </w:r>
      <w:r>
        <w:rPr>
          <w:rFonts w:hint="eastAsia" w:ascii="仿宋_GB2312" w:eastAsia="仿宋_GB2312"/>
          <w:sz w:val="32"/>
          <w:szCs w:val="32"/>
        </w:rPr>
        <w:t>万元，差旅费</w:t>
      </w:r>
      <w:r>
        <w:rPr>
          <w:rFonts w:hint="eastAsia" w:ascii="仿宋_GB2312" w:eastAsia="仿宋_GB2312"/>
          <w:sz w:val="32"/>
          <w:szCs w:val="32"/>
          <w:lang w:val="en-US" w:eastAsia="zh-CN"/>
        </w:rPr>
        <w:t>2.8</w:t>
      </w:r>
      <w:r>
        <w:rPr>
          <w:rFonts w:hint="eastAsia" w:ascii="仿宋_GB2312" w:eastAsia="仿宋_GB2312"/>
          <w:sz w:val="32"/>
          <w:szCs w:val="32"/>
        </w:rPr>
        <w:t>万元，</w:t>
      </w:r>
      <w:r>
        <w:rPr>
          <w:rFonts w:hint="eastAsia" w:ascii="仿宋_GB2312" w:eastAsia="仿宋_GB2312"/>
          <w:sz w:val="32"/>
          <w:szCs w:val="32"/>
          <w:lang w:eastAsia="zh-CN"/>
        </w:rPr>
        <w:t>租赁费</w:t>
      </w:r>
      <w:r>
        <w:rPr>
          <w:rFonts w:hint="eastAsia" w:ascii="仿宋_GB2312" w:eastAsia="仿宋_GB2312"/>
          <w:sz w:val="32"/>
          <w:szCs w:val="32"/>
          <w:lang w:val="en-US" w:eastAsia="zh-CN"/>
        </w:rPr>
        <w:t>0.4万元，</w:t>
      </w:r>
      <w:r>
        <w:rPr>
          <w:rFonts w:hint="eastAsia" w:ascii="仿宋_GB2312" w:eastAsia="仿宋_GB2312"/>
          <w:sz w:val="32"/>
          <w:szCs w:val="32"/>
        </w:rPr>
        <w:t>劳务费</w:t>
      </w:r>
      <w:r>
        <w:rPr>
          <w:rFonts w:hint="eastAsia" w:ascii="仿宋_GB2312" w:eastAsia="仿宋_GB2312"/>
          <w:sz w:val="32"/>
          <w:szCs w:val="32"/>
          <w:lang w:val="en-US" w:eastAsia="zh-CN"/>
        </w:rPr>
        <w:t>2.5</w:t>
      </w:r>
      <w:r>
        <w:rPr>
          <w:rFonts w:hint="eastAsia" w:ascii="仿宋_GB2312" w:eastAsia="仿宋_GB2312"/>
          <w:sz w:val="32"/>
          <w:szCs w:val="32"/>
        </w:rPr>
        <w:t>万元，</w:t>
      </w:r>
      <w:r>
        <w:rPr>
          <w:rFonts w:hint="eastAsia" w:ascii="仿宋_GB2312" w:eastAsia="仿宋_GB2312"/>
          <w:sz w:val="32"/>
          <w:szCs w:val="32"/>
          <w:lang w:eastAsia="zh-CN"/>
        </w:rPr>
        <w:t>其他交通费</w:t>
      </w:r>
      <w:r>
        <w:rPr>
          <w:rFonts w:hint="eastAsia" w:ascii="仿宋_GB2312" w:eastAsia="仿宋_GB2312"/>
          <w:sz w:val="32"/>
          <w:szCs w:val="32"/>
          <w:lang w:val="en-US" w:eastAsia="zh-CN"/>
        </w:rPr>
        <w:t>2万，</w:t>
      </w:r>
      <w:r>
        <w:rPr>
          <w:rFonts w:hint="eastAsia" w:ascii="仿宋_GB2312" w:eastAsia="仿宋_GB2312"/>
          <w:sz w:val="32"/>
          <w:szCs w:val="32"/>
        </w:rPr>
        <w:t>生活补助</w:t>
      </w:r>
      <w:r>
        <w:rPr>
          <w:rFonts w:hint="eastAsia" w:ascii="仿宋_GB2312" w:eastAsia="仿宋_GB2312"/>
          <w:sz w:val="32"/>
          <w:szCs w:val="32"/>
          <w:lang w:val="en-US" w:eastAsia="zh-CN"/>
        </w:rPr>
        <w:t>0.98</w:t>
      </w:r>
      <w:r>
        <w:rPr>
          <w:rFonts w:hint="eastAsia" w:ascii="仿宋_GB2312" w:eastAsia="仿宋_GB2312"/>
          <w:sz w:val="32"/>
          <w:szCs w:val="32"/>
        </w:rPr>
        <w:t>万元。</w:t>
      </w:r>
    </w:p>
    <w:p w14:paraId="66A8F6FC">
      <w:pPr>
        <w:ind w:firstLine="640" w:firstLineChars="200"/>
        <w:jc w:val="both"/>
        <w:rPr>
          <w:rFonts w:hint="eastAsia" w:ascii="仿宋_GB2312" w:eastAsia="仿宋_GB2312"/>
          <w:sz w:val="32"/>
          <w:szCs w:val="32"/>
        </w:rPr>
      </w:pPr>
      <w:r>
        <w:rPr>
          <w:rFonts w:hint="eastAsia" w:ascii="仿宋" w:eastAsia="仿宋"/>
          <w:b w:val="0"/>
          <w:bCs/>
          <w:color w:val="000000"/>
          <w:sz w:val="32"/>
          <w:szCs w:val="32"/>
        </w:rPr>
        <w:t>社会保障和就业</w:t>
      </w:r>
      <w:r>
        <w:rPr>
          <w:rFonts w:hint="eastAsia" w:ascii="仿宋" w:eastAsia="仿宋"/>
          <w:color w:val="000000"/>
          <w:sz w:val="32"/>
          <w:szCs w:val="32"/>
        </w:rPr>
        <w:t>支出</w:t>
      </w:r>
      <w:r>
        <w:rPr>
          <w:rFonts w:hint="eastAsia" w:ascii="仿宋" w:eastAsia="仿宋"/>
          <w:color w:val="000000"/>
          <w:sz w:val="32"/>
          <w:szCs w:val="32"/>
          <w:lang w:val="en-US" w:eastAsia="zh-CN"/>
        </w:rPr>
        <w:t>13.63</w:t>
      </w:r>
      <w:r>
        <w:rPr>
          <w:rFonts w:hint="eastAsia" w:ascii="仿宋" w:eastAsia="仿宋"/>
          <w:color w:val="000000"/>
          <w:sz w:val="32"/>
          <w:szCs w:val="32"/>
        </w:rPr>
        <w:t>万元，占</w:t>
      </w:r>
      <w:r>
        <w:rPr>
          <w:rFonts w:hint="eastAsia" w:ascii="仿宋" w:eastAsia="仿宋"/>
          <w:color w:val="000000"/>
          <w:sz w:val="32"/>
          <w:szCs w:val="32"/>
          <w:lang w:val="en-US" w:eastAsia="zh-CN"/>
        </w:rPr>
        <w:t>13.01</w:t>
      </w:r>
      <w:r>
        <w:rPr>
          <w:rFonts w:ascii="仿宋" w:eastAsia="仿宋"/>
          <w:color w:val="000000"/>
          <w:sz w:val="32"/>
          <w:szCs w:val="32"/>
        </w:rPr>
        <w:t>%</w:t>
      </w:r>
      <w:r>
        <w:rPr>
          <w:rFonts w:hint="eastAsia" w:ascii="仿宋" w:eastAsia="仿宋"/>
          <w:color w:val="000000"/>
          <w:sz w:val="32"/>
          <w:szCs w:val="32"/>
          <w:lang w:eastAsia="zh-CN"/>
        </w:rPr>
        <w:t>。</w:t>
      </w:r>
      <w:r>
        <w:rPr>
          <w:rFonts w:hint="eastAsia" w:ascii="仿宋_GB2312" w:eastAsia="仿宋_GB2312"/>
          <w:sz w:val="32"/>
          <w:szCs w:val="32"/>
        </w:rPr>
        <w:t>包括了机关事业单位基本养老保险支出</w:t>
      </w:r>
      <w:r>
        <w:rPr>
          <w:rFonts w:hint="eastAsia" w:ascii="仿宋_GB2312" w:eastAsia="仿宋_GB2312"/>
          <w:sz w:val="32"/>
          <w:szCs w:val="32"/>
          <w:lang w:val="en-US" w:eastAsia="zh-CN"/>
        </w:rPr>
        <w:t>9.09</w:t>
      </w:r>
      <w:r>
        <w:rPr>
          <w:rFonts w:hint="eastAsia" w:ascii="仿宋_GB2312" w:eastAsia="仿宋_GB2312"/>
          <w:sz w:val="32"/>
          <w:szCs w:val="32"/>
        </w:rPr>
        <w:t>万元，机关事业单位职业年金支出</w:t>
      </w:r>
      <w:r>
        <w:rPr>
          <w:rFonts w:hint="eastAsia" w:ascii="仿宋_GB2312" w:eastAsia="仿宋_GB2312"/>
          <w:sz w:val="32"/>
          <w:szCs w:val="32"/>
          <w:lang w:val="en-US" w:eastAsia="zh-CN"/>
        </w:rPr>
        <w:t>4.54</w:t>
      </w:r>
      <w:r>
        <w:rPr>
          <w:rFonts w:hint="eastAsia" w:ascii="仿宋_GB2312" w:eastAsia="仿宋_GB2312"/>
          <w:sz w:val="32"/>
          <w:szCs w:val="32"/>
        </w:rPr>
        <w:t>万元。</w:t>
      </w:r>
    </w:p>
    <w:p w14:paraId="3D2C760D">
      <w:pPr>
        <w:ind w:firstLine="640" w:firstLineChars="200"/>
        <w:jc w:val="both"/>
        <w:rPr>
          <w:rFonts w:hint="eastAsia" w:ascii="仿宋_GB2312" w:eastAsia="仿宋_GB2312"/>
          <w:sz w:val="32"/>
          <w:szCs w:val="32"/>
        </w:rPr>
      </w:pPr>
      <w:r>
        <w:rPr>
          <w:rFonts w:hint="eastAsia" w:ascii="仿宋" w:eastAsia="仿宋"/>
          <w:b w:val="0"/>
          <w:bCs w:val="0"/>
          <w:color w:val="000000"/>
          <w:sz w:val="32"/>
          <w:szCs w:val="32"/>
        </w:rPr>
        <w:t>卫生</w:t>
      </w:r>
      <w:r>
        <w:rPr>
          <w:rFonts w:hint="eastAsia" w:ascii="仿宋" w:eastAsia="仿宋"/>
          <w:b w:val="0"/>
          <w:bCs w:val="0"/>
          <w:color w:val="000000"/>
          <w:sz w:val="32"/>
          <w:szCs w:val="32"/>
          <w:lang w:eastAsia="zh-CN"/>
        </w:rPr>
        <w:t>健康</w:t>
      </w:r>
      <w:r>
        <w:rPr>
          <w:rFonts w:hint="eastAsia" w:ascii="仿宋" w:eastAsia="仿宋"/>
          <w:b w:val="0"/>
          <w:bCs w:val="0"/>
          <w:color w:val="000000"/>
          <w:sz w:val="32"/>
          <w:szCs w:val="32"/>
        </w:rPr>
        <w:t>支出</w:t>
      </w:r>
      <w:r>
        <w:rPr>
          <w:rFonts w:hint="eastAsia" w:ascii="仿宋" w:eastAsia="仿宋"/>
          <w:color w:val="000000"/>
          <w:sz w:val="32"/>
          <w:szCs w:val="32"/>
          <w:lang w:val="en-US" w:eastAsia="zh-CN"/>
        </w:rPr>
        <w:t>5.48</w:t>
      </w:r>
      <w:r>
        <w:rPr>
          <w:rFonts w:hint="eastAsia" w:ascii="仿宋" w:eastAsia="仿宋"/>
          <w:color w:val="000000"/>
          <w:sz w:val="32"/>
          <w:szCs w:val="32"/>
        </w:rPr>
        <w:t>万元，占</w:t>
      </w:r>
      <w:r>
        <w:rPr>
          <w:rFonts w:hint="eastAsia" w:ascii="仿宋" w:eastAsia="仿宋"/>
          <w:color w:val="000000"/>
          <w:sz w:val="32"/>
          <w:szCs w:val="32"/>
          <w:lang w:val="en-US" w:eastAsia="zh-CN"/>
        </w:rPr>
        <w:t>5.23%。</w:t>
      </w:r>
      <w:r>
        <w:rPr>
          <w:rFonts w:hint="eastAsia" w:ascii="仿宋_GB2312" w:eastAsia="仿宋_GB2312"/>
          <w:sz w:val="32"/>
          <w:szCs w:val="32"/>
        </w:rPr>
        <w:t>包括了</w:t>
      </w:r>
      <w:r>
        <w:rPr>
          <w:rFonts w:hint="eastAsia" w:ascii="仿宋_GB2312" w:eastAsia="仿宋_GB2312"/>
          <w:sz w:val="32"/>
          <w:szCs w:val="32"/>
          <w:lang w:eastAsia="zh-CN"/>
        </w:rPr>
        <w:t>事业</w:t>
      </w:r>
      <w:r>
        <w:rPr>
          <w:rFonts w:hint="eastAsia" w:ascii="仿宋_GB2312" w:eastAsia="仿宋_GB2312"/>
          <w:sz w:val="32"/>
          <w:szCs w:val="32"/>
        </w:rPr>
        <w:t>单位医疗</w:t>
      </w:r>
      <w:r>
        <w:rPr>
          <w:rFonts w:hint="eastAsia" w:ascii="仿宋_GB2312" w:eastAsia="仿宋_GB2312"/>
          <w:sz w:val="32"/>
          <w:szCs w:val="32"/>
          <w:lang w:val="en-US" w:eastAsia="zh-CN"/>
        </w:rPr>
        <w:t>4.38</w:t>
      </w:r>
      <w:r>
        <w:rPr>
          <w:rFonts w:hint="eastAsia" w:ascii="仿宋_GB2312" w:eastAsia="仿宋_GB2312"/>
          <w:sz w:val="32"/>
          <w:szCs w:val="32"/>
        </w:rPr>
        <w:t>万元，公务员医疗补助</w:t>
      </w:r>
      <w:r>
        <w:rPr>
          <w:rFonts w:hint="eastAsia" w:ascii="仿宋_GB2312" w:eastAsia="仿宋_GB2312"/>
          <w:sz w:val="32"/>
          <w:szCs w:val="32"/>
          <w:lang w:val="en-US" w:eastAsia="zh-CN"/>
        </w:rPr>
        <w:t>1.1</w:t>
      </w:r>
      <w:r>
        <w:rPr>
          <w:rFonts w:hint="eastAsia" w:ascii="仿宋_GB2312" w:eastAsia="仿宋_GB2312"/>
          <w:sz w:val="32"/>
          <w:szCs w:val="32"/>
        </w:rPr>
        <w:t>万元。</w:t>
      </w:r>
    </w:p>
    <w:p w14:paraId="0BB6067A">
      <w:pPr>
        <w:spacing w:line="600" w:lineRule="exact"/>
        <w:ind w:firstLine="640"/>
        <w:rPr>
          <w:rFonts w:hint="eastAsia" w:ascii="仿宋_GB2312" w:eastAsia="仿宋_GB2312"/>
          <w:sz w:val="32"/>
          <w:szCs w:val="32"/>
        </w:rPr>
      </w:pPr>
      <w:r>
        <w:rPr>
          <w:rFonts w:hint="eastAsia" w:ascii="仿宋" w:eastAsia="仿宋"/>
          <w:b w:val="0"/>
          <w:bCs w:val="0"/>
          <w:color w:val="000000"/>
          <w:sz w:val="32"/>
          <w:szCs w:val="32"/>
        </w:rPr>
        <w:t>住房保障支出</w:t>
      </w:r>
      <w:r>
        <w:rPr>
          <w:rFonts w:hint="eastAsia" w:ascii="仿宋" w:eastAsia="仿宋"/>
          <w:b w:val="0"/>
          <w:bCs w:val="0"/>
          <w:color w:val="000000"/>
          <w:sz w:val="32"/>
          <w:szCs w:val="32"/>
          <w:lang w:val="en-US" w:eastAsia="zh-CN"/>
        </w:rPr>
        <w:t>7.13</w:t>
      </w:r>
      <w:r>
        <w:rPr>
          <w:rFonts w:hint="eastAsia" w:ascii="仿宋" w:eastAsia="仿宋"/>
          <w:color w:val="000000"/>
          <w:sz w:val="32"/>
          <w:szCs w:val="32"/>
        </w:rPr>
        <w:t>万元，占</w:t>
      </w:r>
      <w:r>
        <w:rPr>
          <w:rFonts w:hint="eastAsia" w:ascii="仿宋" w:eastAsia="仿宋"/>
          <w:color w:val="000000"/>
          <w:sz w:val="32"/>
          <w:szCs w:val="32"/>
          <w:lang w:val="en-US" w:eastAsia="zh-CN"/>
        </w:rPr>
        <w:t>6.8</w:t>
      </w:r>
      <w:r>
        <w:rPr>
          <w:rFonts w:ascii="仿宋" w:eastAsia="仿宋"/>
          <w:color w:val="000000"/>
          <w:sz w:val="32"/>
          <w:szCs w:val="32"/>
        </w:rPr>
        <w:t>%</w:t>
      </w:r>
      <w:r>
        <w:rPr>
          <w:rFonts w:hint="eastAsia" w:ascii="仿宋" w:eastAsia="仿宋"/>
          <w:color w:val="000000"/>
          <w:sz w:val="32"/>
          <w:szCs w:val="32"/>
        </w:rPr>
        <w:t>。</w:t>
      </w:r>
      <w:r>
        <w:rPr>
          <w:rFonts w:hint="eastAsia" w:ascii="仿宋_GB2312" w:eastAsia="仿宋_GB2312"/>
          <w:sz w:val="32"/>
          <w:szCs w:val="32"/>
        </w:rPr>
        <w:t>包括了住房公积金</w:t>
      </w:r>
      <w:r>
        <w:rPr>
          <w:rFonts w:hint="eastAsia" w:ascii="仿宋_GB2312" w:eastAsia="仿宋_GB2312"/>
          <w:sz w:val="32"/>
          <w:szCs w:val="32"/>
          <w:lang w:val="en-US" w:eastAsia="zh-CN"/>
        </w:rPr>
        <w:t>6.25</w:t>
      </w:r>
      <w:r>
        <w:rPr>
          <w:rFonts w:hint="eastAsia" w:ascii="仿宋_GB2312" w:eastAsia="仿宋_GB2312"/>
          <w:sz w:val="32"/>
          <w:szCs w:val="32"/>
        </w:rPr>
        <w:t>万元。</w:t>
      </w:r>
    </w:p>
    <w:p w14:paraId="69DDDDA8">
      <w:pPr>
        <w:ind w:firstLine="643" w:firstLineChars="200"/>
        <w:jc w:val="both"/>
        <w:rPr>
          <w:rFonts w:hint="eastAsia" w:ascii="黑体" w:eastAsia="黑体"/>
          <w:b/>
          <w:bCs/>
          <w:sz w:val="32"/>
          <w:szCs w:val="32"/>
        </w:rPr>
      </w:pPr>
      <w:r>
        <w:rPr>
          <w:rFonts w:hint="eastAsia" w:ascii="黑体" w:eastAsia="黑体"/>
          <w:b/>
          <w:bCs/>
          <w:sz w:val="32"/>
          <w:szCs w:val="32"/>
        </w:rPr>
        <w:t>三、整体预算绩效管理情况</w:t>
      </w:r>
    </w:p>
    <w:p w14:paraId="26B246A1">
      <w:pPr>
        <w:ind w:firstLine="643" w:firstLineChars="200"/>
        <w:jc w:val="both"/>
        <w:rPr>
          <w:rFonts w:hint="eastAsia" w:ascii="仿宋_GB2312" w:eastAsia="仿宋_GB2312"/>
          <w:sz w:val="32"/>
          <w:szCs w:val="32"/>
        </w:rPr>
      </w:pPr>
      <w:r>
        <w:rPr>
          <w:rFonts w:hint="eastAsia" w:ascii="仿宋_GB2312" w:eastAsia="仿宋_GB2312"/>
          <w:b/>
          <w:bCs/>
          <w:sz w:val="32"/>
          <w:szCs w:val="32"/>
          <w:lang w:val="zh-CN"/>
        </w:rPr>
        <w:t>（一）部门预算管理。</w:t>
      </w:r>
      <w:r>
        <w:rPr>
          <w:rFonts w:hint="eastAsia" w:ascii="仿宋_GB2312" w:eastAsia="仿宋_GB2312"/>
          <w:sz w:val="32"/>
          <w:szCs w:val="32"/>
        </w:rPr>
        <w:t>县</w:t>
      </w:r>
      <w:r>
        <w:rPr>
          <w:rFonts w:hint="eastAsia" w:ascii="仿宋_GB2312" w:eastAsia="仿宋_GB2312"/>
          <w:sz w:val="32"/>
          <w:szCs w:val="32"/>
          <w:lang w:eastAsia="zh-CN"/>
        </w:rPr>
        <w:t>文联</w:t>
      </w:r>
      <w:r>
        <w:rPr>
          <w:rFonts w:hint="eastAsia" w:ascii="仿宋_GB2312" w:eastAsia="仿宋_GB2312"/>
          <w:sz w:val="32"/>
          <w:szCs w:val="32"/>
        </w:rPr>
        <w:t>严格按照县级部门预算编制通知要求，按照</w:t>
      </w:r>
      <w:r>
        <w:rPr>
          <w:rFonts w:hint="eastAsia" w:ascii="仿宋_GB2312" w:eastAsia="仿宋_GB2312"/>
          <w:sz w:val="32"/>
          <w:szCs w:val="32"/>
          <w:lang w:eastAsia="zh-CN"/>
        </w:rPr>
        <w:t>文联</w:t>
      </w:r>
      <w:r>
        <w:rPr>
          <w:rFonts w:hint="eastAsia" w:ascii="仿宋_GB2312" w:eastAsia="仿宋_GB2312"/>
          <w:sz w:val="32"/>
          <w:szCs w:val="32"/>
        </w:rPr>
        <w:t>职能职责按时完成基础信息、预算编制等工作，并按时提交部门预算草案，不存在预算编制错误情况。县财政局根据预算编制草案，进行审核、批复。县</w:t>
      </w:r>
      <w:r>
        <w:rPr>
          <w:rFonts w:hint="eastAsia" w:ascii="仿宋_GB2312" w:eastAsia="仿宋_GB2312"/>
          <w:sz w:val="32"/>
          <w:szCs w:val="32"/>
          <w:lang w:eastAsia="zh-CN"/>
        </w:rPr>
        <w:t>文联</w:t>
      </w: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年预算收入</w:t>
      </w:r>
      <w:r>
        <w:rPr>
          <w:rFonts w:hint="eastAsia" w:ascii="仿宋_GB2312" w:eastAsia="仿宋_GB2312"/>
          <w:sz w:val="32"/>
          <w:szCs w:val="32"/>
          <w:lang w:val="en-US" w:eastAsia="zh-CN"/>
        </w:rPr>
        <w:t>104.8</w:t>
      </w:r>
      <w:r>
        <w:rPr>
          <w:rFonts w:hint="eastAsia" w:ascii="仿宋_GB2312" w:eastAsia="仿宋_GB2312"/>
          <w:sz w:val="32"/>
          <w:szCs w:val="32"/>
        </w:rPr>
        <w:t>万元，预算支出</w:t>
      </w:r>
      <w:r>
        <w:rPr>
          <w:rFonts w:hint="eastAsia" w:ascii="仿宋_GB2312" w:eastAsia="仿宋_GB2312"/>
          <w:sz w:val="32"/>
          <w:szCs w:val="32"/>
          <w:lang w:val="en-US" w:eastAsia="zh-CN"/>
        </w:rPr>
        <w:t>104.8</w:t>
      </w:r>
      <w:r>
        <w:rPr>
          <w:rFonts w:hint="eastAsia" w:ascii="仿宋_GB2312" w:eastAsia="仿宋_GB2312"/>
          <w:sz w:val="32"/>
          <w:szCs w:val="32"/>
        </w:rPr>
        <w:t>万元。在职职工</w:t>
      </w:r>
      <w:r>
        <w:rPr>
          <w:rFonts w:hint="eastAsia" w:ascii="仿宋_GB2312" w:eastAsia="仿宋_GB2312"/>
          <w:sz w:val="32"/>
          <w:szCs w:val="32"/>
          <w:lang w:val="en-US" w:eastAsia="zh-CN"/>
        </w:rPr>
        <w:t>4</w:t>
      </w:r>
      <w:r>
        <w:rPr>
          <w:rFonts w:hint="eastAsia" w:ascii="仿宋_GB2312" w:eastAsia="仿宋_GB2312"/>
          <w:sz w:val="32"/>
          <w:szCs w:val="32"/>
        </w:rPr>
        <w:t>人，人均公务经费</w:t>
      </w:r>
      <w:r>
        <w:rPr>
          <w:rFonts w:hint="eastAsia" w:ascii="仿宋_GB2312" w:eastAsia="仿宋_GB2312"/>
          <w:sz w:val="32"/>
          <w:szCs w:val="32"/>
          <w:lang w:val="en-US" w:eastAsia="zh-CN"/>
        </w:rPr>
        <w:t>3.24万</w:t>
      </w:r>
      <w:r>
        <w:rPr>
          <w:rFonts w:hint="eastAsia" w:ascii="仿宋_GB2312" w:eastAsia="仿宋_GB2312"/>
          <w:sz w:val="32"/>
          <w:szCs w:val="32"/>
        </w:rPr>
        <w:t>元。202</w:t>
      </w:r>
      <w:r>
        <w:rPr>
          <w:rFonts w:hint="eastAsia" w:ascii="仿宋_GB2312" w:eastAsia="仿宋_GB2312"/>
          <w:sz w:val="32"/>
          <w:szCs w:val="32"/>
          <w:lang w:val="en-US" w:eastAsia="zh-CN"/>
        </w:rPr>
        <w:t>4</w:t>
      </w:r>
      <w:r>
        <w:rPr>
          <w:rFonts w:hint="eastAsia" w:ascii="仿宋_GB2312" w:eastAsia="仿宋_GB2312"/>
          <w:sz w:val="32"/>
          <w:szCs w:val="32"/>
        </w:rPr>
        <w:t>年度按时完成了各项预算项目的执行进度，未出现部门预算管理方面违规违纪问题发生。</w:t>
      </w:r>
    </w:p>
    <w:p w14:paraId="7C802460">
      <w:pPr>
        <w:ind w:firstLine="643" w:firstLineChars="200"/>
        <w:jc w:val="both"/>
        <w:rPr>
          <w:rFonts w:hint="eastAsia" w:ascii="仿宋_GB2312" w:eastAsia="仿宋_GB2312"/>
          <w:sz w:val="32"/>
          <w:szCs w:val="32"/>
        </w:rPr>
      </w:pPr>
      <w:r>
        <w:rPr>
          <w:rFonts w:hint="eastAsia" w:ascii="仿宋_GB2312" w:eastAsia="仿宋_GB2312"/>
          <w:b/>
          <w:bCs/>
          <w:sz w:val="32"/>
          <w:szCs w:val="32"/>
          <w:lang w:val="zh-CN"/>
        </w:rPr>
        <w:t>（二）结果应用情况。</w:t>
      </w:r>
      <w:r>
        <w:rPr>
          <w:rFonts w:hint="eastAsia" w:ascii="仿宋_GB2312" w:eastAsia="仿宋_GB2312"/>
          <w:sz w:val="32"/>
          <w:szCs w:val="32"/>
        </w:rPr>
        <w:t>预算决算公开按财政局的要求在收到财政批复后20个工作日在金川县政府中心的信息网站进行公开。根据开展202</w:t>
      </w:r>
      <w:r>
        <w:rPr>
          <w:rFonts w:hint="eastAsia" w:ascii="仿宋_GB2312" w:eastAsia="仿宋_GB2312"/>
          <w:sz w:val="32"/>
          <w:szCs w:val="32"/>
          <w:lang w:val="en-US" w:eastAsia="zh-CN"/>
        </w:rPr>
        <w:t>4</w:t>
      </w:r>
      <w:r>
        <w:rPr>
          <w:rFonts w:hint="eastAsia" w:ascii="仿宋_GB2312" w:eastAsia="仿宋_GB2312"/>
          <w:sz w:val="32"/>
          <w:szCs w:val="32"/>
        </w:rPr>
        <w:t>年部门整体和项目支出绩效评价工作的通知要求进行单位自评，按财政要求收支并接受财政的监督管理。</w:t>
      </w:r>
    </w:p>
    <w:p w14:paraId="7CBAA2B5">
      <w:pPr>
        <w:ind w:firstLine="607"/>
        <w:rPr>
          <w:rFonts w:ascii="楷体_GB2312" w:eastAsia="楷体_GB2312"/>
          <w:b/>
          <w:sz w:val="32"/>
          <w:szCs w:val="32"/>
          <w:lang w:val="zh-CN"/>
        </w:rPr>
      </w:pPr>
      <w:r>
        <w:rPr>
          <w:rFonts w:hint="eastAsia" w:ascii="楷体_GB2312" w:eastAsia="楷体_GB2312"/>
          <w:b/>
          <w:sz w:val="32"/>
          <w:szCs w:val="32"/>
          <w:lang w:val="zh-CN"/>
        </w:rPr>
        <w:t>（三）综合管理情况</w:t>
      </w:r>
    </w:p>
    <w:p w14:paraId="4D9EFC47">
      <w:pPr>
        <w:rPr>
          <w:rFonts w:ascii="楷体_GB2312" w:eastAsia="楷体_GB2312"/>
          <w:b/>
          <w:sz w:val="32"/>
          <w:szCs w:val="32"/>
          <w:lang w:val="zh-CN"/>
        </w:rPr>
      </w:pPr>
      <w:r>
        <w:rPr>
          <w:rFonts w:hint="eastAsia" w:ascii="仿宋" w:eastAsia="仿宋" w:cs="仿宋"/>
          <w:sz w:val="32"/>
          <w:szCs w:val="32"/>
        </w:rPr>
        <w:t xml:space="preserve">    我单位认真贯彻落实中央、省委省政府、州委州政府和县委县政府相关规定，</w:t>
      </w:r>
      <w:r>
        <w:rPr>
          <w:rFonts w:hint="eastAsia" w:ascii="仿宋_GB2312" w:eastAsia="仿宋_GB2312"/>
          <w:sz w:val="32"/>
          <w:szCs w:val="32"/>
        </w:rPr>
        <w:t>财务管理制度健全，执行制度严格合规，会计核算符合相关规定，资金专款专用，资金支付依据和开支标准合法合规，严格执行政府采购，并依法接受财政监督。</w:t>
      </w:r>
    </w:p>
    <w:p w14:paraId="30DC8D3F">
      <w:pPr>
        <w:ind w:firstLine="604"/>
        <w:rPr>
          <w:rFonts w:ascii="楷体_GB2312" w:eastAsia="楷体_GB2312"/>
          <w:b/>
          <w:sz w:val="32"/>
          <w:szCs w:val="32"/>
          <w:lang w:val="zh-CN"/>
        </w:rPr>
      </w:pPr>
      <w:r>
        <w:rPr>
          <w:rFonts w:hint="eastAsia" w:ascii="楷体_GB2312" w:eastAsia="楷体_GB2312"/>
          <w:b/>
          <w:sz w:val="32"/>
          <w:szCs w:val="32"/>
          <w:lang w:val="zh-CN"/>
        </w:rPr>
        <w:t>（</w:t>
      </w:r>
      <w:r>
        <w:rPr>
          <w:rFonts w:hint="eastAsia" w:ascii="楷体_GB2312" w:eastAsia="楷体_GB2312"/>
          <w:b/>
          <w:sz w:val="32"/>
          <w:szCs w:val="32"/>
        </w:rPr>
        <w:t>四</w:t>
      </w:r>
      <w:r>
        <w:rPr>
          <w:rFonts w:hint="eastAsia" w:ascii="楷体_GB2312" w:eastAsia="楷体_GB2312"/>
          <w:b/>
          <w:sz w:val="32"/>
          <w:szCs w:val="32"/>
          <w:lang w:val="zh-CN"/>
        </w:rPr>
        <w:t>）整体绩效</w:t>
      </w:r>
    </w:p>
    <w:p w14:paraId="390C5985">
      <w:pPr>
        <w:ind w:firstLine="640"/>
        <w:rPr>
          <w:rFonts w:hint="default" w:ascii="仿宋_GB2312" w:eastAsia="仿宋_GB2312"/>
          <w:sz w:val="32"/>
          <w:szCs w:val="32"/>
          <w:lang w:val="en-US" w:eastAsia="zh-CN"/>
        </w:rPr>
      </w:pPr>
      <w:r>
        <w:rPr>
          <w:rFonts w:hint="eastAsia" w:ascii="仿宋_GB2312" w:eastAsia="仿宋_GB2312"/>
          <w:sz w:val="32"/>
          <w:szCs w:val="32"/>
        </w:rPr>
        <w:t>深入贯彻落实“全面实施绩效管理”的要求，努力提升本单位绩效预算管理业务水平。加大资金使用效率，提升单位管理水平,及时加快部门预算支出进度。</w:t>
      </w:r>
    </w:p>
    <w:p w14:paraId="730CA591">
      <w:pPr>
        <w:pStyle w:val="12"/>
        <w:rPr>
          <w:rFonts w:hint="eastAsia"/>
        </w:rPr>
      </w:pPr>
    </w:p>
    <w:p w14:paraId="191FC662">
      <w:pPr>
        <w:ind w:firstLine="643" w:firstLineChars="200"/>
        <w:jc w:val="both"/>
        <w:rPr>
          <w:rFonts w:hint="eastAsia" w:ascii="黑体" w:eastAsia="黑体"/>
          <w:b/>
          <w:bCs/>
          <w:sz w:val="32"/>
          <w:szCs w:val="32"/>
        </w:rPr>
      </w:pPr>
      <w:r>
        <w:rPr>
          <w:rFonts w:hint="eastAsia" w:ascii="黑体" w:eastAsia="黑体"/>
          <w:b/>
          <w:bCs/>
          <w:sz w:val="32"/>
          <w:szCs w:val="32"/>
        </w:rPr>
        <w:t>四、评价结论及建议</w:t>
      </w:r>
    </w:p>
    <w:p w14:paraId="676F8CE2">
      <w:pPr>
        <w:ind w:firstLine="643" w:firstLineChars="200"/>
        <w:jc w:val="both"/>
        <w:rPr>
          <w:rFonts w:hint="eastAsia" w:ascii="仿宋_GB2312" w:eastAsia="仿宋_GB2312"/>
          <w:b/>
          <w:bCs/>
          <w:sz w:val="32"/>
          <w:szCs w:val="32"/>
        </w:rPr>
      </w:pPr>
      <w:r>
        <w:rPr>
          <w:rFonts w:hint="eastAsia" w:ascii="仿宋_GB2312" w:eastAsia="仿宋_GB2312"/>
          <w:b/>
          <w:bCs/>
          <w:sz w:val="32"/>
          <w:szCs w:val="32"/>
        </w:rPr>
        <w:t>（一）评价结论</w:t>
      </w:r>
    </w:p>
    <w:p w14:paraId="46E86617">
      <w:pPr>
        <w:ind w:firstLine="640" w:firstLineChars="200"/>
        <w:jc w:val="both"/>
        <w:rPr>
          <w:rFonts w:hint="eastAsia" w:ascii="仿宋_GB2312" w:eastAsia="仿宋_GB2312"/>
          <w:sz w:val="32"/>
          <w:szCs w:val="32"/>
        </w:rPr>
      </w:pPr>
      <w:r>
        <w:rPr>
          <w:rFonts w:hint="eastAsia" w:ascii="仿宋_GB2312" w:eastAsia="仿宋_GB2312"/>
          <w:sz w:val="32"/>
          <w:szCs w:val="32"/>
        </w:rPr>
        <w:t>根据</w:t>
      </w:r>
      <w:r>
        <w:rPr>
          <w:rFonts w:hint="eastAsia" w:ascii="仿宋_GB2312" w:eastAsia="仿宋_GB2312"/>
          <w:sz w:val="32"/>
          <w:szCs w:val="32"/>
          <w:lang w:eastAsia="zh-CN"/>
        </w:rPr>
        <w:t>相关文件对</w:t>
      </w:r>
      <w:r>
        <w:rPr>
          <w:rFonts w:hint="eastAsia" w:ascii="仿宋_GB2312" w:eastAsia="仿宋_GB2312"/>
          <w:sz w:val="32"/>
          <w:szCs w:val="32"/>
        </w:rPr>
        <w:t>部门整体支出绩效评价指标体系进行单位自评，完成绩效自评工作和中央、省、州委和县委的重要工作、目标任务。</w:t>
      </w:r>
    </w:p>
    <w:p w14:paraId="0825FD7B">
      <w:pPr>
        <w:numPr>
          <w:ilvl w:val="0"/>
          <w:numId w:val="5"/>
        </w:numPr>
        <w:ind w:firstLine="643" w:firstLineChars="200"/>
        <w:jc w:val="both"/>
        <w:rPr>
          <w:rFonts w:hint="eastAsia" w:ascii="仿宋_GB2312" w:eastAsia="仿宋_GB2312"/>
          <w:b/>
          <w:bCs/>
          <w:sz w:val="32"/>
          <w:szCs w:val="32"/>
        </w:rPr>
      </w:pPr>
      <w:r>
        <w:rPr>
          <w:rFonts w:hint="eastAsia" w:ascii="仿宋_GB2312" w:eastAsia="仿宋_GB2312"/>
          <w:b/>
          <w:bCs/>
          <w:sz w:val="32"/>
          <w:szCs w:val="32"/>
        </w:rPr>
        <w:t>存在问题。</w:t>
      </w:r>
    </w:p>
    <w:p w14:paraId="1CE1AD9C">
      <w:pPr>
        <w:numPr>
          <w:ilvl w:val="0"/>
          <w:numId w:val="0"/>
        </w:numPr>
        <w:ind w:firstLine="640" w:firstLineChars="200"/>
        <w:jc w:val="both"/>
        <w:rPr>
          <w:rFonts w:hint="eastAsia" w:ascii="仿宋_GB2312" w:eastAsia="仿宋_GB2312"/>
          <w:sz w:val="32"/>
          <w:szCs w:val="32"/>
        </w:rPr>
      </w:pPr>
      <w:r>
        <w:rPr>
          <w:rFonts w:hint="eastAsia" w:ascii="仿宋_GB2312" w:eastAsia="仿宋_GB2312"/>
          <w:sz w:val="32"/>
          <w:szCs w:val="32"/>
        </w:rPr>
        <w:t>一是预算经费支出进度较缓；二是部门决算上报处理效率还需继续提升。</w:t>
      </w:r>
    </w:p>
    <w:p w14:paraId="75181CCF">
      <w:pPr>
        <w:numPr>
          <w:ilvl w:val="0"/>
          <w:numId w:val="5"/>
        </w:numPr>
        <w:ind w:left="0" w:leftChars="0" w:firstLine="643" w:firstLineChars="200"/>
        <w:rPr>
          <w:rFonts w:hint="eastAsia" w:ascii="仿宋_GB2312" w:eastAsia="仿宋_GB2312"/>
          <w:b/>
          <w:bCs/>
          <w:sz w:val="32"/>
          <w:szCs w:val="32"/>
        </w:rPr>
      </w:pPr>
      <w:r>
        <w:rPr>
          <w:rFonts w:hint="eastAsia" w:ascii="仿宋_GB2312" w:eastAsia="仿宋_GB2312"/>
          <w:b/>
          <w:bCs/>
          <w:sz w:val="32"/>
          <w:szCs w:val="32"/>
        </w:rPr>
        <w:t>改进建议</w:t>
      </w:r>
    </w:p>
    <w:p w14:paraId="4D5CA078">
      <w:pPr>
        <w:numPr>
          <w:ilvl w:val="0"/>
          <w:numId w:val="0"/>
        </w:numPr>
        <w:ind w:leftChars="200" w:firstLine="640" w:firstLineChars="200"/>
        <w:rPr>
          <w:rFonts w:hint="eastAsia" w:ascii="仿宋_GB2312" w:eastAsia="仿宋_GB2312"/>
          <w:sz w:val="32"/>
          <w:szCs w:val="32"/>
        </w:rPr>
      </w:pPr>
      <w:r>
        <w:rPr>
          <w:rFonts w:hint="eastAsia" w:ascii="仿宋_GB2312" w:eastAsia="仿宋_GB2312"/>
          <w:sz w:val="32"/>
          <w:szCs w:val="32"/>
        </w:rPr>
        <w:t>在今后的工作中，我单位将采取有效措施，切实加强财务管理，加快财政资金支出进度：一是继续加强财务管理，严把支出审核关。严格执行国库集中支付、公务卡等相关管理制度，规范各项支出审核，严防超支，不断促进财务管理的法制化、科学化、合理化运行。二是进一步加强预算监管，强化预算执行。</w:t>
      </w:r>
      <w:bookmarkStart w:id="55" w:name="_Toc15396618"/>
      <w:bookmarkStart w:id="56" w:name="_Toc15396619"/>
    </w:p>
    <w:p w14:paraId="0A5E149A">
      <w:pPr>
        <w:keepNext w:val="0"/>
        <w:keepLines w:val="0"/>
        <w:pageBreakBefore w:val="0"/>
        <w:kinsoku/>
        <w:wordWrap/>
        <w:overflowPunct/>
        <w:topLinePunct w:val="0"/>
        <w:autoSpaceDE/>
        <w:autoSpaceDN/>
        <w:bidi w:val="0"/>
        <w:spacing w:line="578" w:lineRule="exact"/>
        <w:ind w:firstLine="640" w:firstLineChars="200"/>
        <w:textAlignment w:val="auto"/>
        <w:rPr>
          <w:rFonts w:hint="eastAsia" w:ascii="Times New Roman" w:hAnsi="Times New Roman" w:cs="Times New Roman"/>
          <w:strike w:val="0"/>
          <w:sz w:val="32"/>
          <w:szCs w:val="32"/>
          <w:u w:val="none"/>
          <w:lang w:val="en-US" w:eastAsia="zh-CN" w:bidi="ar"/>
        </w:rPr>
      </w:pPr>
      <w:r>
        <w:rPr>
          <w:rFonts w:hint="eastAsia" w:ascii="仿宋_GB2312" w:eastAsia="仿宋_GB2312"/>
          <w:sz w:val="32"/>
          <w:szCs w:val="32"/>
          <w:lang w:eastAsia="zh-CN"/>
        </w:rPr>
        <w:t>附件：</w:t>
      </w:r>
      <w:r>
        <w:rPr>
          <w:rFonts w:hint="eastAsia" w:ascii="Times New Roman" w:hAnsi="Times New Roman" w:cs="Times New Roman"/>
          <w:strike w:val="0"/>
          <w:sz w:val="32"/>
          <w:szCs w:val="32"/>
          <w:u w:val="none"/>
          <w:lang w:val="en-US" w:eastAsia="zh-CN" w:bidi="ar"/>
        </w:rPr>
        <w:t>1.部门预算绩效自评打分表</w:t>
      </w:r>
    </w:p>
    <w:p w14:paraId="05FD65B1">
      <w:pPr>
        <w:keepNext w:val="0"/>
        <w:keepLines w:val="0"/>
        <w:pageBreakBefore w:val="0"/>
        <w:kinsoku/>
        <w:wordWrap/>
        <w:overflowPunct/>
        <w:topLinePunct w:val="0"/>
        <w:autoSpaceDE/>
        <w:autoSpaceDN/>
        <w:bidi w:val="0"/>
        <w:spacing w:line="578" w:lineRule="exact"/>
        <w:ind w:firstLine="1600" w:firstLineChars="500"/>
        <w:textAlignment w:val="auto"/>
        <w:rPr>
          <w:rFonts w:hint="default" w:ascii="Times New Roman" w:hAnsi="Times New Roman" w:eastAsia="仿宋_GB2312" w:cs="Times New Roman"/>
          <w:strike w:val="0"/>
          <w:sz w:val="32"/>
          <w:szCs w:val="32"/>
          <w:u w:val="none"/>
          <w:lang w:eastAsia="zh-CN" w:bidi="ar"/>
        </w:rPr>
      </w:pPr>
      <w:r>
        <w:rPr>
          <w:rFonts w:hint="eastAsia" w:ascii="Times New Roman" w:hAnsi="Times New Roman" w:cs="Times New Roman"/>
          <w:strike w:val="0"/>
          <w:sz w:val="32"/>
          <w:szCs w:val="32"/>
          <w:u w:val="none"/>
          <w:lang w:val="en-US" w:eastAsia="zh-CN" w:bidi="ar"/>
        </w:rPr>
        <w:t>2..</w:t>
      </w:r>
      <w:r>
        <w:rPr>
          <w:rFonts w:hint="default" w:ascii="Times New Roman" w:hAnsi="Times New Roman" w:cs="Times New Roman"/>
          <w:strike w:val="0"/>
          <w:sz w:val="32"/>
          <w:szCs w:val="32"/>
          <w:u w:val="none"/>
          <w:lang w:val="en-US" w:eastAsia="zh-CN" w:bidi="ar"/>
        </w:rPr>
        <w:t>部门预算项目支出绩效评价表（2024年度）</w:t>
      </w:r>
    </w:p>
    <w:p w14:paraId="104175B9">
      <w:pPr>
        <w:keepNext w:val="0"/>
        <w:keepLines w:val="0"/>
        <w:pageBreakBefore w:val="0"/>
        <w:kinsoku/>
        <w:wordWrap/>
        <w:overflowPunct/>
        <w:topLinePunct w:val="0"/>
        <w:autoSpaceDE/>
        <w:autoSpaceDN/>
        <w:bidi w:val="0"/>
        <w:spacing w:line="578" w:lineRule="exact"/>
        <w:jc w:val="left"/>
        <w:textAlignment w:val="auto"/>
        <w:rPr>
          <w:rFonts w:hint="eastAsia" w:ascii="Times New Roman" w:hAnsi="Times New Roman" w:eastAsia="黑体" w:cs="Times New Roman"/>
          <w:kern w:val="2"/>
          <w:sz w:val="32"/>
          <w:szCs w:val="24"/>
          <w:highlight w:val="none"/>
          <w:lang w:val="en-US" w:eastAsia="zh-CN" w:bidi="ar-SA"/>
        </w:rPr>
      </w:pPr>
      <w:r>
        <w:rPr>
          <w:rFonts w:hint="default" w:ascii="Times New Roman" w:hAnsi="Times New Roman" w:eastAsia="黑体" w:cs="Times New Roman"/>
          <w:kern w:val="2"/>
          <w:sz w:val="32"/>
          <w:szCs w:val="24"/>
          <w:highlight w:val="none"/>
          <w:lang w:val="en-US" w:eastAsia="zh-CN" w:bidi="ar-SA"/>
        </w:rPr>
        <w:t>附表</w:t>
      </w:r>
      <w:r>
        <w:rPr>
          <w:rFonts w:hint="eastAsia" w:ascii="Times New Roman" w:hAnsi="Times New Roman" w:eastAsia="黑体" w:cs="Times New Roman"/>
          <w:kern w:val="2"/>
          <w:sz w:val="32"/>
          <w:szCs w:val="24"/>
          <w:highlight w:val="none"/>
          <w:lang w:val="en-US" w:eastAsia="zh-CN" w:bidi="ar-SA"/>
        </w:rPr>
        <w:t>1</w:t>
      </w:r>
    </w:p>
    <w:p w14:paraId="246119AB">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eastAsia" w:ascii="Times New Roman" w:hAnsi="Times New Roman" w:eastAsia="方正小标宋简体" w:cs="Times New Roman"/>
          <w:i w:val="0"/>
          <w:color w:val="000000"/>
          <w:kern w:val="0"/>
          <w:sz w:val="44"/>
          <w:szCs w:val="44"/>
          <w:u w:val="none"/>
          <w:lang w:val="en-US" w:eastAsia="zh-CN" w:bidi="ar"/>
        </w:rPr>
      </w:pPr>
      <w:r>
        <w:rPr>
          <w:rFonts w:hint="eastAsia" w:ascii="Times New Roman" w:hAnsi="Times New Roman" w:eastAsia="方正小标宋简体" w:cs="Times New Roman"/>
          <w:i w:val="0"/>
          <w:color w:val="000000"/>
          <w:kern w:val="0"/>
          <w:sz w:val="44"/>
          <w:szCs w:val="44"/>
          <w:u w:val="none"/>
          <w:lang w:val="en-US" w:eastAsia="zh-CN" w:bidi="ar"/>
        </w:rPr>
        <w:t>部门预算绩效自评打分表</w:t>
      </w:r>
    </w:p>
    <w:tbl>
      <w:tblPr>
        <w:tblStyle w:val="15"/>
        <w:tblW w:w="108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04"/>
        <w:gridCol w:w="1462"/>
        <w:gridCol w:w="1665"/>
        <w:gridCol w:w="720"/>
        <w:gridCol w:w="4734"/>
        <w:gridCol w:w="756"/>
        <w:gridCol w:w="478"/>
      </w:tblGrid>
      <w:tr w14:paraId="3F184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8E84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绩效评价指标指标分值</w:t>
            </w:r>
          </w:p>
        </w:tc>
        <w:tc>
          <w:tcPr>
            <w:tcW w:w="4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CCB5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指标解释</w:t>
            </w:r>
          </w:p>
        </w:tc>
        <w:tc>
          <w:tcPr>
            <w:tcW w:w="756" w:type="dxa"/>
            <w:vMerge w:val="restart"/>
            <w:tcBorders>
              <w:top w:val="single" w:color="000000" w:sz="4" w:space="0"/>
              <w:left w:val="single" w:color="000000" w:sz="4" w:space="0"/>
              <w:right w:val="single" w:color="000000" w:sz="4" w:space="0"/>
            </w:tcBorders>
            <w:shd w:val="clear" w:color="auto" w:fill="auto"/>
            <w:vAlign w:val="center"/>
          </w:tcPr>
          <w:p w14:paraId="28F4ED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14:paraId="1CEAD5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备注</w:t>
            </w:r>
          </w:p>
        </w:tc>
      </w:tr>
      <w:tr w14:paraId="047D7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nil"/>
            </w:tcBorders>
            <w:shd w:val="clear" w:color="auto" w:fill="auto"/>
            <w:vAlign w:val="center"/>
          </w:tcPr>
          <w:p w14:paraId="2EFAFC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一级指标</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163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二级指标</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479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2B3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w:t>
            </w:r>
            <w:r>
              <w:rPr>
                <w:rFonts w:hint="eastAsia" w:ascii="黑体" w:hAnsi="宋体" w:eastAsia="黑体" w:cs="黑体"/>
                <w:i w:val="0"/>
                <w:color w:val="000000"/>
                <w:kern w:val="0"/>
                <w:sz w:val="24"/>
                <w:szCs w:val="24"/>
                <w:u w:val="none"/>
                <w:lang w:val="en-US" w:eastAsia="zh-CN" w:bidi="ar"/>
              </w:rPr>
              <w:br w:type="textWrapping"/>
            </w:r>
            <w:r>
              <w:rPr>
                <w:rFonts w:hint="eastAsia" w:ascii="黑体" w:hAnsi="宋体" w:eastAsia="黑体" w:cs="黑体"/>
                <w:i w:val="0"/>
                <w:color w:val="000000"/>
                <w:kern w:val="0"/>
                <w:sz w:val="24"/>
                <w:szCs w:val="24"/>
                <w:u w:val="none"/>
                <w:lang w:val="en-US" w:eastAsia="zh-CN" w:bidi="ar"/>
              </w:rPr>
              <w:t>分值</w:t>
            </w:r>
          </w:p>
        </w:tc>
        <w:tc>
          <w:tcPr>
            <w:tcW w:w="4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69D17D">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756" w:type="dxa"/>
            <w:vMerge w:val="continue"/>
            <w:tcBorders>
              <w:left w:val="single" w:color="000000" w:sz="4" w:space="0"/>
              <w:bottom w:val="single" w:color="000000" w:sz="4" w:space="0"/>
              <w:right w:val="single" w:color="000000" w:sz="4" w:space="0"/>
            </w:tcBorders>
            <w:shd w:val="clear" w:color="auto" w:fill="auto"/>
            <w:vAlign w:val="center"/>
          </w:tcPr>
          <w:p w14:paraId="5E74FC9B">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478" w:type="dxa"/>
            <w:vMerge w:val="continue"/>
            <w:tcBorders>
              <w:left w:val="single" w:color="000000" w:sz="4" w:space="0"/>
              <w:bottom w:val="single" w:color="000000" w:sz="4" w:space="0"/>
              <w:right w:val="single" w:color="000000" w:sz="4" w:space="0"/>
            </w:tcBorders>
            <w:shd w:val="clear" w:color="auto" w:fill="auto"/>
            <w:vAlign w:val="center"/>
          </w:tcPr>
          <w:p w14:paraId="478CC24C">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r>
      <w:tr w14:paraId="63CFF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8C0F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总体绩效</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（65分）</w:t>
            </w:r>
          </w:p>
        </w:tc>
        <w:tc>
          <w:tcPr>
            <w:tcW w:w="1462" w:type="dxa"/>
            <w:vMerge w:val="restart"/>
            <w:tcBorders>
              <w:top w:val="single" w:color="000000" w:sz="4" w:space="0"/>
              <w:left w:val="single" w:color="000000" w:sz="4" w:space="0"/>
              <w:right w:val="single" w:color="000000" w:sz="4" w:space="0"/>
            </w:tcBorders>
            <w:shd w:val="clear" w:color="auto" w:fill="auto"/>
            <w:vAlign w:val="center"/>
          </w:tcPr>
          <w:p w14:paraId="1BEC94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履职效能</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3D7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日常公用经费履职效果</w:t>
            </w:r>
          </w:p>
        </w:tc>
        <w:tc>
          <w:tcPr>
            <w:tcW w:w="720" w:type="dxa"/>
            <w:tcBorders>
              <w:top w:val="nil"/>
              <w:left w:val="single" w:color="000000" w:sz="4" w:space="0"/>
              <w:bottom w:val="single" w:color="000000" w:sz="4" w:space="0"/>
              <w:right w:val="single" w:color="000000" w:sz="4" w:space="0"/>
            </w:tcBorders>
            <w:shd w:val="clear" w:color="auto" w:fill="auto"/>
            <w:vAlign w:val="center"/>
          </w:tcPr>
          <w:p w14:paraId="14CC54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4734" w:type="dxa"/>
            <w:vMerge w:val="restart"/>
            <w:tcBorders>
              <w:top w:val="single" w:color="000000" w:sz="4" w:space="0"/>
              <w:left w:val="single" w:color="000000" w:sz="4" w:space="0"/>
              <w:right w:val="single" w:color="000000" w:sz="4" w:space="0"/>
            </w:tcBorders>
            <w:shd w:val="clear" w:color="auto" w:fill="auto"/>
            <w:vAlign w:val="center"/>
          </w:tcPr>
          <w:p w14:paraId="13E90BE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部门整体绩效目标中选定3-5个核心职能目标，反映该项职能目标完成效果情况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53ED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008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CEB7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3" w:hRule="atLeast"/>
          <w:jc w:val="center"/>
        </w:trPr>
        <w:tc>
          <w:tcPr>
            <w:tcW w:w="1004" w:type="dxa"/>
            <w:vMerge w:val="continue"/>
            <w:tcBorders>
              <w:left w:val="single" w:color="000000" w:sz="4" w:space="0"/>
              <w:right w:val="single" w:color="000000" w:sz="4" w:space="0"/>
            </w:tcBorders>
            <w:shd w:val="clear" w:color="auto" w:fill="auto"/>
            <w:vAlign w:val="center"/>
          </w:tcPr>
          <w:p w14:paraId="4760B5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p>
        </w:tc>
        <w:tc>
          <w:tcPr>
            <w:tcW w:w="1462" w:type="dxa"/>
            <w:vMerge w:val="continue"/>
            <w:tcBorders>
              <w:left w:val="single" w:color="000000" w:sz="4" w:space="0"/>
              <w:right w:val="single" w:color="000000" w:sz="4" w:space="0"/>
            </w:tcBorders>
            <w:shd w:val="clear" w:color="auto" w:fill="auto"/>
            <w:vAlign w:val="center"/>
          </w:tcPr>
          <w:p w14:paraId="77327A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18B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在职在编人员基本工资履职效果</w:t>
            </w:r>
          </w:p>
        </w:tc>
        <w:tc>
          <w:tcPr>
            <w:tcW w:w="720" w:type="dxa"/>
            <w:tcBorders>
              <w:top w:val="nil"/>
              <w:left w:val="single" w:color="000000" w:sz="4" w:space="0"/>
              <w:bottom w:val="single" w:color="000000" w:sz="4" w:space="0"/>
              <w:right w:val="single" w:color="000000" w:sz="4" w:space="0"/>
            </w:tcBorders>
            <w:shd w:val="clear" w:color="auto" w:fill="auto"/>
            <w:vAlign w:val="center"/>
          </w:tcPr>
          <w:p w14:paraId="0A3E35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734" w:type="dxa"/>
            <w:vMerge w:val="continue"/>
            <w:tcBorders>
              <w:left w:val="single" w:color="000000" w:sz="4" w:space="0"/>
              <w:right w:val="single" w:color="000000" w:sz="4" w:space="0"/>
            </w:tcBorders>
            <w:shd w:val="clear" w:color="auto" w:fill="auto"/>
            <w:vAlign w:val="center"/>
          </w:tcPr>
          <w:p w14:paraId="4370469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6F3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C17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D059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33F851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p>
        </w:tc>
        <w:tc>
          <w:tcPr>
            <w:tcW w:w="1462" w:type="dxa"/>
            <w:vMerge w:val="continue"/>
            <w:tcBorders>
              <w:left w:val="single" w:color="000000" w:sz="4" w:space="0"/>
              <w:bottom w:val="single" w:color="000000" w:sz="4" w:space="0"/>
              <w:right w:val="single" w:color="000000" w:sz="4" w:space="0"/>
            </w:tcBorders>
            <w:shd w:val="clear" w:color="auto" w:fill="auto"/>
            <w:vAlign w:val="center"/>
          </w:tcPr>
          <w:p w14:paraId="31FE09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FAE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系列文化活动履职效果</w:t>
            </w:r>
          </w:p>
        </w:tc>
        <w:tc>
          <w:tcPr>
            <w:tcW w:w="720" w:type="dxa"/>
            <w:tcBorders>
              <w:top w:val="nil"/>
              <w:left w:val="single" w:color="000000" w:sz="4" w:space="0"/>
              <w:bottom w:val="single" w:color="000000" w:sz="4" w:space="0"/>
              <w:right w:val="single" w:color="000000" w:sz="4" w:space="0"/>
            </w:tcBorders>
            <w:shd w:val="clear" w:color="auto" w:fill="auto"/>
            <w:vAlign w:val="center"/>
          </w:tcPr>
          <w:p w14:paraId="2E4BA7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734" w:type="dxa"/>
            <w:vMerge w:val="continue"/>
            <w:tcBorders>
              <w:left w:val="single" w:color="000000" w:sz="4" w:space="0"/>
              <w:bottom w:val="single" w:color="000000" w:sz="4" w:space="0"/>
              <w:right w:val="single" w:color="000000" w:sz="4" w:space="0"/>
            </w:tcBorders>
            <w:shd w:val="clear" w:color="auto" w:fill="auto"/>
            <w:vAlign w:val="center"/>
          </w:tcPr>
          <w:p w14:paraId="4A67631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B69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C3ED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0E5B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FC1D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389D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预算管理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（25分）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C53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预算编制质量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7FD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400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部门是否严格按要求编制年初部门预算，年初预算编制的科学性和准确性</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5791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7.5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1CB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CACE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EE92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B2FB2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1CB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单位收入统筹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A24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DAA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部门统筹自有收入程度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FB2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385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E26E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4046C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C9969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B3B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支出执行进度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ABF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EE9C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部门1至6月、1至10月预算执行情况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3A6F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29E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CDB2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6E3CE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7F6A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8C6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预算年终结余</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037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6FD2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部门整体年终预算结余情况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F33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107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C9D5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0F37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C8BF2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06D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严控一般性支出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4F5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2EB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部门严控“三公”经费、会议、培训、差旅、办节办展、办公设备购置、信息网络及软件购置更新、课题经费等8项一般性支出情况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BFC7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0</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C02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0B50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F7419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C3D4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财务管理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0AA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财务管理制度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4E8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BF86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部门财务管理制度建立情况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BC7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D30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C2F5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6C3E2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83121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6CA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财务岗位设置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69E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C84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部门财务岗位设置是否符合相关财务管理制度要求</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C189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EED2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947F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CD74A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664A9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F02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资金使用规范</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6D1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4C5B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部门资金使用是否符合相关财务管理制度规定</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703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6DD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BFB1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71AD7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1765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资产管理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85F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人均资产变化率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398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CEE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部门人均资产变化情况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27F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7A66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B5CE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2270B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A7DD4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C57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资产利用率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12F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4680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部门资产超最低使用年限情况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68D6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1D75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3EF5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E84D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总体绩效</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（65分）</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075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资产管理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A3F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资产盘活率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926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2CD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部门闲置一年以上的资产盘活情况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A47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5B7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66A0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26D03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CC25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采购管理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（6分）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815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支持中小企业发展</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FB0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9D1A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部门是否严格执行政府采购促进中小企业发展相关管理办法</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3D0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5E11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67FB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89C9E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3E3A2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8AD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采购执行率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CB5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519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部门政府采购项目资金支付比例情况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CE2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6E49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7425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8B7E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项目绩效</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（35分）</w:t>
            </w: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14:paraId="5AE777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项目决策</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D4F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决策程序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49B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24DB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部门预算项目设立是否按规定履行评估论证、申报程序</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880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5FC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D366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A2BF0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100FB60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64A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865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10C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部门预算项目绩效目标与计划期内的任务量、预算安排的资金量匹配情况，绩效目标设置是否科学合理、规范完整、量化细化、预算匹配</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B1E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137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F896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86A5B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1AB550C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401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项目入库</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1C1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B8E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部门预算项目是否在规定时间完成项目入库</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E84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529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4242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73B08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14:paraId="527A4D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项目执行</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034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执行同向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63C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A94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部门预算项目实际列支内容是否与绩效目标设置方向相符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2701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6C0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6AD5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B5CE9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58D282E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nil"/>
              <w:right w:val="single" w:color="000000" w:sz="4" w:space="0"/>
            </w:tcBorders>
            <w:shd w:val="clear" w:color="auto" w:fill="auto"/>
            <w:vAlign w:val="center"/>
          </w:tcPr>
          <w:p w14:paraId="360926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项目调整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15E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8369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部门预算项目是否采取对应调整措施</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2BE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627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1C0B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5D6FE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154C92D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796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执行结果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E36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E024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4D45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6A16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ED60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08D8F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08B3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目标实现</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（11分）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B3A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目标完成</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5F4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89C5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部门预算项目绩效目标数量指标完成情况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8EC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D44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43BE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6C303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3C34A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7C91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zh-CN" w:eastAsia="zh-CN" w:bidi="ar"/>
              </w:rPr>
            </w:pPr>
            <w:r>
              <w:rPr>
                <w:rFonts w:hint="eastAsia" w:ascii="Times New Roman" w:hAnsi="Times New Roman" w:cs="Times New Roman"/>
                <w:i w:val="0"/>
                <w:color w:val="000000"/>
                <w:kern w:val="0"/>
                <w:sz w:val="24"/>
                <w:szCs w:val="24"/>
                <w:u w:val="none"/>
                <w:lang w:val="en-US" w:eastAsia="zh-CN" w:bidi="ar"/>
              </w:rPr>
              <w:t>目标偏离</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1C4A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zh-CN" w:eastAsia="zh-CN" w:bidi="ar"/>
              </w:rPr>
            </w:pPr>
            <w:r>
              <w:rPr>
                <w:rFonts w:hint="eastAsia" w:ascii="Times New Roman" w:hAnsi="Times New Roman" w:cs="Times New Roman"/>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C39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部门预算项目绩效目标数量指标实现程度与预期目标的偏离情况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68A4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AA5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1529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F987A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D4D4A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893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实现效果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CE5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E2F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部门预算项目绩效目标效益指标实施效果</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774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4A3B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1D3B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B76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扣分项</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（10分）</w:t>
            </w:r>
          </w:p>
        </w:tc>
        <w:tc>
          <w:tcPr>
            <w:tcW w:w="3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D95E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被评价部门配合度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CA5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DD8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被评价对象工作配合情况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FD36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CB69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bl>
    <w:p w14:paraId="64DECC69">
      <w:pPr>
        <w:pStyle w:val="14"/>
        <w:pageBreakBefore w:val="0"/>
        <w:kinsoku/>
        <w:wordWrap/>
        <w:overflowPunct/>
        <w:topLinePunct w:val="0"/>
        <w:autoSpaceDE/>
        <w:autoSpaceDN/>
        <w:bidi w:val="0"/>
        <w:adjustRightInd/>
        <w:snapToGrid/>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64A68A4E">
      <w:pPr>
        <w:pStyle w:val="14"/>
        <w:pageBreakBefore w:val="0"/>
        <w:kinsoku/>
        <w:wordWrap/>
        <w:overflowPunct/>
        <w:topLinePunct w:val="0"/>
        <w:autoSpaceDE/>
        <w:autoSpaceDN/>
        <w:bidi w:val="0"/>
        <w:adjustRightInd/>
        <w:snapToGrid/>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7D81CA3C">
      <w:pPr>
        <w:pStyle w:val="14"/>
        <w:pageBreakBefore w:val="0"/>
        <w:kinsoku/>
        <w:wordWrap/>
        <w:overflowPunct/>
        <w:topLinePunct w:val="0"/>
        <w:autoSpaceDE/>
        <w:autoSpaceDN/>
        <w:bidi w:val="0"/>
        <w:adjustRightInd/>
        <w:snapToGrid/>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5E68C3B4">
      <w:pPr>
        <w:pStyle w:val="14"/>
        <w:pageBreakBefore w:val="0"/>
        <w:kinsoku/>
        <w:wordWrap/>
        <w:overflowPunct/>
        <w:topLinePunct w:val="0"/>
        <w:autoSpaceDE/>
        <w:autoSpaceDN/>
        <w:bidi w:val="0"/>
        <w:adjustRightInd/>
        <w:snapToGrid/>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4FBC935F">
      <w:pPr>
        <w:pStyle w:val="14"/>
        <w:pageBreakBefore w:val="0"/>
        <w:kinsoku/>
        <w:wordWrap/>
        <w:overflowPunct/>
        <w:topLinePunct w:val="0"/>
        <w:autoSpaceDE/>
        <w:autoSpaceDN/>
        <w:bidi w:val="0"/>
        <w:adjustRightInd/>
        <w:snapToGrid/>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219CF0CD">
      <w:pPr>
        <w:pStyle w:val="14"/>
        <w:pageBreakBefore w:val="0"/>
        <w:kinsoku/>
        <w:wordWrap/>
        <w:overflowPunct/>
        <w:topLinePunct w:val="0"/>
        <w:autoSpaceDE/>
        <w:autoSpaceDN/>
        <w:bidi w:val="0"/>
        <w:adjustRightInd/>
        <w:snapToGrid/>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1C37F2F8">
      <w:pPr>
        <w:pStyle w:val="14"/>
        <w:pageBreakBefore w:val="0"/>
        <w:kinsoku/>
        <w:wordWrap/>
        <w:overflowPunct/>
        <w:topLinePunct w:val="0"/>
        <w:autoSpaceDE/>
        <w:autoSpaceDN/>
        <w:bidi w:val="0"/>
        <w:adjustRightInd/>
        <w:snapToGrid/>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74EF7C88">
      <w:pPr>
        <w:pStyle w:val="14"/>
        <w:pageBreakBefore w:val="0"/>
        <w:kinsoku/>
        <w:wordWrap/>
        <w:overflowPunct/>
        <w:topLinePunct w:val="0"/>
        <w:autoSpaceDE/>
        <w:autoSpaceDN/>
        <w:bidi w:val="0"/>
        <w:adjustRightInd/>
        <w:snapToGrid/>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407B84A4">
      <w:pPr>
        <w:pStyle w:val="14"/>
        <w:pageBreakBefore w:val="0"/>
        <w:kinsoku/>
        <w:wordWrap/>
        <w:overflowPunct/>
        <w:topLinePunct w:val="0"/>
        <w:autoSpaceDE/>
        <w:autoSpaceDN/>
        <w:bidi w:val="0"/>
        <w:adjustRightInd/>
        <w:snapToGrid/>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442B2699">
      <w:pPr>
        <w:pStyle w:val="14"/>
        <w:pageBreakBefore w:val="0"/>
        <w:kinsoku/>
        <w:wordWrap/>
        <w:overflowPunct/>
        <w:topLinePunct w:val="0"/>
        <w:autoSpaceDE/>
        <w:autoSpaceDN/>
        <w:bidi w:val="0"/>
        <w:adjustRightInd/>
        <w:snapToGrid/>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1B08FC95">
      <w:pPr>
        <w:pStyle w:val="14"/>
        <w:pageBreakBefore w:val="0"/>
        <w:kinsoku/>
        <w:wordWrap/>
        <w:overflowPunct/>
        <w:topLinePunct w:val="0"/>
        <w:autoSpaceDE/>
        <w:autoSpaceDN/>
        <w:bidi w:val="0"/>
        <w:adjustRightInd/>
        <w:snapToGrid/>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r>
        <w:rPr>
          <w:rFonts w:hint="eastAsia" w:ascii="黑体" w:hAnsi="黑体" w:eastAsia="黑体" w:cs="黑体"/>
          <w:kern w:val="2"/>
          <w:sz w:val="32"/>
          <w:szCs w:val="24"/>
          <w:highlight w:val="none"/>
          <w:lang w:val="en-US" w:eastAsia="zh-CN" w:bidi="ar-SA"/>
        </w:rPr>
        <w:t>附表2</w:t>
      </w:r>
    </w:p>
    <w:p w14:paraId="5DE8FCAD">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hint="default" w:ascii="Times New Roman" w:hAnsi="Times New Roman" w:eastAsia="方正小标宋简体" w:cs="Times New Roman"/>
          <w:i w:val="0"/>
          <w:color w:val="000000"/>
          <w:kern w:val="0"/>
          <w:sz w:val="44"/>
          <w:szCs w:val="44"/>
          <w:u w:val="none"/>
          <w:lang w:val="en-US" w:eastAsia="zh-CN" w:bidi="ar"/>
        </w:rPr>
      </w:pPr>
      <w:r>
        <w:rPr>
          <w:rFonts w:hint="default" w:ascii="Times New Roman" w:hAnsi="Times New Roman" w:eastAsia="方正小标宋简体" w:cs="Times New Roman"/>
          <w:i w:val="0"/>
          <w:color w:val="000000"/>
          <w:kern w:val="0"/>
          <w:sz w:val="44"/>
          <w:szCs w:val="44"/>
          <w:u w:val="none"/>
          <w:lang w:val="en-US" w:eastAsia="zh-CN" w:bidi="ar"/>
        </w:rPr>
        <w:t>部门预算项目支出绩效评价表</w:t>
      </w:r>
    </w:p>
    <w:p w14:paraId="0F006C66">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hint="default" w:ascii="Times New Roman" w:hAnsi="Times New Roman" w:eastAsia="方正小标宋简体" w:cs="Times New Roman"/>
          <w:i w:val="0"/>
          <w:color w:val="000000"/>
          <w:kern w:val="0"/>
          <w:sz w:val="32"/>
          <w:szCs w:val="32"/>
          <w:u w:val="none"/>
          <w:lang w:val="en-US" w:eastAsia="zh-CN" w:bidi="ar"/>
        </w:rPr>
      </w:pPr>
      <w:r>
        <w:rPr>
          <w:rFonts w:hint="default" w:ascii="Times New Roman" w:hAnsi="Times New Roman" w:eastAsia="方正小标宋简体" w:cs="Times New Roman"/>
          <w:i w:val="0"/>
          <w:color w:val="000000"/>
          <w:kern w:val="0"/>
          <w:sz w:val="32"/>
          <w:szCs w:val="32"/>
          <w:u w:val="none"/>
          <w:lang w:val="en-US" w:eastAsia="zh-CN" w:bidi="ar"/>
        </w:rPr>
        <w:t>（2024年度）</w:t>
      </w:r>
    </w:p>
    <w:p w14:paraId="09810C84">
      <w:pPr>
        <w:pStyle w:val="31"/>
        <w:pageBreakBefore w:val="0"/>
        <w:kinsoku/>
        <w:wordWrap/>
        <w:overflowPunct/>
        <w:topLinePunct w:val="0"/>
        <w:autoSpaceDE/>
        <w:autoSpaceDN/>
        <w:bidi w:val="0"/>
        <w:adjustRightInd/>
        <w:snapToGrid/>
        <w:spacing w:before="0" w:after="0" w:line="578" w:lineRule="exact"/>
        <w:ind w:firstLine="640" w:firstLineChars="200"/>
        <w:rPr>
          <w:rFonts w:hint="eastAsia" w:ascii="Times New Roman" w:hAnsi="Times New Roman" w:eastAsia="仿宋_GB2312" w:cs="Times New Roman"/>
          <w:b w:val="0"/>
          <w:color w:val="000000"/>
          <w:kern w:val="0"/>
          <w:sz w:val="32"/>
          <w:szCs w:val="32"/>
          <w:highlight w:val="none"/>
          <w:shd w:val="clear" w:color="auto" w:fill="FFFFFF"/>
          <w:lang w:val="en-US" w:eastAsia="zh-CN" w:bidi="ar-SA"/>
        </w:rPr>
      </w:pPr>
    </w:p>
    <w:tbl>
      <w:tblPr>
        <w:tblStyle w:val="15"/>
        <w:tblW w:w="98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99"/>
        <w:gridCol w:w="1385"/>
        <w:gridCol w:w="1387"/>
        <w:gridCol w:w="2125"/>
        <w:gridCol w:w="1109"/>
        <w:gridCol w:w="1294"/>
        <w:gridCol w:w="832"/>
        <w:gridCol w:w="649"/>
      </w:tblGrid>
      <w:tr w14:paraId="639F9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9" w:hRule="atLeast"/>
        </w:trPr>
        <w:tc>
          <w:tcPr>
            <w:tcW w:w="9880" w:type="dxa"/>
            <w:gridSpan w:val="8"/>
            <w:tcBorders>
              <w:top w:val="nil"/>
              <w:left w:val="nil"/>
              <w:bottom w:val="nil"/>
              <w:right w:val="nil"/>
            </w:tcBorders>
            <w:shd w:val="clear" w:color="auto" w:fill="auto"/>
            <w:vAlign w:val="center"/>
          </w:tcPr>
          <w:p w14:paraId="3F6C760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部门整体支出绩效目标表</w:t>
            </w:r>
          </w:p>
        </w:tc>
      </w:tr>
      <w:tr w14:paraId="065B4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5" w:hRule="atLeast"/>
        </w:trPr>
        <w:tc>
          <w:tcPr>
            <w:tcW w:w="9880" w:type="dxa"/>
            <w:gridSpan w:val="8"/>
            <w:tcBorders>
              <w:top w:val="nil"/>
              <w:left w:val="nil"/>
              <w:bottom w:val="nil"/>
              <w:right w:val="nil"/>
            </w:tcBorders>
            <w:shd w:val="clear" w:color="auto" w:fill="auto"/>
            <w:vAlign w:val="center"/>
          </w:tcPr>
          <w:p w14:paraId="0ABE95E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（2024年度）</w:t>
            </w:r>
          </w:p>
        </w:tc>
      </w:tr>
      <w:tr w14:paraId="0F6C4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9880" w:type="dxa"/>
            <w:gridSpan w:val="8"/>
            <w:tcBorders>
              <w:top w:val="nil"/>
              <w:left w:val="nil"/>
              <w:bottom w:val="single" w:color="000000" w:sz="4" w:space="0"/>
              <w:right w:val="nil"/>
            </w:tcBorders>
            <w:shd w:val="clear" w:color="auto" w:fill="auto"/>
            <w:vAlign w:val="center"/>
          </w:tcPr>
          <w:p w14:paraId="14BBE9E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金额单位：万元</w:t>
            </w:r>
          </w:p>
        </w:tc>
      </w:tr>
      <w:tr w14:paraId="630F7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38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7EA85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部门名称</w:t>
            </w:r>
          </w:p>
        </w:tc>
        <w:tc>
          <w:tcPr>
            <w:tcW w:w="6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CC7F01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金川县文学艺术界联合会本级</w:t>
            </w:r>
          </w:p>
        </w:tc>
      </w:tr>
      <w:tr w14:paraId="3F5F9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10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C3C44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年度部门整体支出预算</w:t>
            </w:r>
          </w:p>
        </w:tc>
        <w:tc>
          <w:tcPr>
            <w:tcW w:w="27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1E0AE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资金总额</w:t>
            </w:r>
          </w:p>
        </w:tc>
        <w:tc>
          <w:tcPr>
            <w:tcW w:w="32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DC2D6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财政拨款</w:t>
            </w:r>
          </w:p>
        </w:tc>
        <w:tc>
          <w:tcPr>
            <w:tcW w:w="2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1192B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其他资金</w:t>
            </w:r>
          </w:p>
        </w:tc>
      </w:tr>
      <w:tr w14:paraId="503CA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85C46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p>
        </w:tc>
        <w:tc>
          <w:tcPr>
            <w:tcW w:w="27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072AB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104.8</w:t>
            </w:r>
          </w:p>
        </w:tc>
        <w:tc>
          <w:tcPr>
            <w:tcW w:w="32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A1967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104.8</w:t>
            </w:r>
          </w:p>
        </w:tc>
        <w:tc>
          <w:tcPr>
            <w:tcW w:w="2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97A38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p>
        </w:tc>
      </w:tr>
      <w:tr w14:paraId="6275E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6" w:hRule="atLeast"/>
        </w:trPr>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8B8E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年度总体目标</w:t>
            </w:r>
          </w:p>
        </w:tc>
        <w:tc>
          <w:tcPr>
            <w:tcW w:w="878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E77786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2024年，按照县委县政府工作总体安排，着力抓好以下6项重点工作。一是认真开展学习贯彻习近平新时代中国特色社会主义思想主题教育；二是继续开展“六大六治”行动，持续优化干部作风；三是组织开展《阿木穰将军》专著实地踏勘工作，收集整理好第一手资料，写好金川的民族英雄；四是结合梨花节、红叶节、丰收节、民族团结进步月等特色活动，联合县级部门组织开展主题文艺活动，营造浓厚氛围；五是持续开展“金川民俗”展示行动；六是发挥“创阅中心”带动效能，持续开展赠书活动，浓郁阅读氛围。</w:t>
            </w:r>
          </w:p>
        </w:tc>
      </w:tr>
      <w:tr w14:paraId="3DB25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0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C8A5F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年度主要任务</w:t>
            </w:r>
          </w:p>
        </w:tc>
        <w:tc>
          <w:tcPr>
            <w:tcW w:w="27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B80DF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任务名称</w:t>
            </w:r>
          </w:p>
        </w:tc>
        <w:tc>
          <w:tcPr>
            <w:tcW w:w="6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F73FCB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主要内容</w:t>
            </w:r>
          </w:p>
        </w:tc>
      </w:tr>
      <w:tr w14:paraId="3606E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6" w:hRule="atLeast"/>
        </w:trPr>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33984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p>
        </w:tc>
        <w:tc>
          <w:tcPr>
            <w:tcW w:w="27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AE7CC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文艺服务</w:t>
            </w:r>
          </w:p>
        </w:tc>
        <w:tc>
          <w:tcPr>
            <w:tcW w:w="6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8B0699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围绕党的中心任务、县委县政府工作安排，结合文联工作特点，提出各时期文联工作任务，制定全县文联的工作目标；组织开展《阿木穰将军》专著实地踏勘工作，收集整理好第一手资料，写好金川的民族英雄；结合梨花节、红叶节、丰收节、民族团结进步月等特色活动，联合县级部门组织开展主题文艺活动，营造浓厚氛围；持续开展“金川民俗”展示行动；</w:t>
            </w:r>
          </w:p>
        </w:tc>
      </w:tr>
      <w:tr w14:paraId="4E851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92" w:hRule="atLeast"/>
        </w:trPr>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645D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p>
        </w:tc>
        <w:tc>
          <w:tcPr>
            <w:tcW w:w="27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E5266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其他事务</w:t>
            </w:r>
          </w:p>
        </w:tc>
        <w:tc>
          <w:tcPr>
            <w:tcW w:w="6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0FC44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认真开展学习贯彻习近平新时代中国特色社会主义思想主题教育；二是继续开展“六大六治”行动，持续优化干部作风；发挥“创阅中心”带动效能，持续开展赠书活动，浓郁阅读氛围；完成上级文联、县委、县政府交办的各项事务。</w:t>
            </w:r>
          </w:p>
        </w:tc>
      </w:tr>
      <w:tr w14:paraId="54349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6" w:hRule="atLeast"/>
        </w:trPr>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C0CDE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p>
        </w:tc>
        <w:tc>
          <w:tcPr>
            <w:tcW w:w="27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03110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文艺交流</w:t>
            </w:r>
          </w:p>
        </w:tc>
        <w:tc>
          <w:tcPr>
            <w:tcW w:w="6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B4EA4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做好我县各文学艺术协会的联络协调、服务工作，组织会员间的交流活动，反映文艺工作者的要求，维护文艺工作者的合法权益；指导各协会开展人才培训和调研工作，总结交流创作经验，开展多种文艺评奖、表彰、纪念活动，协调有关部门有重点地组织创作、展出、演出，力求出作品、出精品、出人才。</w:t>
            </w:r>
          </w:p>
        </w:tc>
      </w:tr>
      <w:tr w14:paraId="32458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8" w:hRule="atLeast"/>
        </w:trPr>
        <w:tc>
          <w:tcPr>
            <w:tcW w:w="10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24751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年度绩效指标</w:t>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2E8F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一级指标</w:t>
            </w:r>
          </w:p>
        </w:tc>
        <w:tc>
          <w:tcPr>
            <w:tcW w:w="1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2610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二级指标</w:t>
            </w:r>
          </w:p>
        </w:tc>
        <w:tc>
          <w:tcPr>
            <w:tcW w:w="2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5A7B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三级指标</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E1EF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绩效指标性质</w:t>
            </w:r>
          </w:p>
        </w:tc>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A83D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绩效指标值</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070A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绩效度量单位</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AF19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权重</w:t>
            </w:r>
          </w:p>
        </w:tc>
      </w:tr>
      <w:tr w14:paraId="353D4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92" w:hRule="atLeast"/>
        </w:trPr>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623A4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p>
        </w:tc>
        <w:tc>
          <w:tcPr>
            <w:tcW w:w="13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84019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产出指标</w:t>
            </w:r>
          </w:p>
        </w:tc>
        <w:tc>
          <w:tcPr>
            <w:tcW w:w="13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E15B7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数量指标</w:t>
            </w:r>
          </w:p>
        </w:tc>
        <w:tc>
          <w:tcPr>
            <w:tcW w:w="2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3B5A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组织开展主题文艺活动，营造浓厚氛围；开展“金川民俗”展示行动；持续赠书活动，浓郁阅读氛围。</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924C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964F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2</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4678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场次</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AE98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20</w:t>
            </w:r>
          </w:p>
        </w:tc>
      </w:tr>
      <w:tr w14:paraId="0B37C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66FC8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p>
        </w:tc>
        <w:tc>
          <w:tcPr>
            <w:tcW w:w="13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3C9F0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p>
        </w:tc>
        <w:tc>
          <w:tcPr>
            <w:tcW w:w="1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7E1E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p>
        </w:tc>
        <w:tc>
          <w:tcPr>
            <w:tcW w:w="2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CAA8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开展主题教育活动次数</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9989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1999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12</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A299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次</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06D4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10</w:t>
            </w:r>
          </w:p>
        </w:tc>
      </w:tr>
      <w:tr w14:paraId="2539C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19788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p>
        </w:tc>
        <w:tc>
          <w:tcPr>
            <w:tcW w:w="13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D07FC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p>
        </w:tc>
        <w:tc>
          <w:tcPr>
            <w:tcW w:w="1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D82B4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p>
        </w:tc>
        <w:tc>
          <w:tcPr>
            <w:tcW w:w="2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C1A8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收集整理民族英雄事迹</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A6AE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E64C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1</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48D3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个</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9064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10</w:t>
            </w:r>
          </w:p>
        </w:tc>
      </w:tr>
      <w:tr w14:paraId="3D021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2C14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p>
        </w:tc>
        <w:tc>
          <w:tcPr>
            <w:tcW w:w="13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046BB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p>
        </w:tc>
        <w:tc>
          <w:tcPr>
            <w:tcW w:w="1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FC9C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质量指标</w:t>
            </w:r>
          </w:p>
        </w:tc>
        <w:tc>
          <w:tcPr>
            <w:tcW w:w="2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D65E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预算准确率</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6551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2DAE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98</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3285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0235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10</w:t>
            </w:r>
          </w:p>
        </w:tc>
      </w:tr>
      <w:tr w14:paraId="44A31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9FAF6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p>
        </w:tc>
        <w:tc>
          <w:tcPr>
            <w:tcW w:w="13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2E617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p>
        </w:tc>
        <w:tc>
          <w:tcPr>
            <w:tcW w:w="1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0B76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时效指标</w:t>
            </w:r>
          </w:p>
        </w:tc>
        <w:tc>
          <w:tcPr>
            <w:tcW w:w="2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7A6A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2024年底前完成</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4373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E4E7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100</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A3BE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2A93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10</w:t>
            </w:r>
          </w:p>
        </w:tc>
      </w:tr>
      <w:tr w14:paraId="684B0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83791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p>
        </w:tc>
        <w:tc>
          <w:tcPr>
            <w:tcW w:w="13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4321F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效益指标</w:t>
            </w:r>
          </w:p>
        </w:tc>
        <w:tc>
          <w:tcPr>
            <w:tcW w:w="1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9EDC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社会效益指标</w:t>
            </w:r>
          </w:p>
        </w:tc>
        <w:tc>
          <w:tcPr>
            <w:tcW w:w="2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6BF7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营造浓厚氛围，繁荣文化事业。</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C4D6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定性</w:t>
            </w:r>
          </w:p>
        </w:tc>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FAEF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好坏</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C1DD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6031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10</w:t>
            </w:r>
          </w:p>
        </w:tc>
      </w:tr>
      <w:tr w14:paraId="2071A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92" w:hRule="atLeast"/>
        </w:trPr>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29D27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p>
        </w:tc>
        <w:tc>
          <w:tcPr>
            <w:tcW w:w="13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2A82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p>
        </w:tc>
        <w:tc>
          <w:tcPr>
            <w:tcW w:w="1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8B42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可持续影响指标</w:t>
            </w:r>
          </w:p>
        </w:tc>
        <w:tc>
          <w:tcPr>
            <w:tcW w:w="2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501F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开展主题文艺活动，营造浓厚氛围；持续开展“金川民俗”展示；开展赠书活动，浓郁阅读氛围。</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D236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定性</w:t>
            </w:r>
          </w:p>
        </w:tc>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9534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好坏</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EA5D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2F0E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10</w:t>
            </w:r>
          </w:p>
        </w:tc>
      </w:tr>
      <w:tr w14:paraId="684C4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4" w:hRule="atLeast"/>
        </w:trPr>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7D021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E0F7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满意度指标</w:t>
            </w:r>
          </w:p>
        </w:tc>
        <w:tc>
          <w:tcPr>
            <w:tcW w:w="1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ABEC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服务对象满意度指标</w:t>
            </w:r>
          </w:p>
        </w:tc>
        <w:tc>
          <w:tcPr>
            <w:tcW w:w="2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AD4F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群众满意度</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AC84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F1CE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95</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B097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3CB4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cs="Times New Roman"/>
                <w:i w:val="0"/>
                <w:color w:val="000000"/>
                <w:kern w:val="0"/>
                <w:sz w:val="24"/>
                <w:szCs w:val="24"/>
                <w:u w:val="none"/>
                <w:lang w:val="en-US" w:eastAsia="zh-CN" w:bidi="ar"/>
              </w:rPr>
            </w:pPr>
            <w:r>
              <w:rPr>
                <w:rFonts w:hint="eastAsia" w:ascii="Times New Roman" w:hAnsi="Times New Roman" w:cs="Times New Roman"/>
                <w:i w:val="0"/>
                <w:color w:val="000000"/>
                <w:kern w:val="0"/>
                <w:sz w:val="24"/>
                <w:szCs w:val="24"/>
                <w:u w:val="none"/>
                <w:lang w:val="en-US" w:eastAsia="zh-CN" w:bidi="ar"/>
              </w:rPr>
              <w:t>10</w:t>
            </w:r>
          </w:p>
        </w:tc>
      </w:tr>
    </w:tbl>
    <w:p w14:paraId="7314E9A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cs="Times New Roman"/>
          <w:i w:val="0"/>
          <w:color w:val="000000"/>
          <w:kern w:val="0"/>
          <w:sz w:val="24"/>
          <w:szCs w:val="24"/>
          <w:u w:val="none"/>
          <w:lang w:val="en-US" w:eastAsia="zh-CN" w:bidi="ar"/>
        </w:rPr>
      </w:pPr>
    </w:p>
    <w:p w14:paraId="100497B2">
      <w:pPr>
        <w:numPr>
          <w:ilvl w:val="0"/>
          <w:numId w:val="0"/>
        </w:numPr>
        <w:ind w:leftChars="200" w:firstLine="640" w:firstLineChars="200"/>
        <w:rPr>
          <w:rFonts w:hint="eastAsia" w:ascii="仿宋_GB2312" w:eastAsia="仿宋_GB2312"/>
          <w:sz w:val="32"/>
          <w:szCs w:val="32"/>
          <w:lang w:eastAsia="zh-CN"/>
        </w:rPr>
      </w:pPr>
    </w:p>
    <w:p w14:paraId="430FFF9F">
      <w:pPr>
        <w:numPr>
          <w:ilvl w:val="0"/>
          <w:numId w:val="0"/>
        </w:numPr>
        <w:ind w:leftChars="200" w:firstLine="640" w:firstLineChars="200"/>
        <w:rPr>
          <w:rFonts w:hint="eastAsia" w:ascii="仿宋_GB2312" w:eastAsia="仿宋_GB2312"/>
          <w:sz w:val="32"/>
          <w:szCs w:val="32"/>
          <w:lang w:eastAsia="zh-CN"/>
        </w:rPr>
      </w:pPr>
    </w:p>
    <w:p w14:paraId="5DD29C20">
      <w:pPr>
        <w:numPr>
          <w:ilvl w:val="0"/>
          <w:numId w:val="0"/>
        </w:numPr>
        <w:ind w:leftChars="200" w:firstLine="640" w:firstLineChars="200"/>
        <w:rPr>
          <w:rFonts w:hint="eastAsia" w:ascii="仿宋_GB2312" w:eastAsia="仿宋_GB2312"/>
          <w:sz w:val="32"/>
          <w:szCs w:val="32"/>
          <w:lang w:eastAsia="zh-CN"/>
        </w:rPr>
      </w:pPr>
    </w:p>
    <w:p w14:paraId="55BFEC55">
      <w:pPr>
        <w:numPr>
          <w:ilvl w:val="0"/>
          <w:numId w:val="0"/>
        </w:numPr>
        <w:ind w:leftChars="200" w:firstLine="640" w:firstLineChars="200"/>
        <w:rPr>
          <w:rFonts w:hint="eastAsia" w:ascii="仿宋_GB2312" w:eastAsia="仿宋_GB2312"/>
          <w:sz w:val="32"/>
          <w:szCs w:val="32"/>
          <w:lang w:eastAsia="zh-CN"/>
        </w:rPr>
      </w:pPr>
    </w:p>
    <w:p w14:paraId="3AB654C8">
      <w:pPr>
        <w:numPr>
          <w:ilvl w:val="0"/>
          <w:numId w:val="0"/>
        </w:numPr>
        <w:ind w:leftChars="200" w:firstLine="640" w:firstLineChars="200"/>
        <w:rPr>
          <w:rFonts w:hint="eastAsia" w:ascii="仿宋_GB2312" w:eastAsia="仿宋_GB2312"/>
          <w:sz w:val="32"/>
          <w:szCs w:val="32"/>
          <w:lang w:eastAsia="zh-CN"/>
        </w:rPr>
      </w:pPr>
    </w:p>
    <w:p w14:paraId="1BF5EE10">
      <w:pPr>
        <w:numPr>
          <w:ilvl w:val="0"/>
          <w:numId w:val="0"/>
        </w:numPr>
        <w:ind w:leftChars="200" w:firstLine="640" w:firstLineChars="200"/>
        <w:rPr>
          <w:rFonts w:hint="eastAsia" w:ascii="仿宋_GB2312" w:eastAsia="仿宋_GB2312"/>
          <w:sz w:val="32"/>
          <w:szCs w:val="32"/>
          <w:lang w:eastAsia="zh-CN"/>
        </w:rPr>
      </w:pPr>
    </w:p>
    <w:p w14:paraId="4CECE6EA">
      <w:pPr>
        <w:pStyle w:val="3"/>
        <w:rPr>
          <w:rStyle w:val="29"/>
          <w:rFonts w:hint="default" w:ascii="仿宋" w:eastAsia="仿宋"/>
          <w:b w:val="0"/>
          <w:bCs w:val="0"/>
          <w:sz w:val="32"/>
          <w:szCs w:val="32"/>
          <w:lang w:val="en-US" w:eastAsia="zh-CN"/>
        </w:rPr>
      </w:pPr>
      <w:r>
        <w:rPr>
          <w:rStyle w:val="29"/>
          <w:rFonts w:hint="eastAsia" w:ascii="仿宋" w:eastAsia="仿宋"/>
          <w:b w:val="0"/>
          <w:bCs w:val="0"/>
          <w:sz w:val="32"/>
          <w:szCs w:val="32"/>
          <w:lang w:eastAsia="zh-CN"/>
        </w:rPr>
        <w:t>附件</w:t>
      </w:r>
      <w:r>
        <w:rPr>
          <w:rStyle w:val="29"/>
          <w:rFonts w:hint="eastAsia" w:ascii="仿宋" w:eastAsia="仿宋"/>
          <w:b w:val="0"/>
          <w:bCs w:val="0"/>
          <w:sz w:val="32"/>
          <w:szCs w:val="32"/>
          <w:lang w:val="en-US" w:eastAsia="zh-CN"/>
        </w:rPr>
        <w:t>2</w:t>
      </w:r>
    </w:p>
    <w:p w14:paraId="295371C7">
      <w:pPr>
        <w:keepNext w:val="0"/>
        <w:keepLines w:val="0"/>
        <w:pageBreakBefore w:val="0"/>
        <w:widowControl w:val="0"/>
        <w:kinsoku/>
        <w:wordWrap/>
        <w:overflowPunct/>
        <w:topLinePunct w:val="0"/>
        <w:autoSpaceDE/>
        <w:autoSpaceDN/>
        <w:bidi w:val="0"/>
        <w:adjustRightInd/>
        <w:snapToGrid/>
        <w:spacing w:line="576" w:lineRule="exact"/>
        <w:ind w:right="0" w:rightChars="0"/>
        <w:jc w:val="center"/>
        <w:textAlignment w:val="auto"/>
        <w:outlineLvl w:val="9"/>
        <w:rPr>
          <w:rFonts w:hint="default" w:ascii="Times New Roman" w:hAnsi="Times New Roman" w:eastAsia="方正小标宋简体" w:cs="Times New Roman"/>
          <w:b w:val="0"/>
          <w:bCs/>
          <w:color w:val="000000"/>
          <w:kern w:val="21"/>
          <w:sz w:val="32"/>
          <w:szCs w:val="32"/>
          <w:lang w:val="en-US" w:eastAsia="zh-CN"/>
        </w:rPr>
      </w:pPr>
    </w:p>
    <w:p w14:paraId="0E550421">
      <w:pPr>
        <w:pStyle w:val="32"/>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Times New Roman"/>
          <w:color w:val="auto"/>
          <w:kern w:val="2"/>
          <w:sz w:val="44"/>
          <w:szCs w:val="44"/>
          <w:highlight w:val="none"/>
          <w:lang w:val="en-US" w:eastAsia="zh-CN"/>
        </w:rPr>
      </w:pPr>
      <w:r>
        <w:rPr>
          <w:rFonts w:hint="eastAsia" w:ascii="Times New Roman" w:hAnsi="Times New Roman" w:eastAsia="方正小标宋简体" w:cs="Times New Roman"/>
          <w:color w:val="auto"/>
          <w:kern w:val="2"/>
          <w:sz w:val="44"/>
          <w:szCs w:val="44"/>
          <w:highlight w:val="none"/>
          <w:lang w:val="en-US" w:eastAsia="zh-CN"/>
        </w:rPr>
        <w:t>金川县文学艺术界联合会</w:t>
      </w:r>
    </w:p>
    <w:p w14:paraId="45F1F72C">
      <w:pPr>
        <w:pStyle w:val="32"/>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default" w:ascii="Times New Roman" w:hAnsi="Times New Roman" w:eastAsia="方正小标宋简体" w:cs="Times New Roman"/>
          <w:color w:val="auto"/>
          <w:kern w:val="2"/>
          <w:sz w:val="44"/>
          <w:szCs w:val="44"/>
          <w:highlight w:val="none"/>
          <w:lang w:val="en-US" w:eastAsia="zh-CN"/>
        </w:rPr>
      </w:pPr>
      <w:r>
        <w:rPr>
          <w:rFonts w:hint="eastAsia" w:ascii="Times New Roman" w:hAnsi="Times New Roman" w:eastAsia="方正小标宋简体" w:cs="Times New Roman"/>
          <w:color w:val="auto"/>
          <w:kern w:val="2"/>
          <w:sz w:val="44"/>
          <w:szCs w:val="44"/>
          <w:highlight w:val="none"/>
          <w:lang w:val="en-US" w:eastAsia="zh-CN"/>
        </w:rPr>
        <w:t>2024年度系列文化活动</w:t>
      </w:r>
      <w:r>
        <w:rPr>
          <w:rFonts w:hint="default" w:ascii="Times New Roman" w:hAnsi="Times New Roman" w:eastAsia="方正小标宋简体" w:cs="Times New Roman"/>
          <w:color w:val="auto"/>
          <w:kern w:val="2"/>
          <w:sz w:val="44"/>
          <w:szCs w:val="44"/>
          <w:highlight w:val="none"/>
          <w:lang w:val="en-US" w:eastAsia="zh-CN"/>
        </w:rPr>
        <w:t>预算</w:t>
      </w:r>
      <w:r>
        <w:rPr>
          <w:rFonts w:hint="eastAsia" w:ascii="Times New Roman" w:hAnsi="Times New Roman" w:eastAsia="方正小标宋简体" w:cs="Times New Roman"/>
          <w:color w:val="auto"/>
          <w:kern w:val="2"/>
          <w:sz w:val="44"/>
          <w:szCs w:val="44"/>
          <w:highlight w:val="none"/>
          <w:lang w:val="en-US" w:eastAsia="zh-CN"/>
        </w:rPr>
        <w:t>项目</w:t>
      </w:r>
      <w:r>
        <w:rPr>
          <w:rFonts w:hint="default" w:ascii="Times New Roman" w:hAnsi="Times New Roman" w:eastAsia="方正小标宋简体" w:cs="Times New Roman"/>
          <w:color w:val="auto"/>
          <w:kern w:val="2"/>
          <w:sz w:val="44"/>
          <w:szCs w:val="44"/>
          <w:highlight w:val="none"/>
          <w:lang w:val="en-US" w:eastAsia="zh-CN"/>
        </w:rPr>
        <w:t>绩效</w:t>
      </w:r>
    </w:p>
    <w:p w14:paraId="4A82391F">
      <w:pPr>
        <w:pStyle w:val="32"/>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default" w:ascii="Times New Roman" w:hAnsi="Times New Roman" w:eastAsia="方正小标宋简体" w:cs="Times New Roman"/>
          <w:color w:val="auto"/>
          <w:kern w:val="2"/>
          <w:sz w:val="44"/>
          <w:szCs w:val="44"/>
          <w:highlight w:val="none"/>
          <w:lang w:val="en-US" w:eastAsia="zh-CN"/>
        </w:rPr>
      </w:pPr>
      <w:r>
        <w:rPr>
          <w:rFonts w:hint="eastAsia" w:ascii="Times New Roman" w:hAnsi="Times New Roman" w:eastAsia="方正小标宋简体" w:cs="Times New Roman"/>
          <w:color w:val="auto"/>
          <w:kern w:val="2"/>
          <w:sz w:val="44"/>
          <w:szCs w:val="44"/>
          <w:highlight w:val="none"/>
          <w:lang w:val="en-US" w:eastAsia="zh-CN"/>
        </w:rPr>
        <w:t>评价</w:t>
      </w:r>
      <w:r>
        <w:rPr>
          <w:rFonts w:hint="default" w:ascii="Times New Roman" w:hAnsi="Times New Roman" w:eastAsia="方正小标宋简体" w:cs="Times New Roman"/>
          <w:color w:val="auto"/>
          <w:kern w:val="2"/>
          <w:sz w:val="44"/>
          <w:szCs w:val="44"/>
          <w:highlight w:val="none"/>
          <w:lang w:val="en-US" w:eastAsia="zh-CN"/>
        </w:rPr>
        <w:t>报告</w:t>
      </w:r>
    </w:p>
    <w:p w14:paraId="394E0304">
      <w:pPr>
        <w:rPr>
          <w:rFonts w:hint="eastAsia"/>
        </w:rPr>
      </w:pPr>
    </w:p>
    <w:p w14:paraId="44020BB8">
      <w:pPr>
        <w:ind w:firstLine="640" w:firstLineChars="200"/>
        <w:rPr>
          <w:rFonts w:hint="default" w:ascii="仿宋_GB2312" w:eastAsia="仿宋_GB2312"/>
          <w:sz w:val="32"/>
          <w:szCs w:val="32"/>
          <w:lang w:val="zh-CN" w:eastAsia="zh-CN"/>
        </w:rPr>
      </w:pPr>
      <w:r>
        <w:rPr>
          <w:rFonts w:hint="default" w:ascii="仿宋_GB2312" w:eastAsia="仿宋_GB2312"/>
          <w:sz w:val="32"/>
          <w:szCs w:val="32"/>
          <w:lang w:eastAsia="zh-CN"/>
        </w:rPr>
        <w:t>一、</w:t>
      </w:r>
      <w:r>
        <w:rPr>
          <w:rFonts w:hint="default" w:ascii="仿宋_GB2312" w:eastAsia="仿宋_GB2312"/>
          <w:sz w:val="32"/>
          <w:szCs w:val="32"/>
          <w:lang w:val="zh-CN" w:eastAsia="zh-CN"/>
        </w:rPr>
        <w:t>项目概况</w:t>
      </w:r>
    </w:p>
    <w:p w14:paraId="17E7F38A">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default" w:ascii="仿宋_GB2312" w:eastAsia="仿宋_GB2312"/>
          <w:sz w:val="32"/>
          <w:szCs w:val="32"/>
          <w:lang w:val="zh-CN" w:eastAsia="zh-CN"/>
        </w:rPr>
      </w:pPr>
      <w:r>
        <w:rPr>
          <w:rFonts w:hint="default" w:ascii="Times New Roman" w:hAnsi="Times New Roman" w:eastAsia="楷体_GB2312" w:cs="Times New Roman"/>
          <w:b/>
          <w:color w:val="auto"/>
          <w:sz w:val="32"/>
          <w:szCs w:val="32"/>
          <w:highlight w:val="none"/>
          <w:u w:val="none"/>
          <w:lang w:val="zh-CN"/>
        </w:rPr>
        <w:t>（一）设立背景及基本情况。</w:t>
      </w:r>
      <w:r>
        <w:rPr>
          <w:rFonts w:hint="eastAsia" w:ascii="仿宋_GB2312" w:eastAsia="仿宋_GB2312"/>
          <w:sz w:val="32"/>
          <w:szCs w:val="32"/>
          <w:lang w:eastAsia="zh-CN"/>
        </w:rPr>
        <w:t>金川县文联在县委县政府的坚强领导下，围绕中心、服务大局，</w:t>
      </w:r>
      <w:r>
        <w:rPr>
          <w:rFonts w:hint="eastAsia" w:ascii="仿宋_GB2312" w:eastAsia="仿宋_GB2312"/>
          <w:sz w:val="32"/>
          <w:szCs w:val="32"/>
          <w:lang w:val="en-US" w:eastAsia="zh-CN"/>
        </w:rPr>
        <w:t>紧扣乡村振兴，助推金川全域旅游发展，造福金川人民为奋斗目标，</w:t>
      </w:r>
      <w:r>
        <w:rPr>
          <w:rFonts w:hint="eastAsia" w:ascii="仿宋_GB2312" w:eastAsia="仿宋_GB2312"/>
          <w:sz w:val="32"/>
          <w:szCs w:val="32"/>
          <w:lang w:eastAsia="zh-CN"/>
        </w:rPr>
        <w:t>组织作家、艺术家开展山歌研讨会、文艺大讲堂、文化惠民活动、实地采风创作</w:t>
      </w:r>
      <w:r>
        <w:rPr>
          <w:rFonts w:hint="eastAsia" w:ascii="仿宋_GB2312" w:eastAsia="仿宋_GB2312"/>
          <w:sz w:val="32"/>
          <w:szCs w:val="32"/>
          <w:lang w:val="en-US" w:eastAsia="zh-CN"/>
        </w:rPr>
        <w:t>，推动</w:t>
      </w:r>
      <w:r>
        <w:rPr>
          <w:rFonts w:hint="eastAsia" w:ascii="仿宋_GB2312" w:eastAsia="仿宋_GB2312"/>
          <w:sz w:val="32"/>
          <w:szCs w:val="32"/>
          <w:lang w:eastAsia="zh-CN"/>
        </w:rPr>
        <w:t>金川文艺事业繁荣发展，</w:t>
      </w:r>
      <w:r>
        <w:rPr>
          <w:rFonts w:hint="eastAsia" w:ascii="仿宋_GB2312" w:eastAsia="仿宋_GB2312"/>
          <w:sz w:val="32"/>
          <w:szCs w:val="32"/>
          <w:lang w:val="en-US" w:eastAsia="zh-CN"/>
        </w:rPr>
        <w:t>提高人民群众的审美情趣和艺术鉴赏水平，满足人民群众日益增长的精神文化需求。</w:t>
      </w:r>
    </w:p>
    <w:p w14:paraId="4AD87921">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default" w:ascii="Times New Roman" w:hAnsi="Times New Roman" w:eastAsia="仿宋_GB2312" w:cs="Times New Roman"/>
          <w:color w:val="auto"/>
          <w:kern w:val="0"/>
          <w:sz w:val="32"/>
          <w:szCs w:val="32"/>
          <w:highlight w:val="none"/>
          <w:u w:val="none"/>
          <w:shd w:val="clear" w:color="auto" w:fill="FFFFFF"/>
          <w:lang w:val="zh-CN"/>
        </w:rPr>
      </w:pPr>
      <w:r>
        <w:rPr>
          <w:rFonts w:hint="default" w:ascii="Times New Roman" w:hAnsi="Times New Roman" w:eastAsia="楷体_GB2312" w:cs="Times New Roman"/>
          <w:b/>
          <w:color w:val="auto"/>
          <w:sz w:val="32"/>
          <w:szCs w:val="32"/>
          <w:highlight w:val="none"/>
          <w:u w:val="none"/>
          <w:lang w:val="zh-CN"/>
        </w:rPr>
        <w:t>（二）</w:t>
      </w:r>
      <w:r>
        <w:rPr>
          <w:rFonts w:hint="default" w:ascii="Times New Roman" w:hAnsi="Times New Roman" w:eastAsia="楷体_GB2312" w:cs="Times New Roman"/>
          <w:b/>
          <w:color w:val="auto"/>
          <w:sz w:val="32"/>
          <w:szCs w:val="32"/>
          <w:highlight w:val="none"/>
          <w:u w:val="none"/>
          <w:lang w:val="en-US" w:eastAsia="zh-CN"/>
        </w:rPr>
        <w:t>实施目的及支持方向。</w:t>
      </w:r>
      <w:r>
        <w:rPr>
          <w:rFonts w:hint="eastAsia" w:ascii="仿宋_GB2312" w:eastAsia="仿宋_GB2312"/>
          <w:sz w:val="32"/>
          <w:szCs w:val="32"/>
          <w:lang w:val="en-US" w:eastAsia="zh-CN"/>
        </w:rPr>
        <w:t>组织开展丰富多彩的文艺活动，增强文艺工作者实践经历，激发创作灵感，</w:t>
      </w:r>
      <w:r>
        <w:rPr>
          <w:rFonts w:hint="eastAsia" w:ascii="仿宋_GB2312" w:eastAsia="仿宋_GB2312"/>
          <w:sz w:val="32"/>
          <w:szCs w:val="32"/>
          <w:lang w:eastAsia="zh-CN"/>
        </w:rPr>
        <w:t>认真贯彻落实新时代文艺工作路线，团结引领全县文艺工作者，深入基层、扎根人民、奋力创作，推动金川文艺事业繁荣发展。</w:t>
      </w:r>
    </w:p>
    <w:p w14:paraId="6F4087E5">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default" w:ascii="仿宋_GB2312" w:eastAsia="仿宋_GB2312"/>
          <w:sz w:val="32"/>
          <w:szCs w:val="32"/>
          <w:lang w:val="zh-CN" w:eastAsia="zh-CN"/>
        </w:rPr>
      </w:pPr>
      <w:r>
        <w:rPr>
          <w:rFonts w:hint="default" w:ascii="Times New Roman" w:hAnsi="Times New Roman" w:eastAsia="楷体_GB2312" w:cs="Times New Roman"/>
          <w:b/>
          <w:color w:val="auto"/>
          <w:sz w:val="32"/>
          <w:szCs w:val="32"/>
          <w:highlight w:val="none"/>
          <w:u w:val="none"/>
          <w:lang w:val="zh-CN" w:eastAsia="zh-CN"/>
        </w:rPr>
        <w:t>（三）</w:t>
      </w:r>
      <w:r>
        <w:rPr>
          <w:rFonts w:hint="default" w:ascii="Times New Roman" w:hAnsi="Times New Roman" w:eastAsia="楷体_GB2312" w:cs="Times New Roman"/>
          <w:b/>
          <w:color w:val="auto"/>
          <w:sz w:val="32"/>
          <w:szCs w:val="32"/>
          <w:highlight w:val="none"/>
          <w:u w:val="none"/>
          <w:lang w:val="en-US" w:eastAsia="zh-CN"/>
        </w:rPr>
        <w:t>预算安排及分配管理</w:t>
      </w:r>
      <w:r>
        <w:rPr>
          <w:rFonts w:hint="default" w:ascii="Times New Roman" w:hAnsi="Times New Roman" w:eastAsia="楷体_GB2312" w:cs="Times New Roman"/>
          <w:b/>
          <w:color w:val="auto"/>
          <w:sz w:val="32"/>
          <w:szCs w:val="32"/>
          <w:highlight w:val="none"/>
          <w:u w:val="none"/>
          <w:lang w:val="zh-CN" w:eastAsia="zh-CN"/>
        </w:rPr>
        <w:t>。</w:t>
      </w:r>
      <w:r>
        <w:rPr>
          <w:rFonts w:hint="eastAsia" w:ascii="仿宋_GB2312" w:eastAsia="仿宋_GB2312"/>
          <w:sz w:val="32"/>
          <w:szCs w:val="32"/>
          <w:lang w:val="en-US" w:eastAsia="zh-CN"/>
        </w:rPr>
        <w:t>本项目资金来源为县级财政专项资金。资金来源</w:t>
      </w:r>
      <w:r>
        <w:rPr>
          <w:rFonts w:hint="eastAsia" w:ascii="仿宋_GB2312" w:eastAsia="仿宋_GB2312"/>
          <w:sz w:val="32"/>
          <w:szCs w:val="32"/>
          <w:lang w:val="zh-CN" w:eastAsia="zh-CN"/>
        </w:rPr>
        <w:t>合法合规</w:t>
      </w:r>
      <w:r>
        <w:rPr>
          <w:rFonts w:hint="eastAsia" w:ascii="仿宋_GB2312" w:eastAsia="仿宋_GB2312"/>
          <w:sz w:val="32"/>
          <w:szCs w:val="32"/>
          <w:lang w:val="en-US" w:eastAsia="zh-CN"/>
        </w:rPr>
        <w:t>，该项目建设内容符合我县工作需求，项目的实施具有良好的社会效益。</w:t>
      </w:r>
    </w:p>
    <w:p w14:paraId="683973ED">
      <w:pPr>
        <w:keepNext w:val="0"/>
        <w:keepLines w:val="0"/>
        <w:pageBreakBefore w:val="0"/>
        <w:kinsoku/>
        <w:wordWrap/>
        <w:overflowPunct/>
        <w:topLinePunct w:val="0"/>
        <w:autoSpaceDE/>
        <w:autoSpaceDN/>
        <w:bidi w:val="0"/>
        <w:adjustRightInd w:val="0"/>
        <w:snapToGrid w:val="0"/>
        <w:spacing w:line="578" w:lineRule="exact"/>
        <w:ind w:left="0" w:leftChars="0" w:firstLine="643" w:firstLineChars="200"/>
        <w:textAlignment w:val="auto"/>
        <w:rPr>
          <w:rFonts w:hint="default" w:ascii="仿宋_GB2312" w:eastAsia="仿宋_GB2312"/>
          <w:sz w:val="32"/>
          <w:szCs w:val="32"/>
          <w:lang w:val="zh-CN" w:eastAsia="zh-CN"/>
        </w:rPr>
      </w:pPr>
      <w:r>
        <w:rPr>
          <w:rFonts w:hint="default" w:ascii="Times New Roman" w:hAnsi="Times New Roman" w:eastAsia="楷体_GB2312" w:cs="Times New Roman"/>
          <w:b/>
          <w:color w:val="auto"/>
          <w:sz w:val="32"/>
          <w:szCs w:val="32"/>
          <w:highlight w:val="none"/>
          <w:u w:val="none"/>
          <w:lang w:val="zh-CN" w:eastAsia="zh-CN"/>
        </w:rPr>
        <w:t>（四）项目绩效目标设置。</w:t>
      </w:r>
      <w:r>
        <w:rPr>
          <w:rFonts w:hint="eastAsia"/>
          <w:lang w:val="zh-CN" w:eastAsia="zh-CN"/>
        </w:rPr>
        <w:t>本</w:t>
      </w:r>
      <w:r>
        <w:rPr>
          <w:rFonts w:hint="eastAsia" w:ascii="仿宋_GB2312" w:eastAsia="仿宋_GB2312"/>
          <w:sz w:val="32"/>
          <w:szCs w:val="32"/>
          <w:lang w:val="zh-CN" w:eastAsia="zh-CN"/>
        </w:rPr>
        <w:t>项目设置项目绩效目标</w:t>
      </w:r>
      <w:r>
        <w:rPr>
          <w:rFonts w:hint="eastAsia" w:ascii="仿宋_GB2312" w:eastAsia="仿宋_GB2312"/>
          <w:sz w:val="32"/>
          <w:szCs w:val="32"/>
          <w:lang w:val="en-US" w:eastAsia="zh-CN"/>
        </w:rPr>
        <w:t>6项指标，详情参照项目绩效目标表：</w:t>
      </w:r>
    </w:p>
    <w:tbl>
      <w:tblPr>
        <w:tblStyle w:val="15"/>
        <w:tblpPr w:leftFromText="180" w:rightFromText="180" w:vertAnchor="text" w:horzAnchor="page" w:tblpX="1905" w:tblpY="112"/>
        <w:tblW w:w="8578" w:type="dxa"/>
        <w:tblInd w:w="-4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9"/>
        <w:gridCol w:w="1716"/>
        <w:gridCol w:w="2736"/>
        <w:gridCol w:w="2797"/>
      </w:tblGrid>
      <w:tr w14:paraId="76636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329" w:type="dxa"/>
            <w:tcBorders>
              <w:bottom w:val="single" w:color="auto" w:sz="4" w:space="0"/>
              <w:right w:val="single" w:color="auto" w:sz="4" w:space="0"/>
            </w:tcBorders>
            <w:noWrap w:val="0"/>
            <w:vAlign w:val="top"/>
          </w:tcPr>
          <w:p w14:paraId="1E551791">
            <w:pPr>
              <w:pStyle w:val="33"/>
              <w:pBdr>
                <w:top w:val="none" w:color="auto" w:sz="0" w:space="0"/>
                <w:left w:val="none" w:color="auto" w:sz="0" w:space="0"/>
                <w:bottom w:val="none" w:color="auto" w:sz="0" w:space="0"/>
                <w:right w:val="none" w:color="auto" w:sz="0" w:space="0"/>
                <w:between w:val="none" w:color="auto" w:sz="0" w:space="0"/>
              </w:pBdr>
              <w:spacing w:line="560" w:lineRule="exact"/>
              <w:ind w:firstLine="0" w:firstLineChars="0"/>
              <w:rPr>
                <w:rFonts w:hint="eastAsia" w:ascii="仿宋_GB2312" w:eastAsia="仿宋_GB2312"/>
                <w:sz w:val="21"/>
                <w:szCs w:val="21"/>
              </w:rPr>
            </w:pPr>
            <w:r>
              <w:rPr>
                <w:rFonts w:hint="eastAsia" w:ascii="仿宋_GB2312" w:eastAsia="仿宋_GB2312"/>
                <w:sz w:val="21"/>
                <w:szCs w:val="21"/>
              </w:rPr>
              <w:t>一级指标</w:t>
            </w:r>
          </w:p>
        </w:tc>
        <w:tc>
          <w:tcPr>
            <w:tcW w:w="1716" w:type="dxa"/>
            <w:tcBorders>
              <w:left w:val="single" w:color="auto" w:sz="4" w:space="0"/>
              <w:bottom w:val="single" w:color="auto" w:sz="4" w:space="0"/>
              <w:right w:val="single" w:color="auto" w:sz="4" w:space="0"/>
            </w:tcBorders>
            <w:noWrap w:val="0"/>
            <w:vAlign w:val="top"/>
          </w:tcPr>
          <w:p w14:paraId="1784F047">
            <w:pPr>
              <w:pStyle w:val="33"/>
              <w:pBdr>
                <w:top w:val="none" w:color="auto" w:sz="0" w:space="0"/>
                <w:left w:val="none" w:color="auto" w:sz="0" w:space="0"/>
                <w:bottom w:val="none" w:color="auto" w:sz="0" w:space="0"/>
                <w:right w:val="none" w:color="auto" w:sz="0" w:space="0"/>
                <w:between w:val="none" w:color="auto" w:sz="0" w:space="0"/>
              </w:pBdr>
              <w:spacing w:line="560" w:lineRule="exact"/>
              <w:ind w:firstLine="0" w:firstLineChars="0"/>
              <w:rPr>
                <w:rFonts w:hint="eastAsia" w:ascii="仿宋_GB2312" w:eastAsia="仿宋_GB2312"/>
                <w:sz w:val="21"/>
                <w:szCs w:val="21"/>
              </w:rPr>
            </w:pPr>
            <w:r>
              <w:rPr>
                <w:rFonts w:hint="eastAsia" w:ascii="仿宋_GB2312"/>
                <w:sz w:val="21"/>
                <w:szCs w:val="21"/>
              </w:rPr>
              <w:t>二级指标</w:t>
            </w:r>
          </w:p>
        </w:tc>
        <w:tc>
          <w:tcPr>
            <w:tcW w:w="2736" w:type="dxa"/>
            <w:tcBorders>
              <w:left w:val="single" w:color="auto" w:sz="4" w:space="0"/>
              <w:bottom w:val="single" w:color="auto" w:sz="4" w:space="0"/>
              <w:right w:val="single" w:color="auto" w:sz="4" w:space="0"/>
            </w:tcBorders>
            <w:noWrap w:val="0"/>
            <w:vAlign w:val="top"/>
          </w:tcPr>
          <w:p w14:paraId="35BB8AA7">
            <w:pPr>
              <w:pStyle w:val="33"/>
              <w:pBdr>
                <w:top w:val="none" w:color="auto" w:sz="0" w:space="0"/>
                <w:left w:val="none" w:color="auto" w:sz="0" w:space="0"/>
                <w:bottom w:val="none" w:color="auto" w:sz="0" w:space="0"/>
                <w:right w:val="none" w:color="auto" w:sz="0" w:space="0"/>
                <w:between w:val="none" w:color="auto" w:sz="0" w:space="0"/>
              </w:pBdr>
              <w:spacing w:line="560" w:lineRule="exact"/>
              <w:ind w:firstLine="0" w:firstLineChars="0"/>
              <w:jc w:val="center"/>
              <w:rPr>
                <w:rFonts w:hint="eastAsia" w:ascii="仿宋_GB2312" w:eastAsia="仿宋_GB2312"/>
                <w:sz w:val="21"/>
                <w:szCs w:val="21"/>
              </w:rPr>
            </w:pPr>
            <w:r>
              <w:rPr>
                <w:rFonts w:hint="eastAsia" w:ascii="仿宋_GB2312"/>
                <w:sz w:val="21"/>
                <w:szCs w:val="21"/>
              </w:rPr>
              <w:t>三级指标</w:t>
            </w:r>
          </w:p>
        </w:tc>
        <w:tc>
          <w:tcPr>
            <w:tcW w:w="2797" w:type="dxa"/>
            <w:tcBorders>
              <w:left w:val="single" w:color="auto" w:sz="4" w:space="0"/>
              <w:bottom w:val="single" w:color="auto" w:sz="4" w:space="0"/>
            </w:tcBorders>
            <w:noWrap w:val="0"/>
            <w:vAlign w:val="top"/>
          </w:tcPr>
          <w:p w14:paraId="4265FA50">
            <w:pPr>
              <w:pStyle w:val="33"/>
              <w:pBdr>
                <w:top w:val="none" w:color="auto" w:sz="0" w:space="0"/>
                <w:left w:val="none" w:color="auto" w:sz="0" w:space="0"/>
                <w:bottom w:val="none" w:color="auto" w:sz="0" w:space="0"/>
                <w:right w:val="none" w:color="auto" w:sz="0" w:space="0"/>
                <w:between w:val="none" w:color="auto" w:sz="0" w:space="0"/>
              </w:pBdr>
              <w:spacing w:line="560" w:lineRule="exact"/>
              <w:ind w:firstLine="0" w:firstLineChars="0"/>
              <w:jc w:val="center"/>
              <w:rPr>
                <w:rFonts w:hint="eastAsia" w:ascii="仿宋_GB2312" w:eastAsia="仿宋_GB2312"/>
                <w:sz w:val="21"/>
                <w:szCs w:val="21"/>
              </w:rPr>
            </w:pPr>
            <w:r>
              <w:rPr>
                <w:rFonts w:hint="eastAsia" w:ascii="仿宋_GB2312"/>
                <w:sz w:val="21"/>
                <w:szCs w:val="21"/>
              </w:rPr>
              <w:t>指标值</w:t>
            </w:r>
          </w:p>
        </w:tc>
      </w:tr>
      <w:tr w14:paraId="0A229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329" w:type="dxa"/>
            <w:tcBorders>
              <w:top w:val="single" w:color="auto" w:sz="4" w:space="0"/>
              <w:bottom w:val="single" w:color="auto" w:sz="4" w:space="0"/>
              <w:right w:val="single" w:color="auto" w:sz="4" w:space="0"/>
            </w:tcBorders>
            <w:noWrap w:val="0"/>
            <w:vAlign w:val="top"/>
          </w:tcPr>
          <w:p w14:paraId="6FEE72A6">
            <w:pPr>
              <w:pStyle w:val="33"/>
              <w:pBdr>
                <w:top w:val="none" w:color="auto" w:sz="0" w:space="0"/>
                <w:left w:val="none" w:color="auto" w:sz="0" w:space="0"/>
                <w:bottom w:val="none" w:color="auto" w:sz="0" w:space="0"/>
                <w:right w:val="none" w:color="auto" w:sz="0" w:space="0"/>
                <w:between w:val="none" w:color="auto" w:sz="0" w:space="0"/>
              </w:pBdr>
              <w:spacing w:line="560" w:lineRule="exact"/>
              <w:ind w:firstLine="0" w:firstLineChars="0"/>
              <w:rPr>
                <w:rFonts w:hint="eastAsia" w:ascii="方正黑体_GBK" w:eastAsia="方正黑体_GBK"/>
                <w:sz w:val="21"/>
                <w:szCs w:val="21"/>
                <w:lang w:eastAsia="zh-CN"/>
              </w:rPr>
            </w:pPr>
            <w:r>
              <w:rPr>
                <w:rFonts w:hint="eastAsia" w:ascii="方正黑体_GBK" w:eastAsia="方正黑体_GBK"/>
                <w:sz w:val="21"/>
                <w:szCs w:val="21"/>
                <w:lang w:eastAsia="zh-CN"/>
              </w:rPr>
              <w:t>产出指标</w:t>
            </w:r>
          </w:p>
        </w:tc>
        <w:tc>
          <w:tcPr>
            <w:tcW w:w="1716" w:type="dxa"/>
            <w:tcBorders>
              <w:top w:val="single" w:color="auto" w:sz="4" w:space="0"/>
              <w:left w:val="single" w:color="auto" w:sz="4" w:space="0"/>
              <w:bottom w:val="single" w:color="auto" w:sz="4" w:space="0"/>
              <w:right w:val="single" w:color="auto" w:sz="4" w:space="0"/>
            </w:tcBorders>
            <w:noWrap w:val="0"/>
            <w:vAlign w:val="top"/>
          </w:tcPr>
          <w:p w14:paraId="22BB3974">
            <w:pPr>
              <w:pStyle w:val="33"/>
              <w:pBdr>
                <w:top w:val="none" w:color="auto" w:sz="0" w:space="0"/>
                <w:left w:val="none" w:color="auto" w:sz="0" w:space="0"/>
                <w:bottom w:val="none" w:color="auto" w:sz="0" w:space="0"/>
                <w:right w:val="none" w:color="auto" w:sz="0" w:space="0"/>
                <w:between w:val="none" w:color="auto" w:sz="0" w:space="0"/>
              </w:pBdr>
              <w:spacing w:line="560" w:lineRule="exact"/>
              <w:ind w:firstLine="0" w:firstLineChars="0"/>
              <w:rPr>
                <w:rFonts w:hint="eastAsia" w:ascii="方正黑体_GBK" w:eastAsia="方正黑体_GBK"/>
                <w:sz w:val="21"/>
                <w:szCs w:val="21"/>
                <w:lang w:eastAsia="zh-CN"/>
              </w:rPr>
            </w:pPr>
            <w:r>
              <w:rPr>
                <w:rFonts w:hint="eastAsia" w:ascii="方正黑体_GBK" w:eastAsia="方正黑体_GBK"/>
                <w:sz w:val="21"/>
                <w:szCs w:val="21"/>
                <w:lang w:eastAsia="zh-CN"/>
              </w:rPr>
              <w:t>质量指标</w:t>
            </w:r>
          </w:p>
        </w:tc>
        <w:tc>
          <w:tcPr>
            <w:tcW w:w="2736" w:type="dxa"/>
            <w:tcBorders>
              <w:top w:val="single" w:color="auto" w:sz="4" w:space="0"/>
              <w:left w:val="single" w:color="auto" w:sz="4" w:space="0"/>
              <w:bottom w:val="single" w:color="auto" w:sz="4" w:space="0"/>
              <w:right w:val="single" w:color="auto" w:sz="4" w:space="0"/>
            </w:tcBorders>
            <w:noWrap w:val="0"/>
            <w:vAlign w:val="top"/>
          </w:tcPr>
          <w:p w14:paraId="72089126">
            <w:pPr>
              <w:pStyle w:val="33"/>
              <w:pBdr>
                <w:top w:val="none" w:color="auto" w:sz="0" w:space="0"/>
                <w:left w:val="none" w:color="auto" w:sz="0" w:space="0"/>
                <w:bottom w:val="none" w:color="auto" w:sz="0" w:space="0"/>
                <w:right w:val="none" w:color="auto" w:sz="0" w:space="0"/>
                <w:between w:val="none" w:color="auto" w:sz="0" w:space="0"/>
              </w:pBdr>
              <w:spacing w:line="560" w:lineRule="exact"/>
              <w:ind w:firstLine="0" w:firstLineChars="0"/>
              <w:rPr>
                <w:rFonts w:hint="eastAsia" w:ascii="方正黑体_GBK" w:eastAsia="方正黑体_GBK"/>
                <w:sz w:val="21"/>
                <w:szCs w:val="21"/>
                <w:lang w:eastAsia="zh-CN"/>
              </w:rPr>
            </w:pPr>
            <w:r>
              <w:rPr>
                <w:rFonts w:hint="eastAsia" w:ascii="方正黑体_GBK" w:eastAsia="方正黑体_GBK"/>
                <w:sz w:val="21"/>
                <w:szCs w:val="21"/>
                <w:lang w:eastAsia="zh-CN"/>
              </w:rPr>
              <w:t>预算准确率</w:t>
            </w:r>
          </w:p>
        </w:tc>
        <w:tc>
          <w:tcPr>
            <w:tcW w:w="2797" w:type="dxa"/>
            <w:tcBorders>
              <w:top w:val="single" w:color="auto" w:sz="4" w:space="0"/>
              <w:left w:val="single" w:color="auto" w:sz="4" w:space="0"/>
              <w:bottom w:val="single" w:color="auto" w:sz="4" w:space="0"/>
            </w:tcBorders>
            <w:noWrap w:val="0"/>
            <w:vAlign w:val="top"/>
          </w:tcPr>
          <w:p w14:paraId="0F596485">
            <w:pPr>
              <w:pStyle w:val="33"/>
              <w:pBdr>
                <w:top w:val="none" w:color="auto" w:sz="0" w:space="0"/>
                <w:left w:val="none" w:color="auto" w:sz="0" w:space="0"/>
                <w:bottom w:val="none" w:color="auto" w:sz="0" w:space="0"/>
                <w:right w:val="none" w:color="auto" w:sz="0" w:space="0"/>
                <w:between w:val="none" w:color="auto" w:sz="0" w:space="0"/>
              </w:pBdr>
              <w:spacing w:line="560" w:lineRule="exact"/>
              <w:ind w:firstLine="0" w:firstLineChars="0"/>
              <w:rPr>
                <w:rFonts w:hint="default" w:ascii="方正黑体_GBK" w:eastAsia="方正黑体_GBK"/>
                <w:sz w:val="21"/>
                <w:szCs w:val="21"/>
                <w:lang w:val="en-US" w:eastAsia="zh-CN"/>
              </w:rPr>
            </w:pPr>
            <w:r>
              <w:rPr>
                <w:rFonts w:hint="eastAsia" w:ascii="方正黑体_GBK" w:eastAsia="方正黑体_GBK"/>
                <w:sz w:val="21"/>
                <w:szCs w:val="21"/>
                <w:lang w:val="en-US" w:eastAsia="zh-CN"/>
              </w:rPr>
              <w:t>98%</w:t>
            </w:r>
          </w:p>
        </w:tc>
      </w:tr>
      <w:tr w14:paraId="7FA31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329" w:type="dxa"/>
            <w:tcBorders>
              <w:top w:val="single" w:color="auto" w:sz="4" w:space="0"/>
              <w:bottom w:val="single" w:color="auto" w:sz="4" w:space="0"/>
              <w:right w:val="single" w:color="auto" w:sz="4" w:space="0"/>
            </w:tcBorders>
            <w:noWrap w:val="0"/>
            <w:vAlign w:val="top"/>
          </w:tcPr>
          <w:p w14:paraId="14FBE1C4">
            <w:pPr>
              <w:pStyle w:val="33"/>
              <w:pBdr>
                <w:top w:val="none" w:color="auto" w:sz="0" w:space="0"/>
                <w:left w:val="none" w:color="auto" w:sz="0" w:space="0"/>
                <w:bottom w:val="none" w:color="auto" w:sz="0" w:space="0"/>
                <w:right w:val="none" w:color="auto" w:sz="0" w:space="0"/>
                <w:between w:val="none" w:color="auto" w:sz="0" w:space="0"/>
              </w:pBdr>
              <w:spacing w:line="560" w:lineRule="exact"/>
              <w:ind w:firstLine="0" w:firstLineChars="0"/>
              <w:rPr>
                <w:rFonts w:hint="eastAsia" w:ascii="方正黑体_GBK" w:eastAsia="方正黑体_GBK"/>
                <w:sz w:val="21"/>
                <w:szCs w:val="21"/>
              </w:rPr>
            </w:pPr>
            <w:r>
              <w:rPr>
                <w:rFonts w:hint="eastAsia" w:ascii="方正黑体_GBK" w:eastAsia="方正黑体_GBK"/>
                <w:sz w:val="21"/>
                <w:szCs w:val="21"/>
                <w:lang w:eastAsia="zh-CN"/>
              </w:rPr>
              <w:t>产出指标</w:t>
            </w:r>
          </w:p>
        </w:tc>
        <w:tc>
          <w:tcPr>
            <w:tcW w:w="1716" w:type="dxa"/>
            <w:tcBorders>
              <w:top w:val="single" w:color="auto" w:sz="4" w:space="0"/>
              <w:left w:val="single" w:color="auto" w:sz="4" w:space="0"/>
              <w:bottom w:val="single" w:color="auto" w:sz="4" w:space="0"/>
              <w:right w:val="single" w:color="auto" w:sz="4" w:space="0"/>
            </w:tcBorders>
            <w:noWrap w:val="0"/>
            <w:vAlign w:val="top"/>
          </w:tcPr>
          <w:p w14:paraId="2CB3DE5E">
            <w:pPr>
              <w:pStyle w:val="33"/>
              <w:pBdr>
                <w:top w:val="none" w:color="auto" w:sz="0" w:space="0"/>
                <w:left w:val="none" w:color="auto" w:sz="0" w:space="0"/>
                <w:bottom w:val="none" w:color="auto" w:sz="0" w:space="0"/>
                <w:right w:val="none" w:color="auto" w:sz="0" w:space="0"/>
                <w:between w:val="none" w:color="auto" w:sz="0" w:space="0"/>
              </w:pBdr>
              <w:spacing w:line="560" w:lineRule="exact"/>
              <w:ind w:firstLine="0" w:firstLineChars="0"/>
              <w:rPr>
                <w:rFonts w:hint="eastAsia" w:ascii="方正黑体_GBK" w:eastAsia="方正黑体_GBK"/>
                <w:sz w:val="21"/>
                <w:szCs w:val="21"/>
                <w:lang w:eastAsia="zh-CN"/>
              </w:rPr>
            </w:pPr>
            <w:r>
              <w:rPr>
                <w:rFonts w:hint="eastAsia" w:ascii="方正黑体_GBK" w:eastAsia="方正黑体_GBK"/>
                <w:sz w:val="21"/>
                <w:szCs w:val="21"/>
                <w:lang w:eastAsia="zh-CN"/>
              </w:rPr>
              <w:t>数量指标</w:t>
            </w:r>
          </w:p>
        </w:tc>
        <w:tc>
          <w:tcPr>
            <w:tcW w:w="2736" w:type="dxa"/>
            <w:tcBorders>
              <w:top w:val="single" w:color="auto" w:sz="4" w:space="0"/>
              <w:left w:val="single" w:color="auto" w:sz="4" w:space="0"/>
              <w:bottom w:val="single" w:color="auto" w:sz="4" w:space="0"/>
              <w:right w:val="single" w:color="auto" w:sz="4" w:space="0"/>
            </w:tcBorders>
            <w:noWrap w:val="0"/>
            <w:vAlign w:val="top"/>
          </w:tcPr>
          <w:p w14:paraId="141A8EEA">
            <w:pPr>
              <w:pStyle w:val="33"/>
              <w:pBdr>
                <w:top w:val="none" w:color="auto" w:sz="0" w:space="0"/>
                <w:left w:val="none" w:color="auto" w:sz="0" w:space="0"/>
                <w:bottom w:val="none" w:color="auto" w:sz="0" w:space="0"/>
                <w:right w:val="none" w:color="auto" w:sz="0" w:space="0"/>
                <w:between w:val="none" w:color="auto" w:sz="0" w:space="0"/>
              </w:pBdr>
              <w:spacing w:line="560" w:lineRule="exact"/>
              <w:ind w:firstLine="0" w:firstLineChars="0"/>
              <w:rPr>
                <w:rFonts w:hint="eastAsia" w:ascii="方正黑体_GBK" w:eastAsia="方正黑体_GBK"/>
                <w:sz w:val="21"/>
                <w:szCs w:val="21"/>
                <w:lang w:eastAsia="zh-CN"/>
              </w:rPr>
            </w:pPr>
            <w:r>
              <w:rPr>
                <w:rFonts w:hint="eastAsia" w:ascii="方正黑体_GBK" w:eastAsia="方正黑体_GBK"/>
                <w:sz w:val="21"/>
                <w:szCs w:val="21"/>
                <w:lang w:eastAsia="zh-CN"/>
              </w:rPr>
              <w:t>开展系列文化活动</w:t>
            </w:r>
          </w:p>
        </w:tc>
        <w:tc>
          <w:tcPr>
            <w:tcW w:w="2797" w:type="dxa"/>
            <w:tcBorders>
              <w:top w:val="single" w:color="auto" w:sz="4" w:space="0"/>
              <w:left w:val="single" w:color="auto" w:sz="4" w:space="0"/>
              <w:bottom w:val="single" w:color="auto" w:sz="4" w:space="0"/>
            </w:tcBorders>
            <w:noWrap w:val="0"/>
            <w:vAlign w:val="top"/>
          </w:tcPr>
          <w:p w14:paraId="5B1D1353">
            <w:pPr>
              <w:pStyle w:val="33"/>
              <w:pBdr>
                <w:top w:val="none" w:color="auto" w:sz="0" w:space="0"/>
                <w:left w:val="none" w:color="auto" w:sz="0" w:space="0"/>
                <w:bottom w:val="none" w:color="auto" w:sz="0" w:space="0"/>
                <w:right w:val="none" w:color="auto" w:sz="0" w:space="0"/>
                <w:between w:val="none" w:color="auto" w:sz="0" w:space="0"/>
              </w:pBdr>
              <w:spacing w:line="560" w:lineRule="exact"/>
              <w:ind w:firstLine="0" w:firstLineChars="0"/>
              <w:rPr>
                <w:rFonts w:hint="eastAsia" w:ascii="方正黑体_GBK" w:eastAsia="方正黑体_GBK"/>
                <w:sz w:val="21"/>
                <w:szCs w:val="21"/>
                <w:lang w:val="en-US" w:eastAsia="zh-CN"/>
              </w:rPr>
            </w:pPr>
            <w:r>
              <w:rPr>
                <w:rFonts w:hint="eastAsia" w:ascii="方正黑体_GBK" w:eastAsia="方正黑体_GBK"/>
                <w:sz w:val="21"/>
                <w:szCs w:val="21"/>
                <w:lang w:val="en-US" w:eastAsia="zh-CN"/>
              </w:rPr>
              <w:t>4次</w:t>
            </w:r>
          </w:p>
        </w:tc>
      </w:tr>
      <w:tr w14:paraId="16DD8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329" w:type="dxa"/>
            <w:tcBorders>
              <w:top w:val="single" w:color="auto" w:sz="4" w:space="0"/>
              <w:bottom w:val="single" w:color="auto" w:sz="4" w:space="0"/>
              <w:right w:val="single" w:color="auto" w:sz="4" w:space="0"/>
            </w:tcBorders>
            <w:noWrap w:val="0"/>
            <w:vAlign w:val="top"/>
          </w:tcPr>
          <w:p w14:paraId="1EC74F1F">
            <w:pPr>
              <w:pStyle w:val="33"/>
              <w:pBdr>
                <w:top w:val="none" w:color="auto" w:sz="0" w:space="0"/>
                <w:left w:val="none" w:color="auto" w:sz="0" w:space="0"/>
                <w:bottom w:val="none" w:color="auto" w:sz="0" w:space="0"/>
                <w:right w:val="none" w:color="auto" w:sz="0" w:space="0"/>
                <w:between w:val="none" w:color="auto" w:sz="0" w:space="0"/>
              </w:pBdr>
              <w:spacing w:line="560" w:lineRule="exact"/>
              <w:ind w:firstLine="0" w:firstLineChars="0"/>
              <w:rPr>
                <w:rFonts w:hint="eastAsia" w:ascii="方正黑体_GBK" w:eastAsia="方正黑体_GBK"/>
                <w:sz w:val="21"/>
                <w:szCs w:val="21"/>
              </w:rPr>
            </w:pPr>
            <w:r>
              <w:rPr>
                <w:rFonts w:hint="eastAsia" w:ascii="方正黑体_GBK" w:eastAsia="方正黑体_GBK"/>
                <w:sz w:val="21"/>
                <w:szCs w:val="21"/>
                <w:lang w:eastAsia="zh-CN"/>
              </w:rPr>
              <w:t>产出指标</w:t>
            </w:r>
          </w:p>
        </w:tc>
        <w:tc>
          <w:tcPr>
            <w:tcW w:w="1716" w:type="dxa"/>
            <w:tcBorders>
              <w:top w:val="single" w:color="auto" w:sz="4" w:space="0"/>
              <w:left w:val="single" w:color="auto" w:sz="4" w:space="0"/>
              <w:bottom w:val="single" w:color="auto" w:sz="4" w:space="0"/>
              <w:right w:val="single" w:color="auto" w:sz="4" w:space="0"/>
            </w:tcBorders>
            <w:noWrap w:val="0"/>
            <w:vAlign w:val="top"/>
          </w:tcPr>
          <w:p w14:paraId="68D6EB0A">
            <w:pPr>
              <w:pStyle w:val="33"/>
              <w:pBdr>
                <w:top w:val="none" w:color="auto" w:sz="0" w:space="0"/>
                <w:left w:val="none" w:color="auto" w:sz="0" w:space="0"/>
                <w:bottom w:val="none" w:color="auto" w:sz="0" w:space="0"/>
                <w:right w:val="none" w:color="auto" w:sz="0" w:space="0"/>
                <w:between w:val="none" w:color="auto" w:sz="0" w:space="0"/>
              </w:pBdr>
              <w:spacing w:line="560" w:lineRule="exact"/>
              <w:ind w:firstLine="0" w:firstLineChars="0"/>
              <w:rPr>
                <w:rFonts w:hint="eastAsia" w:ascii="方正黑体_GBK" w:eastAsia="方正黑体_GBK"/>
                <w:sz w:val="21"/>
                <w:szCs w:val="21"/>
                <w:lang w:eastAsia="zh-CN"/>
              </w:rPr>
            </w:pPr>
            <w:r>
              <w:rPr>
                <w:rFonts w:hint="eastAsia" w:ascii="方正黑体_GBK" w:eastAsia="方正黑体_GBK"/>
                <w:sz w:val="21"/>
                <w:szCs w:val="21"/>
                <w:lang w:eastAsia="zh-CN"/>
              </w:rPr>
              <w:t>数量指标</w:t>
            </w:r>
          </w:p>
        </w:tc>
        <w:tc>
          <w:tcPr>
            <w:tcW w:w="2736" w:type="dxa"/>
            <w:tcBorders>
              <w:top w:val="single" w:color="auto" w:sz="4" w:space="0"/>
              <w:left w:val="single" w:color="auto" w:sz="4" w:space="0"/>
              <w:bottom w:val="single" w:color="auto" w:sz="4" w:space="0"/>
              <w:right w:val="single" w:color="auto" w:sz="4" w:space="0"/>
            </w:tcBorders>
            <w:noWrap w:val="0"/>
            <w:vAlign w:val="top"/>
          </w:tcPr>
          <w:p w14:paraId="0EFC1A96">
            <w:pPr>
              <w:pStyle w:val="33"/>
              <w:pBdr>
                <w:top w:val="none" w:color="auto" w:sz="0" w:space="0"/>
                <w:left w:val="none" w:color="auto" w:sz="0" w:space="0"/>
                <w:bottom w:val="none" w:color="auto" w:sz="0" w:space="0"/>
                <w:right w:val="none" w:color="auto" w:sz="0" w:space="0"/>
                <w:between w:val="none" w:color="auto" w:sz="0" w:space="0"/>
              </w:pBdr>
              <w:spacing w:line="560" w:lineRule="exact"/>
              <w:ind w:firstLine="0" w:firstLineChars="0"/>
              <w:rPr>
                <w:rFonts w:hint="eastAsia" w:ascii="方正黑体_GBK" w:eastAsia="方正黑体_GBK"/>
                <w:sz w:val="21"/>
                <w:szCs w:val="21"/>
                <w:lang w:eastAsia="zh-CN"/>
              </w:rPr>
            </w:pPr>
            <w:r>
              <w:rPr>
                <w:rFonts w:hint="eastAsia" w:ascii="方正黑体_GBK" w:eastAsia="方正黑体_GBK"/>
                <w:sz w:val="21"/>
                <w:szCs w:val="21"/>
                <w:lang w:eastAsia="zh-CN"/>
              </w:rPr>
              <w:t>活动作品</w:t>
            </w:r>
          </w:p>
        </w:tc>
        <w:tc>
          <w:tcPr>
            <w:tcW w:w="2797" w:type="dxa"/>
            <w:tcBorders>
              <w:top w:val="single" w:color="auto" w:sz="4" w:space="0"/>
              <w:left w:val="single" w:color="auto" w:sz="4" w:space="0"/>
              <w:bottom w:val="single" w:color="auto" w:sz="4" w:space="0"/>
            </w:tcBorders>
            <w:noWrap w:val="0"/>
            <w:vAlign w:val="top"/>
          </w:tcPr>
          <w:p w14:paraId="34CCBAFC">
            <w:pPr>
              <w:pStyle w:val="33"/>
              <w:pBdr>
                <w:top w:val="none" w:color="auto" w:sz="0" w:space="0"/>
                <w:left w:val="none" w:color="auto" w:sz="0" w:space="0"/>
                <w:bottom w:val="none" w:color="auto" w:sz="0" w:space="0"/>
                <w:right w:val="none" w:color="auto" w:sz="0" w:space="0"/>
                <w:between w:val="none" w:color="auto" w:sz="0" w:space="0"/>
              </w:pBdr>
              <w:spacing w:line="560" w:lineRule="exact"/>
              <w:ind w:firstLine="0" w:firstLineChars="0"/>
              <w:rPr>
                <w:rFonts w:hint="default" w:ascii="方正黑体_GBK" w:eastAsia="方正黑体_GBK"/>
                <w:sz w:val="21"/>
                <w:szCs w:val="21"/>
                <w:lang w:val="en-US" w:eastAsia="zh-CN"/>
              </w:rPr>
            </w:pPr>
            <w:r>
              <w:rPr>
                <w:rFonts w:hint="eastAsia" w:ascii="方正黑体_GBK" w:eastAsia="方正黑体_GBK"/>
                <w:sz w:val="21"/>
                <w:szCs w:val="21"/>
                <w:lang w:val="en-US" w:eastAsia="zh-CN"/>
              </w:rPr>
              <w:t>16幅</w:t>
            </w:r>
          </w:p>
        </w:tc>
      </w:tr>
      <w:tr w14:paraId="410AF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329" w:type="dxa"/>
            <w:tcBorders>
              <w:top w:val="single" w:color="auto" w:sz="4" w:space="0"/>
              <w:bottom w:val="single" w:color="auto" w:sz="4" w:space="0"/>
              <w:right w:val="single" w:color="auto" w:sz="4" w:space="0"/>
            </w:tcBorders>
            <w:noWrap w:val="0"/>
            <w:vAlign w:val="top"/>
          </w:tcPr>
          <w:p w14:paraId="432E6B84">
            <w:pPr>
              <w:pStyle w:val="33"/>
              <w:pBdr>
                <w:top w:val="none" w:color="auto" w:sz="0" w:space="0"/>
                <w:left w:val="none" w:color="auto" w:sz="0" w:space="0"/>
                <w:bottom w:val="none" w:color="auto" w:sz="0" w:space="0"/>
                <w:right w:val="none" w:color="auto" w:sz="0" w:space="0"/>
                <w:between w:val="none" w:color="auto" w:sz="0" w:space="0"/>
              </w:pBdr>
              <w:spacing w:line="560" w:lineRule="exact"/>
              <w:ind w:firstLine="0" w:firstLineChars="0"/>
              <w:rPr>
                <w:rFonts w:hint="eastAsia" w:ascii="方正黑体_GBK" w:eastAsia="方正黑体_GBK"/>
                <w:sz w:val="21"/>
                <w:szCs w:val="21"/>
              </w:rPr>
            </w:pPr>
            <w:r>
              <w:rPr>
                <w:rFonts w:hint="eastAsia" w:ascii="方正黑体_GBK" w:eastAsia="方正黑体_GBK"/>
                <w:sz w:val="21"/>
                <w:szCs w:val="21"/>
                <w:lang w:eastAsia="zh-CN"/>
              </w:rPr>
              <w:t>产出指标</w:t>
            </w:r>
          </w:p>
        </w:tc>
        <w:tc>
          <w:tcPr>
            <w:tcW w:w="1716" w:type="dxa"/>
            <w:tcBorders>
              <w:top w:val="single" w:color="auto" w:sz="4" w:space="0"/>
              <w:left w:val="single" w:color="auto" w:sz="4" w:space="0"/>
              <w:bottom w:val="single" w:color="auto" w:sz="4" w:space="0"/>
              <w:right w:val="single" w:color="auto" w:sz="4" w:space="0"/>
            </w:tcBorders>
            <w:noWrap w:val="0"/>
            <w:vAlign w:val="top"/>
          </w:tcPr>
          <w:p w14:paraId="0855F29F">
            <w:pPr>
              <w:pStyle w:val="33"/>
              <w:pBdr>
                <w:top w:val="none" w:color="auto" w:sz="0" w:space="0"/>
                <w:left w:val="none" w:color="auto" w:sz="0" w:space="0"/>
                <w:bottom w:val="none" w:color="auto" w:sz="0" w:space="0"/>
                <w:right w:val="none" w:color="auto" w:sz="0" w:space="0"/>
                <w:between w:val="none" w:color="auto" w:sz="0" w:space="0"/>
              </w:pBdr>
              <w:spacing w:line="560" w:lineRule="exact"/>
              <w:ind w:firstLine="0" w:firstLineChars="0"/>
              <w:rPr>
                <w:rFonts w:hint="eastAsia" w:ascii="方正黑体_GBK" w:eastAsia="方正黑体_GBK"/>
                <w:sz w:val="21"/>
                <w:szCs w:val="21"/>
                <w:lang w:eastAsia="zh-CN"/>
              </w:rPr>
            </w:pPr>
            <w:r>
              <w:rPr>
                <w:rFonts w:hint="eastAsia" w:ascii="方正黑体_GBK" w:eastAsia="方正黑体_GBK"/>
                <w:sz w:val="21"/>
                <w:szCs w:val="21"/>
                <w:lang w:eastAsia="zh-CN"/>
              </w:rPr>
              <w:t>时效指标</w:t>
            </w:r>
          </w:p>
        </w:tc>
        <w:tc>
          <w:tcPr>
            <w:tcW w:w="2736" w:type="dxa"/>
            <w:tcBorders>
              <w:top w:val="single" w:color="auto" w:sz="4" w:space="0"/>
              <w:left w:val="single" w:color="auto" w:sz="4" w:space="0"/>
              <w:bottom w:val="single" w:color="auto" w:sz="4" w:space="0"/>
              <w:right w:val="single" w:color="auto" w:sz="4" w:space="0"/>
            </w:tcBorders>
            <w:noWrap w:val="0"/>
            <w:vAlign w:val="top"/>
          </w:tcPr>
          <w:p w14:paraId="7F64CD2E">
            <w:pPr>
              <w:pStyle w:val="33"/>
              <w:pBdr>
                <w:top w:val="none" w:color="auto" w:sz="0" w:space="0"/>
                <w:left w:val="none" w:color="auto" w:sz="0" w:space="0"/>
                <w:bottom w:val="none" w:color="auto" w:sz="0" w:space="0"/>
                <w:right w:val="none" w:color="auto" w:sz="0" w:space="0"/>
                <w:between w:val="none" w:color="auto" w:sz="0" w:space="0"/>
              </w:pBdr>
              <w:spacing w:line="560" w:lineRule="exact"/>
              <w:ind w:firstLine="0" w:firstLineChars="0"/>
              <w:rPr>
                <w:rFonts w:hint="default" w:ascii="方正黑体_GBK" w:eastAsia="方正黑体_GBK"/>
                <w:sz w:val="21"/>
                <w:szCs w:val="21"/>
                <w:lang w:val="en-US" w:eastAsia="zh-CN"/>
              </w:rPr>
            </w:pPr>
            <w:r>
              <w:rPr>
                <w:rFonts w:hint="eastAsia" w:ascii="方正黑体_GBK" w:eastAsia="方正黑体_GBK"/>
                <w:sz w:val="21"/>
                <w:szCs w:val="21"/>
                <w:lang w:val="en-US" w:eastAsia="zh-CN"/>
              </w:rPr>
              <w:t>2024年底前完成</w:t>
            </w:r>
          </w:p>
        </w:tc>
        <w:tc>
          <w:tcPr>
            <w:tcW w:w="2797" w:type="dxa"/>
            <w:tcBorders>
              <w:top w:val="single" w:color="auto" w:sz="4" w:space="0"/>
              <w:left w:val="single" w:color="auto" w:sz="4" w:space="0"/>
              <w:bottom w:val="single" w:color="auto" w:sz="4" w:space="0"/>
            </w:tcBorders>
            <w:noWrap w:val="0"/>
            <w:vAlign w:val="top"/>
          </w:tcPr>
          <w:p w14:paraId="54FDB79F">
            <w:pPr>
              <w:pStyle w:val="33"/>
              <w:pBdr>
                <w:top w:val="none" w:color="auto" w:sz="0" w:space="0"/>
                <w:left w:val="none" w:color="auto" w:sz="0" w:space="0"/>
                <w:bottom w:val="none" w:color="auto" w:sz="0" w:space="0"/>
                <w:right w:val="none" w:color="auto" w:sz="0" w:space="0"/>
                <w:between w:val="none" w:color="auto" w:sz="0" w:space="0"/>
              </w:pBdr>
              <w:spacing w:line="560" w:lineRule="exact"/>
              <w:ind w:firstLine="0" w:firstLineChars="0"/>
              <w:rPr>
                <w:rFonts w:hint="default" w:ascii="方正黑体_GBK" w:eastAsia="方正黑体_GBK"/>
                <w:sz w:val="21"/>
                <w:szCs w:val="21"/>
                <w:lang w:val="en-US" w:eastAsia="zh-CN"/>
              </w:rPr>
            </w:pPr>
            <w:r>
              <w:rPr>
                <w:rFonts w:hint="eastAsia" w:ascii="方正黑体_GBK" w:eastAsia="方正黑体_GBK"/>
                <w:sz w:val="21"/>
                <w:szCs w:val="21"/>
                <w:lang w:val="en-US" w:eastAsia="zh-CN"/>
              </w:rPr>
              <w:t>100%</w:t>
            </w:r>
          </w:p>
        </w:tc>
      </w:tr>
      <w:tr w14:paraId="5628B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329" w:type="dxa"/>
            <w:tcBorders>
              <w:top w:val="single" w:color="auto" w:sz="4" w:space="0"/>
              <w:bottom w:val="single" w:color="auto" w:sz="4" w:space="0"/>
              <w:right w:val="single" w:color="auto" w:sz="4" w:space="0"/>
            </w:tcBorders>
            <w:noWrap w:val="0"/>
            <w:vAlign w:val="top"/>
          </w:tcPr>
          <w:p w14:paraId="102DCE93">
            <w:pPr>
              <w:pStyle w:val="33"/>
              <w:pBdr>
                <w:top w:val="none" w:color="auto" w:sz="0" w:space="0"/>
                <w:left w:val="none" w:color="auto" w:sz="0" w:space="0"/>
                <w:bottom w:val="none" w:color="auto" w:sz="0" w:space="0"/>
                <w:right w:val="none" w:color="auto" w:sz="0" w:space="0"/>
                <w:between w:val="none" w:color="auto" w:sz="0" w:space="0"/>
              </w:pBdr>
              <w:spacing w:line="560" w:lineRule="exact"/>
              <w:ind w:firstLine="0" w:firstLineChars="0"/>
              <w:rPr>
                <w:rFonts w:hint="eastAsia" w:ascii="方正黑体_GBK" w:eastAsia="方正黑体_GBK"/>
                <w:sz w:val="21"/>
                <w:szCs w:val="21"/>
                <w:lang w:eastAsia="zh-CN"/>
              </w:rPr>
            </w:pPr>
            <w:r>
              <w:rPr>
                <w:rFonts w:hint="eastAsia" w:ascii="方正黑体_GBK" w:eastAsia="方正黑体_GBK"/>
                <w:sz w:val="21"/>
                <w:szCs w:val="21"/>
                <w:lang w:eastAsia="zh-CN"/>
              </w:rPr>
              <w:t>效益指标</w:t>
            </w:r>
          </w:p>
        </w:tc>
        <w:tc>
          <w:tcPr>
            <w:tcW w:w="1716" w:type="dxa"/>
            <w:tcBorders>
              <w:top w:val="single" w:color="auto" w:sz="4" w:space="0"/>
              <w:left w:val="single" w:color="auto" w:sz="4" w:space="0"/>
              <w:bottom w:val="single" w:color="auto" w:sz="4" w:space="0"/>
              <w:right w:val="single" w:color="auto" w:sz="4" w:space="0"/>
            </w:tcBorders>
            <w:noWrap w:val="0"/>
            <w:vAlign w:val="top"/>
          </w:tcPr>
          <w:p w14:paraId="5565F64F">
            <w:pPr>
              <w:pStyle w:val="33"/>
              <w:pBdr>
                <w:top w:val="none" w:color="auto" w:sz="0" w:space="0"/>
                <w:left w:val="none" w:color="auto" w:sz="0" w:space="0"/>
                <w:bottom w:val="none" w:color="auto" w:sz="0" w:space="0"/>
                <w:right w:val="none" w:color="auto" w:sz="0" w:space="0"/>
                <w:between w:val="none" w:color="auto" w:sz="0" w:space="0"/>
              </w:pBdr>
              <w:spacing w:line="560" w:lineRule="exact"/>
              <w:ind w:firstLine="0" w:firstLineChars="0"/>
              <w:rPr>
                <w:rFonts w:hint="eastAsia" w:ascii="方正黑体_GBK" w:eastAsia="方正黑体_GBK"/>
                <w:sz w:val="21"/>
                <w:szCs w:val="21"/>
                <w:lang w:eastAsia="zh-CN"/>
              </w:rPr>
            </w:pPr>
            <w:r>
              <w:rPr>
                <w:rFonts w:hint="eastAsia" w:ascii="方正黑体_GBK" w:eastAsia="方正黑体_GBK"/>
                <w:sz w:val="21"/>
                <w:szCs w:val="21"/>
                <w:lang w:eastAsia="zh-CN"/>
              </w:rPr>
              <w:t>社会效益指标</w:t>
            </w:r>
          </w:p>
        </w:tc>
        <w:tc>
          <w:tcPr>
            <w:tcW w:w="2736" w:type="dxa"/>
            <w:tcBorders>
              <w:top w:val="single" w:color="auto" w:sz="4" w:space="0"/>
              <w:left w:val="single" w:color="auto" w:sz="4" w:space="0"/>
              <w:bottom w:val="single" w:color="auto" w:sz="4" w:space="0"/>
              <w:right w:val="single" w:color="auto" w:sz="4" w:space="0"/>
            </w:tcBorders>
            <w:noWrap w:val="0"/>
            <w:vAlign w:val="top"/>
          </w:tcPr>
          <w:p w14:paraId="1FBC66D3">
            <w:pPr>
              <w:pStyle w:val="33"/>
              <w:pBdr>
                <w:top w:val="none" w:color="auto" w:sz="0" w:space="0"/>
                <w:left w:val="none" w:color="auto" w:sz="0" w:space="0"/>
                <w:bottom w:val="none" w:color="auto" w:sz="0" w:space="0"/>
                <w:right w:val="none" w:color="auto" w:sz="0" w:space="0"/>
                <w:between w:val="none" w:color="auto" w:sz="0" w:space="0"/>
              </w:pBdr>
              <w:spacing w:line="560" w:lineRule="exact"/>
              <w:ind w:firstLine="0" w:firstLineChars="0"/>
              <w:rPr>
                <w:rFonts w:hint="eastAsia" w:ascii="方正黑体_GBK" w:eastAsia="方正黑体_GBK"/>
                <w:sz w:val="21"/>
                <w:szCs w:val="21"/>
              </w:rPr>
            </w:pPr>
            <w:r>
              <w:rPr>
                <w:rFonts w:hint="eastAsia" w:ascii="方正黑体_GBK" w:eastAsia="方正黑体_GBK"/>
                <w:sz w:val="21"/>
                <w:szCs w:val="21"/>
                <w:lang w:eastAsia="zh-CN"/>
              </w:rPr>
              <w:t>推动金川文艺事业繁荣发展</w:t>
            </w:r>
          </w:p>
        </w:tc>
        <w:tc>
          <w:tcPr>
            <w:tcW w:w="2797" w:type="dxa"/>
            <w:tcBorders>
              <w:top w:val="single" w:color="auto" w:sz="4" w:space="0"/>
              <w:left w:val="single" w:color="auto" w:sz="4" w:space="0"/>
              <w:bottom w:val="single" w:color="auto" w:sz="4" w:space="0"/>
            </w:tcBorders>
            <w:noWrap w:val="0"/>
            <w:vAlign w:val="top"/>
          </w:tcPr>
          <w:p w14:paraId="1A897E62">
            <w:pPr>
              <w:pStyle w:val="33"/>
              <w:pBdr>
                <w:top w:val="none" w:color="auto" w:sz="0" w:space="0"/>
                <w:left w:val="none" w:color="auto" w:sz="0" w:space="0"/>
                <w:bottom w:val="none" w:color="auto" w:sz="0" w:space="0"/>
                <w:right w:val="none" w:color="auto" w:sz="0" w:space="0"/>
                <w:between w:val="none" w:color="auto" w:sz="0" w:space="0"/>
              </w:pBdr>
              <w:spacing w:line="560" w:lineRule="exact"/>
              <w:ind w:firstLine="0" w:firstLineChars="0"/>
              <w:rPr>
                <w:rFonts w:hint="eastAsia" w:ascii="方正黑体_GBK" w:eastAsia="方正黑体_GBK"/>
                <w:sz w:val="21"/>
                <w:szCs w:val="21"/>
              </w:rPr>
            </w:pPr>
            <w:r>
              <w:rPr>
                <w:rFonts w:hint="eastAsia" w:ascii="方正黑体_GBK" w:eastAsia="方正黑体_GBK"/>
                <w:sz w:val="21"/>
                <w:szCs w:val="21"/>
                <w:lang w:eastAsia="zh-CN"/>
              </w:rPr>
              <w:t>优良中低差</w:t>
            </w:r>
          </w:p>
        </w:tc>
      </w:tr>
      <w:tr w14:paraId="24B46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329" w:type="dxa"/>
            <w:tcBorders>
              <w:top w:val="single" w:color="auto" w:sz="4" w:space="0"/>
              <w:bottom w:val="single" w:color="auto" w:sz="4" w:space="0"/>
              <w:right w:val="single" w:color="auto" w:sz="4" w:space="0"/>
            </w:tcBorders>
            <w:noWrap w:val="0"/>
            <w:vAlign w:val="top"/>
          </w:tcPr>
          <w:p w14:paraId="235EF6B1">
            <w:pPr>
              <w:pStyle w:val="33"/>
              <w:pBdr>
                <w:top w:val="none" w:color="auto" w:sz="0" w:space="0"/>
                <w:left w:val="none" w:color="auto" w:sz="0" w:space="0"/>
                <w:bottom w:val="none" w:color="auto" w:sz="0" w:space="0"/>
                <w:right w:val="none" w:color="auto" w:sz="0" w:space="0"/>
                <w:between w:val="none" w:color="auto" w:sz="0" w:space="0"/>
              </w:pBdr>
              <w:spacing w:line="560" w:lineRule="exact"/>
              <w:ind w:firstLine="0" w:firstLineChars="0"/>
              <w:rPr>
                <w:rFonts w:hint="eastAsia" w:ascii="方正黑体_GBK" w:eastAsia="方正黑体_GBK"/>
                <w:sz w:val="21"/>
                <w:szCs w:val="21"/>
                <w:lang w:eastAsia="zh-CN"/>
              </w:rPr>
            </w:pPr>
            <w:r>
              <w:rPr>
                <w:rFonts w:hint="eastAsia" w:ascii="方正黑体_GBK" w:eastAsia="方正黑体_GBK"/>
                <w:sz w:val="21"/>
                <w:szCs w:val="21"/>
                <w:lang w:eastAsia="zh-CN"/>
              </w:rPr>
              <w:t>满意度指标</w:t>
            </w:r>
          </w:p>
        </w:tc>
        <w:tc>
          <w:tcPr>
            <w:tcW w:w="1716" w:type="dxa"/>
            <w:tcBorders>
              <w:top w:val="single" w:color="auto" w:sz="4" w:space="0"/>
              <w:left w:val="single" w:color="auto" w:sz="4" w:space="0"/>
              <w:bottom w:val="single" w:color="auto" w:sz="4" w:space="0"/>
              <w:right w:val="single" w:color="auto" w:sz="4" w:space="0"/>
            </w:tcBorders>
            <w:noWrap w:val="0"/>
            <w:vAlign w:val="top"/>
          </w:tcPr>
          <w:p w14:paraId="24F3825F">
            <w:pPr>
              <w:pStyle w:val="33"/>
              <w:pBdr>
                <w:top w:val="none" w:color="auto" w:sz="0" w:space="0"/>
                <w:left w:val="none" w:color="auto" w:sz="0" w:space="0"/>
                <w:bottom w:val="none" w:color="auto" w:sz="0" w:space="0"/>
                <w:right w:val="none" w:color="auto" w:sz="0" w:space="0"/>
                <w:between w:val="none" w:color="auto" w:sz="0" w:space="0"/>
              </w:pBdr>
              <w:spacing w:line="560" w:lineRule="exact"/>
              <w:ind w:firstLine="0" w:firstLineChars="0"/>
              <w:rPr>
                <w:rFonts w:hint="eastAsia" w:ascii="方正黑体_GBK" w:eastAsia="方正黑体_GBK"/>
                <w:sz w:val="21"/>
                <w:szCs w:val="21"/>
                <w:lang w:eastAsia="zh-CN"/>
              </w:rPr>
            </w:pPr>
            <w:r>
              <w:rPr>
                <w:rFonts w:hint="eastAsia" w:ascii="方正黑体_GBK" w:eastAsia="方正黑体_GBK"/>
                <w:sz w:val="21"/>
                <w:szCs w:val="21"/>
                <w:lang w:eastAsia="zh-CN"/>
              </w:rPr>
              <w:t>服务对象满意度</w:t>
            </w:r>
          </w:p>
        </w:tc>
        <w:tc>
          <w:tcPr>
            <w:tcW w:w="2736" w:type="dxa"/>
            <w:tcBorders>
              <w:top w:val="single" w:color="auto" w:sz="4" w:space="0"/>
              <w:left w:val="single" w:color="auto" w:sz="4" w:space="0"/>
              <w:bottom w:val="single" w:color="auto" w:sz="4" w:space="0"/>
              <w:right w:val="single" w:color="auto" w:sz="4" w:space="0"/>
            </w:tcBorders>
            <w:noWrap w:val="0"/>
            <w:vAlign w:val="top"/>
          </w:tcPr>
          <w:p w14:paraId="39EFD143">
            <w:pPr>
              <w:pStyle w:val="33"/>
              <w:pBdr>
                <w:top w:val="none" w:color="auto" w:sz="0" w:space="0"/>
                <w:left w:val="none" w:color="auto" w:sz="0" w:space="0"/>
                <w:bottom w:val="none" w:color="auto" w:sz="0" w:space="0"/>
                <w:right w:val="none" w:color="auto" w:sz="0" w:space="0"/>
                <w:between w:val="none" w:color="auto" w:sz="0" w:space="0"/>
              </w:pBdr>
              <w:spacing w:line="560" w:lineRule="exact"/>
              <w:ind w:firstLine="0" w:firstLineChars="0"/>
              <w:rPr>
                <w:rFonts w:hint="eastAsia" w:ascii="方正黑体_GBK" w:eastAsia="方正黑体_GBK"/>
                <w:sz w:val="21"/>
                <w:szCs w:val="21"/>
                <w:lang w:eastAsia="zh-CN"/>
              </w:rPr>
            </w:pPr>
            <w:r>
              <w:rPr>
                <w:rFonts w:hint="eastAsia" w:ascii="方正黑体_GBK" w:eastAsia="方正黑体_GBK"/>
                <w:sz w:val="21"/>
                <w:szCs w:val="21"/>
                <w:lang w:eastAsia="zh-CN"/>
              </w:rPr>
              <w:t>人民群众对文艺创作满意度</w:t>
            </w:r>
          </w:p>
        </w:tc>
        <w:tc>
          <w:tcPr>
            <w:tcW w:w="2797" w:type="dxa"/>
            <w:tcBorders>
              <w:top w:val="single" w:color="auto" w:sz="4" w:space="0"/>
              <w:left w:val="single" w:color="auto" w:sz="4" w:space="0"/>
              <w:bottom w:val="single" w:color="auto" w:sz="4" w:space="0"/>
            </w:tcBorders>
            <w:noWrap w:val="0"/>
            <w:vAlign w:val="top"/>
          </w:tcPr>
          <w:p w14:paraId="3F6ACB80">
            <w:pPr>
              <w:pStyle w:val="33"/>
              <w:pBdr>
                <w:top w:val="none" w:color="auto" w:sz="0" w:space="0"/>
                <w:left w:val="none" w:color="auto" w:sz="0" w:space="0"/>
                <w:bottom w:val="none" w:color="auto" w:sz="0" w:space="0"/>
                <w:right w:val="none" w:color="auto" w:sz="0" w:space="0"/>
                <w:between w:val="none" w:color="auto" w:sz="0" w:space="0"/>
              </w:pBdr>
              <w:spacing w:line="560" w:lineRule="exact"/>
              <w:ind w:firstLine="0" w:firstLineChars="0"/>
              <w:rPr>
                <w:rFonts w:hint="default" w:ascii="方正黑体_GBK" w:eastAsia="方正黑体_GBK"/>
                <w:sz w:val="21"/>
                <w:szCs w:val="21"/>
                <w:lang w:val="en-US" w:eastAsia="zh-CN"/>
              </w:rPr>
            </w:pPr>
            <w:r>
              <w:rPr>
                <w:rFonts w:hint="eastAsia" w:ascii="方正黑体_GBK" w:eastAsia="方正黑体_GBK"/>
                <w:sz w:val="21"/>
                <w:szCs w:val="21"/>
                <w:lang w:val="en-US" w:eastAsia="zh-CN"/>
              </w:rPr>
              <w:t>98%</w:t>
            </w:r>
          </w:p>
        </w:tc>
      </w:tr>
      <w:tr w14:paraId="2845B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329" w:type="dxa"/>
            <w:tcBorders>
              <w:top w:val="single" w:color="auto" w:sz="4" w:space="0"/>
              <w:right w:val="single" w:color="auto" w:sz="4" w:space="0"/>
            </w:tcBorders>
            <w:noWrap w:val="0"/>
            <w:vAlign w:val="top"/>
          </w:tcPr>
          <w:p w14:paraId="217BCF07">
            <w:pPr>
              <w:pStyle w:val="33"/>
              <w:pBdr>
                <w:top w:val="none" w:color="auto" w:sz="0" w:space="0"/>
                <w:left w:val="none" w:color="auto" w:sz="0" w:space="0"/>
                <w:bottom w:val="none" w:color="auto" w:sz="0" w:space="0"/>
                <w:right w:val="none" w:color="auto" w:sz="0" w:space="0"/>
                <w:between w:val="none" w:color="auto" w:sz="0" w:space="0"/>
              </w:pBdr>
              <w:spacing w:line="560" w:lineRule="exact"/>
              <w:ind w:firstLine="0" w:firstLineChars="0"/>
              <w:rPr>
                <w:rFonts w:hint="eastAsia" w:ascii="方正黑体_GBK" w:eastAsia="方正黑体_GBK"/>
                <w:sz w:val="21"/>
                <w:szCs w:val="21"/>
              </w:rPr>
            </w:pPr>
          </w:p>
        </w:tc>
        <w:tc>
          <w:tcPr>
            <w:tcW w:w="1716" w:type="dxa"/>
            <w:tcBorders>
              <w:top w:val="single" w:color="auto" w:sz="4" w:space="0"/>
              <w:left w:val="single" w:color="auto" w:sz="4" w:space="0"/>
              <w:right w:val="single" w:color="auto" w:sz="4" w:space="0"/>
            </w:tcBorders>
            <w:noWrap w:val="0"/>
            <w:vAlign w:val="top"/>
          </w:tcPr>
          <w:p w14:paraId="22B00612">
            <w:pPr>
              <w:pStyle w:val="33"/>
              <w:pBdr>
                <w:top w:val="none" w:color="auto" w:sz="0" w:space="0"/>
                <w:left w:val="none" w:color="auto" w:sz="0" w:space="0"/>
                <w:bottom w:val="none" w:color="auto" w:sz="0" w:space="0"/>
                <w:right w:val="none" w:color="auto" w:sz="0" w:space="0"/>
                <w:between w:val="none" w:color="auto" w:sz="0" w:space="0"/>
              </w:pBdr>
              <w:spacing w:line="560" w:lineRule="exact"/>
              <w:ind w:firstLine="0" w:firstLineChars="0"/>
              <w:rPr>
                <w:rFonts w:hint="eastAsia" w:ascii="方正黑体_GBK" w:eastAsia="方正黑体_GBK"/>
                <w:sz w:val="21"/>
                <w:szCs w:val="21"/>
              </w:rPr>
            </w:pPr>
          </w:p>
        </w:tc>
        <w:tc>
          <w:tcPr>
            <w:tcW w:w="2736" w:type="dxa"/>
            <w:tcBorders>
              <w:top w:val="single" w:color="auto" w:sz="4" w:space="0"/>
              <w:left w:val="single" w:color="auto" w:sz="4" w:space="0"/>
              <w:right w:val="single" w:color="auto" w:sz="4" w:space="0"/>
            </w:tcBorders>
            <w:noWrap w:val="0"/>
            <w:vAlign w:val="top"/>
          </w:tcPr>
          <w:p w14:paraId="470C304A">
            <w:pPr>
              <w:pStyle w:val="33"/>
              <w:pBdr>
                <w:top w:val="none" w:color="auto" w:sz="0" w:space="0"/>
                <w:left w:val="none" w:color="auto" w:sz="0" w:space="0"/>
                <w:bottom w:val="none" w:color="auto" w:sz="0" w:space="0"/>
                <w:right w:val="none" w:color="auto" w:sz="0" w:space="0"/>
                <w:between w:val="none" w:color="auto" w:sz="0" w:space="0"/>
              </w:pBdr>
              <w:spacing w:line="560" w:lineRule="exact"/>
              <w:ind w:firstLine="0" w:firstLineChars="0"/>
              <w:rPr>
                <w:rFonts w:hint="eastAsia" w:ascii="方正黑体_GBK" w:eastAsia="方正黑体_GBK"/>
                <w:sz w:val="21"/>
                <w:szCs w:val="21"/>
              </w:rPr>
            </w:pPr>
          </w:p>
        </w:tc>
        <w:tc>
          <w:tcPr>
            <w:tcW w:w="2797" w:type="dxa"/>
            <w:tcBorders>
              <w:top w:val="single" w:color="auto" w:sz="4" w:space="0"/>
              <w:left w:val="single" w:color="auto" w:sz="4" w:space="0"/>
            </w:tcBorders>
            <w:noWrap w:val="0"/>
            <w:vAlign w:val="top"/>
          </w:tcPr>
          <w:p w14:paraId="643B44AE">
            <w:pPr>
              <w:pStyle w:val="33"/>
              <w:pBdr>
                <w:top w:val="none" w:color="auto" w:sz="0" w:space="0"/>
                <w:left w:val="none" w:color="auto" w:sz="0" w:space="0"/>
                <w:bottom w:val="none" w:color="auto" w:sz="0" w:space="0"/>
                <w:right w:val="none" w:color="auto" w:sz="0" w:space="0"/>
                <w:between w:val="none" w:color="auto" w:sz="0" w:space="0"/>
              </w:pBdr>
              <w:spacing w:line="560" w:lineRule="exact"/>
              <w:ind w:firstLine="0" w:firstLineChars="0"/>
              <w:rPr>
                <w:rFonts w:hint="eastAsia" w:ascii="方正黑体_GBK" w:eastAsia="方正黑体_GBK"/>
                <w:sz w:val="21"/>
                <w:szCs w:val="21"/>
              </w:rPr>
            </w:pPr>
          </w:p>
        </w:tc>
      </w:tr>
    </w:tbl>
    <w:p w14:paraId="53F0B2E5">
      <w:pPr>
        <w:keepNext w:val="0"/>
        <w:keepLines w:val="0"/>
        <w:pageBreakBefore w:val="0"/>
        <w:kinsoku/>
        <w:wordWrap/>
        <w:overflowPunct/>
        <w:topLinePunct w:val="0"/>
        <w:autoSpaceDE/>
        <w:autoSpaceDN/>
        <w:bidi w:val="0"/>
        <w:adjustRightInd w:val="0"/>
        <w:snapToGrid w:val="0"/>
        <w:spacing w:line="578" w:lineRule="exact"/>
        <w:textAlignment w:val="auto"/>
        <w:rPr>
          <w:rFonts w:hint="default" w:ascii="Times New Roman" w:hAnsi="Times New Roman" w:cs="Times New Roman"/>
          <w:color w:val="auto"/>
          <w:kern w:val="0"/>
          <w:sz w:val="32"/>
          <w:szCs w:val="32"/>
          <w:highlight w:val="none"/>
          <w:u w:val="none"/>
          <w:shd w:val="clear" w:color="auto" w:fill="FFFFFF"/>
          <w:lang w:val="zh-CN" w:eastAsia="zh-CN"/>
        </w:rPr>
      </w:pPr>
    </w:p>
    <w:p w14:paraId="56F6177A">
      <w:pPr>
        <w:keepNext w:val="0"/>
        <w:keepLines w:val="0"/>
        <w:pageBreakBefore w:val="0"/>
        <w:kinsoku/>
        <w:wordWrap/>
        <w:overflowPunct/>
        <w:topLinePunct w:val="0"/>
        <w:autoSpaceDE/>
        <w:autoSpaceDN/>
        <w:bidi w:val="0"/>
        <w:adjustRightInd w:val="0"/>
        <w:snapToGrid w:val="0"/>
        <w:spacing w:line="578" w:lineRule="exact"/>
        <w:ind w:left="0" w:leftChars="0" w:firstLine="640" w:firstLineChars="200"/>
        <w:textAlignment w:val="auto"/>
        <w:rPr>
          <w:rFonts w:hint="default" w:ascii="仿宋_GB2312" w:eastAsia="仿宋_GB2312"/>
          <w:sz w:val="32"/>
          <w:szCs w:val="32"/>
          <w:lang w:val="zh-CN" w:eastAsia="zh-CN"/>
        </w:rPr>
      </w:pPr>
      <w:r>
        <w:rPr>
          <w:rFonts w:hint="default" w:ascii="仿宋_GB2312" w:eastAsia="仿宋_GB2312"/>
          <w:sz w:val="32"/>
          <w:szCs w:val="32"/>
          <w:lang w:val="zh-CN" w:eastAsia="zh-CN"/>
        </w:rPr>
        <w:t>二、评价实施</w:t>
      </w:r>
    </w:p>
    <w:p w14:paraId="73332E3A">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仿宋_GB2312" w:eastAsia="仿宋_GB2312"/>
          <w:sz w:val="32"/>
          <w:szCs w:val="32"/>
          <w:lang w:val="zh-CN" w:eastAsia="zh-CN"/>
        </w:rPr>
      </w:pPr>
      <w:r>
        <w:rPr>
          <w:rFonts w:hint="default" w:ascii="Times New Roman" w:hAnsi="Times New Roman" w:eastAsia="楷体_GB2312" w:cs="Times New Roman"/>
          <w:b/>
          <w:color w:val="auto"/>
          <w:sz w:val="32"/>
          <w:szCs w:val="32"/>
          <w:highlight w:val="none"/>
          <w:u w:val="none"/>
          <w:lang w:val="zh-CN"/>
        </w:rPr>
        <w:t>（一）评价目的。</w:t>
      </w:r>
      <w:r>
        <w:rPr>
          <w:rFonts w:hint="eastAsia" w:ascii="仿宋_GB2312" w:eastAsia="仿宋_GB2312"/>
          <w:sz w:val="32"/>
          <w:szCs w:val="32"/>
          <w:lang w:val="zh-CN" w:eastAsia="zh-CN"/>
        </w:rPr>
        <w:t>通过项目自评主要目的是能够有效的确定项目的可行性和执行效益，为项目的决策和规划提供科学的依据和参考。</w:t>
      </w:r>
    </w:p>
    <w:p w14:paraId="48641D64">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3" w:firstLineChars="200"/>
        <w:textAlignment w:val="auto"/>
        <w:outlineLvl w:val="9"/>
        <w:rPr>
          <w:rFonts w:hint="default" w:ascii="Times New Roman" w:hAnsi="Times New Roman" w:cs="Times New Roman"/>
          <w:szCs w:val="32"/>
          <w:lang w:eastAsia="zh-CN"/>
        </w:rPr>
      </w:pPr>
      <w:r>
        <w:rPr>
          <w:rFonts w:hint="default" w:ascii="Times New Roman" w:hAnsi="Times New Roman" w:eastAsia="楷体_GB2312" w:cs="Times New Roman"/>
          <w:b/>
          <w:color w:val="auto"/>
          <w:sz w:val="32"/>
          <w:szCs w:val="32"/>
          <w:highlight w:val="none"/>
          <w:u w:val="none"/>
          <w:lang w:val="zh-CN"/>
        </w:rPr>
        <w:t>（二）预设问题及评价重点。</w:t>
      </w:r>
      <w:r>
        <w:rPr>
          <w:rFonts w:hint="eastAsia" w:ascii="仿宋_GB2312" w:eastAsia="仿宋_GB2312"/>
          <w:sz w:val="32"/>
          <w:szCs w:val="32"/>
          <w:lang w:val="zh-CN" w:eastAsia="zh-CN"/>
        </w:rPr>
        <w:t>建立了金川县文学艺术界联合会内控管理制度，严格执行财经纪律和财务规章制度，严格专项资金拨付审批流程，严格专项资金使用范围，做到专款专用，不挤占、不挪用，及时进行财务处理及会计核算。</w:t>
      </w:r>
    </w:p>
    <w:p w14:paraId="682BE261">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3" w:firstLineChars="200"/>
        <w:textAlignment w:val="auto"/>
        <w:outlineLvl w:val="9"/>
        <w:rPr>
          <w:rFonts w:hint="default" w:ascii="仿宋_GB2312" w:eastAsia="仿宋_GB2312"/>
          <w:sz w:val="32"/>
          <w:szCs w:val="32"/>
          <w:lang w:val="zh-CN" w:eastAsia="zh-CN"/>
        </w:rPr>
      </w:pPr>
      <w:r>
        <w:rPr>
          <w:rFonts w:hint="default" w:ascii="Times New Roman" w:hAnsi="Times New Roman" w:eastAsia="楷体_GB2312" w:cs="Times New Roman"/>
          <w:b/>
          <w:color w:val="auto"/>
          <w:sz w:val="32"/>
          <w:szCs w:val="32"/>
          <w:highlight w:val="none"/>
          <w:u w:val="none"/>
          <w:lang w:val="zh-CN"/>
        </w:rPr>
        <w:t>（三）评价选点。</w:t>
      </w:r>
      <w:r>
        <w:rPr>
          <w:rFonts w:hint="eastAsia" w:ascii="仿宋_GB2312" w:eastAsia="仿宋_GB2312"/>
          <w:sz w:val="32"/>
          <w:szCs w:val="32"/>
          <w:lang w:val="zh-CN" w:eastAsia="zh-CN"/>
        </w:rPr>
        <w:t>项目绩效自评抽样采用实地考察。</w:t>
      </w:r>
    </w:p>
    <w:p w14:paraId="1B5F748C">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3" w:firstLineChars="200"/>
        <w:textAlignment w:val="auto"/>
        <w:outlineLvl w:val="9"/>
        <w:rPr>
          <w:rFonts w:hint="default" w:ascii="仿宋_GB2312" w:eastAsia="仿宋_GB2312"/>
          <w:sz w:val="32"/>
          <w:szCs w:val="32"/>
          <w:lang w:val="zh-CN" w:eastAsia="zh-CN"/>
        </w:rPr>
      </w:pPr>
      <w:r>
        <w:rPr>
          <w:rFonts w:hint="default" w:ascii="Times New Roman" w:hAnsi="Times New Roman" w:eastAsia="楷体_GB2312" w:cs="Times New Roman"/>
          <w:b/>
          <w:color w:val="auto"/>
          <w:sz w:val="32"/>
          <w:szCs w:val="32"/>
          <w:highlight w:val="none"/>
          <w:u w:val="none"/>
          <w:lang w:val="zh-CN"/>
        </w:rPr>
        <w:t>（四）评价方法。</w:t>
      </w:r>
      <w:r>
        <w:rPr>
          <w:rFonts w:hint="eastAsia" w:ascii="仿宋_GB2312" w:eastAsia="仿宋_GB2312"/>
          <w:sz w:val="32"/>
          <w:szCs w:val="32"/>
          <w:lang w:val="zh-CN" w:eastAsia="zh-CN"/>
        </w:rPr>
        <w:t>根据项目完成情况，采用单位自评法开展评价。</w:t>
      </w:r>
    </w:p>
    <w:p w14:paraId="65F243D4">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eastAsia="仿宋_GB2312" w:cs="Times New Roman"/>
          <w:bCs/>
          <w:lang w:eastAsia="zh-CN"/>
        </w:rPr>
      </w:pPr>
      <w:r>
        <w:rPr>
          <w:rFonts w:hint="default" w:ascii="Times New Roman" w:hAnsi="Times New Roman" w:eastAsia="楷体_GB2312" w:cs="Times New Roman"/>
          <w:b/>
          <w:color w:val="auto"/>
          <w:sz w:val="32"/>
          <w:szCs w:val="32"/>
          <w:highlight w:val="none"/>
          <w:u w:val="none"/>
          <w:lang w:val="zh-CN"/>
        </w:rPr>
        <w:t>（五）评价组织。</w:t>
      </w:r>
      <w:r>
        <w:rPr>
          <w:rFonts w:hint="eastAsia" w:ascii="仿宋_GB2312" w:eastAsia="仿宋_GB2312"/>
          <w:sz w:val="32"/>
          <w:szCs w:val="32"/>
          <w:lang w:val="zh-CN" w:eastAsia="zh-CN"/>
        </w:rPr>
        <w:t>评价组人员由项目管理人员和财务室工作人员共同进行，项目管理人员主要负责项目决策、项目管理、项目实施、项目结果等评价评分；财务室工作人员主要负责用资金用途合规性、程序合规性、标准合规性评价评分。</w:t>
      </w:r>
    </w:p>
    <w:p w14:paraId="33168BA7">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default" w:ascii="Times New Roman" w:hAnsi="Times New Roman" w:cs="Times New Roman"/>
          <w:color w:val="auto"/>
          <w:sz w:val="32"/>
          <w:szCs w:val="32"/>
          <w:highlight w:val="none"/>
          <w:u w:val="none"/>
          <w:lang w:val="zh-CN"/>
        </w:rPr>
      </w:pPr>
      <w:r>
        <w:rPr>
          <w:rFonts w:hint="default" w:ascii="Times New Roman" w:hAnsi="Times New Roman" w:eastAsia="黑体" w:cs="Times New Roman"/>
          <w:color w:val="auto"/>
          <w:sz w:val="32"/>
          <w:szCs w:val="32"/>
          <w:highlight w:val="none"/>
          <w:u w:val="none"/>
        </w:rPr>
        <w:t>三、</w:t>
      </w:r>
      <w:r>
        <w:rPr>
          <w:rFonts w:hint="default" w:ascii="Times New Roman" w:hAnsi="Times New Roman" w:eastAsia="黑体" w:cs="Times New Roman"/>
          <w:color w:val="auto"/>
          <w:sz w:val="32"/>
          <w:szCs w:val="32"/>
          <w:highlight w:val="none"/>
          <w:u w:val="none"/>
          <w:lang w:eastAsia="zh-CN"/>
        </w:rPr>
        <w:t>绩效分析</w:t>
      </w:r>
      <w:r>
        <w:rPr>
          <w:rFonts w:hint="default" w:ascii="Times New Roman" w:hAnsi="Times New Roman" w:cs="Times New Roman"/>
          <w:color w:val="auto"/>
          <w:sz w:val="32"/>
          <w:szCs w:val="32"/>
          <w:highlight w:val="none"/>
          <w:u w:val="none"/>
          <w:lang w:val="zh-CN"/>
        </w:rPr>
        <w:tab/>
      </w:r>
    </w:p>
    <w:p w14:paraId="0D7AA4C9">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仿宋_GB2312" w:eastAsia="仿宋_GB2312"/>
          <w:sz w:val="32"/>
          <w:szCs w:val="32"/>
          <w:lang w:val="en-US" w:eastAsia="zh-CN"/>
        </w:rPr>
      </w:pPr>
      <w:r>
        <w:rPr>
          <w:rFonts w:hint="default" w:ascii="仿宋_GB2312" w:eastAsia="仿宋_GB2312"/>
          <w:sz w:val="32"/>
          <w:szCs w:val="32"/>
          <w:lang w:val="zh-CN" w:eastAsia="zh-CN"/>
        </w:rPr>
        <w:t>根据项目预算绩效评价指标体系“通用指标”“专用指标”“个性指标”涉及二、三级指标进行逐项绩效分析并评分</w:t>
      </w:r>
      <w:r>
        <w:rPr>
          <w:rFonts w:hint="default" w:ascii="仿宋_GB2312" w:eastAsia="仿宋_GB2312"/>
          <w:sz w:val="32"/>
          <w:szCs w:val="32"/>
          <w:lang w:val="en-US" w:eastAsia="zh-CN"/>
        </w:rPr>
        <w:t>。</w:t>
      </w:r>
    </w:p>
    <w:p w14:paraId="4C0AF243">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default" w:ascii="Times New Roman" w:hAnsi="Times New Roman" w:eastAsia="楷体_GB2312" w:cs="Times New Roman"/>
          <w:b/>
          <w:color w:val="auto"/>
          <w:sz w:val="32"/>
          <w:szCs w:val="32"/>
          <w:highlight w:val="none"/>
          <w:u w:val="none"/>
          <w:lang w:val="en-US" w:eastAsia="zh-CN"/>
        </w:rPr>
      </w:pPr>
      <w:r>
        <w:rPr>
          <w:rFonts w:hint="default" w:ascii="Times New Roman" w:hAnsi="Times New Roman" w:eastAsia="楷体_GB2312" w:cs="Times New Roman"/>
          <w:b/>
          <w:color w:val="auto"/>
          <w:sz w:val="32"/>
          <w:szCs w:val="32"/>
          <w:highlight w:val="none"/>
          <w:u w:val="none"/>
          <w:lang w:val="zh-CN"/>
        </w:rPr>
        <w:t>（一）</w:t>
      </w:r>
      <w:r>
        <w:rPr>
          <w:rFonts w:hint="default" w:ascii="Times New Roman" w:hAnsi="Times New Roman" w:eastAsia="楷体_GB2312" w:cs="Times New Roman"/>
          <w:b/>
          <w:color w:val="auto"/>
          <w:sz w:val="32"/>
          <w:szCs w:val="32"/>
          <w:highlight w:val="none"/>
          <w:u w:val="none"/>
          <w:lang w:val="en-US" w:eastAsia="zh-CN"/>
        </w:rPr>
        <w:t>通用指标</w:t>
      </w:r>
      <w:r>
        <w:rPr>
          <w:rFonts w:hint="default" w:ascii="Times New Roman" w:hAnsi="Times New Roman" w:eastAsia="楷体_GB2312" w:cs="Times New Roman"/>
          <w:b/>
          <w:color w:val="auto"/>
          <w:sz w:val="32"/>
          <w:szCs w:val="32"/>
          <w:highlight w:val="none"/>
          <w:u w:val="none"/>
          <w:lang w:val="zh-CN" w:eastAsia="zh-CN"/>
        </w:rPr>
        <w:t>绩效分析。</w:t>
      </w:r>
    </w:p>
    <w:p w14:paraId="34FE4427">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eastAsia="仿宋_GB2312"/>
          <w:sz w:val="32"/>
          <w:szCs w:val="32"/>
          <w:lang w:val="zh-CN" w:eastAsia="zh-CN"/>
        </w:rPr>
      </w:pPr>
      <w:r>
        <w:rPr>
          <w:rFonts w:hint="default" w:ascii="仿宋_GB2312" w:eastAsia="仿宋_GB2312"/>
          <w:sz w:val="32"/>
          <w:szCs w:val="32"/>
          <w:lang w:val="en-US" w:eastAsia="zh-CN"/>
        </w:rPr>
        <w:t>1.</w:t>
      </w:r>
      <w:r>
        <w:rPr>
          <w:rFonts w:hint="default" w:ascii="仿宋_GB2312" w:eastAsia="仿宋_GB2312"/>
          <w:sz w:val="32"/>
          <w:szCs w:val="32"/>
          <w:lang w:val="zh-CN" w:eastAsia="zh-CN"/>
        </w:rPr>
        <w:t>项目决策。</w:t>
      </w:r>
      <w:r>
        <w:rPr>
          <w:rFonts w:hint="eastAsia" w:ascii="仿宋_GB2312" w:eastAsia="仿宋_GB2312"/>
          <w:sz w:val="32"/>
          <w:szCs w:val="32"/>
          <w:lang w:val="zh-CN" w:eastAsia="zh-CN"/>
        </w:rPr>
        <w:t>项目决策程序符合资金管理基本规范和决策程序要求，项目规划符合中央、省委省政府有关决策部署安排，绩效目标科学合理、规范完整、量化细化、预算匹配，项目属于政府支持范围，且符合财政事权支出责任划分规定，资金投向与项目总体规划、相关行业事业发展相匹配，聚焦重大任务、重点领域、重点环节和重点项目，体现“集中财力办大事”原则，避免“撒胡椒面”，未与其他同类项目或部门内部相关项目交叉重复。</w:t>
      </w:r>
    </w:p>
    <w:p w14:paraId="51A9E96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仿宋_GB2312" w:eastAsia="仿宋_GB2312"/>
          <w:sz w:val="32"/>
          <w:szCs w:val="32"/>
          <w:lang w:val="zh-CN" w:eastAsia="zh-CN"/>
        </w:rPr>
      </w:pPr>
      <w:r>
        <w:rPr>
          <w:rFonts w:hint="default" w:ascii="仿宋_GB2312" w:eastAsia="仿宋_GB2312"/>
          <w:sz w:val="32"/>
          <w:szCs w:val="32"/>
          <w:lang w:val="en-US" w:eastAsia="zh-CN"/>
        </w:rPr>
        <w:t>2.</w:t>
      </w:r>
      <w:r>
        <w:rPr>
          <w:rFonts w:hint="default" w:ascii="仿宋_GB2312" w:eastAsia="仿宋_GB2312"/>
          <w:sz w:val="32"/>
          <w:szCs w:val="32"/>
          <w:lang w:val="zh-CN" w:eastAsia="zh-CN"/>
        </w:rPr>
        <w:t>项目管理。</w:t>
      </w:r>
      <w:r>
        <w:rPr>
          <w:rFonts w:hint="eastAsia" w:ascii="仿宋_GB2312" w:eastAsia="仿宋_GB2312"/>
          <w:sz w:val="32"/>
          <w:szCs w:val="32"/>
          <w:lang w:val="zh-CN" w:eastAsia="zh-CN"/>
        </w:rPr>
        <w:t>资金管理办法等管理制度体系健全完善，不存在管理制度缺失、管理办法过期情况，资金分配严格按管理办法执行，决策程序是否符合管理要求，及时高效，项目按中省州县要求全面完成绩效目标（含事前评估）、绩效评价、以前年度问题整改等预算绩效管理工作，主管部门预算绩效管理要求到位，不存在对中省州县资金分配和项目管理指导力度不够的情况，对项目开展评价、监督、指导等工作。</w:t>
      </w:r>
    </w:p>
    <w:p w14:paraId="798CD078">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eastAsia="仿宋_GB2312"/>
          <w:sz w:val="32"/>
          <w:szCs w:val="32"/>
          <w:lang w:val="zh-CN" w:eastAsia="zh-CN"/>
        </w:rPr>
      </w:pPr>
      <w:r>
        <w:rPr>
          <w:rFonts w:hint="default" w:ascii="仿宋_GB2312" w:eastAsia="仿宋_GB2312"/>
          <w:sz w:val="32"/>
          <w:szCs w:val="32"/>
          <w:lang w:val="en-US" w:eastAsia="zh-CN"/>
        </w:rPr>
        <w:t>3.项目实施。</w:t>
      </w:r>
      <w:r>
        <w:rPr>
          <w:rFonts w:hint="eastAsia" w:ascii="仿宋_GB2312" w:eastAsia="仿宋_GB2312"/>
          <w:sz w:val="32"/>
          <w:szCs w:val="32"/>
          <w:lang w:val="zh-CN" w:eastAsia="zh-CN"/>
        </w:rPr>
        <w:t>项目资金财政拨付按时完成率</w:t>
      </w:r>
      <w:r>
        <w:rPr>
          <w:rFonts w:hint="eastAsia" w:ascii="仿宋_GB2312" w:eastAsia="仿宋_GB2312"/>
          <w:sz w:val="32"/>
          <w:szCs w:val="32"/>
          <w:lang w:val="en-US" w:eastAsia="zh-CN"/>
        </w:rPr>
        <w:t>100%</w:t>
      </w:r>
      <w:r>
        <w:rPr>
          <w:rFonts w:hint="eastAsia" w:ascii="仿宋_GB2312" w:eastAsia="仿宋_GB2312"/>
          <w:sz w:val="32"/>
          <w:szCs w:val="32"/>
          <w:lang w:val="zh-CN" w:eastAsia="zh-CN"/>
        </w:rPr>
        <w:t>、单位执行资金使用率为</w:t>
      </w:r>
      <w:r>
        <w:rPr>
          <w:rFonts w:hint="eastAsia" w:ascii="仿宋_GB2312" w:eastAsia="仿宋_GB2312"/>
          <w:sz w:val="32"/>
          <w:szCs w:val="32"/>
          <w:lang w:val="en-US" w:eastAsia="zh-CN"/>
        </w:rPr>
        <w:t>100%</w:t>
      </w:r>
      <w:r>
        <w:rPr>
          <w:rFonts w:hint="eastAsia" w:ascii="仿宋_GB2312" w:eastAsia="仿宋_GB2312"/>
          <w:sz w:val="32"/>
          <w:szCs w:val="32"/>
          <w:lang w:val="zh-CN" w:eastAsia="zh-CN"/>
        </w:rPr>
        <w:t>和地方配套资金到位率</w:t>
      </w:r>
      <w:r>
        <w:rPr>
          <w:rFonts w:hint="eastAsia" w:ascii="仿宋_GB2312" w:eastAsia="仿宋_GB2312"/>
          <w:sz w:val="32"/>
          <w:szCs w:val="32"/>
          <w:lang w:val="en-US" w:eastAsia="zh-CN"/>
        </w:rPr>
        <w:t>100%</w:t>
      </w:r>
      <w:r>
        <w:rPr>
          <w:rFonts w:hint="eastAsia" w:ascii="仿宋_GB2312" w:eastAsia="仿宋_GB2312"/>
          <w:sz w:val="32"/>
          <w:szCs w:val="32"/>
          <w:lang w:val="zh-CN" w:eastAsia="zh-CN"/>
        </w:rPr>
        <w:t>，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14:paraId="2820E46D">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cs="Times New Roman"/>
          <w:color w:val="auto"/>
          <w:szCs w:val="32"/>
          <w:lang w:eastAsia="zh-CN"/>
        </w:rPr>
      </w:pPr>
      <w:r>
        <w:rPr>
          <w:rFonts w:hint="default" w:ascii="仿宋_GB2312" w:eastAsia="仿宋_GB2312"/>
          <w:sz w:val="32"/>
          <w:szCs w:val="32"/>
          <w:lang w:val="en-US" w:eastAsia="zh-CN"/>
        </w:rPr>
        <w:t>4.项目结果。</w:t>
      </w:r>
      <w:r>
        <w:rPr>
          <w:rFonts w:hint="eastAsia" w:ascii="仿宋_GB2312" w:eastAsia="仿宋_GB2312"/>
          <w:sz w:val="32"/>
          <w:szCs w:val="32"/>
          <w:lang w:val="zh-CN" w:eastAsia="zh-CN"/>
        </w:rPr>
        <w:t>项目完成预期目标，实施结果与绩效目标相匹配，反映目标实现率</w:t>
      </w:r>
      <w:r>
        <w:rPr>
          <w:rFonts w:hint="eastAsia" w:ascii="仿宋_GB2312" w:eastAsia="仿宋_GB2312"/>
          <w:sz w:val="32"/>
          <w:szCs w:val="32"/>
          <w:lang w:val="en-US" w:eastAsia="zh-CN"/>
        </w:rPr>
        <w:t>100%</w:t>
      </w:r>
      <w:r>
        <w:rPr>
          <w:rFonts w:hint="eastAsia" w:ascii="仿宋_GB2312" w:eastAsia="仿宋_GB2312"/>
          <w:sz w:val="32"/>
          <w:szCs w:val="32"/>
          <w:lang w:val="zh-CN" w:eastAsia="zh-CN"/>
        </w:rPr>
        <w:t>，项目实际完成时间与计划完成时间的比较差异率为</w:t>
      </w:r>
      <w:r>
        <w:rPr>
          <w:rFonts w:hint="eastAsia" w:ascii="仿宋_GB2312" w:eastAsia="仿宋_GB2312"/>
          <w:sz w:val="32"/>
          <w:szCs w:val="32"/>
          <w:lang w:val="en-US" w:eastAsia="zh-CN"/>
        </w:rPr>
        <w:t>0%</w:t>
      </w:r>
      <w:r>
        <w:rPr>
          <w:rFonts w:hint="eastAsia" w:ascii="仿宋_GB2312" w:eastAsia="仿宋_GB2312"/>
          <w:sz w:val="32"/>
          <w:szCs w:val="32"/>
          <w:lang w:val="zh-CN" w:eastAsia="zh-CN"/>
        </w:rPr>
        <w:t>。</w:t>
      </w:r>
    </w:p>
    <w:p w14:paraId="4AA04220">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eastAsia="仿宋_GB2312"/>
          <w:sz w:val="32"/>
          <w:szCs w:val="32"/>
          <w:lang w:val="zh-CN" w:eastAsia="zh-CN"/>
        </w:rPr>
      </w:pPr>
      <w:r>
        <w:rPr>
          <w:rFonts w:hint="default" w:ascii="Times New Roman" w:hAnsi="Times New Roman" w:eastAsia="楷体_GB2312" w:cs="Times New Roman"/>
          <w:b/>
          <w:color w:val="auto"/>
          <w:sz w:val="32"/>
          <w:szCs w:val="32"/>
          <w:highlight w:val="none"/>
          <w:u w:val="none"/>
          <w:lang w:val="zh-CN"/>
        </w:rPr>
        <w:t>（二）</w:t>
      </w:r>
      <w:r>
        <w:rPr>
          <w:rFonts w:hint="default" w:ascii="Times New Roman" w:hAnsi="Times New Roman" w:eastAsia="楷体_GB2312" w:cs="Times New Roman"/>
          <w:b/>
          <w:color w:val="auto"/>
          <w:sz w:val="32"/>
          <w:szCs w:val="32"/>
          <w:highlight w:val="none"/>
          <w:u w:val="none"/>
          <w:lang w:val="en-US" w:eastAsia="zh-CN"/>
        </w:rPr>
        <w:t>专用指标</w:t>
      </w:r>
      <w:r>
        <w:rPr>
          <w:rFonts w:hint="default" w:ascii="Times New Roman" w:hAnsi="Times New Roman" w:eastAsia="楷体_GB2312" w:cs="Times New Roman"/>
          <w:b/>
          <w:color w:val="auto"/>
          <w:sz w:val="32"/>
          <w:szCs w:val="32"/>
          <w:highlight w:val="none"/>
          <w:u w:val="none"/>
          <w:lang w:val="zh-CN" w:eastAsia="zh-CN"/>
        </w:rPr>
        <w:t>绩效分析。</w:t>
      </w:r>
      <w:r>
        <w:rPr>
          <w:rFonts w:hint="eastAsia" w:ascii="仿宋_GB2312" w:eastAsia="仿宋_GB2312"/>
          <w:sz w:val="32"/>
          <w:szCs w:val="32"/>
          <w:lang w:val="zh-CN" w:eastAsia="zh-CN"/>
        </w:rPr>
        <w:t>根据</w:t>
      </w:r>
      <w:r>
        <w:rPr>
          <w:rFonts w:hint="eastAsia" w:ascii="仿宋_GB2312" w:eastAsia="仿宋_GB2312"/>
          <w:sz w:val="32"/>
          <w:szCs w:val="32"/>
          <w:lang w:val="en-US" w:eastAsia="zh-CN"/>
        </w:rPr>
        <w:t>专项预算项目资金支持对象选择所属指标进行绩效分析。支持对象</w:t>
      </w:r>
      <w:r>
        <w:rPr>
          <w:rFonts w:hint="eastAsia" w:ascii="仿宋_GB2312" w:eastAsia="仿宋_GB2312"/>
          <w:sz w:val="32"/>
          <w:szCs w:val="32"/>
          <w:lang w:val="zh-CN" w:eastAsia="zh-CN"/>
        </w:rPr>
        <w:t>包括行政运转方面。</w:t>
      </w:r>
    </w:p>
    <w:p w14:paraId="618E4FD4">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zh-CN" w:eastAsia="zh-CN"/>
        </w:rPr>
        <w:t>行政运转：资金按规定用途、适用范围进行本地区专项资金分配，资金管理程序符合专项资金管理要求，资金分配标准符合专项资金管理要求。</w:t>
      </w:r>
    </w:p>
    <w:p w14:paraId="4CBBD0A1">
      <w:pPr>
        <w:widowControl/>
        <w:ind w:firstLine="643" w:firstLineChars="200"/>
        <w:jc w:val="both"/>
        <w:rPr>
          <w:rFonts w:hint="default" w:ascii="Times New Roman" w:hAnsi="Times New Roman" w:cs="Times New Roman"/>
          <w:color w:val="auto"/>
          <w:szCs w:val="32"/>
          <w:lang w:val="en-US" w:eastAsia="zh-CN"/>
        </w:rPr>
      </w:pPr>
      <w:r>
        <w:rPr>
          <w:rFonts w:hint="default" w:ascii="Times New Roman" w:hAnsi="Times New Roman" w:eastAsia="楷体_GB2312" w:cs="Times New Roman"/>
          <w:b/>
          <w:color w:val="auto"/>
          <w:sz w:val="32"/>
          <w:szCs w:val="32"/>
          <w:highlight w:val="none"/>
          <w:u w:val="none"/>
          <w:lang w:val="zh-CN"/>
        </w:rPr>
        <w:t>（三）</w:t>
      </w:r>
      <w:r>
        <w:rPr>
          <w:rFonts w:hint="default" w:ascii="Times New Roman" w:hAnsi="Times New Roman" w:eastAsia="楷体_GB2312" w:cs="Times New Roman"/>
          <w:b/>
          <w:color w:val="auto"/>
          <w:sz w:val="32"/>
          <w:szCs w:val="32"/>
          <w:highlight w:val="none"/>
          <w:u w:val="none"/>
          <w:lang w:val="en-US" w:eastAsia="zh-CN"/>
        </w:rPr>
        <w:t>个性指标</w:t>
      </w:r>
      <w:r>
        <w:rPr>
          <w:rFonts w:hint="default" w:ascii="Times New Roman" w:hAnsi="Times New Roman" w:eastAsia="楷体_GB2312" w:cs="Times New Roman"/>
          <w:b/>
          <w:color w:val="auto"/>
          <w:sz w:val="32"/>
          <w:szCs w:val="32"/>
          <w:highlight w:val="none"/>
          <w:u w:val="none"/>
          <w:lang w:val="zh-CN" w:eastAsia="zh-CN"/>
        </w:rPr>
        <w:t>绩效分析。</w:t>
      </w:r>
      <w:r>
        <w:rPr>
          <w:rFonts w:hint="eastAsia" w:ascii="仿宋_GB2312" w:eastAsia="仿宋_GB2312"/>
          <w:sz w:val="32"/>
          <w:szCs w:val="32"/>
          <w:lang w:val="en-US" w:eastAsia="zh-CN"/>
        </w:rPr>
        <w:t>该项目内容符合我县工作需求，项目的实施具有良好的社会效益。为建设文化大县，构建社会和谐、民族和谐、宗教和谐、人与自然和谐作出一定的贡献，助推金川全域旅游发展，提高了人民群众对文艺创作的满意度</w:t>
      </w:r>
      <w:r>
        <w:rPr>
          <w:rFonts w:hint="eastAsia"/>
          <w:lang w:val="en-US" w:eastAsia="zh-CN"/>
        </w:rPr>
        <w:t>。</w:t>
      </w:r>
    </w:p>
    <w:p w14:paraId="2F74D193">
      <w:pPr>
        <w:pStyle w:val="5"/>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eastAsia="zh-CN"/>
        </w:rPr>
        <w:t>四</w:t>
      </w:r>
      <w:r>
        <w:rPr>
          <w:rFonts w:hint="default" w:ascii="Times New Roman" w:hAnsi="Times New Roman" w:eastAsia="黑体" w:cs="Times New Roman"/>
          <w:color w:val="auto"/>
          <w:sz w:val="32"/>
          <w:szCs w:val="32"/>
          <w:highlight w:val="none"/>
          <w:u w:val="none"/>
        </w:rPr>
        <w:t>、评价结论</w:t>
      </w:r>
    </w:p>
    <w:p w14:paraId="0F03C467">
      <w:pPr>
        <w:widowControl/>
        <w:ind w:firstLine="640" w:firstLineChars="200"/>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项目总体评价为96分，该项目立足文联联系服务文艺工作者工作职责，认真贯彻落实新时代文艺工作路线，团结引领全县文艺工作者，深入基层、扎根人民、奋力创作，推动金川文艺事业繁荣发展。</w:t>
      </w:r>
    </w:p>
    <w:p w14:paraId="166EC177">
      <w:pPr>
        <w:pStyle w:val="5"/>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Times New Roman" w:eastAsia="仿宋_GB2312" w:cs="Times New Roman"/>
          <w:b w:val="0"/>
          <w:bCs w:val="0"/>
          <w:kern w:val="0"/>
          <w:position w:val="0"/>
          <w:sz w:val="32"/>
          <w:szCs w:val="32"/>
          <w:highlight w:val="none"/>
          <w:lang w:val="en-US" w:eastAsia="zh-CN" w:bidi="ar-SA"/>
        </w:rPr>
      </w:pPr>
      <w:r>
        <w:rPr>
          <w:rFonts w:hint="default" w:ascii="Times New Roman" w:hAnsi="Times New Roman" w:cs="Times New Roman"/>
          <w:color w:val="auto"/>
          <w:sz w:val="32"/>
          <w:szCs w:val="32"/>
          <w:highlight w:val="none"/>
          <w:u w:val="none"/>
          <w:lang w:eastAsia="zh-CN"/>
        </w:rPr>
        <w:t>五、</w:t>
      </w:r>
      <w:r>
        <w:rPr>
          <w:rFonts w:hint="default" w:ascii="Times New Roman" w:hAnsi="Times New Roman" w:eastAsia="黑体" w:cs="Times New Roman"/>
          <w:color w:val="auto"/>
          <w:sz w:val="32"/>
          <w:szCs w:val="32"/>
          <w:highlight w:val="none"/>
          <w:u w:val="none"/>
          <w:lang w:eastAsia="zh-CN"/>
        </w:rPr>
        <w:t>存在主要问题</w:t>
      </w:r>
      <w:r>
        <w:rPr>
          <w:rFonts w:hint="eastAsia" w:ascii="Times New Roman" w:cs="Times New Roman"/>
          <w:color w:val="auto"/>
          <w:sz w:val="32"/>
          <w:szCs w:val="32"/>
          <w:highlight w:val="none"/>
          <w:u w:val="none"/>
          <w:lang w:val="en-US" w:eastAsia="zh-CN"/>
        </w:rPr>
        <w:t xml:space="preserve">  </w:t>
      </w:r>
      <w:r>
        <w:rPr>
          <w:rFonts w:hint="eastAsia" w:ascii="Times New Roman" w:eastAsia="仿宋_GB2312" w:cs="Times New Roman"/>
          <w:b w:val="0"/>
          <w:bCs w:val="0"/>
          <w:kern w:val="0"/>
          <w:position w:val="0"/>
          <w:sz w:val="32"/>
          <w:szCs w:val="32"/>
          <w:highlight w:val="none"/>
          <w:lang w:val="en-US" w:eastAsia="zh-CN" w:bidi="ar-SA"/>
        </w:rPr>
        <w:t>无</w:t>
      </w:r>
    </w:p>
    <w:p w14:paraId="49D57C99">
      <w:pPr>
        <w:pStyle w:val="5"/>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仿宋_GB2312" w:cs="Times New Roman"/>
          <w:b w:val="0"/>
          <w:bCs w:val="0"/>
          <w:kern w:val="0"/>
          <w:position w:val="0"/>
          <w:sz w:val="32"/>
          <w:szCs w:val="32"/>
          <w:highlight w:val="none"/>
          <w:lang w:val="en" w:eastAsia="zh-CN" w:bidi="ar-SA"/>
        </w:rPr>
      </w:pPr>
      <w:r>
        <w:rPr>
          <w:rFonts w:hint="default" w:ascii="Times New Roman" w:hAnsi="Times New Roman" w:eastAsia="黑体" w:cs="Times New Roman"/>
          <w:color w:val="auto"/>
          <w:kern w:val="0"/>
          <w:position w:val="3"/>
          <w:sz w:val="32"/>
          <w:szCs w:val="32"/>
          <w:highlight w:val="none"/>
          <w:u w:val="none"/>
          <w:lang w:val="zh-CN" w:eastAsia="zh-CN" w:bidi="ar-SA"/>
        </w:rPr>
        <w:t>六、改进建议</w:t>
      </w:r>
      <w:r>
        <w:rPr>
          <w:rFonts w:hint="eastAsia" w:ascii="Times New Roman" w:cs="Times New Roman"/>
          <w:color w:val="auto"/>
          <w:kern w:val="0"/>
          <w:position w:val="3"/>
          <w:sz w:val="32"/>
          <w:szCs w:val="32"/>
          <w:highlight w:val="none"/>
          <w:u w:val="none"/>
          <w:lang w:val="en-US" w:eastAsia="zh-CN" w:bidi="ar-SA"/>
        </w:rPr>
        <w:t xml:space="preserve"> </w:t>
      </w:r>
      <w:r>
        <w:rPr>
          <w:rFonts w:hint="default" w:ascii="Times New Roman" w:hAnsi="Times New Roman" w:cs="Times New Roman"/>
          <w:b w:val="0"/>
          <w:bCs w:val="0"/>
          <w:kern w:val="0"/>
          <w:position w:val="0"/>
          <w:sz w:val="32"/>
          <w:szCs w:val="32"/>
          <w:highlight w:val="none"/>
          <w:lang w:val="en-US" w:eastAsia="zh-CN" w:bidi="ar-SA"/>
        </w:rPr>
        <w:t xml:space="preserve"> </w:t>
      </w:r>
      <w:bookmarkStart w:id="57" w:name="_Hlk110546638"/>
      <w:r>
        <w:rPr>
          <w:rFonts w:hint="eastAsia" w:cs="Times New Roman"/>
          <w:b w:val="0"/>
          <w:bCs w:val="0"/>
          <w:kern w:val="0"/>
          <w:position w:val="0"/>
          <w:sz w:val="32"/>
          <w:szCs w:val="32"/>
          <w:highlight w:val="none"/>
          <w:lang w:val="en-US" w:eastAsia="zh-CN" w:bidi="ar-SA"/>
        </w:rPr>
        <w:t>无</w:t>
      </w:r>
    </w:p>
    <w:bookmarkEnd w:id="57"/>
    <w:p w14:paraId="141054D6">
      <w:pPr>
        <w:keepNext w:val="0"/>
        <w:keepLines w:val="0"/>
        <w:pageBreakBefore w:val="0"/>
        <w:kinsoku/>
        <w:wordWrap/>
        <w:overflowPunct/>
        <w:topLinePunct w:val="0"/>
        <w:autoSpaceDE/>
        <w:autoSpaceDN/>
        <w:bidi w:val="0"/>
        <w:adjustRightInd/>
        <w:snapToGrid w:val="0"/>
        <w:spacing w:line="578" w:lineRule="exact"/>
        <w:ind w:left="0" w:leftChars="0" w:firstLine="420" w:firstLineChars="200"/>
        <w:textAlignment w:val="auto"/>
        <w:outlineLvl w:val="9"/>
        <w:rPr>
          <w:rFonts w:hint="default" w:ascii="Times New Roman" w:hAnsi="Times New Roman" w:cs="Times New Roman"/>
          <w:color w:val="000000"/>
          <w:kern w:val="0"/>
          <w:szCs w:val="32"/>
          <w:highlight w:val="none"/>
          <w:shd w:val="clear" w:color="auto" w:fill="FFFFFF"/>
          <w:lang w:val="zh-CN" w:eastAsia="zh-CN"/>
        </w:rPr>
      </w:pPr>
    </w:p>
    <w:p w14:paraId="51B605C9">
      <w:pPr>
        <w:widowControl/>
        <w:ind w:firstLine="640" w:firstLineChars="200"/>
        <w:jc w:val="both"/>
        <w:rPr>
          <w:rFonts w:hint="default" w:ascii="仿宋_GB2312" w:eastAsia="仿宋_GB2312"/>
          <w:sz w:val="32"/>
          <w:szCs w:val="32"/>
          <w:lang w:val="en-US" w:eastAsia="zh-CN"/>
        </w:rPr>
      </w:pPr>
      <w:r>
        <w:rPr>
          <w:rFonts w:hint="default" w:ascii="仿宋_GB2312" w:eastAsia="仿宋_GB2312"/>
          <w:sz w:val="32"/>
          <w:szCs w:val="32"/>
          <w:lang w:val="en-US" w:eastAsia="zh-CN"/>
        </w:rPr>
        <w:t>附表：1.</w:t>
      </w:r>
      <w:r>
        <w:rPr>
          <w:rFonts w:hint="eastAsia" w:ascii="仿宋_GB2312" w:eastAsia="仿宋_GB2312"/>
          <w:sz w:val="32"/>
          <w:szCs w:val="32"/>
          <w:lang w:val="en-US" w:eastAsia="zh-CN"/>
        </w:rPr>
        <w:t>专项</w:t>
      </w:r>
      <w:r>
        <w:rPr>
          <w:rFonts w:hint="default" w:ascii="仿宋_GB2312" w:eastAsia="仿宋_GB2312"/>
          <w:sz w:val="32"/>
          <w:szCs w:val="32"/>
          <w:lang w:val="en-US" w:eastAsia="zh-CN"/>
        </w:rPr>
        <w:t>预算绩效自评打分表</w:t>
      </w:r>
    </w:p>
    <w:p w14:paraId="5A1B6BCA">
      <w:pPr>
        <w:widowControl/>
        <w:ind w:firstLine="1600" w:firstLineChars="500"/>
        <w:jc w:val="both"/>
        <w:rPr>
          <w:rFonts w:hint="default" w:ascii="仿宋_GB2312" w:eastAsia="仿宋_GB2312"/>
          <w:sz w:val="32"/>
          <w:szCs w:val="32"/>
          <w:lang w:val="en-US" w:eastAsia="zh-CN"/>
        </w:rPr>
      </w:pPr>
      <w:r>
        <w:rPr>
          <w:rFonts w:hint="default" w:ascii="仿宋_GB2312" w:eastAsia="仿宋_GB2312"/>
          <w:sz w:val="32"/>
          <w:szCs w:val="32"/>
          <w:lang w:val="en-US" w:eastAsia="zh-CN"/>
        </w:rPr>
        <w:t>2.专项预算绩效自评实地踏勘点位清单表</w:t>
      </w:r>
    </w:p>
    <w:p w14:paraId="4D13ABC8">
      <w:pPr>
        <w:widowControl/>
        <w:ind w:firstLine="1600" w:firstLineChars="500"/>
        <w:jc w:val="both"/>
        <w:rPr>
          <w:rFonts w:hint="default" w:ascii="仿宋_GB2312" w:eastAsia="仿宋_GB2312"/>
          <w:sz w:val="32"/>
          <w:szCs w:val="32"/>
          <w:lang w:val="en-US" w:eastAsia="zh-CN"/>
        </w:rPr>
      </w:pPr>
      <w:r>
        <w:rPr>
          <w:rFonts w:hint="eastAsia" w:ascii="仿宋_GB2312" w:eastAsia="仿宋_GB2312"/>
          <w:sz w:val="32"/>
          <w:szCs w:val="32"/>
          <w:lang w:val="en-US" w:eastAsia="zh-CN"/>
        </w:rPr>
        <w:t>3.</w:t>
      </w:r>
      <w:r>
        <w:rPr>
          <w:rFonts w:hint="default" w:ascii="仿宋_GB2312" w:eastAsia="仿宋_GB2312"/>
          <w:sz w:val="32"/>
          <w:szCs w:val="32"/>
          <w:lang w:val="en-US" w:eastAsia="zh-CN"/>
        </w:rPr>
        <w:t>专项预算项目绩效目标完成情况自评表</w:t>
      </w:r>
    </w:p>
    <w:p w14:paraId="45254932">
      <w:pPr>
        <w:keepNext w:val="0"/>
        <w:keepLines w:val="0"/>
        <w:pageBreakBefore w:val="0"/>
        <w:kinsoku/>
        <w:wordWrap/>
        <w:overflowPunct/>
        <w:topLinePunct w:val="0"/>
        <w:autoSpaceDE/>
        <w:autoSpaceDN/>
        <w:bidi w:val="0"/>
        <w:adjustRightInd/>
        <w:snapToGrid w:val="0"/>
        <w:spacing w:line="578" w:lineRule="exact"/>
        <w:textAlignment w:val="auto"/>
        <w:outlineLvl w:val="9"/>
        <w:rPr>
          <w:rFonts w:hint="default" w:ascii="Times New Roman" w:hAnsi="Times New Roman" w:eastAsia="黑体" w:cs="Times New Roman"/>
          <w:b w:val="0"/>
          <w:bCs w:val="0"/>
          <w:color w:val="auto"/>
          <w:kern w:val="0"/>
          <w:sz w:val="32"/>
          <w:szCs w:val="32"/>
          <w:highlight w:val="none"/>
          <w:u w:val="none"/>
          <w:shd w:val="clear" w:color="auto" w:fill="FFFFFF"/>
          <w:lang w:val="en-US" w:eastAsia="zh-CN"/>
        </w:rPr>
      </w:pP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t>附表</w:t>
      </w:r>
      <w:r>
        <w:rPr>
          <w:rFonts w:hint="default" w:ascii="Times New Roman" w:hAnsi="Times New Roman" w:eastAsia="黑体" w:cs="Times New Roman"/>
          <w:b w:val="0"/>
          <w:bCs w:val="0"/>
          <w:color w:val="auto"/>
          <w:kern w:val="0"/>
          <w:sz w:val="32"/>
          <w:szCs w:val="32"/>
          <w:highlight w:val="none"/>
          <w:u w:val="none"/>
          <w:shd w:val="clear" w:color="auto" w:fill="FFFFFF"/>
          <w:lang w:val="en-US" w:eastAsia="zh-CN"/>
        </w:rPr>
        <w:t>1</w:t>
      </w:r>
    </w:p>
    <w:p w14:paraId="5DB2D2EC">
      <w:pPr>
        <w:keepNext w:val="0"/>
        <w:keepLines w:val="0"/>
        <w:pageBreakBefore w:val="0"/>
        <w:kinsoku/>
        <w:wordWrap/>
        <w:overflowPunct/>
        <w:topLinePunct w:val="0"/>
        <w:autoSpaceDE/>
        <w:autoSpaceDN/>
        <w:bidi w:val="0"/>
        <w:spacing w:line="578" w:lineRule="exact"/>
        <w:ind w:left="0" w:leftChars="0"/>
        <w:jc w:val="center"/>
        <w:textAlignment w:val="auto"/>
        <w:rPr>
          <w:rFonts w:hint="default" w:ascii="Times New Roman" w:hAnsi="Times New Roman" w:eastAsia="方正小标宋_GBK" w:cs="Times New Roman"/>
          <w:b w:val="0"/>
          <w:bCs w:val="0"/>
          <w:color w:val="auto"/>
          <w:sz w:val="40"/>
          <w:szCs w:val="40"/>
          <w:highlight w:val="none"/>
          <w:u w:val="none"/>
          <w:lang w:val="en-US" w:eastAsia="zh-CN"/>
        </w:rPr>
      </w:pPr>
      <w:r>
        <w:rPr>
          <w:rFonts w:hint="eastAsia" w:ascii="Times New Roman" w:hAnsi="Times New Roman" w:eastAsia="方正小标宋_GBK" w:cs="Times New Roman"/>
          <w:b w:val="0"/>
          <w:bCs w:val="0"/>
          <w:color w:val="auto"/>
          <w:sz w:val="40"/>
          <w:szCs w:val="40"/>
          <w:highlight w:val="none"/>
          <w:u w:val="none"/>
          <w:lang w:val="en-US" w:eastAsia="zh-CN"/>
        </w:rPr>
        <w:t>专项</w:t>
      </w:r>
      <w:r>
        <w:rPr>
          <w:rFonts w:hint="default" w:ascii="Times New Roman" w:hAnsi="Times New Roman" w:eastAsia="方正小标宋_GBK" w:cs="Times New Roman"/>
          <w:b w:val="0"/>
          <w:bCs w:val="0"/>
          <w:color w:val="auto"/>
          <w:sz w:val="40"/>
          <w:szCs w:val="40"/>
          <w:highlight w:val="none"/>
          <w:u w:val="none"/>
          <w:lang w:val="en-US" w:eastAsia="zh-CN"/>
        </w:rPr>
        <w:t>预算绩效自评打分表</w:t>
      </w:r>
    </w:p>
    <w:tbl>
      <w:tblPr>
        <w:tblStyle w:val="1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14:paraId="0D2AF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noWrap w:val="0"/>
            <w:vAlign w:val="center"/>
          </w:tcPr>
          <w:p w14:paraId="7F29F9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71DB1F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指标解释</w:t>
            </w:r>
          </w:p>
        </w:tc>
        <w:tc>
          <w:tcPr>
            <w:tcW w:w="732" w:type="dxa"/>
            <w:vMerge w:val="restart"/>
            <w:tcBorders>
              <w:top w:val="single" w:color="000000" w:sz="4" w:space="0"/>
              <w:left w:val="single" w:color="000000" w:sz="4" w:space="0"/>
              <w:right w:val="single" w:color="000000" w:sz="4" w:space="0"/>
            </w:tcBorders>
            <w:noWrap w:val="0"/>
            <w:vAlign w:val="center"/>
          </w:tcPr>
          <w:p w14:paraId="4C29A2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自评得分</w:t>
            </w:r>
          </w:p>
        </w:tc>
        <w:tc>
          <w:tcPr>
            <w:tcW w:w="468" w:type="dxa"/>
            <w:vMerge w:val="restart"/>
            <w:tcBorders>
              <w:top w:val="single" w:color="000000" w:sz="4" w:space="0"/>
              <w:left w:val="single" w:color="000000" w:sz="4" w:space="0"/>
              <w:right w:val="single" w:color="000000" w:sz="4" w:space="0"/>
            </w:tcBorders>
            <w:noWrap w:val="0"/>
            <w:vAlign w:val="center"/>
          </w:tcPr>
          <w:p w14:paraId="0F120E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备注</w:t>
            </w:r>
          </w:p>
        </w:tc>
      </w:tr>
      <w:tr w14:paraId="0602D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599C9E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一级指标</w:t>
            </w:r>
          </w:p>
        </w:tc>
        <w:tc>
          <w:tcPr>
            <w:tcW w:w="1590" w:type="dxa"/>
            <w:gridSpan w:val="2"/>
            <w:tcBorders>
              <w:top w:val="single" w:color="000000" w:sz="4" w:space="0"/>
              <w:left w:val="single" w:color="000000" w:sz="4" w:space="0"/>
              <w:bottom w:val="single" w:color="000000" w:sz="4" w:space="0"/>
              <w:right w:val="single" w:color="000000" w:sz="4" w:space="0"/>
            </w:tcBorders>
            <w:noWrap w:val="0"/>
            <w:vAlign w:val="center"/>
          </w:tcPr>
          <w:p w14:paraId="78E169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0AC84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三级指标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3DAFF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w:t>
            </w:r>
            <w:r>
              <w:rPr>
                <w:rFonts w:hint="eastAsia" w:ascii="黑体" w:hAnsi="宋体" w:eastAsia="黑体" w:cs="黑体"/>
                <w:i w:val="0"/>
                <w:color w:val="000000"/>
                <w:kern w:val="0"/>
                <w:sz w:val="24"/>
                <w:szCs w:val="24"/>
                <w:u w:val="none"/>
                <w:lang w:val="en-US" w:eastAsia="zh-CN" w:bidi="ar"/>
              </w:rPr>
              <w:br w:type="textWrapping"/>
            </w:r>
            <w:r>
              <w:rPr>
                <w:rFonts w:hint="eastAsia" w:ascii="黑体" w:hAnsi="宋体" w:eastAsia="黑体" w:cs="黑体"/>
                <w:i w:val="0"/>
                <w:color w:val="000000"/>
                <w:kern w:val="0"/>
                <w:sz w:val="24"/>
                <w:szCs w:val="24"/>
                <w:u w:val="none"/>
                <w:lang w:val="en-US" w:eastAsia="zh-CN" w:bidi="ar"/>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2DE6DD">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732" w:type="dxa"/>
            <w:vMerge w:val="continue"/>
            <w:tcBorders>
              <w:left w:val="single" w:color="000000" w:sz="4" w:space="0"/>
              <w:bottom w:val="single" w:color="000000" w:sz="4" w:space="0"/>
              <w:right w:val="single" w:color="000000" w:sz="4" w:space="0"/>
            </w:tcBorders>
            <w:noWrap w:val="0"/>
            <w:vAlign w:val="center"/>
          </w:tcPr>
          <w:p w14:paraId="565875F6">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468" w:type="dxa"/>
            <w:vMerge w:val="continue"/>
            <w:tcBorders>
              <w:left w:val="single" w:color="000000" w:sz="4" w:space="0"/>
              <w:bottom w:val="single" w:color="000000" w:sz="4" w:space="0"/>
              <w:right w:val="single" w:color="000000" w:sz="4" w:space="0"/>
            </w:tcBorders>
            <w:noWrap w:val="0"/>
            <w:vAlign w:val="center"/>
          </w:tcPr>
          <w:p w14:paraId="427E3267">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r>
      <w:tr w14:paraId="2E782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039F78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通用指标</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981FC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项目决策</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B451A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决策程序</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616B8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DF8488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F98EAB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4AF19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E1D6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F20C6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C7CF36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CADDE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规划论证</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DB53A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E2C9C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767468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DAA92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F1E3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20A41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464F94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54301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资金投向</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8807E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40826F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8C3E72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660F96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46D0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0DF26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14926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CFB67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制度办法</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08305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43B65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376C77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0F87E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56C2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2F996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B5CAA0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B6FDD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分配管理</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9DDC8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70583A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214076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1627E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A552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C1BA8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4F5CCA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A10B3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绩效监管</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22A80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BCC7B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B761D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AECA82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4F65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7"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F634B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DF537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项目实施</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B5BED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预算执行</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F281A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EE1ED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5CC6F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B7627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D1CB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B6E66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7D2460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DB7DD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资金使用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8EF3B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A12E31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7CAF7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D958D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DCC3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35FB3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93CE2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项目结果</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830F0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目标完成</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945DD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9EE526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1E200E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89A53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A354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B215B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5AE31F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A2DEA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完成时效</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624E6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173941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D1856A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DA42FC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FA67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74CF0A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专用指标</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63C5C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产业发展</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C4B8B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符合性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FF131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379A6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F034B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12199C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AD6D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9FA94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209A1D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187A8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成长性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936EA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2FF9D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2250DC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CCD86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55AD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9F7BD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337C6D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3466A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经济性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71A97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AFE64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19889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90DAC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37D9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ABE1F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D6834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民生保障</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09302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区域均衡性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1C6B9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4BA7C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F0BD0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274E8E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06DA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6791B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B8CBB2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D1D23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对象精准性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37979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77FF4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6C05FD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F7005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EE48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ADFBC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02D9E6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2FDC0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标准合理性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8D953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9C537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D94E16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7CFFE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9849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93895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642581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A37AF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群众满意度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2032D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05C73A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FB632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C25AD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5499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E6CC3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14:paraId="3401ED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基础</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设施</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（30分）</w:t>
            </w: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3834B8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在建</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9400A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工程进度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D78B7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CEE37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CC4C7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BA9A6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D592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37407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97FBB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51B08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38636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资金拨付</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D5ACF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F018C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5EBBEC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C0CC0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DAE8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D714D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1247B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6DA39C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建成</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0A64F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项目验收</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B20E0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5F598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项目验收是否及时合格</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FD135F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DE042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A481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39680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D3E75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F7454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D406E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功能实现</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68064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1A497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D68F5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D5B95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B98D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A27A8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67AA2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F8BFE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91D40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后续管护</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75474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784A16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项目后续维护是否实现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76429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0606E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51DE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255E9B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专用指标</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13FB9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行政运转</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（30分）</w:t>
            </w:r>
          </w:p>
        </w:tc>
        <w:tc>
          <w:tcPr>
            <w:tcW w:w="1355" w:type="dxa"/>
            <w:tcBorders>
              <w:top w:val="nil"/>
              <w:left w:val="single" w:color="000000" w:sz="4" w:space="0"/>
              <w:bottom w:val="single" w:color="000000" w:sz="4" w:space="0"/>
              <w:right w:val="single" w:color="000000" w:sz="4" w:space="0"/>
            </w:tcBorders>
            <w:noWrap w:val="0"/>
            <w:vAlign w:val="center"/>
          </w:tcPr>
          <w:p w14:paraId="3342F6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用途合规性</w:t>
            </w:r>
          </w:p>
        </w:tc>
        <w:tc>
          <w:tcPr>
            <w:tcW w:w="696" w:type="dxa"/>
            <w:tcBorders>
              <w:top w:val="nil"/>
              <w:left w:val="single" w:color="000000" w:sz="4" w:space="0"/>
              <w:bottom w:val="single" w:color="000000" w:sz="4" w:space="0"/>
              <w:right w:val="single" w:color="000000" w:sz="4" w:space="0"/>
            </w:tcBorders>
            <w:noWrap w:val="0"/>
            <w:vAlign w:val="center"/>
          </w:tcPr>
          <w:p w14:paraId="640EF0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nil"/>
              <w:left w:val="single" w:color="000000" w:sz="4" w:space="0"/>
              <w:bottom w:val="single" w:color="000000" w:sz="4" w:space="0"/>
              <w:right w:val="single" w:color="000000" w:sz="4" w:space="0"/>
            </w:tcBorders>
            <w:noWrap w:val="0"/>
            <w:vAlign w:val="center"/>
          </w:tcPr>
          <w:p w14:paraId="45BCFB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0"/>
            <w:vAlign w:val="center"/>
          </w:tcPr>
          <w:p w14:paraId="297821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nil"/>
              <w:left w:val="single" w:color="000000" w:sz="4" w:space="0"/>
              <w:bottom w:val="single" w:color="000000" w:sz="4" w:space="0"/>
              <w:right w:val="single" w:color="000000" w:sz="4" w:space="0"/>
            </w:tcBorders>
            <w:noWrap w:val="0"/>
            <w:vAlign w:val="center"/>
          </w:tcPr>
          <w:p w14:paraId="6C70CC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0475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CA134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6C8D61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nil"/>
              <w:left w:val="single" w:color="000000" w:sz="4" w:space="0"/>
              <w:bottom w:val="single" w:color="000000" w:sz="4" w:space="0"/>
              <w:right w:val="single" w:color="000000" w:sz="4" w:space="0"/>
            </w:tcBorders>
            <w:noWrap w:val="0"/>
            <w:vAlign w:val="center"/>
          </w:tcPr>
          <w:p w14:paraId="5090B0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程序合规性</w:t>
            </w:r>
          </w:p>
        </w:tc>
        <w:tc>
          <w:tcPr>
            <w:tcW w:w="696" w:type="dxa"/>
            <w:tcBorders>
              <w:top w:val="nil"/>
              <w:left w:val="single" w:color="000000" w:sz="4" w:space="0"/>
              <w:bottom w:val="single" w:color="000000" w:sz="4" w:space="0"/>
              <w:right w:val="single" w:color="000000" w:sz="4" w:space="0"/>
            </w:tcBorders>
            <w:noWrap w:val="0"/>
            <w:vAlign w:val="center"/>
          </w:tcPr>
          <w:p w14:paraId="1DC278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AC369D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9D06E5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EBD291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40CA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F3EC5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A9C6EC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nil"/>
              <w:left w:val="single" w:color="000000" w:sz="4" w:space="0"/>
              <w:bottom w:val="single" w:color="000000" w:sz="4" w:space="0"/>
              <w:right w:val="single" w:color="000000" w:sz="4" w:space="0"/>
            </w:tcBorders>
            <w:noWrap w:val="0"/>
            <w:vAlign w:val="center"/>
          </w:tcPr>
          <w:p w14:paraId="4C0918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标准合规性</w:t>
            </w:r>
          </w:p>
        </w:tc>
        <w:tc>
          <w:tcPr>
            <w:tcW w:w="696" w:type="dxa"/>
            <w:tcBorders>
              <w:top w:val="nil"/>
              <w:left w:val="single" w:color="000000" w:sz="4" w:space="0"/>
              <w:bottom w:val="single" w:color="000000" w:sz="4" w:space="0"/>
              <w:right w:val="single" w:color="000000" w:sz="4" w:space="0"/>
            </w:tcBorders>
            <w:noWrap w:val="0"/>
            <w:vAlign w:val="center"/>
          </w:tcPr>
          <w:p w14:paraId="5917E3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D4C06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E601E5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FCA77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B8DC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18837A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个性指标</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（16分）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DEE56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社会效益指标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8C21D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1F2745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根据项目个性自行设定部分指标，反映该项指标执行完成情况。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190DD3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7</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5E434E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35F6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1C3ADE8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97864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服务对象满意度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781FC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43E61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C16C2D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7</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A2E7F7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r>
      <w:tr w14:paraId="62350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1DE8946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3589E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4D77A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514C5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EDA8C0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B7FA7F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r>
      <w:tr w14:paraId="16176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14:paraId="673C52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扣分项</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E678C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被评价</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部门配合度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F264B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B8899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867A6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BD7527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DE41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14:paraId="3FE7BF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总分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137C5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62119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103F7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6EDFE3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96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632787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bl>
    <w:p w14:paraId="670EFC52">
      <w:pPr>
        <w:keepNext w:val="0"/>
        <w:keepLines w:val="0"/>
        <w:pageBreakBefore w:val="0"/>
        <w:kinsoku/>
        <w:wordWrap/>
        <w:overflowPunct/>
        <w:topLinePunct w:val="0"/>
        <w:autoSpaceDE/>
        <w:autoSpaceDN/>
        <w:bidi w:val="0"/>
        <w:spacing w:line="578" w:lineRule="exact"/>
        <w:ind w:left="0" w:leftChars="0"/>
        <w:jc w:val="both"/>
        <w:textAlignment w:val="auto"/>
        <w:rPr>
          <w:rFonts w:hint="default"/>
          <w:lang w:val="en-US" w:eastAsia="zh-CN"/>
        </w:rPr>
      </w:pP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br w:type="page"/>
      </w: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t>附表</w:t>
      </w:r>
      <w:r>
        <w:rPr>
          <w:rFonts w:hint="eastAsia" w:ascii="Times New Roman" w:hAnsi="Times New Roman" w:cs="Times New Roman"/>
          <w:b w:val="0"/>
          <w:bCs w:val="0"/>
          <w:color w:val="auto"/>
          <w:kern w:val="0"/>
          <w:sz w:val="32"/>
          <w:szCs w:val="32"/>
          <w:highlight w:val="none"/>
          <w:u w:val="none"/>
          <w:shd w:val="clear" w:color="auto" w:fill="FFFFFF"/>
          <w:lang w:val="en-US" w:eastAsia="zh-CN"/>
        </w:rPr>
        <w:t>2</w:t>
      </w:r>
    </w:p>
    <w:p w14:paraId="3D2544A1">
      <w:pPr>
        <w:keepNext w:val="0"/>
        <w:keepLines w:val="0"/>
        <w:pageBreakBefore w:val="0"/>
        <w:kinsoku/>
        <w:wordWrap/>
        <w:overflowPunct/>
        <w:topLinePunct w:val="0"/>
        <w:autoSpaceDE/>
        <w:autoSpaceDN/>
        <w:bidi w:val="0"/>
        <w:spacing w:line="578" w:lineRule="exact"/>
        <w:ind w:left="0" w:leftChars="0"/>
        <w:jc w:val="center"/>
        <w:textAlignment w:val="auto"/>
        <w:rPr>
          <w:rFonts w:hint="default" w:ascii="Times New Roman" w:hAnsi="Times New Roman" w:eastAsia="方正小标宋_GBK" w:cs="Times New Roman"/>
          <w:b w:val="0"/>
          <w:bCs w:val="0"/>
          <w:color w:val="auto"/>
          <w:sz w:val="40"/>
          <w:szCs w:val="40"/>
          <w:highlight w:val="none"/>
          <w:u w:val="none"/>
          <w:lang w:val="en-US" w:eastAsia="zh-CN"/>
        </w:rPr>
      </w:pPr>
      <w:r>
        <w:rPr>
          <w:rFonts w:hint="default" w:ascii="Times New Roman" w:hAnsi="Times New Roman" w:eastAsia="方正小标宋_GBK" w:cs="Times New Roman"/>
          <w:b w:val="0"/>
          <w:bCs w:val="0"/>
          <w:color w:val="auto"/>
          <w:sz w:val="40"/>
          <w:szCs w:val="40"/>
          <w:highlight w:val="none"/>
          <w:u w:val="none"/>
          <w:lang w:val="en-US" w:eastAsia="zh-CN"/>
        </w:rPr>
        <w:t>专项预算绩效自评实地踏勘点位清单表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5956"/>
        <w:gridCol w:w="905"/>
      </w:tblGrid>
      <w:tr w14:paraId="10074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24C63F1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黑体" w:cs="Times New Roman"/>
                <w:b w:val="0"/>
                <w:bCs w:val="0"/>
                <w:color w:val="auto"/>
                <w:sz w:val="24"/>
                <w:szCs w:val="24"/>
                <w:highlight w:val="none"/>
                <w:u w:val="none"/>
                <w:vertAlign w:val="baseline"/>
                <w:lang w:val="en-US" w:eastAsia="zh-CN"/>
              </w:rPr>
            </w:pPr>
            <w:r>
              <w:rPr>
                <w:rFonts w:hint="default" w:ascii="Times New Roman" w:hAnsi="Times New Roman" w:eastAsia="黑体" w:cs="Times New Roman"/>
                <w:b w:val="0"/>
                <w:bCs w:val="0"/>
                <w:color w:val="auto"/>
                <w:sz w:val="24"/>
                <w:szCs w:val="24"/>
                <w:highlight w:val="none"/>
                <w:u w:val="none"/>
                <w:vertAlign w:val="baseline"/>
                <w:lang w:val="en-US" w:eastAsia="zh-CN"/>
              </w:rPr>
              <w:t>序号</w:t>
            </w:r>
          </w:p>
        </w:tc>
        <w:tc>
          <w:tcPr>
            <w:tcW w:w="5956" w:type="dxa"/>
            <w:noWrap w:val="0"/>
            <w:vAlign w:val="top"/>
          </w:tcPr>
          <w:p w14:paraId="77691C3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黑体" w:cs="Times New Roman"/>
                <w:b w:val="0"/>
                <w:bCs w:val="0"/>
                <w:color w:val="auto"/>
                <w:sz w:val="24"/>
                <w:szCs w:val="24"/>
                <w:highlight w:val="none"/>
                <w:u w:val="none"/>
                <w:vertAlign w:val="baseline"/>
                <w:lang w:val="en" w:eastAsia="zh-CN"/>
              </w:rPr>
            </w:pPr>
            <w:r>
              <w:rPr>
                <w:rFonts w:hint="default" w:ascii="Times New Roman" w:hAnsi="Times New Roman" w:eastAsia="黑体" w:cs="Times New Roman"/>
                <w:b w:val="0"/>
                <w:bCs w:val="0"/>
                <w:color w:val="auto"/>
                <w:sz w:val="24"/>
                <w:szCs w:val="24"/>
                <w:highlight w:val="none"/>
                <w:u w:val="none"/>
                <w:vertAlign w:val="baseline"/>
                <w:lang w:val="en-US" w:eastAsia="zh-CN"/>
              </w:rPr>
              <w:t>实地踏勘点位</w:t>
            </w:r>
          </w:p>
        </w:tc>
        <w:tc>
          <w:tcPr>
            <w:tcW w:w="905" w:type="dxa"/>
            <w:noWrap w:val="0"/>
            <w:vAlign w:val="top"/>
          </w:tcPr>
          <w:p w14:paraId="3E06829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黑体" w:cs="Times New Roman"/>
                <w:b w:val="0"/>
                <w:bCs w:val="0"/>
                <w:color w:val="auto"/>
                <w:sz w:val="24"/>
                <w:szCs w:val="24"/>
                <w:highlight w:val="none"/>
                <w:u w:val="none"/>
                <w:vertAlign w:val="baseline"/>
                <w:lang w:val="en-US" w:eastAsia="zh-CN"/>
              </w:rPr>
            </w:pPr>
            <w:r>
              <w:rPr>
                <w:rFonts w:hint="default" w:ascii="Times New Roman" w:hAnsi="Times New Roman" w:eastAsia="黑体" w:cs="Times New Roman"/>
                <w:b w:val="0"/>
                <w:bCs w:val="0"/>
                <w:color w:val="auto"/>
                <w:sz w:val="24"/>
                <w:szCs w:val="24"/>
                <w:highlight w:val="none"/>
                <w:u w:val="none"/>
                <w:vertAlign w:val="baseline"/>
                <w:lang w:val="en-US" w:eastAsia="zh-CN"/>
              </w:rPr>
              <w:t>备注</w:t>
            </w:r>
          </w:p>
        </w:tc>
      </w:tr>
      <w:tr w14:paraId="25F81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37F062F0">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1</w:t>
            </w:r>
          </w:p>
        </w:tc>
        <w:tc>
          <w:tcPr>
            <w:tcW w:w="5956" w:type="dxa"/>
            <w:noWrap w:val="0"/>
            <w:vAlign w:val="top"/>
          </w:tcPr>
          <w:p w14:paraId="211FD7C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r>
              <w:rPr>
                <w:rFonts w:hint="eastAsia" w:cs="Times New Roman"/>
                <w:color w:val="auto"/>
                <w:sz w:val="24"/>
                <w:szCs w:val="24"/>
                <w:highlight w:val="none"/>
                <w:u w:val="none"/>
                <w:vertAlign w:val="baseline"/>
                <w:lang w:val="en" w:eastAsia="zh-CN"/>
              </w:rPr>
              <w:t>金川县文学艺术界联合会</w:t>
            </w:r>
          </w:p>
        </w:tc>
        <w:tc>
          <w:tcPr>
            <w:tcW w:w="905" w:type="dxa"/>
            <w:noWrap w:val="0"/>
            <w:vAlign w:val="top"/>
          </w:tcPr>
          <w:p w14:paraId="5681D609">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5DEDB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B7CC54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2</w:t>
            </w:r>
          </w:p>
        </w:tc>
        <w:tc>
          <w:tcPr>
            <w:tcW w:w="5956" w:type="dxa"/>
            <w:noWrap w:val="0"/>
            <w:vAlign w:val="top"/>
          </w:tcPr>
          <w:p w14:paraId="3F6FF1E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6415EDC9">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374BB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2EDACD8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3</w:t>
            </w:r>
          </w:p>
        </w:tc>
        <w:tc>
          <w:tcPr>
            <w:tcW w:w="5956" w:type="dxa"/>
            <w:noWrap w:val="0"/>
            <w:vAlign w:val="top"/>
          </w:tcPr>
          <w:p w14:paraId="416B3D0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174E9B84">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3C7E1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4116FAA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4</w:t>
            </w:r>
          </w:p>
        </w:tc>
        <w:tc>
          <w:tcPr>
            <w:tcW w:w="5956" w:type="dxa"/>
            <w:noWrap w:val="0"/>
            <w:vAlign w:val="top"/>
          </w:tcPr>
          <w:p w14:paraId="62CBFAF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3B66E04D">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6A0D5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605817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5</w:t>
            </w:r>
          </w:p>
        </w:tc>
        <w:tc>
          <w:tcPr>
            <w:tcW w:w="5956" w:type="dxa"/>
            <w:noWrap w:val="0"/>
            <w:vAlign w:val="top"/>
          </w:tcPr>
          <w:p w14:paraId="5C7CCE3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5D6E1080">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473F0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exact"/>
          <w:jc w:val="center"/>
        </w:trPr>
        <w:tc>
          <w:tcPr>
            <w:tcW w:w="1123" w:type="dxa"/>
            <w:noWrap w:val="0"/>
            <w:vAlign w:val="top"/>
          </w:tcPr>
          <w:p w14:paraId="1A61132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6</w:t>
            </w:r>
          </w:p>
        </w:tc>
        <w:tc>
          <w:tcPr>
            <w:tcW w:w="5956" w:type="dxa"/>
            <w:noWrap w:val="0"/>
            <w:vAlign w:val="top"/>
          </w:tcPr>
          <w:p w14:paraId="3FC052C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683DB7A1">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4B7E5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3A0C04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7</w:t>
            </w:r>
          </w:p>
        </w:tc>
        <w:tc>
          <w:tcPr>
            <w:tcW w:w="5956" w:type="dxa"/>
            <w:noWrap w:val="0"/>
            <w:vAlign w:val="top"/>
          </w:tcPr>
          <w:p w14:paraId="77D62D7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2B9352B5">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73F82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421887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8</w:t>
            </w:r>
          </w:p>
        </w:tc>
        <w:tc>
          <w:tcPr>
            <w:tcW w:w="5956" w:type="dxa"/>
            <w:noWrap w:val="0"/>
            <w:vAlign w:val="top"/>
          </w:tcPr>
          <w:p w14:paraId="774039CC">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US" w:eastAsia="zh-CN"/>
              </w:rPr>
            </w:pPr>
          </w:p>
        </w:tc>
        <w:tc>
          <w:tcPr>
            <w:tcW w:w="905" w:type="dxa"/>
            <w:noWrap w:val="0"/>
            <w:vAlign w:val="top"/>
          </w:tcPr>
          <w:p w14:paraId="2C850C01">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50290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24170C4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9</w:t>
            </w:r>
          </w:p>
        </w:tc>
        <w:tc>
          <w:tcPr>
            <w:tcW w:w="5956" w:type="dxa"/>
            <w:noWrap w:val="0"/>
            <w:vAlign w:val="top"/>
          </w:tcPr>
          <w:p w14:paraId="2D39F5B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2F7BA945">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26BBD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78C0D47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10</w:t>
            </w:r>
          </w:p>
        </w:tc>
        <w:tc>
          <w:tcPr>
            <w:tcW w:w="5956" w:type="dxa"/>
            <w:noWrap w:val="0"/>
            <w:vAlign w:val="top"/>
          </w:tcPr>
          <w:p w14:paraId="7A0BA4B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7C0B3BBD">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4606C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7B1F60B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11</w:t>
            </w:r>
          </w:p>
        </w:tc>
        <w:tc>
          <w:tcPr>
            <w:tcW w:w="5956" w:type="dxa"/>
            <w:noWrap w:val="0"/>
            <w:vAlign w:val="top"/>
          </w:tcPr>
          <w:p w14:paraId="29A16E4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7C7ABC91">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6A46D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48580E5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12</w:t>
            </w:r>
          </w:p>
        </w:tc>
        <w:tc>
          <w:tcPr>
            <w:tcW w:w="5956" w:type="dxa"/>
            <w:noWrap w:val="0"/>
            <w:vAlign w:val="top"/>
          </w:tcPr>
          <w:p w14:paraId="4B84205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6C1D0921">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142E6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72131BE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13</w:t>
            </w:r>
          </w:p>
        </w:tc>
        <w:tc>
          <w:tcPr>
            <w:tcW w:w="5956" w:type="dxa"/>
            <w:noWrap w:val="0"/>
            <w:vAlign w:val="top"/>
          </w:tcPr>
          <w:p w14:paraId="2519A38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18881A6B">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0D68A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097926B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14</w:t>
            </w:r>
          </w:p>
        </w:tc>
        <w:tc>
          <w:tcPr>
            <w:tcW w:w="5956" w:type="dxa"/>
            <w:noWrap w:val="0"/>
            <w:vAlign w:val="top"/>
          </w:tcPr>
          <w:p w14:paraId="5732029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70CF5E10">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69AF6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4FED4DB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15</w:t>
            </w:r>
          </w:p>
        </w:tc>
        <w:tc>
          <w:tcPr>
            <w:tcW w:w="5956" w:type="dxa"/>
            <w:noWrap w:val="0"/>
            <w:vAlign w:val="top"/>
          </w:tcPr>
          <w:p w14:paraId="3009FD2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2DBF65C3">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5C52F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9C67BB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16</w:t>
            </w:r>
          </w:p>
        </w:tc>
        <w:tc>
          <w:tcPr>
            <w:tcW w:w="5956" w:type="dxa"/>
            <w:noWrap w:val="0"/>
            <w:vAlign w:val="top"/>
          </w:tcPr>
          <w:p w14:paraId="23BD9F0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2DB53E57">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492E6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25B696D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17</w:t>
            </w:r>
          </w:p>
        </w:tc>
        <w:tc>
          <w:tcPr>
            <w:tcW w:w="5956" w:type="dxa"/>
            <w:noWrap w:val="0"/>
            <w:vAlign w:val="top"/>
          </w:tcPr>
          <w:p w14:paraId="6A3C550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5F95A53C">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1073D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1DA7A6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18</w:t>
            </w:r>
          </w:p>
        </w:tc>
        <w:tc>
          <w:tcPr>
            <w:tcW w:w="5956" w:type="dxa"/>
            <w:noWrap w:val="0"/>
            <w:vAlign w:val="top"/>
          </w:tcPr>
          <w:p w14:paraId="3504A62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7F8EDACC">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3D6DB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03910DB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19</w:t>
            </w:r>
          </w:p>
        </w:tc>
        <w:tc>
          <w:tcPr>
            <w:tcW w:w="5956" w:type="dxa"/>
            <w:noWrap w:val="0"/>
            <w:vAlign w:val="top"/>
          </w:tcPr>
          <w:p w14:paraId="3652484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14DB4E6A">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131ED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054BB9F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20</w:t>
            </w:r>
          </w:p>
        </w:tc>
        <w:tc>
          <w:tcPr>
            <w:tcW w:w="5956" w:type="dxa"/>
            <w:noWrap w:val="0"/>
            <w:vAlign w:val="top"/>
          </w:tcPr>
          <w:p w14:paraId="4D31AEBD">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362E326E">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bl>
    <w:p w14:paraId="2666B26B">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 w:val="0"/>
          <w:bCs w:val="0"/>
          <w:color w:val="auto"/>
          <w:sz w:val="21"/>
          <w:szCs w:val="21"/>
          <w:highlight w:val="none"/>
          <w:u w:val="none"/>
          <w:vertAlign w:val="baseline"/>
          <w:lang w:val="en-US" w:eastAsia="zh-CN"/>
        </w:rPr>
      </w:pPr>
      <w:r>
        <w:rPr>
          <w:rFonts w:hint="default" w:ascii="Times New Roman" w:hAnsi="Times New Roman" w:eastAsia="宋体" w:cs="Times New Roman"/>
          <w:b w:val="0"/>
          <w:bCs w:val="0"/>
          <w:color w:val="auto"/>
          <w:sz w:val="21"/>
          <w:szCs w:val="21"/>
          <w:highlight w:val="none"/>
          <w:u w:val="none"/>
          <w:vertAlign w:val="baseline"/>
          <w:lang w:val="en-US" w:eastAsia="zh-CN"/>
        </w:rPr>
        <w:t>备注：项目</w:t>
      </w:r>
      <w:r>
        <w:rPr>
          <w:rFonts w:hint="eastAsia" w:eastAsia="宋体" w:cs="Times New Roman"/>
          <w:b w:val="0"/>
          <w:bCs w:val="0"/>
          <w:color w:val="auto"/>
          <w:sz w:val="21"/>
          <w:szCs w:val="21"/>
          <w:highlight w:val="none"/>
          <w:u w:val="none"/>
          <w:vertAlign w:val="baseline"/>
          <w:lang w:val="en-US" w:eastAsia="zh-CN"/>
        </w:rPr>
        <w:t>实地踏勘</w:t>
      </w:r>
      <w:r>
        <w:rPr>
          <w:rFonts w:hint="default" w:ascii="Times New Roman" w:hAnsi="Times New Roman" w:eastAsia="宋体" w:cs="Times New Roman"/>
          <w:b w:val="0"/>
          <w:bCs w:val="0"/>
          <w:color w:val="auto"/>
          <w:sz w:val="21"/>
          <w:szCs w:val="21"/>
          <w:highlight w:val="none"/>
          <w:u w:val="none"/>
          <w:vertAlign w:val="baseline"/>
          <w:lang w:val="en-US" w:eastAsia="zh-CN"/>
        </w:rPr>
        <w:t>点位包括县</w:t>
      </w:r>
      <w:r>
        <w:rPr>
          <w:rFonts w:hint="eastAsia" w:eastAsia="宋体" w:cs="Times New Roman"/>
          <w:b w:val="0"/>
          <w:bCs w:val="0"/>
          <w:color w:val="auto"/>
          <w:sz w:val="21"/>
          <w:szCs w:val="21"/>
          <w:highlight w:val="none"/>
          <w:u w:val="none"/>
          <w:vertAlign w:val="baseline"/>
          <w:lang w:val="en-US" w:eastAsia="zh-CN"/>
        </w:rPr>
        <w:t>本级及有关项目、单位、公司</w:t>
      </w:r>
      <w:r>
        <w:rPr>
          <w:rFonts w:hint="default" w:ascii="Times New Roman" w:hAnsi="Times New Roman" w:eastAsia="宋体" w:cs="Times New Roman"/>
          <w:b w:val="0"/>
          <w:bCs w:val="0"/>
          <w:color w:val="auto"/>
          <w:sz w:val="21"/>
          <w:szCs w:val="21"/>
          <w:highlight w:val="none"/>
          <w:u w:val="none"/>
          <w:vertAlign w:val="baseline"/>
          <w:lang w:val="en-US" w:eastAsia="zh-CN"/>
        </w:rPr>
        <w:t>等。</w:t>
      </w:r>
    </w:p>
    <w:p w14:paraId="0CFC0A5C">
      <w:pPr>
        <w:keepNext w:val="0"/>
        <w:keepLines w:val="0"/>
        <w:pageBreakBefore w:val="0"/>
        <w:kinsoku/>
        <w:wordWrap/>
        <w:overflowPunct/>
        <w:topLinePunct w:val="0"/>
        <w:autoSpaceDE/>
        <w:autoSpaceDN/>
        <w:bidi w:val="0"/>
        <w:adjustRightInd/>
        <w:snapToGrid w:val="0"/>
        <w:spacing w:line="578" w:lineRule="exact"/>
        <w:textAlignment w:val="auto"/>
        <w:outlineLvl w:val="9"/>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pPr>
    </w:p>
    <w:p w14:paraId="3D404659">
      <w:pPr>
        <w:keepNext w:val="0"/>
        <w:keepLines w:val="0"/>
        <w:pageBreakBefore w:val="0"/>
        <w:kinsoku/>
        <w:wordWrap/>
        <w:overflowPunct/>
        <w:topLinePunct w:val="0"/>
        <w:autoSpaceDE/>
        <w:autoSpaceDN/>
        <w:bidi w:val="0"/>
        <w:adjustRightInd/>
        <w:snapToGrid w:val="0"/>
        <w:spacing w:line="578" w:lineRule="exact"/>
        <w:textAlignment w:val="auto"/>
        <w:outlineLvl w:val="9"/>
        <w:rPr>
          <w:rFonts w:hint="default" w:ascii="Times New Roman" w:hAnsi="Times New Roman" w:eastAsia="黑体" w:cs="Times New Roman"/>
          <w:b w:val="0"/>
          <w:bCs w:val="0"/>
          <w:color w:val="auto"/>
          <w:kern w:val="0"/>
          <w:sz w:val="32"/>
          <w:szCs w:val="32"/>
          <w:highlight w:val="none"/>
          <w:u w:val="none"/>
          <w:shd w:val="clear" w:color="auto" w:fill="FFFFFF"/>
          <w:lang w:val="en-US" w:eastAsia="zh-CN"/>
        </w:rPr>
      </w:pP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br w:type="page"/>
      </w: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t>附表</w:t>
      </w:r>
      <w:r>
        <w:rPr>
          <w:rFonts w:hint="eastAsia" w:eastAsia="黑体" w:cs="Times New Roman"/>
          <w:b w:val="0"/>
          <w:bCs w:val="0"/>
          <w:color w:val="auto"/>
          <w:kern w:val="0"/>
          <w:sz w:val="32"/>
          <w:szCs w:val="32"/>
          <w:highlight w:val="none"/>
          <w:u w:val="none"/>
          <w:shd w:val="clear" w:color="auto" w:fill="FFFFFF"/>
          <w:lang w:val="en-US" w:eastAsia="zh-CN"/>
        </w:rPr>
        <w:t>3</w:t>
      </w:r>
    </w:p>
    <w:tbl>
      <w:tblPr>
        <w:tblStyle w:val="1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5C069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6" w:hRule="atLeast"/>
          <w:jc w:val="center"/>
        </w:trPr>
        <w:tc>
          <w:tcPr>
            <w:tcW w:w="10233" w:type="dxa"/>
            <w:gridSpan w:val="9"/>
            <w:noWrap w:val="0"/>
            <w:vAlign w:val="center"/>
          </w:tcPr>
          <w:p w14:paraId="5A57E28B">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jc w:val="center"/>
              <w:textAlignment w:val="center"/>
              <w:rPr>
                <w:rFonts w:hint="default" w:ascii="Times New Roman" w:hAnsi="Times New Roman" w:eastAsia="黑体" w:cs="Times New Roman"/>
                <w:i w:val="0"/>
                <w:color w:val="000000"/>
                <w:sz w:val="30"/>
                <w:szCs w:val="30"/>
                <w:u w:val="none"/>
              </w:rPr>
            </w:pPr>
            <w:r>
              <w:rPr>
                <w:rFonts w:hint="default" w:ascii="Times New Roman" w:hAnsi="Times New Roman" w:eastAsia="方正小标宋简体" w:cs="Times New Roman"/>
                <w:i w:val="0"/>
                <w:color w:val="000000"/>
                <w:kern w:val="0"/>
                <w:sz w:val="40"/>
                <w:szCs w:val="40"/>
                <w:u w:val="none"/>
                <w:lang w:val="en-US" w:eastAsia="zh-CN" w:bidi="ar"/>
              </w:rPr>
              <w:t>专项预算项目绩效目标完成情况自评表</w:t>
            </w:r>
          </w:p>
        </w:tc>
      </w:tr>
      <w:tr w14:paraId="60F2B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12FE59D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项目名称</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84B7995">
            <w:pPr>
              <w:keepNext w:val="0"/>
              <w:keepLines w:val="0"/>
              <w:pageBreakBefore w:val="0"/>
              <w:kinsoku/>
              <w:wordWrap/>
              <w:overflowPunct/>
              <w:topLinePunct w:val="0"/>
              <w:autoSpaceDE/>
              <w:autoSpaceDN/>
              <w:bidi w:val="0"/>
              <w:adjustRightInd/>
              <w:snapToGrid/>
              <w:spacing w:line="300" w:lineRule="exact"/>
              <w:ind w:left="0" w:leftChars="0"/>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系列文化活动</w:t>
            </w:r>
          </w:p>
        </w:tc>
      </w:tr>
      <w:tr w14:paraId="35EF7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8"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2B2D2AA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预算单位</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2714F51E">
            <w:pPr>
              <w:keepNext w:val="0"/>
              <w:keepLines w:val="0"/>
              <w:pageBreakBefore w:val="0"/>
              <w:kinsoku/>
              <w:wordWrap/>
              <w:overflowPunct/>
              <w:topLinePunct w:val="0"/>
              <w:autoSpaceDE/>
              <w:autoSpaceDN/>
              <w:bidi w:val="0"/>
              <w:adjustRightInd/>
              <w:snapToGrid/>
              <w:spacing w:line="300" w:lineRule="exact"/>
              <w:ind w:left="0" w:leftChars="0"/>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金川县文学艺术界联合会</w:t>
            </w:r>
          </w:p>
        </w:tc>
      </w:tr>
      <w:tr w14:paraId="04ACA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32F4A4E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项目类型</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4DAFB947">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部门项目</w:t>
            </w:r>
          </w:p>
        </w:tc>
      </w:tr>
      <w:tr w14:paraId="2F9C0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4A263B4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 概况</w:t>
            </w: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4A619E7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中长期规划（名称、文号，仅指</w:t>
            </w:r>
          </w:p>
          <w:p w14:paraId="50E464A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常年项目）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70C1C2C5">
            <w:pPr>
              <w:keepNext w:val="0"/>
              <w:keepLines w:val="0"/>
              <w:pageBreakBefore w:val="0"/>
              <w:kinsoku/>
              <w:wordWrap/>
              <w:overflowPunct/>
              <w:topLinePunct w:val="0"/>
              <w:autoSpaceDE/>
              <w:autoSpaceDN/>
              <w:bidi w:val="0"/>
              <w:adjustRightInd/>
              <w:snapToGrid/>
              <w:spacing w:line="300" w:lineRule="exact"/>
              <w:ind w:left="0" w:leftChars="0"/>
              <w:jc w:val="left"/>
              <w:rPr>
                <w:rFonts w:hint="default" w:ascii="Times New Roman" w:hAnsi="Times New Roman" w:eastAsia="宋体" w:cs="Times New Roman"/>
                <w:i w:val="0"/>
                <w:color w:val="000000"/>
                <w:sz w:val="24"/>
                <w:szCs w:val="24"/>
                <w:u w:val="none"/>
              </w:rPr>
            </w:pPr>
          </w:p>
        </w:tc>
      </w:tr>
      <w:tr w14:paraId="54A91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C84B8A">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6F251AB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281ECE27">
            <w:pPr>
              <w:keepNext w:val="0"/>
              <w:keepLines w:val="0"/>
              <w:pageBreakBefore w:val="0"/>
              <w:kinsoku/>
              <w:wordWrap/>
              <w:overflowPunct/>
              <w:topLinePunct w:val="0"/>
              <w:autoSpaceDE/>
              <w:autoSpaceDN/>
              <w:bidi w:val="0"/>
              <w:adjustRightInd/>
              <w:snapToGrid/>
              <w:spacing w:line="300" w:lineRule="exact"/>
              <w:ind w:left="0" w:leftChars="0"/>
              <w:jc w:val="left"/>
              <w:rPr>
                <w:rFonts w:hint="default" w:ascii="Times New Roman" w:hAnsi="Times New Roman" w:eastAsia="宋体" w:cs="Times New Roman"/>
                <w:i w:val="0"/>
                <w:color w:val="000000"/>
                <w:sz w:val="24"/>
                <w:szCs w:val="24"/>
                <w:u w:val="none"/>
              </w:rPr>
            </w:pPr>
          </w:p>
        </w:tc>
      </w:tr>
      <w:tr w14:paraId="6FC96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EAD771">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5163DBE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绩效分配方式</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4CBCD89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Wingdings 2" w:cs="Times New Roman"/>
                <w:i w:val="0"/>
                <w:color w:val="000000"/>
                <w:sz w:val="24"/>
                <w:szCs w:val="24"/>
                <w:u w:val="none"/>
              </w:rPr>
            </w:pPr>
            <w:r>
              <w:rPr>
                <w:rFonts w:hint="default" w:ascii="Times New Roman" w:hAnsi="Times New Roman" w:eastAsia="Wingdings 2" w:cs="Times New Roman"/>
                <w:i w:val="0"/>
                <w:color w:val="000000"/>
                <w:kern w:val="0"/>
                <w:sz w:val="24"/>
                <w:szCs w:val="24"/>
                <w:u w:val="none"/>
                <w:lang w:val="en-US" w:eastAsia="zh-CN" w:bidi="ar"/>
              </w:rPr>
              <w:t>£</w:t>
            </w:r>
            <w:r>
              <w:rPr>
                <w:rFonts w:hint="default" w:ascii="Times New Roman" w:hAnsi="Times New Roman" w:eastAsia="宋体" w:cs="Times New Roman"/>
                <w:i w:val="0"/>
                <w:color w:val="000000"/>
                <w:kern w:val="0"/>
                <w:sz w:val="24"/>
                <w:szCs w:val="24"/>
                <w:u w:val="none"/>
                <w:lang w:val="en-US" w:eastAsia="zh-CN" w:bidi="ar"/>
              </w:rPr>
              <w:t>因素法</w:t>
            </w:r>
          </w:p>
        </w:tc>
        <w:tc>
          <w:tcPr>
            <w:tcW w:w="2032" w:type="dxa"/>
            <w:gridSpan w:val="2"/>
            <w:tcBorders>
              <w:top w:val="single" w:color="000000" w:sz="4" w:space="0"/>
              <w:left w:val="single" w:color="000000" w:sz="4" w:space="0"/>
              <w:bottom w:val="single" w:color="000000" w:sz="4" w:space="0"/>
              <w:right w:val="single" w:color="000000" w:sz="4" w:space="0"/>
            </w:tcBorders>
            <w:noWrap w:val="0"/>
            <w:vAlign w:val="center"/>
          </w:tcPr>
          <w:p w14:paraId="3042127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Wingdings 2" w:cs="Times New Roman"/>
                <w:i w:val="0"/>
                <w:color w:val="000000"/>
                <w:sz w:val="24"/>
                <w:szCs w:val="24"/>
                <w:u w:val="none"/>
              </w:rPr>
            </w:pPr>
            <w:r>
              <w:rPr>
                <w:rFonts w:hint="default" w:ascii="Times New Roman" w:hAnsi="Times New Roman" w:eastAsia="Wingdings 2" w:cs="Times New Roman"/>
                <w:i w:val="0"/>
                <w:color w:val="000000"/>
                <w:kern w:val="0"/>
                <w:sz w:val="24"/>
                <w:szCs w:val="24"/>
                <w:u w:val="none"/>
                <w:lang w:val="en-US" w:eastAsia="zh-CN" w:bidi="ar"/>
              </w:rPr>
              <w:t>£项目法</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BBDB89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Wingdings 2" w:cs="Times New Roman"/>
                <w:i w:val="0"/>
                <w:color w:val="000000"/>
                <w:sz w:val="24"/>
                <w:szCs w:val="24"/>
                <w:u w:val="none"/>
              </w:rPr>
            </w:pPr>
            <w:r>
              <w:rPr>
                <w:rFonts w:hint="default" w:ascii="Times New Roman" w:hAnsi="Times New Roman" w:eastAsia="Wingdings 2" w:cs="Times New Roman"/>
                <w:i w:val="0"/>
                <w:color w:val="000000"/>
                <w:kern w:val="0"/>
                <w:sz w:val="24"/>
                <w:szCs w:val="24"/>
                <w:u w:val="none"/>
                <w:lang w:val="en-US" w:eastAsia="zh-CN" w:bidi="ar"/>
              </w:rPr>
              <w:t>£</w:t>
            </w:r>
            <w:r>
              <w:rPr>
                <w:rFonts w:hint="default" w:ascii="Times New Roman" w:hAnsi="Times New Roman" w:eastAsia="宋体" w:cs="Times New Roman"/>
                <w:i w:val="0"/>
                <w:color w:val="000000"/>
                <w:kern w:val="0"/>
                <w:sz w:val="24"/>
                <w:szCs w:val="24"/>
                <w:u w:val="none"/>
                <w:lang w:val="en-US" w:eastAsia="zh-CN" w:bidi="ar"/>
              </w:rPr>
              <w:t>据实据效</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1C33FD3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Wingdings 2" w:cs="Times New Roman"/>
                <w:i w:val="0"/>
                <w:color w:val="000000"/>
                <w:sz w:val="24"/>
                <w:szCs w:val="24"/>
                <w:u w:val="none"/>
              </w:rPr>
            </w:pPr>
            <w:r>
              <w:rPr>
                <w:rFonts w:hint="default" w:ascii="Times New Roman" w:hAnsi="Times New Roman" w:eastAsia="Wingdings 2" w:cs="Times New Roman"/>
                <w:i w:val="0"/>
                <w:color w:val="000000"/>
                <w:kern w:val="0"/>
                <w:sz w:val="24"/>
                <w:szCs w:val="24"/>
                <w:u w:val="none"/>
                <w:lang w:val="en-US" w:eastAsia="zh-CN" w:bidi="ar"/>
              </w:rPr>
              <w:t>£</w:t>
            </w:r>
            <w:r>
              <w:rPr>
                <w:rFonts w:hint="default" w:ascii="Times New Roman" w:hAnsi="Times New Roman" w:eastAsia="宋体" w:cs="Times New Roman"/>
                <w:i w:val="0"/>
                <w:color w:val="000000"/>
                <w:kern w:val="0"/>
                <w:sz w:val="24"/>
                <w:szCs w:val="24"/>
                <w:u w:val="none"/>
                <w:lang w:val="en-US" w:eastAsia="zh-CN" w:bidi="ar"/>
              </w:rPr>
              <w:t>因素法与项目法相结合</w:t>
            </w:r>
          </w:p>
        </w:tc>
      </w:tr>
      <w:tr w14:paraId="42358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DADB72">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4BB9D01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立项依据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53675FA4">
            <w:pPr>
              <w:keepNext w:val="0"/>
              <w:keepLines w:val="0"/>
              <w:pageBreakBefore w:val="0"/>
              <w:kinsoku/>
              <w:wordWrap/>
              <w:overflowPunct/>
              <w:topLinePunct w:val="0"/>
              <w:autoSpaceDE/>
              <w:autoSpaceDN/>
              <w:bidi w:val="0"/>
              <w:adjustRightInd/>
              <w:snapToGrid/>
              <w:spacing w:line="300" w:lineRule="exact"/>
              <w:ind w:left="0" w:leftChars="0"/>
              <w:jc w:val="left"/>
              <w:rPr>
                <w:rFonts w:hint="default" w:ascii="Times New Roman" w:hAnsi="Times New Roman" w:eastAsia="宋体" w:cs="Times New Roman"/>
                <w:i w:val="0"/>
                <w:color w:val="000000"/>
                <w:sz w:val="24"/>
                <w:szCs w:val="24"/>
                <w:u w:val="none"/>
              </w:rPr>
            </w:pPr>
          </w:p>
        </w:tc>
      </w:tr>
      <w:tr w14:paraId="2CB7B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C724BC">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25E094A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使用范围</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DC551D9">
            <w:pPr>
              <w:keepNext w:val="0"/>
              <w:keepLines w:val="0"/>
              <w:pageBreakBefore w:val="0"/>
              <w:kinsoku/>
              <w:wordWrap/>
              <w:overflowPunct/>
              <w:topLinePunct w:val="0"/>
              <w:autoSpaceDE/>
              <w:autoSpaceDN/>
              <w:bidi w:val="0"/>
              <w:adjustRightInd/>
              <w:snapToGrid/>
              <w:spacing w:line="300" w:lineRule="exact"/>
              <w:ind w:left="0" w:leftChars="0"/>
              <w:jc w:val="left"/>
              <w:rPr>
                <w:rFonts w:hint="default" w:ascii="Times New Roman" w:hAnsi="Times New Roman" w:eastAsia="宋体" w:cs="Times New Roman"/>
                <w:i w:val="0"/>
                <w:color w:val="000000"/>
                <w:sz w:val="24"/>
                <w:szCs w:val="24"/>
                <w:u w:val="none"/>
              </w:rPr>
            </w:pPr>
          </w:p>
        </w:tc>
      </w:tr>
      <w:tr w14:paraId="7ECC6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885283">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539F59A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1E7C5143">
            <w:pPr>
              <w:keepNext w:val="0"/>
              <w:keepLines w:val="0"/>
              <w:pageBreakBefore w:val="0"/>
              <w:kinsoku/>
              <w:wordWrap/>
              <w:overflowPunct/>
              <w:topLinePunct w:val="0"/>
              <w:autoSpaceDE/>
              <w:autoSpaceDN/>
              <w:bidi w:val="0"/>
              <w:adjustRightInd/>
              <w:snapToGrid/>
              <w:spacing w:line="300" w:lineRule="exact"/>
              <w:ind w:left="0" w:leftChars="0"/>
              <w:jc w:val="left"/>
              <w:rPr>
                <w:rFonts w:hint="default" w:ascii="Times New Roman" w:hAnsi="Times New Roman" w:eastAsia="宋体" w:cs="Times New Roman"/>
                <w:i w:val="0"/>
                <w:color w:val="000000"/>
                <w:sz w:val="24"/>
                <w:szCs w:val="24"/>
                <w:u w:val="none"/>
              </w:rPr>
            </w:pPr>
          </w:p>
        </w:tc>
      </w:tr>
      <w:tr w14:paraId="77787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C41DBE">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3C0C280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773D3BBC">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2024年初-2024年底</w:t>
            </w:r>
          </w:p>
        </w:tc>
      </w:tr>
      <w:tr w14:paraId="538DF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21F3D8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项目资金</w:t>
            </w:r>
          </w:p>
          <w:p w14:paraId="0840B3A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（万元）</w:t>
            </w: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40D50BE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5F5602BF">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5</w:t>
            </w:r>
          </w:p>
        </w:tc>
      </w:tr>
      <w:tr w14:paraId="5683E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E714FF7">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2F0F3A4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      其中：财政拨款</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528ADF71">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5</w:t>
            </w:r>
          </w:p>
        </w:tc>
      </w:tr>
      <w:tr w14:paraId="53C26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756F820">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054459A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794D45E6">
            <w:pPr>
              <w:keepNext w:val="0"/>
              <w:keepLines w:val="0"/>
              <w:pageBreakBefore w:val="0"/>
              <w:kinsoku/>
              <w:wordWrap/>
              <w:overflowPunct/>
              <w:topLinePunct w:val="0"/>
              <w:autoSpaceDE/>
              <w:autoSpaceDN/>
              <w:bidi w:val="0"/>
              <w:adjustRightInd/>
              <w:snapToGrid/>
              <w:spacing w:line="300" w:lineRule="exact"/>
              <w:ind w:left="0" w:leftChars="0"/>
              <w:jc w:val="right"/>
              <w:rPr>
                <w:rFonts w:hint="default" w:ascii="Times New Roman" w:hAnsi="Times New Roman" w:eastAsia="宋体" w:cs="Times New Roman"/>
                <w:i w:val="0"/>
                <w:color w:val="000000"/>
                <w:sz w:val="24"/>
                <w:szCs w:val="24"/>
                <w:u w:val="none"/>
              </w:rPr>
            </w:pPr>
          </w:p>
        </w:tc>
      </w:tr>
      <w:tr w14:paraId="3EE37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462DB77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6A2E531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年度目标</w:t>
            </w:r>
          </w:p>
        </w:tc>
      </w:tr>
      <w:tr w14:paraId="6166B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EEC4BE">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3CBCEBC9">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r>
      <w:tr w14:paraId="65BEB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noWrap w:val="0"/>
            <w:vAlign w:val="center"/>
          </w:tcPr>
          <w:p w14:paraId="7FE3603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 指标</w:t>
            </w:r>
          </w:p>
        </w:tc>
        <w:tc>
          <w:tcPr>
            <w:tcW w:w="1081" w:type="dxa"/>
            <w:tcBorders>
              <w:top w:val="single" w:color="000000" w:sz="4" w:space="0"/>
              <w:left w:val="single" w:color="000000" w:sz="4" w:space="0"/>
              <w:bottom w:val="single" w:color="000000" w:sz="4" w:space="0"/>
              <w:right w:val="single" w:color="000000" w:sz="4" w:space="0"/>
            </w:tcBorders>
            <w:noWrap w:val="0"/>
            <w:vAlign w:val="center"/>
          </w:tcPr>
          <w:p w14:paraId="173C582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一级指标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42571ED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二级指标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10C8C60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三级指标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56F4785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指标性质</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5FE1296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指标值</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2DD61DC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度量单位</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A79D0D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权重</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506A03F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实际完成指标值</w:t>
            </w:r>
          </w:p>
        </w:tc>
      </w:tr>
      <w:tr w14:paraId="4EE3D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60A1583F">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6EABF57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产出指标</w:t>
            </w: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2828171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数量指标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52946028">
            <w:pPr>
              <w:keepNext w:val="0"/>
              <w:keepLines w:val="0"/>
              <w:pageBreakBefore w:val="0"/>
              <w:kinsoku/>
              <w:wordWrap/>
              <w:overflowPunct/>
              <w:topLinePunct w:val="0"/>
              <w:autoSpaceDE/>
              <w:autoSpaceDN/>
              <w:bidi w:val="0"/>
              <w:adjustRightInd/>
              <w:snapToGrid/>
              <w:spacing w:line="300" w:lineRule="exact"/>
              <w:ind w:left="0" w:leftChars="0"/>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开展系列文化活动</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3D1DC8B3">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2BD8CC93">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4</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18371A1E">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次</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C06126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59B56091">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5次</w:t>
            </w:r>
          </w:p>
        </w:tc>
      </w:tr>
      <w:tr w14:paraId="4F4CC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3E030D1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06B12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19A81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17776997">
            <w:pPr>
              <w:keepNext w:val="0"/>
              <w:keepLines w:val="0"/>
              <w:pageBreakBefore w:val="0"/>
              <w:kinsoku/>
              <w:wordWrap/>
              <w:overflowPunct/>
              <w:topLinePunct w:val="0"/>
              <w:autoSpaceDE/>
              <w:autoSpaceDN/>
              <w:bidi w:val="0"/>
              <w:adjustRightInd/>
              <w:snapToGrid/>
              <w:spacing w:line="300" w:lineRule="exact"/>
              <w:ind w:left="0" w:leftChars="0"/>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系列活动作品</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0CBBA8C8">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r>
              <w:rPr>
                <w:rFonts w:hint="eastAsia"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0949D362">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16</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324D9BD6">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幅</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FAD4E39">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82A8860">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20</w:t>
            </w:r>
          </w:p>
        </w:tc>
      </w:tr>
      <w:tr w14:paraId="2C7F2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3FFAB35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8BA628">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6CB46F4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质量指标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52DC66E8">
            <w:pPr>
              <w:keepNext w:val="0"/>
              <w:keepLines w:val="0"/>
              <w:pageBreakBefore w:val="0"/>
              <w:kinsoku/>
              <w:wordWrap/>
              <w:overflowPunct/>
              <w:topLinePunct w:val="0"/>
              <w:autoSpaceDE/>
              <w:autoSpaceDN/>
              <w:bidi w:val="0"/>
              <w:adjustRightInd/>
              <w:snapToGrid/>
              <w:spacing w:line="300" w:lineRule="exact"/>
              <w:ind w:left="0" w:leftChars="0"/>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预算准确率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20E3249E">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r>
              <w:rPr>
                <w:rFonts w:hint="eastAsia"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7BB8261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98</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520A0B4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ACF26D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AC2C4BF">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r>
      <w:tr w14:paraId="481ED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1901978E">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87E90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30B11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0AF46B17">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219BF35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25A4EEA0">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32F746E8">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87DCF3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6F365F6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r>
      <w:tr w14:paraId="3B7D9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6AD8C35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3881F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6B7AE5C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时效指标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5BC09D34">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2024年底前完成</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39A38629">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6986784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2DCDB768">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9FF0DC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5F3891E8">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r>
      <w:tr w14:paraId="42EF2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5CF73358">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5032D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0AC969">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0D8B68BE">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3B028A3F">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7D4E4A5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467A886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280ECF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094F022">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r>
      <w:tr w14:paraId="2315C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79B8C68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C4D590">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61B2598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0614A3F7">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1020D02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30F378F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2DD55AA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8668792">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6064EBB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r>
      <w:tr w14:paraId="3FACD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65E62AE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71C47E4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效益指标</w:t>
            </w: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09518D0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经济效益</w:t>
            </w:r>
          </w:p>
          <w:p w14:paraId="7D5F6C5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5B1F12AF">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453533B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116A4F02">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2D65F7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AC1D1E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13D47D3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r>
      <w:tr w14:paraId="28F47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00D6BC0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55A8DF">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352840">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7405E40D">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0F353F4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540CAD29">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75608C0F">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418743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BB8A53F">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r>
      <w:tr w14:paraId="2CEBF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18303B88">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4AD16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restart"/>
            <w:tcBorders>
              <w:top w:val="single" w:color="000000" w:sz="4" w:space="0"/>
              <w:left w:val="single" w:color="000000" w:sz="4" w:space="0"/>
              <w:right w:val="single" w:color="000000" w:sz="4" w:space="0"/>
            </w:tcBorders>
            <w:noWrap w:val="0"/>
            <w:vAlign w:val="center"/>
          </w:tcPr>
          <w:p w14:paraId="02BA906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社会效益</w:t>
            </w:r>
          </w:p>
          <w:p w14:paraId="3757DC4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3D406FFA">
            <w:pPr>
              <w:keepNext w:val="0"/>
              <w:keepLines w:val="0"/>
              <w:pageBreakBefore w:val="0"/>
              <w:kinsoku/>
              <w:wordWrap/>
              <w:overflowPunct/>
              <w:topLinePunct w:val="0"/>
              <w:autoSpaceDE/>
              <w:autoSpaceDN/>
              <w:bidi w:val="0"/>
              <w:adjustRightInd/>
              <w:snapToGrid/>
              <w:spacing w:line="300" w:lineRule="exact"/>
              <w:ind w:left="0" w:leftChars="0"/>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推动金川文艺事业繁荣发展</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26CE1DEC">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定性</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268D69C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color w:val="000000"/>
                <w:sz w:val="24"/>
                <w:szCs w:val="24"/>
                <w:u w:val="none"/>
                <w:lang w:eastAsia="zh-CN"/>
              </w:rPr>
              <w:t>优良中低差</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657E198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989EA6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0A5A34AB">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优</w:t>
            </w:r>
          </w:p>
        </w:tc>
      </w:tr>
      <w:tr w14:paraId="02926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950E000">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384CD7">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right w:val="single" w:color="000000" w:sz="4" w:space="0"/>
            </w:tcBorders>
            <w:noWrap w:val="0"/>
            <w:vAlign w:val="center"/>
          </w:tcPr>
          <w:p w14:paraId="63EBAAD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1EDC8B09">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EC641A1">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711BBEDE">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12D33D8">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33CA261">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C567F1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r>
      <w:tr w14:paraId="1624F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233A842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274167">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105EEBB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19C933AB">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4AC90CB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1102F25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1022E64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58EF4A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6084421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r>
      <w:tr w14:paraId="3F3B4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72C456D7">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tcBorders>
              <w:top w:val="single" w:color="000000" w:sz="4" w:space="0"/>
              <w:left w:val="single" w:color="000000" w:sz="4" w:space="0"/>
              <w:right w:val="single" w:color="000000" w:sz="4" w:space="0"/>
            </w:tcBorders>
            <w:noWrap w:val="0"/>
            <w:vAlign w:val="center"/>
          </w:tcPr>
          <w:p w14:paraId="6F7C1CB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满意度</w:t>
            </w:r>
          </w:p>
          <w:p w14:paraId="6E03CF1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250" w:type="dxa"/>
            <w:tcBorders>
              <w:top w:val="single" w:color="000000" w:sz="4" w:space="0"/>
              <w:left w:val="single" w:color="000000" w:sz="4" w:space="0"/>
              <w:right w:val="single" w:color="000000" w:sz="4" w:space="0"/>
            </w:tcBorders>
            <w:noWrap w:val="0"/>
            <w:vAlign w:val="center"/>
          </w:tcPr>
          <w:p w14:paraId="318B4CD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服务对象</w:t>
            </w:r>
          </w:p>
          <w:p w14:paraId="0286059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5A61DA9F">
            <w:pPr>
              <w:keepNext w:val="0"/>
              <w:keepLines w:val="0"/>
              <w:pageBreakBefore w:val="0"/>
              <w:kinsoku/>
              <w:wordWrap/>
              <w:overflowPunct/>
              <w:topLinePunct w:val="0"/>
              <w:autoSpaceDE/>
              <w:autoSpaceDN/>
              <w:bidi w:val="0"/>
              <w:adjustRightInd/>
              <w:snapToGrid/>
              <w:spacing w:line="300" w:lineRule="exact"/>
              <w:ind w:left="0" w:leftChars="0"/>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人民群众对文艺作品的满意度</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73B9C49F">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r>
              <w:rPr>
                <w:rFonts w:hint="eastAsia"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0142D38F">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98</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643715AF">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CE0AA7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407F814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eastAsia="zh-CN"/>
              </w:rPr>
              <w:t>≥</w:t>
            </w:r>
            <w:r>
              <w:rPr>
                <w:rFonts w:hint="eastAsia" w:eastAsia="宋体" w:cs="Times New Roman"/>
                <w:i w:val="0"/>
                <w:color w:val="000000"/>
                <w:sz w:val="24"/>
                <w:szCs w:val="24"/>
                <w:u w:val="none"/>
                <w:lang w:val="en-US" w:eastAsia="zh-CN"/>
              </w:rPr>
              <w:t>98%</w:t>
            </w:r>
          </w:p>
        </w:tc>
      </w:tr>
      <w:tr w14:paraId="37FBA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11EE59C8">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36DD0B4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成本指标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54EC2F7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经济成本</w:t>
            </w:r>
          </w:p>
          <w:p w14:paraId="3F3B91F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12" w:type="dxa"/>
            <w:tcBorders>
              <w:top w:val="single" w:color="000000" w:sz="4" w:space="0"/>
              <w:bottom w:val="single" w:color="000000" w:sz="4" w:space="0"/>
              <w:right w:val="single" w:color="000000" w:sz="4" w:space="0"/>
            </w:tcBorders>
            <w:noWrap w:val="0"/>
            <w:vAlign w:val="center"/>
          </w:tcPr>
          <w:p w14:paraId="2082D77C">
            <w:pPr>
              <w:keepNext w:val="0"/>
              <w:keepLines w:val="0"/>
              <w:pageBreakBefore w:val="0"/>
              <w:kinsoku/>
              <w:wordWrap/>
              <w:overflowPunct/>
              <w:topLinePunct w:val="0"/>
              <w:autoSpaceDE/>
              <w:autoSpaceDN/>
              <w:bidi w:val="0"/>
              <w:adjustRightInd/>
              <w:snapToGrid/>
              <w:spacing w:line="300" w:lineRule="exact"/>
              <w:ind w:left="0" w:leftChars="0"/>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经济成本</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182DB9AF">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5B14B174">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5</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4E89DEC0">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万元</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78E4427">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104F5751">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5</w:t>
            </w:r>
          </w:p>
        </w:tc>
      </w:tr>
      <w:tr w14:paraId="4F1CC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31EABE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018096">
            <w:pPr>
              <w:keepNext w:val="0"/>
              <w:keepLines w:val="0"/>
              <w:pageBreakBefore w:val="0"/>
              <w:kinsoku/>
              <w:wordWrap/>
              <w:overflowPunct/>
              <w:topLinePunct w:val="0"/>
              <w:autoSpaceDE/>
              <w:autoSpaceDN/>
              <w:bidi w:val="0"/>
              <w:adjustRightInd/>
              <w:snapToGrid/>
              <w:spacing w:line="300" w:lineRule="exact"/>
              <w:ind w:left="0" w:leftChars="0"/>
              <w:jc w:val="left"/>
              <w:rPr>
                <w:rFonts w:hint="default" w:ascii="Times New Roman" w:hAnsi="Times New Roman" w:eastAsia="宋体" w:cs="Times New Roman"/>
                <w:i w:val="0"/>
                <w:color w:val="000000"/>
                <w:sz w:val="24"/>
                <w:szCs w:val="24"/>
                <w:u w:val="none"/>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660A645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w:t>
            </w:r>
          </w:p>
        </w:tc>
        <w:tc>
          <w:tcPr>
            <w:tcW w:w="1312" w:type="dxa"/>
            <w:tcBorders>
              <w:top w:val="single" w:color="000000" w:sz="4" w:space="0"/>
              <w:bottom w:val="single" w:color="000000" w:sz="4" w:space="0"/>
              <w:right w:val="single" w:color="000000" w:sz="4" w:space="0"/>
            </w:tcBorders>
            <w:noWrap w:val="0"/>
            <w:vAlign w:val="center"/>
          </w:tcPr>
          <w:p w14:paraId="402D035F">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1BF3854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6CA50F6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706123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2DEAA28">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5A6EB780">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r>
    </w:tbl>
    <w:p w14:paraId="7EA5635E">
      <w:pPr>
        <w:pStyle w:val="14"/>
        <w:keepNext w:val="0"/>
        <w:keepLines w:val="0"/>
        <w:pageBreakBefore w:val="0"/>
        <w:widowControl w:val="0"/>
        <w:kinsoku/>
        <w:wordWrap/>
        <w:overflowPunct/>
        <w:topLinePunct w:val="0"/>
        <w:autoSpaceDE/>
        <w:autoSpaceDN/>
        <w:bidi w:val="0"/>
        <w:adjustRightInd/>
        <w:snapToGrid/>
        <w:spacing w:after="0" w:line="20" w:lineRule="exact"/>
        <w:ind w:left="0" w:leftChars="0"/>
        <w:textAlignment w:val="auto"/>
        <w:rPr>
          <w:rFonts w:hint="default" w:ascii="Times New Roman" w:hAnsi="Times New Roman" w:eastAsia="黑体" w:cs="Times New Roman"/>
          <w:sz w:val="24"/>
          <w:szCs w:val="24"/>
          <w:highlight w:val="none"/>
          <w:lang w:val="en-US" w:eastAsia="zh-CN"/>
        </w:rPr>
      </w:pPr>
    </w:p>
    <w:p w14:paraId="39ED7247">
      <w:pPr>
        <w:pStyle w:val="12"/>
        <w:rPr>
          <w:rFonts w:hint="eastAsia"/>
        </w:rPr>
      </w:pPr>
      <w:r>
        <w:rPr>
          <w:rFonts w:hint="default" w:ascii="Times New Roman" w:hAnsi="Times New Roman" w:cs="Times New Roman"/>
          <w:color w:val="000000"/>
          <w:kern w:val="0"/>
          <w:szCs w:val="32"/>
          <w:highlight w:val="none"/>
          <w:shd w:val="clear" w:color="auto" w:fill="FFFFFF"/>
          <w:lang w:val="zh-CN" w:eastAsia="zh-CN"/>
        </w:rPr>
        <w:br w:type="page"/>
      </w:r>
    </w:p>
    <w:p w14:paraId="5B2875DF">
      <w:pPr>
        <w:pStyle w:val="12"/>
        <w:ind w:left="0" w:leftChars="0" w:firstLine="0" w:firstLineChars="0"/>
        <w:rPr>
          <w:rFonts w:hint="eastAsia"/>
        </w:rPr>
      </w:pPr>
    </w:p>
    <w:p w14:paraId="71AF3D4C">
      <w:pPr>
        <w:pStyle w:val="12"/>
        <w:ind w:left="0" w:leftChars="0" w:firstLine="0" w:firstLineChars="0"/>
        <w:rPr>
          <w:rFonts w:hint="eastAsia"/>
        </w:rPr>
      </w:pPr>
    </w:p>
    <w:p w14:paraId="2EE2F5EF">
      <w:pPr>
        <w:rPr>
          <w:rFonts w:hint="eastAsia"/>
        </w:rPr>
      </w:pPr>
    </w:p>
    <w:p w14:paraId="4E2FF85A">
      <w:pPr>
        <w:spacing w:line="600" w:lineRule="exact"/>
        <w:jc w:val="center"/>
        <w:outlineLvl w:val="0"/>
        <w:rPr>
          <w:rStyle w:val="29"/>
          <w:rFonts w:ascii="黑体" w:eastAsia="黑体"/>
          <w:b w:val="0"/>
        </w:rPr>
      </w:pPr>
      <w:r>
        <w:rPr>
          <w:rFonts w:hint="eastAsia" w:ascii="黑体" w:eastAsia="黑体"/>
          <w:color w:val="000000"/>
          <w:sz w:val="44"/>
          <w:szCs w:val="44"/>
        </w:rPr>
        <w:t>第</w:t>
      </w:r>
      <w:r>
        <w:rPr>
          <w:rStyle w:val="29"/>
          <w:rFonts w:hint="eastAsia" w:ascii="黑体" w:eastAsia="黑体"/>
          <w:b w:val="0"/>
        </w:rPr>
        <w:t>五部分 附表</w:t>
      </w:r>
      <w:bookmarkEnd w:id="55"/>
    </w:p>
    <w:p w14:paraId="7B3158F0">
      <w:pPr>
        <w:pStyle w:val="3"/>
        <w:rPr>
          <w:rFonts w:ascii="仿宋" w:eastAsia="仿宋"/>
          <w:color w:val="000000"/>
        </w:rPr>
      </w:pPr>
      <w:r>
        <w:rPr>
          <w:rFonts w:hint="eastAsia" w:ascii="仿宋" w:eastAsia="仿宋"/>
          <w:b w:val="0"/>
          <w:color w:val="000000"/>
        </w:rPr>
        <w:t>一、收</w:t>
      </w:r>
      <w:r>
        <w:rPr>
          <w:rStyle w:val="30"/>
          <w:rFonts w:hint="eastAsia" w:ascii="仿宋" w:eastAsia="仿宋"/>
          <w:b w:val="0"/>
          <w:bCs w:val="0"/>
        </w:rPr>
        <w:t>入支出决算总表</w:t>
      </w:r>
      <w:bookmarkEnd w:id="56"/>
    </w:p>
    <w:p w14:paraId="0196882E">
      <w:pPr>
        <w:pStyle w:val="3"/>
        <w:rPr>
          <w:rFonts w:ascii="仿宋" w:eastAsia="仿宋"/>
          <w:color w:val="000000"/>
        </w:rPr>
      </w:pPr>
      <w:bookmarkStart w:id="58" w:name="_Toc15396620"/>
      <w:r>
        <w:rPr>
          <w:rFonts w:hint="eastAsia" w:ascii="仿宋" w:eastAsia="仿宋"/>
          <w:b w:val="0"/>
          <w:color w:val="000000"/>
        </w:rPr>
        <w:t>二、收</w:t>
      </w:r>
      <w:r>
        <w:rPr>
          <w:rStyle w:val="30"/>
          <w:rFonts w:hint="eastAsia" w:ascii="仿宋" w:eastAsia="仿宋"/>
          <w:b w:val="0"/>
          <w:bCs w:val="0"/>
        </w:rPr>
        <w:t>入决算表</w:t>
      </w:r>
      <w:bookmarkEnd w:id="58"/>
    </w:p>
    <w:p w14:paraId="7BAB637E">
      <w:pPr>
        <w:pStyle w:val="3"/>
        <w:rPr>
          <w:rFonts w:ascii="仿宋" w:eastAsia="仿宋"/>
          <w:color w:val="000000"/>
        </w:rPr>
      </w:pPr>
      <w:bookmarkStart w:id="59" w:name="_Toc15396621"/>
      <w:r>
        <w:rPr>
          <w:rStyle w:val="30"/>
          <w:rFonts w:hint="eastAsia" w:ascii="仿宋" w:eastAsia="仿宋"/>
          <w:b w:val="0"/>
          <w:bCs w:val="0"/>
        </w:rPr>
        <w:t>三、</w:t>
      </w:r>
      <w:r>
        <w:rPr>
          <w:rFonts w:hint="eastAsia" w:ascii="仿宋" w:eastAsia="仿宋"/>
          <w:b w:val="0"/>
          <w:color w:val="000000"/>
        </w:rPr>
        <w:t>支</w:t>
      </w:r>
      <w:r>
        <w:rPr>
          <w:rStyle w:val="30"/>
          <w:rFonts w:hint="eastAsia" w:ascii="仿宋" w:eastAsia="仿宋"/>
          <w:b w:val="0"/>
          <w:bCs w:val="0"/>
        </w:rPr>
        <w:t>出决算表</w:t>
      </w:r>
      <w:bookmarkEnd w:id="59"/>
    </w:p>
    <w:p w14:paraId="571AF768">
      <w:pPr>
        <w:pStyle w:val="3"/>
        <w:rPr>
          <w:rFonts w:ascii="仿宋" w:eastAsia="仿宋"/>
          <w:b w:val="0"/>
          <w:color w:val="000000"/>
        </w:rPr>
      </w:pPr>
      <w:bookmarkStart w:id="60" w:name="_Toc15396622"/>
      <w:r>
        <w:rPr>
          <w:rStyle w:val="30"/>
          <w:rFonts w:hint="eastAsia" w:ascii="仿宋" w:eastAsia="仿宋"/>
          <w:b w:val="0"/>
          <w:bCs w:val="0"/>
        </w:rPr>
        <w:t>四、</w:t>
      </w:r>
      <w:r>
        <w:rPr>
          <w:rFonts w:hint="eastAsia" w:ascii="仿宋" w:eastAsia="仿宋"/>
          <w:b w:val="0"/>
          <w:color w:val="000000"/>
        </w:rPr>
        <w:t>财</w:t>
      </w:r>
      <w:r>
        <w:rPr>
          <w:rStyle w:val="30"/>
          <w:rFonts w:hint="eastAsia" w:ascii="仿宋" w:eastAsia="仿宋"/>
          <w:b w:val="0"/>
          <w:bCs w:val="0"/>
        </w:rPr>
        <w:t>政拨款收入支出决算总表</w:t>
      </w:r>
      <w:bookmarkEnd w:id="60"/>
    </w:p>
    <w:p w14:paraId="7E552E27">
      <w:pPr>
        <w:pStyle w:val="3"/>
        <w:rPr>
          <w:rFonts w:ascii="仿宋" w:eastAsia="仿宋"/>
          <w:color w:val="000000"/>
        </w:rPr>
      </w:pPr>
      <w:bookmarkStart w:id="61" w:name="_Toc15396623"/>
      <w:r>
        <w:rPr>
          <w:rStyle w:val="30"/>
          <w:rFonts w:hint="eastAsia" w:ascii="仿宋" w:eastAsia="仿宋"/>
          <w:b w:val="0"/>
          <w:bCs w:val="0"/>
        </w:rPr>
        <w:t>五、</w:t>
      </w:r>
      <w:r>
        <w:rPr>
          <w:rFonts w:hint="eastAsia" w:ascii="仿宋" w:eastAsia="仿宋"/>
          <w:b w:val="0"/>
          <w:color w:val="000000"/>
        </w:rPr>
        <w:t>财</w:t>
      </w:r>
      <w:r>
        <w:rPr>
          <w:rStyle w:val="30"/>
          <w:rFonts w:hint="eastAsia" w:ascii="仿宋" w:eastAsia="仿宋"/>
          <w:b w:val="0"/>
          <w:bCs w:val="0"/>
        </w:rPr>
        <w:t>政拨款支出决算明细表（政府经济分类科目）</w:t>
      </w:r>
      <w:bookmarkEnd w:id="61"/>
    </w:p>
    <w:p w14:paraId="7162BD6C">
      <w:pPr>
        <w:pStyle w:val="3"/>
        <w:rPr>
          <w:rFonts w:ascii="仿宋" w:eastAsia="仿宋"/>
          <w:color w:val="000000"/>
        </w:rPr>
      </w:pPr>
      <w:bookmarkStart w:id="62" w:name="_Toc15396624"/>
      <w:r>
        <w:rPr>
          <w:rStyle w:val="30"/>
          <w:rFonts w:hint="eastAsia" w:ascii="仿宋" w:eastAsia="仿宋"/>
          <w:b w:val="0"/>
          <w:bCs w:val="0"/>
        </w:rPr>
        <w:t>六、</w:t>
      </w:r>
      <w:r>
        <w:rPr>
          <w:rFonts w:hint="eastAsia" w:ascii="仿宋" w:eastAsia="仿宋"/>
          <w:b w:val="0"/>
          <w:color w:val="000000"/>
        </w:rPr>
        <w:t>一</w:t>
      </w:r>
      <w:r>
        <w:rPr>
          <w:rStyle w:val="30"/>
          <w:rFonts w:hint="eastAsia" w:ascii="仿宋" w:eastAsia="仿宋"/>
          <w:b w:val="0"/>
          <w:bCs w:val="0"/>
        </w:rPr>
        <w:t>般公共预算财政拨款支出决算表</w:t>
      </w:r>
      <w:bookmarkEnd w:id="62"/>
    </w:p>
    <w:p w14:paraId="08051BC2">
      <w:pPr>
        <w:pStyle w:val="3"/>
        <w:rPr>
          <w:rFonts w:ascii="仿宋" w:eastAsia="仿宋"/>
          <w:color w:val="000000"/>
        </w:rPr>
      </w:pPr>
      <w:bookmarkStart w:id="63" w:name="_Toc15396625"/>
      <w:r>
        <w:rPr>
          <w:rStyle w:val="30"/>
          <w:rFonts w:hint="eastAsia" w:ascii="仿宋" w:eastAsia="仿宋"/>
          <w:b w:val="0"/>
          <w:bCs w:val="0"/>
        </w:rPr>
        <w:t>七、</w:t>
      </w:r>
      <w:r>
        <w:rPr>
          <w:rFonts w:hint="eastAsia" w:ascii="仿宋" w:eastAsia="仿宋"/>
          <w:b w:val="0"/>
          <w:color w:val="000000"/>
        </w:rPr>
        <w:t>一</w:t>
      </w:r>
      <w:r>
        <w:rPr>
          <w:rStyle w:val="30"/>
          <w:rFonts w:hint="eastAsia" w:ascii="仿宋" w:eastAsia="仿宋"/>
          <w:b w:val="0"/>
          <w:bCs w:val="0"/>
        </w:rPr>
        <w:t>般公共预算财政拨款支出决算明细表</w:t>
      </w:r>
      <w:bookmarkEnd w:id="63"/>
    </w:p>
    <w:p w14:paraId="0981EC0C">
      <w:pPr>
        <w:pStyle w:val="3"/>
        <w:rPr>
          <w:rFonts w:ascii="仿宋" w:eastAsia="仿宋"/>
          <w:color w:val="000000"/>
        </w:rPr>
      </w:pPr>
      <w:bookmarkStart w:id="64" w:name="_Toc15396626"/>
      <w:r>
        <w:rPr>
          <w:rStyle w:val="30"/>
          <w:rFonts w:hint="eastAsia" w:ascii="仿宋" w:eastAsia="仿宋"/>
          <w:b w:val="0"/>
          <w:bCs w:val="0"/>
        </w:rPr>
        <w:t>八、</w:t>
      </w:r>
      <w:r>
        <w:rPr>
          <w:rFonts w:hint="eastAsia" w:ascii="仿宋" w:eastAsia="仿宋"/>
          <w:b w:val="0"/>
          <w:color w:val="000000"/>
        </w:rPr>
        <w:t>一</w:t>
      </w:r>
      <w:r>
        <w:rPr>
          <w:rStyle w:val="30"/>
          <w:rFonts w:hint="eastAsia" w:ascii="仿宋" w:eastAsia="仿宋"/>
          <w:b w:val="0"/>
          <w:bCs w:val="0"/>
        </w:rPr>
        <w:t>般公共预算财政拨款基本支出决算表</w:t>
      </w:r>
      <w:bookmarkEnd w:id="64"/>
    </w:p>
    <w:p w14:paraId="27AE884A">
      <w:pPr>
        <w:pStyle w:val="3"/>
        <w:rPr>
          <w:rFonts w:ascii="仿宋" w:eastAsia="仿宋"/>
          <w:color w:val="000000"/>
        </w:rPr>
      </w:pPr>
      <w:bookmarkStart w:id="65" w:name="_Toc15396627"/>
      <w:r>
        <w:rPr>
          <w:rStyle w:val="30"/>
          <w:rFonts w:hint="eastAsia" w:ascii="仿宋" w:eastAsia="仿宋"/>
          <w:b w:val="0"/>
          <w:bCs w:val="0"/>
        </w:rPr>
        <w:t>九、</w:t>
      </w:r>
      <w:r>
        <w:rPr>
          <w:rFonts w:hint="eastAsia" w:ascii="仿宋" w:eastAsia="仿宋"/>
          <w:b w:val="0"/>
          <w:color w:val="000000"/>
        </w:rPr>
        <w:t>一</w:t>
      </w:r>
      <w:r>
        <w:rPr>
          <w:rStyle w:val="30"/>
          <w:rFonts w:hint="eastAsia" w:ascii="仿宋" w:eastAsia="仿宋"/>
          <w:b w:val="0"/>
          <w:bCs w:val="0"/>
        </w:rPr>
        <w:t>般公共预算财政拨款项目支出决算表</w:t>
      </w:r>
      <w:bookmarkEnd w:id="65"/>
    </w:p>
    <w:p w14:paraId="0DF1000E">
      <w:pPr>
        <w:pStyle w:val="3"/>
        <w:rPr>
          <w:rFonts w:ascii="仿宋" w:eastAsia="仿宋"/>
          <w:color w:val="000000"/>
        </w:rPr>
      </w:pPr>
      <w:bookmarkStart w:id="66" w:name="_Toc15396628"/>
      <w:r>
        <w:rPr>
          <w:rStyle w:val="30"/>
          <w:rFonts w:hint="eastAsia" w:ascii="仿宋" w:eastAsia="仿宋"/>
          <w:b w:val="0"/>
          <w:bCs w:val="0"/>
        </w:rPr>
        <w:t>十、</w:t>
      </w:r>
      <w:r>
        <w:rPr>
          <w:rFonts w:hint="eastAsia" w:ascii="仿宋" w:eastAsia="仿宋"/>
          <w:b w:val="0"/>
          <w:color w:val="000000"/>
        </w:rPr>
        <w:t>一</w:t>
      </w:r>
      <w:r>
        <w:rPr>
          <w:rStyle w:val="30"/>
          <w:rFonts w:hint="eastAsia" w:ascii="仿宋" w:eastAsia="仿宋"/>
          <w:b w:val="0"/>
          <w:bCs w:val="0"/>
        </w:rPr>
        <w:t>般公共预算财政拨款“三公”经费支出决算表</w:t>
      </w:r>
      <w:bookmarkEnd w:id="66"/>
    </w:p>
    <w:p w14:paraId="06AAD07F">
      <w:pPr>
        <w:pStyle w:val="3"/>
        <w:rPr>
          <w:rFonts w:ascii="仿宋" w:eastAsia="仿宋"/>
          <w:color w:val="000000"/>
        </w:rPr>
      </w:pPr>
      <w:bookmarkStart w:id="67" w:name="_Toc15396629"/>
      <w:r>
        <w:rPr>
          <w:rStyle w:val="30"/>
          <w:rFonts w:hint="eastAsia" w:ascii="仿宋" w:eastAsia="仿宋"/>
          <w:b w:val="0"/>
          <w:bCs w:val="0"/>
        </w:rPr>
        <w:t>十一、</w:t>
      </w:r>
      <w:r>
        <w:rPr>
          <w:rFonts w:hint="eastAsia" w:ascii="仿宋" w:eastAsia="仿宋"/>
          <w:b w:val="0"/>
          <w:color w:val="000000"/>
        </w:rPr>
        <w:t>政</w:t>
      </w:r>
      <w:r>
        <w:rPr>
          <w:rStyle w:val="30"/>
          <w:rFonts w:hint="eastAsia" w:ascii="仿宋" w:eastAsia="仿宋"/>
          <w:b w:val="0"/>
          <w:bCs w:val="0"/>
        </w:rPr>
        <w:t>府性基金预算财政拨款收入支出决算表</w:t>
      </w:r>
      <w:bookmarkEnd w:id="67"/>
    </w:p>
    <w:p w14:paraId="22103F75">
      <w:pPr>
        <w:pStyle w:val="3"/>
        <w:rPr>
          <w:rFonts w:ascii="仿宋" w:eastAsia="仿宋"/>
          <w:color w:val="000000"/>
        </w:rPr>
      </w:pPr>
      <w:bookmarkStart w:id="68" w:name="_Toc15396630"/>
      <w:r>
        <w:rPr>
          <w:rStyle w:val="30"/>
          <w:rFonts w:hint="eastAsia" w:ascii="仿宋" w:eastAsia="仿宋"/>
          <w:b w:val="0"/>
          <w:bCs w:val="0"/>
        </w:rPr>
        <w:t>十二、</w:t>
      </w:r>
      <w:r>
        <w:rPr>
          <w:rFonts w:hint="eastAsia" w:ascii="仿宋" w:eastAsia="仿宋"/>
          <w:b w:val="0"/>
          <w:color w:val="000000"/>
        </w:rPr>
        <w:t>政</w:t>
      </w:r>
      <w:r>
        <w:rPr>
          <w:rStyle w:val="30"/>
          <w:rFonts w:hint="eastAsia" w:ascii="仿宋" w:eastAsia="仿宋"/>
          <w:b w:val="0"/>
          <w:bCs w:val="0"/>
        </w:rPr>
        <w:t>府性基金预算财政拨款“三公”经费支出决算表</w:t>
      </w:r>
      <w:bookmarkEnd w:id="68"/>
    </w:p>
    <w:p w14:paraId="1A3B3D02">
      <w:pPr>
        <w:pStyle w:val="3"/>
        <w:rPr>
          <w:rStyle w:val="30"/>
          <w:rFonts w:hint="eastAsia" w:ascii="仿宋" w:eastAsia="仿宋"/>
          <w:b w:val="0"/>
          <w:bCs w:val="0"/>
        </w:rPr>
      </w:pPr>
      <w:bookmarkStart w:id="69" w:name="_Toc15396631"/>
      <w:r>
        <w:rPr>
          <w:rStyle w:val="30"/>
          <w:rFonts w:hint="eastAsia" w:ascii="仿宋" w:eastAsia="仿宋"/>
          <w:b w:val="0"/>
          <w:bCs w:val="0"/>
        </w:rPr>
        <w:t>十三、</w:t>
      </w:r>
      <w:r>
        <w:rPr>
          <w:rFonts w:hint="eastAsia" w:ascii="仿宋" w:eastAsia="仿宋"/>
          <w:b w:val="0"/>
          <w:color w:val="000000"/>
        </w:rPr>
        <w:t>国</w:t>
      </w:r>
      <w:r>
        <w:rPr>
          <w:rStyle w:val="30"/>
          <w:rFonts w:hint="eastAsia" w:ascii="仿宋" w:eastAsia="仿宋"/>
          <w:b w:val="0"/>
          <w:bCs w:val="0"/>
        </w:rPr>
        <w:t>有资本经营预算财拨款收入支出决算表</w:t>
      </w:r>
      <w:bookmarkEnd w:id="69"/>
    </w:p>
    <w:p w14:paraId="1B7CF500">
      <w:pPr>
        <w:rPr>
          <w:rFonts w:hint="eastAsia" w:ascii="黑体" w:eastAsia="黑体"/>
          <w:color w:val="000000"/>
          <w:sz w:val="44"/>
          <w:szCs w:val="44"/>
          <w:lang w:val="en-US" w:eastAsia="zh-CN"/>
        </w:rPr>
      </w:pPr>
      <w:r>
        <w:rPr>
          <w:rStyle w:val="30"/>
          <w:rFonts w:hint="eastAsia" w:ascii="仿宋" w:eastAsia="仿宋"/>
          <w:b w:val="0"/>
          <w:bCs w:val="0"/>
        </w:rPr>
        <w:t>十四、</w:t>
      </w:r>
      <w:r>
        <w:rPr>
          <w:rFonts w:hint="eastAsia" w:ascii="仿宋" w:hAnsi="Cambria" w:eastAsia="仿宋" w:cs="Times New Roman"/>
          <w:b w:val="0"/>
          <w:bCs/>
          <w:color w:val="000000"/>
          <w:kern w:val="2"/>
          <w:sz w:val="32"/>
          <w:szCs w:val="32"/>
          <w:lang w:val="en-US" w:eastAsia="zh-CN" w:bidi="ar-SA"/>
        </w:rPr>
        <w:t>国有</w:t>
      </w:r>
      <w:r>
        <w:rPr>
          <w:rStyle w:val="30"/>
          <w:rFonts w:hint="eastAsia" w:ascii="仿宋" w:eastAsia="仿宋"/>
          <w:b w:val="0"/>
          <w:bCs w:val="0"/>
        </w:rPr>
        <w:t>资本经营预算财政拨款支出决算表</w:t>
      </w: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Wingdings 2">
    <w:altName w:val="Wingdings"/>
    <w:panose1 w:val="05020102010507070707"/>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autotext"/>
      </w:docPartList>
    </w:sdtPr>
    <w:sdtContent>
      <w:p w14:paraId="3CC656AE">
        <w:pPr>
          <w:pStyle w:val="9"/>
          <w:jc w:val="center"/>
        </w:pPr>
        <w:r>
          <w:fldChar w:fldCharType="begin"/>
        </w:r>
        <w:r>
          <w:instrText xml:space="preserve">PAGE   \* MERGEFORMAT</w:instrText>
        </w:r>
        <w:r>
          <w:fldChar w:fldCharType="separate"/>
        </w:r>
        <w:r>
          <w:rPr>
            <w:lang w:val="zh-CN"/>
          </w:rPr>
          <w:t>10</w:t>
        </w:r>
        <w:r>
          <w:fldChar w:fldCharType="end"/>
        </w:r>
      </w:p>
    </w:sdtContent>
  </w:sdt>
  <w:p w14:paraId="23F8889F">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02281">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F7A2A130"/>
    <w:multiLevelType w:val="singleLevel"/>
    <w:tmpl w:val="F7A2A130"/>
    <w:lvl w:ilvl="0" w:tentative="0">
      <w:start w:val="4"/>
      <w:numFmt w:val="chineseCounting"/>
      <w:suff w:val="nothing"/>
      <w:lvlText w:val="%1、"/>
      <w:lvlJc w:val="left"/>
      <w:rPr>
        <w:rFonts w:hint="eastAsia"/>
        <w:sz w:val="32"/>
        <w:szCs w:val="32"/>
      </w:rPr>
    </w:lvl>
  </w:abstractNum>
  <w:abstractNum w:abstractNumId="3">
    <w:nsid w:val="045582B2"/>
    <w:multiLevelType w:val="singleLevel"/>
    <w:tmpl w:val="045582B2"/>
    <w:lvl w:ilvl="0" w:tentative="0">
      <w:start w:val="2"/>
      <w:numFmt w:val="chineseCounting"/>
      <w:suff w:val="nothing"/>
      <w:lvlText w:val="（%1）"/>
      <w:lvlJc w:val="left"/>
      <w:rPr>
        <w:rFonts w:hint="eastAsia"/>
      </w:rPr>
    </w:lvl>
  </w:abstractNum>
  <w:abstractNum w:abstractNumId="4">
    <w:nsid w:val="20FCBE24"/>
    <w:multiLevelType w:val="singleLevel"/>
    <w:tmpl w:val="20FCBE24"/>
    <w:lvl w:ilvl="0" w:tentative="0">
      <w:start w:val="1"/>
      <w:numFmt w:val="decimal"/>
      <w:lvlText w:val="%1."/>
      <w:lvlJc w:val="left"/>
      <w:pPr>
        <w:tabs>
          <w:tab w:val="left" w:pos="312"/>
        </w:tabs>
        <w:ind w:left="-1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compatSetting w:name="compatibilityMode" w:uri="http://schemas.microsoft.com/office/word" w:val="14"/>
  </w:compat>
  <w:docVars>
    <w:docVar w:name="commondata" w:val="eyJoZGlkIjoiMmJhZjlhNzlhOTRiOGJhN2ViNTJmNjIxMWMzZTM2YmEifQ=="/>
  </w:docVars>
  <w:rsids>
    <w:rsidRoot w:val="00000000"/>
    <w:rsid w:val="00D23242"/>
    <w:rsid w:val="01B9259B"/>
    <w:rsid w:val="01FA7C3D"/>
    <w:rsid w:val="02246CE2"/>
    <w:rsid w:val="0375224D"/>
    <w:rsid w:val="03F31506"/>
    <w:rsid w:val="04C40BC0"/>
    <w:rsid w:val="05104339"/>
    <w:rsid w:val="05A21435"/>
    <w:rsid w:val="06E26193"/>
    <w:rsid w:val="073A569E"/>
    <w:rsid w:val="08002443"/>
    <w:rsid w:val="08DF5C89"/>
    <w:rsid w:val="08F22E00"/>
    <w:rsid w:val="095B2CBE"/>
    <w:rsid w:val="09BA4874"/>
    <w:rsid w:val="0A380CE7"/>
    <w:rsid w:val="0A581B56"/>
    <w:rsid w:val="0A6F40E4"/>
    <w:rsid w:val="0AA277E2"/>
    <w:rsid w:val="0AA479FE"/>
    <w:rsid w:val="0ADA341F"/>
    <w:rsid w:val="0B177E66"/>
    <w:rsid w:val="0B4F2E24"/>
    <w:rsid w:val="0BFF77FC"/>
    <w:rsid w:val="0C0F0EA7"/>
    <w:rsid w:val="0C1C2136"/>
    <w:rsid w:val="0C270613"/>
    <w:rsid w:val="0C2C7CAB"/>
    <w:rsid w:val="0C44103F"/>
    <w:rsid w:val="0C604A54"/>
    <w:rsid w:val="0E1908D5"/>
    <w:rsid w:val="0F260B44"/>
    <w:rsid w:val="0F4C2412"/>
    <w:rsid w:val="0F7D25CB"/>
    <w:rsid w:val="104600CB"/>
    <w:rsid w:val="107B4D5D"/>
    <w:rsid w:val="108D525B"/>
    <w:rsid w:val="10C71ACD"/>
    <w:rsid w:val="111767D0"/>
    <w:rsid w:val="111C0266"/>
    <w:rsid w:val="127D3DAE"/>
    <w:rsid w:val="127F665A"/>
    <w:rsid w:val="12AB744F"/>
    <w:rsid w:val="12C50511"/>
    <w:rsid w:val="13584567"/>
    <w:rsid w:val="137653DF"/>
    <w:rsid w:val="13C813DA"/>
    <w:rsid w:val="13DE5AA5"/>
    <w:rsid w:val="13DF7398"/>
    <w:rsid w:val="1415125F"/>
    <w:rsid w:val="14FA7106"/>
    <w:rsid w:val="150F12FC"/>
    <w:rsid w:val="152C0D1B"/>
    <w:rsid w:val="15B24C64"/>
    <w:rsid w:val="15C70A44"/>
    <w:rsid w:val="16315EBE"/>
    <w:rsid w:val="1674297A"/>
    <w:rsid w:val="16CD1E8A"/>
    <w:rsid w:val="170B2BB3"/>
    <w:rsid w:val="17DD5498"/>
    <w:rsid w:val="182201B4"/>
    <w:rsid w:val="195F46D3"/>
    <w:rsid w:val="19E126EC"/>
    <w:rsid w:val="19E31B98"/>
    <w:rsid w:val="1AA72BF2"/>
    <w:rsid w:val="1B8C48E5"/>
    <w:rsid w:val="1B962A29"/>
    <w:rsid w:val="1BC872C4"/>
    <w:rsid w:val="1C7C6FA3"/>
    <w:rsid w:val="1D183933"/>
    <w:rsid w:val="1D33076D"/>
    <w:rsid w:val="1D3C0E97"/>
    <w:rsid w:val="1E37603B"/>
    <w:rsid w:val="1E5C4790"/>
    <w:rsid w:val="1FDC5485"/>
    <w:rsid w:val="206550E2"/>
    <w:rsid w:val="20C52024"/>
    <w:rsid w:val="21F4496F"/>
    <w:rsid w:val="21FC7CC7"/>
    <w:rsid w:val="22762A61"/>
    <w:rsid w:val="229145D0"/>
    <w:rsid w:val="22F538D8"/>
    <w:rsid w:val="23103A2A"/>
    <w:rsid w:val="239C2A0E"/>
    <w:rsid w:val="23A7118D"/>
    <w:rsid w:val="24101808"/>
    <w:rsid w:val="24A3267C"/>
    <w:rsid w:val="25AA4B69"/>
    <w:rsid w:val="26CF4C83"/>
    <w:rsid w:val="276458D2"/>
    <w:rsid w:val="27994F12"/>
    <w:rsid w:val="28EB0DF4"/>
    <w:rsid w:val="290613F6"/>
    <w:rsid w:val="29127DD1"/>
    <w:rsid w:val="29B80122"/>
    <w:rsid w:val="2A392EDD"/>
    <w:rsid w:val="2B9176D3"/>
    <w:rsid w:val="2C1300E8"/>
    <w:rsid w:val="2C780AE2"/>
    <w:rsid w:val="2C866B0B"/>
    <w:rsid w:val="2CB50678"/>
    <w:rsid w:val="2D0A233E"/>
    <w:rsid w:val="2D627B6D"/>
    <w:rsid w:val="2EA971AE"/>
    <w:rsid w:val="2EBD1B9A"/>
    <w:rsid w:val="2FB52ECB"/>
    <w:rsid w:val="2FD83F12"/>
    <w:rsid w:val="30E107B4"/>
    <w:rsid w:val="30EE1FDD"/>
    <w:rsid w:val="314C14B7"/>
    <w:rsid w:val="324A32C3"/>
    <w:rsid w:val="33043361"/>
    <w:rsid w:val="33B62074"/>
    <w:rsid w:val="3433444C"/>
    <w:rsid w:val="34CE54F3"/>
    <w:rsid w:val="351D3A7E"/>
    <w:rsid w:val="35F27157"/>
    <w:rsid w:val="36083777"/>
    <w:rsid w:val="378105FB"/>
    <w:rsid w:val="3834250B"/>
    <w:rsid w:val="38902074"/>
    <w:rsid w:val="3894610C"/>
    <w:rsid w:val="39086144"/>
    <w:rsid w:val="391F0D1C"/>
    <w:rsid w:val="39463B7D"/>
    <w:rsid w:val="3A4A561C"/>
    <w:rsid w:val="3AAF4B9B"/>
    <w:rsid w:val="3C3A6713"/>
    <w:rsid w:val="3CB72D11"/>
    <w:rsid w:val="3D803103"/>
    <w:rsid w:val="3D8C5F4C"/>
    <w:rsid w:val="3DDF7E2A"/>
    <w:rsid w:val="3DF37D79"/>
    <w:rsid w:val="3E8D3F66"/>
    <w:rsid w:val="3ED670FF"/>
    <w:rsid w:val="3EF73899"/>
    <w:rsid w:val="3FD5132C"/>
    <w:rsid w:val="3FF90245"/>
    <w:rsid w:val="401E4065"/>
    <w:rsid w:val="4064335C"/>
    <w:rsid w:val="40D92454"/>
    <w:rsid w:val="40E554D5"/>
    <w:rsid w:val="41BD4926"/>
    <w:rsid w:val="42913241"/>
    <w:rsid w:val="42CE5FAA"/>
    <w:rsid w:val="42F16B4A"/>
    <w:rsid w:val="446E5065"/>
    <w:rsid w:val="457A2DF0"/>
    <w:rsid w:val="46CF069C"/>
    <w:rsid w:val="47401668"/>
    <w:rsid w:val="487970CD"/>
    <w:rsid w:val="49021819"/>
    <w:rsid w:val="496B2F4E"/>
    <w:rsid w:val="4A233794"/>
    <w:rsid w:val="4A5E47CC"/>
    <w:rsid w:val="4AB746EB"/>
    <w:rsid w:val="4B887D52"/>
    <w:rsid w:val="4BC4211E"/>
    <w:rsid w:val="4CE8402F"/>
    <w:rsid w:val="4D245859"/>
    <w:rsid w:val="4D6D5B2C"/>
    <w:rsid w:val="4E520118"/>
    <w:rsid w:val="4EE01DD0"/>
    <w:rsid w:val="4F4E12B3"/>
    <w:rsid w:val="4F6D08ED"/>
    <w:rsid w:val="4F9F5C9E"/>
    <w:rsid w:val="4FCD042A"/>
    <w:rsid w:val="5071562B"/>
    <w:rsid w:val="50753440"/>
    <w:rsid w:val="50E95A62"/>
    <w:rsid w:val="51805EFD"/>
    <w:rsid w:val="51905845"/>
    <w:rsid w:val="520A32EB"/>
    <w:rsid w:val="52AE3874"/>
    <w:rsid w:val="530E4E22"/>
    <w:rsid w:val="53345AFF"/>
    <w:rsid w:val="534E1882"/>
    <w:rsid w:val="53C733E2"/>
    <w:rsid w:val="544B183A"/>
    <w:rsid w:val="54E24B68"/>
    <w:rsid w:val="554271C4"/>
    <w:rsid w:val="556709D9"/>
    <w:rsid w:val="55CE2806"/>
    <w:rsid w:val="55D1679A"/>
    <w:rsid w:val="55FB3CA8"/>
    <w:rsid w:val="56B04D65"/>
    <w:rsid w:val="56DC0F52"/>
    <w:rsid w:val="57971327"/>
    <w:rsid w:val="58241220"/>
    <w:rsid w:val="586C27AA"/>
    <w:rsid w:val="58E24393"/>
    <w:rsid w:val="58FE34E5"/>
    <w:rsid w:val="590E4FC0"/>
    <w:rsid w:val="5966544B"/>
    <w:rsid w:val="59BB5ADD"/>
    <w:rsid w:val="5BAE2B14"/>
    <w:rsid w:val="5D3031BF"/>
    <w:rsid w:val="5D4A0942"/>
    <w:rsid w:val="5DA86032"/>
    <w:rsid w:val="5DE0757A"/>
    <w:rsid w:val="5DEE0B64"/>
    <w:rsid w:val="5EB71680"/>
    <w:rsid w:val="5FDA1514"/>
    <w:rsid w:val="60704A11"/>
    <w:rsid w:val="6096384B"/>
    <w:rsid w:val="60FE3F3B"/>
    <w:rsid w:val="61404A90"/>
    <w:rsid w:val="614E6EF1"/>
    <w:rsid w:val="62535753"/>
    <w:rsid w:val="643A2AC6"/>
    <w:rsid w:val="6486074F"/>
    <w:rsid w:val="652C579B"/>
    <w:rsid w:val="6618760C"/>
    <w:rsid w:val="66EA1469"/>
    <w:rsid w:val="676D5447"/>
    <w:rsid w:val="678B5528"/>
    <w:rsid w:val="67A21D44"/>
    <w:rsid w:val="67AC15EF"/>
    <w:rsid w:val="67B32FE5"/>
    <w:rsid w:val="686267AB"/>
    <w:rsid w:val="68B63CF9"/>
    <w:rsid w:val="692D445E"/>
    <w:rsid w:val="69A753F0"/>
    <w:rsid w:val="69E93C5A"/>
    <w:rsid w:val="6A9F4DD9"/>
    <w:rsid w:val="6B735ED1"/>
    <w:rsid w:val="6D277080"/>
    <w:rsid w:val="6DAE1443"/>
    <w:rsid w:val="6E1717CA"/>
    <w:rsid w:val="6E9817AB"/>
    <w:rsid w:val="6F046E40"/>
    <w:rsid w:val="6FE33454"/>
    <w:rsid w:val="700E7C77"/>
    <w:rsid w:val="70C932BA"/>
    <w:rsid w:val="72600832"/>
    <w:rsid w:val="72B4213B"/>
    <w:rsid w:val="73373632"/>
    <w:rsid w:val="73DC1A63"/>
    <w:rsid w:val="73F751C6"/>
    <w:rsid w:val="741D5866"/>
    <w:rsid w:val="74DA0D6F"/>
    <w:rsid w:val="75083042"/>
    <w:rsid w:val="7670632D"/>
    <w:rsid w:val="769F2AE5"/>
    <w:rsid w:val="76E9529A"/>
    <w:rsid w:val="77166BCC"/>
    <w:rsid w:val="776963DA"/>
    <w:rsid w:val="78604D00"/>
    <w:rsid w:val="78833A1F"/>
    <w:rsid w:val="79202AC9"/>
    <w:rsid w:val="797437B8"/>
    <w:rsid w:val="79825834"/>
    <w:rsid w:val="79EE0668"/>
    <w:rsid w:val="7A36222E"/>
    <w:rsid w:val="7A820541"/>
    <w:rsid w:val="7AD336FD"/>
    <w:rsid w:val="7B3F2236"/>
    <w:rsid w:val="7B4B7C7C"/>
    <w:rsid w:val="7C686C61"/>
    <w:rsid w:val="7E087B7E"/>
    <w:rsid w:val="7E9D7B39"/>
    <w:rsid w:val="7F3D2253"/>
    <w:rsid w:val="7F93049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9"/>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30"/>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7">
    <w:name w:val="Default Paragraph Font"/>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before="30" w:beforeLines="30"/>
    </w:pPr>
    <w:rPr>
      <w:rFonts w:ascii="仿宋_GB2312" w:eastAsia="仿宋_GB2312"/>
      <w:kern w:val="0"/>
      <w:sz w:val="30"/>
    </w:rPr>
  </w:style>
  <w:style w:type="paragraph" w:styleId="6">
    <w:name w:val="Body Text Indent"/>
    <w:basedOn w:val="1"/>
    <w:qFormat/>
    <w:uiPriority w:val="0"/>
    <w:pPr>
      <w:spacing w:after="120"/>
      <w:ind w:leftChars="200"/>
    </w:pPr>
    <w:rPr>
      <w:rFonts w:ascii="仿宋_GB2312"/>
      <w:szCs w:val="32"/>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qFormat/>
    <w:uiPriority w:val="0"/>
    <w:pPr>
      <w:tabs>
        <w:tab w:val="right" w:leader="dot" w:pos="8296"/>
      </w:tabs>
      <w:spacing w:before="93"/>
      <w:jc w:val="center"/>
    </w:pPr>
    <w:rPr>
      <w:rFonts w:ascii="仿宋" w:eastAsia="仿宋"/>
      <w:sz w:val="28"/>
      <w:szCs w:val="28"/>
    </w:rPr>
  </w:style>
  <w:style w:type="paragraph" w:styleId="12">
    <w:name w:val="table of figures"/>
    <w:basedOn w:val="1"/>
    <w:next w:val="1"/>
    <w:unhideWhenUsed/>
    <w:qFormat/>
    <w:uiPriority w:val="99"/>
    <w:pPr>
      <w:ind w:left="200" w:leftChars="200" w:hanging="200" w:hangingChars="200"/>
    </w:pPr>
  </w:style>
  <w:style w:type="paragraph" w:styleId="13">
    <w:name w:val="toc 2"/>
    <w:basedOn w:val="1"/>
    <w:next w:val="1"/>
    <w:qFormat/>
    <w:uiPriority w:val="0"/>
    <w:pPr>
      <w:tabs>
        <w:tab w:val="right" w:leader="dot" w:pos="8296"/>
      </w:tabs>
      <w:ind w:left="200" w:leftChars="200"/>
    </w:pPr>
  </w:style>
  <w:style w:type="paragraph" w:styleId="14">
    <w:name w:val="Body Text First Indent 2"/>
    <w:basedOn w:val="6"/>
    <w:unhideWhenUsed/>
    <w:qFormat/>
    <w:uiPriority w:val="99"/>
    <w:pPr>
      <w:ind w:firstLine="420" w:firstLineChars="2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Hyperlink"/>
    <w:basedOn w:val="17"/>
    <w:qFormat/>
    <w:uiPriority w:val="0"/>
    <w:rPr>
      <w:color w:val="0000FF"/>
      <w:u w:val="single"/>
    </w:rPr>
  </w:style>
  <w:style w:type="paragraph" w:customStyle="1" w:styleId="20">
    <w:name w:val="文档正文"/>
    <w:basedOn w:val="1"/>
    <w:qFormat/>
    <w:uiPriority w:val="0"/>
    <w:pPr>
      <w:adjustRightInd w:val="0"/>
      <w:spacing w:line="480" w:lineRule="atLeast"/>
      <w:textAlignment w:val="baseline"/>
    </w:pPr>
    <w:rPr>
      <w:rFonts w:ascii="Arial" w:hAnsi="Arial"/>
      <w:kern w:val="0"/>
    </w:rPr>
  </w:style>
  <w:style w:type="character" w:customStyle="1" w:styleId="21">
    <w:name w:val="heading 1 Char"/>
    <w:basedOn w:val="17"/>
    <w:link w:val="2"/>
    <w:qFormat/>
    <w:uiPriority w:val="0"/>
    <w:rPr>
      <w:rFonts w:ascii="Times New Roman" w:hAnsi="Times New Roman" w:eastAsia="宋体" w:cs="Times New Roman"/>
      <w:b/>
      <w:bCs/>
      <w:kern w:val="44"/>
      <w:sz w:val="44"/>
      <w:szCs w:val="44"/>
      <w:lang w:val="en-US" w:eastAsia="zh-CN" w:bidi="ar-SA"/>
    </w:rPr>
  </w:style>
  <w:style w:type="character" w:customStyle="1" w:styleId="22">
    <w:name w:val="heading 2 Char"/>
    <w:basedOn w:val="17"/>
    <w:link w:val="3"/>
    <w:qFormat/>
    <w:uiPriority w:val="0"/>
    <w:rPr>
      <w:rFonts w:ascii="Cambria" w:hAnsi="Cambria" w:eastAsia="宋体" w:cs="Times New Roman"/>
      <w:b/>
      <w:bCs/>
      <w:kern w:val="2"/>
      <w:sz w:val="32"/>
      <w:szCs w:val="32"/>
      <w:lang w:val="en-US" w:eastAsia="zh-CN" w:bidi="ar-SA"/>
    </w:rPr>
  </w:style>
  <w:style w:type="character" w:customStyle="1" w:styleId="23">
    <w:name w:val="Header Char"/>
    <w:basedOn w:val="17"/>
    <w:qFormat/>
    <w:uiPriority w:val="0"/>
    <w:rPr>
      <w:rFonts w:ascii="Times New Roman" w:hAnsi="Times New Roman"/>
      <w:sz w:val="18"/>
      <w:szCs w:val="18"/>
    </w:rPr>
  </w:style>
  <w:style w:type="character" w:customStyle="1" w:styleId="24">
    <w:name w:val="Footer Char"/>
    <w:basedOn w:val="17"/>
    <w:qFormat/>
    <w:uiPriority w:val="0"/>
    <w:rPr>
      <w:rFonts w:ascii="Times New Roman" w:hAnsi="Times New Roman"/>
      <w:sz w:val="18"/>
      <w:szCs w:val="18"/>
    </w:rPr>
  </w:style>
  <w:style w:type="character" w:customStyle="1" w:styleId="25">
    <w:name w:val="Body Text Char"/>
    <w:basedOn w:val="17"/>
    <w:qFormat/>
    <w:uiPriority w:val="0"/>
    <w:rPr>
      <w:rFonts w:ascii="Times New Roman" w:hAnsi="Times New Roman"/>
      <w:szCs w:val="24"/>
    </w:rPr>
  </w:style>
  <w:style w:type="paragraph" w:customStyle="1" w:styleId="26">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7">
    <w:name w:val="List Paragraph"/>
    <w:basedOn w:val="1"/>
    <w:qFormat/>
    <w:uiPriority w:val="0"/>
    <w:pPr>
      <w:ind w:firstLine="200" w:firstLineChars="200"/>
    </w:pPr>
  </w:style>
  <w:style w:type="paragraph" w:customStyle="1" w:styleId="28">
    <w:name w:val="TOC Heading"/>
    <w:basedOn w:val="2"/>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character" w:customStyle="1" w:styleId="29">
    <w:name w:val="标题 1 Char"/>
    <w:basedOn w:val="17"/>
    <w:link w:val="2"/>
    <w:qFormat/>
    <w:uiPriority w:val="0"/>
    <w:rPr>
      <w:rFonts w:ascii="Times New Roman" w:hAnsi="Times New Roman" w:eastAsia="宋体" w:cs="Times New Roman"/>
      <w:b/>
      <w:bCs/>
      <w:kern w:val="44"/>
      <w:sz w:val="44"/>
      <w:szCs w:val="44"/>
      <w:lang w:val="en-US" w:eastAsia="zh-CN" w:bidi="ar-SA"/>
    </w:rPr>
  </w:style>
  <w:style w:type="character" w:customStyle="1" w:styleId="30">
    <w:name w:val="标题 2 Char"/>
    <w:basedOn w:val="17"/>
    <w:link w:val="3"/>
    <w:qFormat/>
    <w:uiPriority w:val="0"/>
    <w:rPr>
      <w:rFonts w:ascii="Cambria" w:hAnsi="Cambria" w:eastAsia="宋体" w:cs="Times New Roman"/>
      <w:b/>
      <w:bCs/>
      <w:kern w:val="2"/>
      <w:sz w:val="32"/>
      <w:szCs w:val="32"/>
      <w:lang w:val="en-US" w:eastAsia="zh-CN" w:bidi="ar-SA"/>
    </w:rPr>
  </w:style>
  <w:style w:type="paragraph" w:customStyle="1" w:styleId="31">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customStyle="1" w:styleId="32">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33">
    <w:name w:val="NormalIndent"/>
    <w:next w:val="10"/>
    <w:qFormat/>
    <w:uiPriority w:val="0"/>
    <w:pPr>
      <w:widowControl w:val="0"/>
      <w:ind w:firstLine="200" w:firstLineChars="200"/>
      <w:jc w:val="both"/>
    </w:pPr>
    <w:rPr>
      <w:rFonts w:ascii="Times New Roman" w:hAnsi="Times New Roman" w:eastAsia="仿宋_GB2312" w:cs="Times New Roman"/>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36</Pages>
  <Words>8537</Words>
  <Characters>9200</Characters>
  <Lines>950</Lines>
  <Paragraphs>413</Paragraphs>
  <TotalTime>10</TotalTime>
  <ScaleCrop>false</ScaleCrop>
  <LinksUpToDate>false</LinksUpToDate>
  <CharactersWithSpaces>9293</CharactersWithSpaces>
  <Application>WPS Office_12.1.0.22529_F1E327BC-269C-435d-A152-05C5408002CA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Lee.</cp:lastModifiedBy>
  <cp:lastPrinted>2023-01-12T08:44:00Z</cp:lastPrinted>
  <dcterms:modified xsi:type="dcterms:W3CDTF">2025-09-15T07:59:52Z</dcterms:modified>
  <dc:title>四川省***</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918FAE2EC7C043E681D0E87C6CD5F253_13</vt:lpwstr>
  </property>
  <property fmtid="{D5CDD505-2E9C-101B-9397-08002B2CF9AE}" pid="4" name="KSOTemplateDocerSaveRecord">
    <vt:lpwstr>eyJoZGlkIjoiOTE2ZDllODRiODE2ZDJhYjhiNzIxNGU1Mjk2ZDY5YmQiLCJ1c2VySWQiOiI1NTg1MTI2NjAifQ==</vt:lpwstr>
  </property>
</Properties>
</file>