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354B0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文学艺术界联合会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07349A8C">
      <w:pPr>
        <w:pStyle w:val="2"/>
        <w:jc w:val="left"/>
      </w:pPr>
    </w:p>
    <w:p w14:paraId="62E6942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2025年，我单位部门预算95.22万元 ，均严格按绩效管理要求实现项目绩效目标管理，其中重点项目预算0个，现将情况说明如下：</w:t>
      </w:r>
    </w:p>
    <w:p w14:paraId="33F8C974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578A7F04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完成了2025年本级部门预算整体绩效目标申报和0个项目预算绩效目标申报，并编报0项目预算事前绩效评估报告。</w:t>
      </w:r>
    </w:p>
    <w:p w14:paraId="5A173A54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1DAC079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金川县文联在县委、州文联的领导下，在金川县委宣传部的直接指导下，深入贯彻科学发展观，始终坚持“为社会主义服务，为人民服务”的方向和“百花齐放，百家争鸣”的方针，认真学习和深入贯彻落实科学发展观，围绕中心、服务大局，面向基层、服务群众，认真履行联络、协调、服务的基本职能，充分发挥组织、引导、服务和维权作用，团结和带领广大文艺工作者，积极深入生活，认真开展工作，较好地完成上级安排的各项工作任务，结合我县加快推进文化产业，文化大发展大繁荣的实施意见，把社会各界的文艺工作者统一组织起来，团结带领其发挥各自优势，为繁荣文化事业作贡献，为建设文化大县、构建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和谐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社会、民族和谐、宗教和谐、人与自然和谐、为全面实现阿坝新江南宏伟目标而奋斗。 </w:t>
      </w:r>
    </w:p>
    <w:p w14:paraId="03500C7F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53253CE2">
      <w:pPr>
        <w:pStyle w:val="2"/>
        <w:ind w:firstLine="480" w:firstLineChars="1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本单位今年不涉及重点项目</w:t>
      </w:r>
    </w:p>
    <w:p w14:paraId="52157A6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56B0CCF"/>
    <w:rsid w:val="443B56EB"/>
    <w:rsid w:val="F5F7B7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494</Words>
  <Characters>507</Characters>
  <Lines>23</Lines>
  <Paragraphs>15</Paragraphs>
  <TotalTime>0</TotalTime>
  <ScaleCrop>false</ScaleCrop>
  <LinksUpToDate>false</LinksUpToDate>
  <CharactersWithSpaces>509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2023-02-06T14:46:00Z</dcterms:created>
  <dc:creator>Administrator</dc:creator>
  <cp:lastModifiedBy>Tom</cp:lastModifiedBy>
  <dcterms:modified xsi:type="dcterms:W3CDTF">2025-03-05T01:10:13Z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D73EC9E8F63DD6334346B467D61619A1_43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