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autoSpaceDE/>
        <w:autoSpaceDN/>
        <w:bidi w:val="0"/>
        <w:adjustRightInd/>
        <w:snapToGrid/>
        <w:spacing w:line="480" w:lineRule="atLeast"/>
        <w:ind w:left="0" w:right="0" w:firstLine="60"/>
        <w:jc w:val="center"/>
        <w:textAlignment w:val="auto"/>
        <w:outlineLvl w:val="9"/>
        <w:rPr>
          <w:rFonts w:hint="eastAsia" w:ascii="方正小标宋简体" w:eastAsia="方正小标宋简体" w:cs="宋体"/>
          <w:color w:val="auto"/>
          <w:kern w:val="0"/>
          <w:sz w:val="40"/>
          <w:szCs w:val="40"/>
          <w:lang w:eastAsia="zh-CN"/>
        </w:rPr>
      </w:pPr>
    </w:p>
    <w:p>
      <w:pPr>
        <w:keepNext w:val="0"/>
        <w:keepLines w:val="0"/>
        <w:pageBreakBefore w:val="0"/>
        <w:widowControl/>
        <w:kinsoku/>
        <w:wordWrap/>
        <w:overflowPunct/>
        <w:topLinePunct/>
        <w:autoSpaceDE/>
        <w:autoSpaceDN/>
        <w:bidi w:val="0"/>
        <w:adjustRightInd/>
        <w:snapToGrid/>
        <w:spacing w:line="480" w:lineRule="atLeast"/>
        <w:ind w:left="0" w:right="0" w:firstLine="60"/>
        <w:jc w:val="center"/>
        <w:textAlignment w:val="auto"/>
        <w:outlineLvl w:val="9"/>
        <w:rPr>
          <w:rFonts w:hint="eastAsia" w:ascii="方正小标宋简体" w:eastAsia="方正小标宋简体" w:cs="宋体"/>
          <w:color w:val="auto"/>
          <w:kern w:val="0"/>
          <w:sz w:val="40"/>
          <w:szCs w:val="40"/>
          <w:lang w:eastAsia="zh-CN"/>
        </w:rPr>
      </w:pPr>
    </w:p>
    <w:p>
      <w:pPr>
        <w:keepNext w:val="0"/>
        <w:keepLines w:val="0"/>
        <w:pageBreakBefore w:val="0"/>
        <w:widowControl/>
        <w:kinsoku/>
        <w:wordWrap/>
        <w:overflowPunct/>
        <w:topLinePunct/>
        <w:autoSpaceDE/>
        <w:autoSpaceDN/>
        <w:bidi w:val="0"/>
        <w:adjustRightInd/>
        <w:snapToGrid/>
        <w:spacing w:line="480" w:lineRule="atLeast"/>
        <w:ind w:left="0" w:right="0" w:firstLine="60"/>
        <w:jc w:val="center"/>
        <w:textAlignment w:val="auto"/>
        <w:outlineLvl w:val="9"/>
        <w:rPr>
          <w:rFonts w:hint="eastAsia" w:ascii="方正小标宋简体" w:eastAsia="方正小标宋简体" w:cs="宋体"/>
          <w:color w:val="auto"/>
          <w:kern w:val="0"/>
          <w:sz w:val="52"/>
          <w:szCs w:val="52"/>
          <w:lang w:eastAsia="zh-CN"/>
        </w:rPr>
      </w:pPr>
      <w:r>
        <w:rPr>
          <w:rFonts w:hint="eastAsia" w:ascii="方正小标宋简体" w:eastAsia="方正小标宋简体" w:cs="宋体"/>
          <w:color w:val="auto"/>
          <w:kern w:val="0"/>
          <w:sz w:val="52"/>
          <w:szCs w:val="52"/>
          <w:lang w:eastAsia="zh-CN"/>
        </w:rPr>
        <w:t>金川县</w:t>
      </w:r>
    </w:p>
    <w:p>
      <w:pPr>
        <w:keepNext w:val="0"/>
        <w:keepLines w:val="0"/>
        <w:pageBreakBefore w:val="0"/>
        <w:widowControl/>
        <w:kinsoku/>
        <w:wordWrap/>
        <w:overflowPunct/>
        <w:topLinePunct/>
        <w:autoSpaceDE/>
        <w:autoSpaceDN/>
        <w:bidi w:val="0"/>
        <w:adjustRightInd/>
        <w:snapToGrid/>
        <w:spacing w:line="480" w:lineRule="atLeast"/>
        <w:ind w:left="0" w:right="0" w:firstLine="60"/>
        <w:jc w:val="center"/>
        <w:textAlignment w:val="auto"/>
        <w:outlineLvl w:val="9"/>
        <w:rPr>
          <w:rFonts w:hint="eastAsia" w:ascii="方正小标宋简体" w:eastAsia="方正小标宋简体" w:cs="宋体"/>
          <w:color w:val="auto"/>
          <w:kern w:val="0"/>
          <w:sz w:val="52"/>
          <w:szCs w:val="52"/>
          <w:lang w:eastAsia="zh-CN"/>
        </w:rPr>
      </w:pPr>
      <w:r>
        <w:rPr>
          <w:rFonts w:hint="eastAsia" w:ascii="方正小标宋简体" w:eastAsia="方正小标宋简体" w:cs="宋体"/>
          <w:color w:val="auto"/>
          <w:kern w:val="0"/>
          <w:sz w:val="52"/>
          <w:szCs w:val="52"/>
          <w:lang w:eastAsia="zh-CN"/>
        </w:rPr>
        <w:t>文学艺术界联合会</w:t>
      </w:r>
    </w:p>
    <w:p>
      <w:pPr>
        <w:pStyle w:val="14"/>
        <w:rPr>
          <w:rFonts w:hint="eastAsia"/>
          <w:sz w:val="52"/>
          <w:szCs w:val="52"/>
          <w:lang w:eastAsia="zh-CN"/>
        </w:rPr>
      </w:pPr>
    </w:p>
    <w:p>
      <w:pPr>
        <w:pStyle w:val="14"/>
        <w:rPr>
          <w:rFonts w:hint="eastAsia"/>
          <w:sz w:val="52"/>
          <w:szCs w:val="52"/>
          <w:lang w:eastAsia="zh-CN"/>
        </w:rPr>
      </w:pPr>
    </w:p>
    <w:p>
      <w:pPr>
        <w:pStyle w:val="14"/>
        <w:rPr>
          <w:rFonts w:hint="eastAsia"/>
          <w:sz w:val="52"/>
          <w:szCs w:val="52"/>
          <w:lang w:eastAsia="zh-CN"/>
        </w:rPr>
      </w:pPr>
    </w:p>
    <w:p>
      <w:pPr>
        <w:keepNext w:val="0"/>
        <w:keepLines w:val="0"/>
        <w:pageBreakBefore w:val="0"/>
        <w:widowControl/>
        <w:kinsoku/>
        <w:wordWrap/>
        <w:overflowPunct/>
        <w:topLinePunct/>
        <w:autoSpaceDE/>
        <w:autoSpaceDN/>
        <w:bidi w:val="0"/>
        <w:adjustRightInd/>
        <w:snapToGrid/>
        <w:spacing w:line="480" w:lineRule="atLeast"/>
        <w:ind w:left="0" w:right="0" w:firstLine="60"/>
        <w:jc w:val="center"/>
        <w:textAlignment w:val="auto"/>
        <w:outlineLvl w:val="9"/>
        <w:rPr>
          <w:rFonts w:hint="eastAsia" w:ascii="方正小标宋简体" w:eastAsia="方正小标宋简体" w:cs="宋体"/>
          <w:color w:val="auto"/>
          <w:kern w:val="0"/>
          <w:sz w:val="52"/>
          <w:szCs w:val="52"/>
        </w:rPr>
      </w:pPr>
      <w:r>
        <w:rPr>
          <w:rFonts w:hint="eastAsia" w:ascii="方正小标宋简体" w:eastAsia="方正小标宋简体" w:cs="宋体"/>
          <w:color w:val="auto"/>
          <w:kern w:val="0"/>
          <w:sz w:val="52"/>
          <w:szCs w:val="52"/>
          <w:lang w:val="en-US" w:eastAsia="zh-CN"/>
        </w:rPr>
        <w:t>2024</w:t>
      </w:r>
      <w:r>
        <w:rPr>
          <w:rFonts w:hint="eastAsia" w:ascii="方正小标宋简体" w:eastAsia="方正小标宋简体" w:cs="宋体"/>
          <w:color w:val="auto"/>
          <w:kern w:val="0"/>
          <w:sz w:val="52"/>
          <w:szCs w:val="52"/>
        </w:rPr>
        <w:t>年部门预算编制说明</w:t>
      </w:r>
    </w:p>
    <w:p>
      <w:pPr>
        <w:pStyle w:val="14"/>
        <w:rPr>
          <w:rFonts w:hint="eastAsia" w:ascii="方正小标宋简体" w:eastAsia="方正小标宋简体" w:cs="宋体"/>
          <w:color w:val="auto"/>
          <w:kern w:val="0"/>
          <w:sz w:val="36"/>
          <w:szCs w:val="36"/>
          <w:lang w:eastAsia="zh-CN"/>
        </w:rPr>
      </w:pPr>
    </w:p>
    <w:p>
      <w:pPr>
        <w:keepNext w:val="0"/>
        <w:keepLines w:val="0"/>
        <w:pageBreakBefore w:val="0"/>
        <w:widowControl/>
        <w:kinsoku/>
        <w:wordWrap/>
        <w:overflowPunct/>
        <w:topLinePunct/>
        <w:autoSpaceDE/>
        <w:autoSpaceDN/>
        <w:bidi w:val="0"/>
        <w:adjustRightInd/>
        <w:snapToGrid/>
        <w:spacing w:line="480" w:lineRule="atLeast"/>
        <w:ind w:left="0" w:right="0" w:firstLine="60"/>
        <w:jc w:val="left"/>
        <w:textAlignment w:val="auto"/>
        <w:outlineLvl w:val="9"/>
        <w:rPr>
          <w:rFonts w:ascii="方正小标宋简体" w:eastAsia="方正小标宋简体" w:cs="宋体"/>
          <w:color w:val="0066CC"/>
          <w:kern w:val="0"/>
          <w:sz w:val="36"/>
          <w:szCs w:val="36"/>
        </w:rPr>
      </w:pPr>
    </w:p>
    <w:p>
      <w:pPr>
        <w:pStyle w:val="14"/>
        <w:keepNext w:val="0"/>
        <w:keepLines w:val="0"/>
        <w:pageBreakBefore w:val="0"/>
        <w:widowControl w:val="0"/>
        <w:suppressLineNumbers w:val="0"/>
        <w:suppressAutoHyphens w:val="0"/>
        <w:bidi w:val="0"/>
        <w:adjustRightInd w:val="0"/>
        <w:snapToGrid/>
        <w:spacing w:line="480" w:lineRule="atLeast"/>
        <w:contextualSpacing w:val="0"/>
        <w:textAlignment w:val="baseline"/>
      </w:pPr>
    </w:p>
    <w:p>
      <w:pPr>
        <w:pStyle w:val="14"/>
        <w:keepNext w:val="0"/>
        <w:keepLines w:val="0"/>
        <w:pageBreakBefore w:val="0"/>
        <w:widowControl w:val="0"/>
        <w:suppressLineNumbers w:val="0"/>
        <w:suppressAutoHyphens w:val="0"/>
        <w:bidi w:val="0"/>
        <w:adjustRightInd w:val="0"/>
        <w:snapToGrid/>
        <w:spacing w:line="480" w:lineRule="atLeast"/>
        <w:contextualSpacing w:val="0"/>
        <w:textAlignment w:val="baseline"/>
      </w:pPr>
    </w:p>
    <w:p>
      <w:pPr>
        <w:pStyle w:val="14"/>
        <w:keepNext w:val="0"/>
        <w:keepLines w:val="0"/>
        <w:pageBreakBefore w:val="0"/>
        <w:widowControl w:val="0"/>
        <w:suppressLineNumbers w:val="0"/>
        <w:suppressAutoHyphens w:val="0"/>
        <w:bidi w:val="0"/>
        <w:adjustRightInd w:val="0"/>
        <w:snapToGrid/>
        <w:spacing w:line="480" w:lineRule="atLeast"/>
        <w:contextualSpacing w:val="0"/>
        <w:textAlignment w:val="baseline"/>
      </w:pPr>
    </w:p>
    <w:p>
      <w:pPr>
        <w:pStyle w:val="14"/>
        <w:keepNext w:val="0"/>
        <w:keepLines w:val="0"/>
        <w:pageBreakBefore w:val="0"/>
        <w:widowControl w:val="0"/>
        <w:suppressLineNumbers w:val="0"/>
        <w:suppressAutoHyphens w:val="0"/>
        <w:bidi w:val="0"/>
        <w:adjustRightInd w:val="0"/>
        <w:snapToGrid/>
        <w:spacing w:line="480" w:lineRule="atLeast"/>
        <w:contextualSpacing w:val="0"/>
        <w:textAlignment w:val="baseline"/>
      </w:pPr>
    </w:p>
    <w:p>
      <w:pPr>
        <w:pStyle w:val="14"/>
        <w:keepNext w:val="0"/>
        <w:keepLines w:val="0"/>
        <w:pageBreakBefore w:val="0"/>
        <w:widowControl w:val="0"/>
        <w:suppressLineNumbers w:val="0"/>
        <w:suppressAutoHyphens w:val="0"/>
        <w:bidi w:val="0"/>
        <w:adjustRightInd w:val="0"/>
        <w:snapToGrid/>
        <w:spacing w:line="480" w:lineRule="atLeast"/>
        <w:contextualSpacing w:val="0"/>
        <w:textAlignment w:val="baseline"/>
      </w:pPr>
    </w:p>
    <w:p>
      <w:pPr>
        <w:pStyle w:val="14"/>
        <w:keepNext w:val="0"/>
        <w:keepLines w:val="0"/>
        <w:pageBreakBefore w:val="0"/>
        <w:widowControl w:val="0"/>
        <w:suppressLineNumbers w:val="0"/>
        <w:suppressAutoHyphens w:val="0"/>
        <w:bidi w:val="0"/>
        <w:adjustRightInd w:val="0"/>
        <w:snapToGrid/>
        <w:spacing w:line="480" w:lineRule="atLeast"/>
        <w:contextualSpacing w:val="0"/>
        <w:textAlignment w:val="baseline"/>
      </w:pPr>
    </w:p>
    <w:p>
      <w:pPr>
        <w:pStyle w:val="14"/>
        <w:keepNext w:val="0"/>
        <w:keepLines w:val="0"/>
        <w:pageBreakBefore w:val="0"/>
        <w:widowControl w:val="0"/>
        <w:suppressLineNumbers w:val="0"/>
        <w:suppressAutoHyphens w:val="0"/>
        <w:bidi w:val="0"/>
        <w:adjustRightInd w:val="0"/>
        <w:snapToGrid/>
        <w:spacing w:line="480" w:lineRule="atLeast"/>
        <w:contextualSpacing w:val="0"/>
        <w:textAlignment w:val="baseline"/>
      </w:pPr>
    </w:p>
    <w:p>
      <w:pPr>
        <w:pStyle w:val="14"/>
        <w:keepNext w:val="0"/>
        <w:keepLines w:val="0"/>
        <w:pageBreakBefore w:val="0"/>
        <w:widowControl w:val="0"/>
        <w:suppressLineNumbers w:val="0"/>
        <w:suppressAutoHyphens w:val="0"/>
        <w:bidi w:val="0"/>
        <w:adjustRightInd w:val="0"/>
        <w:snapToGrid/>
        <w:spacing w:line="480" w:lineRule="atLeast"/>
        <w:contextualSpacing w:val="0"/>
        <w:textAlignment w:val="baseline"/>
      </w:pPr>
    </w:p>
    <w:p>
      <w:pPr>
        <w:pStyle w:val="14"/>
        <w:keepNext w:val="0"/>
        <w:keepLines w:val="0"/>
        <w:pageBreakBefore w:val="0"/>
        <w:widowControl w:val="0"/>
        <w:suppressLineNumbers w:val="0"/>
        <w:suppressAutoHyphens w:val="0"/>
        <w:bidi w:val="0"/>
        <w:adjustRightInd w:val="0"/>
        <w:snapToGrid/>
        <w:spacing w:line="480" w:lineRule="atLeast"/>
        <w:contextualSpacing w:val="0"/>
        <w:textAlignment w:val="baseline"/>
      </w:pPr>
    </w:p>
    <w:p>
      <w:pPr>
        <w:pStyle w:val="14"/>
        <w:keepNext w:val="0"/>
        <w:keepLines w:val="0"/>
        <w:pageBreakBefore w:val="0"/>
        <w:widowControl w:val="0"/>
        <w:suppressLineNumbers w:val="0"/>
        <w:suppressAutoHyphens w:val="0"/>
        <w:bidi w:val="0"/>
        <w:adjustRightInd w:val="0"/>
        <w:snapToGrid/>
        <w:spacing w:line="480" w:lineRule="atLeast"/>
        <w:contextualSpacing w:val="0"/>
        <w:textAlignment w:val="baseline"/>
      </w:pPr>
    </w:p>
    <w:p>
      <w:pPr>
        <w:pStyle w:val="14"/>
        <w:keepNext w:val="0"/>
        <w:keepLines w:val="0"/>
        <w:pageBreakBefore w:val="0"/>
        <w:widowControl w:val="0"/>
        <w:suppressLineNumbers w:val="0"/>
        <w:suppressAutoHyphens w:val="0"/>
        <w:bidi w:val="0"/>
        <w:adjustRightInd w:val="0"/>
        <w:snapToGrid/>
        <w:spacing w:line="480" w:lineRule="atLeast"/>
        <w:contextualSpacing w:val="0"/>
        <w:textAlignment w:val="baseline"/>
      </w:pPr>
    </w:p>
    <w:p>
      <w:pPr>
        <w:pStyle w:val="14"/>
        <w:keepNext w:val="0"/>
        <w:keepLines w:val="0"/>
        <w:pageBreakBefore w:val="0"/>
        <w:widowControl w:val="0"/>
        <w:suppressLineNumbers w:val="0"/>
        <w:suppressAutoHyphens w:val="0"/>
        <w:bidi w:val="0"/>
        <w:adjustRightInd w:val="0"/>
        <w:snapToGrid/>
        <w:spacing w:line="480" w:lineRule="atLeast"/>
        <w:contextualSpacing w:val="0"/>
        <w:textAlignment w:val="baseline"/>
      </w:pPr>
    </w:p>
    <w:p>
      <w:pPr>
        <w:pStyle w:val="14"/>
        <w:keepNext w:val="0"/>
        <w:keepLines w:val="0"/>
        <w:pageBreakBefore w:val="0"/>
        <w:widowControl w:val="0"/>
        <w:suppressLineNumbers w:val="0"/>
        <w:suppressAutoHyphens w:val="0"/>
        <w:bidi w:val="0"/>
        <w:adjustRightInd w:val="0"/>
        <w:snapToGrid/>
        <w:spacing w:line="480" w:lineRule="atLeast"/>
        <w:contextualSpacing w:val="0"/>
        <w:textAlignment w:val="baseline"/>
      </w:pPr>
    </w:p>
    <w:p>
      <w:pPr>
        <w:pStyle w:val="16"/>
        <w:keepNext w:val="0"/>
        <w:keepLines w:val="0"/>
        <w:pageBreakBefore w:val="0"/>
        <w:widowControl/>
        <w:tabs>
          <w:tab w:val="right" w:leader="dot" w:pos="8306"/>
        </w:tabs>
        <w:kinsoku/>
        <w:wordWrap/>
        <w:overflowPunct/>
        <w:topLinePunct w:val="0"/>
        <w:autoSpaceDE/>
        <w:autoSpaceDN/>
        <w:bidi w:val="0"/>
        <w:adjustRightInd/>
        <w:snapToGrid/>
        <w:spacing w:line="360" w:lineRule="auto"/>
        <w:jc w:val="center"/>
        <w:textAlignment w:val="auto"/>
        <w:outlineLvl w:val="9"/>
        <w:rPr>
          <w:rFonts w:hint="eastAsia" w:ascii="宋体" w:cs="宋体"/>
          <w:b/>
          <w:bCs/>
          <w:sz w:val="44"/>
          <w:szCs w:val="44"/>
          <w:lang w:val="en-US" w:eastAsia="zh-CN"/>
        </w:rPr>
        <w:sectPr>
          <w:footerReference r:id="rId3" w:type="default"/>
          <w:pgSz w:w="11906" w:h="16838"/>
          <w:pgMar w:top="1440" w:right="1800" w:bottom="1440" w:left="1800" w:header="851" w:footer="992" w:gutter="0"/>
          <w:pgNumType w:fmt="decimal" w:start="1"/>
          <w:cols w:space="720" w:num="1"/>
          <w:docGrid w:type="lines" w:linePitch="312" w:charSpace="0"/>
        </w:sectPr>
      </w:pPr>
    </w:p>
    <w:p>
      <w:pPr>
        <w:pStyle w:val="16"/>
        <w:keepNext w:val="0"/>
        <w:keepLines w:val="0"/>
        <w:pageBreakBefore w:val="0"/>
        <w:widowControl/>
        <w:tabs>
          <w:tab w:val="right" w:leader="dot" w:pos="8306"/>
        </w:tabs>
        <w:kinsoku/>
        <w:wordWrap/>
        <w:overflowPunct/>
        <w:topLinePunct w:val="0"/>
        <w:autoSpaceDE/>
        <w:autoSpaceDN/>
        <w:bidi w:val="0"/>
        <w:adjustRightInd/>
        <w:snapToGrid/>
        <w:spacing w:line="360" w:lineRule="auto"/>
        <w:jc w:val="center"/>
        <w:textAlignment w:val="auto"/>
        <w:outlineLvl w:val="9"/>
        <w:rPr>
          <w:rFonts w:hint="eastAsia" w:ascii="宋体" w:cs="宋体"/>
          <w:b/>
          <w:bCs/>
          <w:sz w:val="44"/>
          <w:szCs w:val="44"/>
          <w:lang w:val="en-US" w:eastAsia="zh-CN"/>
        </w:rPr>
      </w:pPr>
      <w:r>
        <w:rPr>
          <w:rFonts w:hint="eastAsia" w:ascii="宋体" w:cs="宋体"/>
          <w:b/>
          <w:bCs/>
          <w:sz w:val="44"/>
          <w:szCs w:val="44"/>
          <w:lang w:val="en-US" w:eastAsia="zh-CN"/>
        </w:rPr>
        <w:t>目      录</w:t>
      </w:r>
    </w:p>
    <w:p>
      <w:pPr>
        <w:pStyle w:val="16"/>
        <w:keepNext w:val="0"/>
        <w:keepLines w:val="0"/>
        <w:pageBreakBefore w:val="0"/>
        <w:widowControl/>
        <w:tabs>
          <w:tab w:val="right" w:leader="dot" w:pos="8306"/>
        </w:tabs>
        <w:kinsoku/>
        <w:wordWrap/>
        <w:overflowPunct/>
        <w:topLinePunct w:val="0"/>
        <w:autoSpaceDE/>
        <w:autoSpaceDN/>
        <w:bidi w:val="0"/>
        <w:adjustRightInd/>
        <w:snapToGrid/>
        <w:spacing w:line="360" w:lineRule="auto"/>
        <w:jc w:val="center"/>
        <w:textAlignment w:val="auto"/>
        <w:outlineLvl w:val="9"/>
        <w:rPr>
          <w:rFonts w:ascii="宋体" w:cs="宋体"/>
          <w:b/>
          <w:bCs/>
          <w:sz w:val="44"/>
          <w:szCs w:val="44"/>
          <w:lang w:val="en-US" w:eastAsia="zh-CN"/>
        </w:rPr>
      </w:pPr>
    </w:p>
    <w:p>
      <w:pPr>
        <w:pStyle w:val="16"/>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eastAsia="宋体" w:cs="宋体"/>
          <w:sz w:val="24"/>
          <w:szCs w:val="24"/>
        </w:rPr>
      </w:pPr>
      <w:r>
        <w:rPr>
          <w:rFonts w:hint="eastAsia" w:ascii="宋体" w:eastAsia="宋体" w:cs="宋体"/>
          <w:b/>
          <w:bCs/>
          <w:sz w:val="24"/>
          <w:szCs w:val="24"/>
        </w:rPr>
        <w:fldChar w:fldCharType="begin"/>
      </w:r>
      <w:r>
        <w:instrText xml:space="preserve">HYPERLINK  \l "_Toc5702_WPSOffice_Level1"</w:instrText>
      </w:r>
      <w:r>
        <w:rPr>
          <w:rFonts w:hint="eastAsia" w:ascii="宋体" w:eastAsia="宋体" w:cs="宋体"/>
          <w:b/>
          <w:bCs/>
          <w:sz w:val="24"/>
          <w:szCs w:val="24"/>
        </w:rPr>
        <w:fldChar w:fldCharType="separate"/>
      </w:r>
      <w:r>
        <w:rPr>
          <w:rFonts w:hint="eastAsia" w:ascii="宋体" w:eastAsia="宋体" w:cs="宋体"/>
          <w:b/>
          <w:bCs/>
          <w:sz w:val="24"/>
          <w:szCs w:val="24"/>
        </w:rPr>
        <w:t>一、基本职能及主要工作</w:t>
      </w:r>
      <w:r>
        <w:rPr>
          <w:rFonts w:hint="eastAsia" w:ascii="宋体" w:eastAsia="宋体" w:cs="宋体"/>
          <w:b/>
          <w:bCs/>
          <w:sz w:val="24"/>
          <w:szCs w:val="24"/>
        </w:rPr>
        <w:tab/>
      </w:r>
      <w:r>
        <w:rPr>
          <w:rFonts w:hint="eastAsia" w:ascii="宋体" w:cs="宋体"/>
          <w:b/>
          <w:bCs/>
          <w:sz w:val="24"/>
          <w:szCs w:val="24"/>
          <w:lang w:val="en-US" w:eastAsia="zh-CN"/>
        </w:rPr>
        <w:t>1</w:t>
      </w:r>
      <w:r>
        <w:rPr>
          <w:rFonts w:hint="eastAsia" w:ascii="宋体" w:eastAsia="宋体" w:cs="宋体"/>
          <w:b/>
          <w:bCs/>
          <w:sz w:val="24"/>
          <w:szCs w:val="24"/>
        </w:rPr>
        <w:fldChar w:fldCharType="end"/>
      </w:r>
    </w:p>
    <w:p>
      <w:pPr>
        <w:pStyle w:val="17"/>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eastAsia="宋体" w:cs="宋体"/>
          <w:sz w:val="24"/>
          <w:szCs w:val="24"/>
        </w:rPr>
      </w:pPr>
      <w:r>
        <w:rPr>
          <w:rFonts w:hint="eastAsia" w:ascii="宋体" w:eastAsia="宋体" w:cs="宋体"/>
          <w:sz w:val="24"/>
          <w:szCs w:val="24"/>
        </w:rPr>
        <w:fldChar w:fldCharType="begin"/>
      </w:r>
      <w:r>
        <w:instrText xml:space="preserve">HYPERLINK  \l "_Toc3059_WPSOffice_Level2"</w:instrText>
      </w:r>
      <w:r>
        <w:rPr>
          <w:rFonts w:hint="eastAsia" w:ascii="宋体" w:eastAsia="宋体" w:cs="宋体"/>
          <w:sz w:val="24"/>
          <w:szCs w:val="24"/>
        </w:rPr>
        <w:fldChar w:fldCharType="separate"/>
      </w:r>
      <w:r>
        <w:rPr>
          <w:rFonts w:hint="eastAsia" w:ascii="宋体" w:eastAsia="宋体" w:cs="宋体"/>
          <w:sz w:val="24"/>
          <w:szCs w:val="24"/>
        </w:rPr>
        <w:t>（一）</w:t>
      </w:r>
      <w:r>
        <w:rPr>
          <w:rFonts w:hint="eastAsia" w:ascii="宋体" w:cs="宋体"/>
          <w:sz w:val="24"/>
          <w:szCs w:val="24"/>
          <w:lang w:eastAsia="zh-CN"/>
        </w:rPr>
        <w:t>文联</w:t>
      </w:r>
      <w:r>
        <w:rPr>
          <w:rFonts w:hint="eastAsia" w:ascii="宋体" w:eastAsia="宋体" w:cs="宋体"/>
          <w:sz w:val="24"/>
          <w:szCs w:val="24"/>
        </w:rPr>
        <w:t>职能简介</w:t>
      </w:r>
      <w:r>
        <w:rPr>
          <w:rFonts w:hint="eastAsia" w:ascii="宋体" w:eastAsia="宋体" w:cs="宋体"/>
          <w:sz w:val="24"/>
          <w:szCs w:val="24"/>
        </w:rPr>
        <w:tab/>
      </w:r>
      <w:r>
        <w:rPr>
          <w:rFonts w:hint="eastAsia" w:ascii="宋体" w:cs="宋体"/>
          <w:sz w:val="24"/>
          <w:szCs w:val="24"/>
          <w:lang w:val="en-US" w:eastAsia="zh-CN"/>
        </w:rPr>
        <w:t>1</w:t>
      </w:r>
      <w:r>
        <w:rPr>
          <w:rFonts w:hint="eastAsia" w:ascii="宋体" w:eastAsia="宋体" w:cs="宋体"/>
          <w:sz w:val="24"/>
          <w:szCs w:val="24"/>
        </w:rPr>
        <w:fldChar w:fldCharType="end"/>
      </w:r>
    </w:p>
    <w:p>
      <w:pPr>
        <w:pStyle w:val="17"/>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eastAsia="宋体" w:cs="宋体"/>
          <w:sz w:val="24"/>
          <w:szCs w:val="24"/>
        </w:rPr>
      </w:pPr>
      <w:r>
        <w:rPr>
          <w:rFonts w:hint="eastAsia" w:ascii="宋体" w:eastAsia="宋体" w:cs="宋体"/>
          <w:sz w:val="24"/>
          <w:szCs w:val="24"/>
        </w:rPr>
        <w:fldChar w:fldCharType="begin"/>
      </w:r>
      <w:r>
        <w:instrText xml:space="preserve">HYPERLINK  \l "_Toc15855_WPSOffice_Level2"</w:instrText>
      </w:r>
      <w:r>
        <w:rPr>
          <w:rFonts w:hint="eastAsia" w:ascii="宋体" w:eastAsia="宋体" w:cs="宋体"/>
          <w:sz w:val="24"/>
          <w:szCs w:val="24"/>
        </w:rPr>
        <w:fldChar w:fldCharType="separate"/>
      </w:r>
      <w:r>
        <w:rPr>
          <w:rFonts w:hint="eastAsia" w:ascii="宋体" w:eastAsia="宋体" w:cs="宋体"/>
          <w:sz w:val="24"/>
          <w:szCs w:val="24"/>
        </w:rPr>
        <w:t>（二）20</w:t>
      </w:r>
      <w:r>
        <w:rPr>
          <w:rFonts w:hint="eastAsia" w:ascii="宋体" w:cs="宋体"/>
          <w:sz w:val="24"/>
          <w:szCs w:val="24"/>
          <w:lang w:val="en-US" w:eastAsia="zh-CN"/>
        </w:rPr>
        <w:t>24</w:t>
      </w:r>
      <w:r>
        <w:rPr>
          <w:rFonts w:hint="eastAsia" w:ascii="宋体" w:eastAsia="宋体" w:cs="宋体"/>
          <w:sz w:val="24"/>
          <w:szCs w:val="24"/>
        </w:rPr>
        <w:t>年重点工作</w:t>
      </w:r>
      <w:r>
        <w:rPr>
          <w:rFonts w:hint="eastAsia" w:ascii="宋体" w:eastAsia="宋体" w:cs="宋体"/>
          <w:sz w:val="24"/>
          <w:szCs w:val="24"/>
        </w:rPr>
        <w:tab/>
      </w:r>
      <w:r>
        <w:rPr>
          <w:rFonts w:hint="eastAsia" w:ascii="宋体" w:cs="宋体"/>
          <w:sz w:val="24"/>
          <w:szCs w:val="24"/>
          <w:lang w:val="en-US" w:eastAsia="zh-CN"/>
        </w:rPr>
        <w:t>1</w:t>
      </w:r>
      <w:r>
        <w:rPr>
          <w:rFonts w:hint="eastAsia" w:ascii="宋体" w:eastAsia="宋体" w:cs="宋体"/>
          <w:sz w:val="24"/>
          <w:szCs w:val="24"/>
        </w:rPr>
        <w:fldChar w:fldCharType="end"/>
      </w:r>
    </w:p>
    <w:p>
      <w:pPr>
        <w:pStyle w:val="16"/>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eastAsia="宋体" w:cs="宋体"/>
          <w:sz w:val="24"/>
          <w:szCs w:val="24"/>
        </w:rPr>
      </w:pPr>
      <w:r>
        <w:rPr>
          <w:rFonts w:hint="eastAsia" w:ascii="宋体" w:eastAsia="宋体" w:cs="宋体"/>
          <w:b/>
          <w:bCs/>
          <w:sz w:val="24"/>
          <w:szCs w:val="24"/>
        </w:rPr>
        <w:fldChar w:fldCharType="begin"/>
      </w:r>
      <w:r>
        <w:instrText xml:space="preserve">HYPERLINK  \l "_Toc22397_WPSOffice_Level1"</w:instrText>
      </w:r>
      <w:r>
        <w:rPr>
          <w:rFonts w:hint="eastAsia" w:ascii="宋体" w:eastAsia="宋体" w:cs="宋体"/>
          <w:b/>
          <w:bCs/>
          <w:sz w:val="24"/>
          <w:szCs w:val="24"/>
        </w:rPr>
        <w:fldChar w:fldCharType="separate"/>
      </w:r>
      <w:r>
        <w:rPr>
          <w:rFonts w:hint="eastAsia" w:ascii="宋体" w:eastAsia="宋体" w:cs="宋体"/>
          <w:b/>
          <w:bCs/>
          <w:sz w:val="24"/>
          <w:szCs w:val="24"/>
        </w:rPr>
        <w:t>二、部门预算单位构成</w:t>
      </w:r>
      <w:r>
        <w:rPr>
          <w:rFonts w:hint="eastAsia" w:ascii="宋体" w:eastAsia="宋体" w:cs="宋体"/>
          <w:b/>
          <w:bCs/>
          <w:sz w:val="24"/>
          <w:szCs w:val="24"/>
        </w:rPr>
        <w:tab/>
      </w:r>
      <w:r>
        <w:rPr>
          <w:rFonts w:hint="eastAsia" w:ascii="宋体" w:cs="宋体"/>
          <w:b/>
          <w:bCs/>
          <w:sz w:val="24"/>
          <w:szCs w:val="24"/>
          <w:lang w:val="en-US" w:eastAsia="zh-CN"/>
        </w:rPr>
        <w:t>2</w:t>
      </w:r>
      <w:r>
        <w:rPr>
          <w:rFonts w:hint="eastAsia" w:ascii="宋体" w:eastAsia="宋体" w:cs="宋体"/>
          <w:b/>
          <w:bCs/>
          <w:sz w:val="24"/>
          <w:szCs w:val="24"/>
        </w:rPr>
        <w:fldChar w:fldCharType="end"/>
      </w:r>
    </w:p>
    <w:p>
      <w:pPr>
        <w:pStyle w:val="16"/>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eastAsia="宋体" w:cs="宋体"/>
          <w:sz w:val="24"/>
          <w:szCs w:val="24"/>
        </w:rPr>
      </w:pPr>
      <w:r>
        <w:rPr>
          <w:rFonts w:hint="eastAsia" w:ascii="宋体" w:eastAsia="宋体" w:cs="宋体"/>
          <w:b/>
          <w:bCs/>
          <w:sz w:val="24"/>
          <w:szCs w:val="24"/>
        </w:rPr>
        <w:fldChar w:fldCharType="begin"/>
      </w:r>
      <w:r>
        <w:instrText xml:space="preserve">HYPERLINK  \l "_Toc16054_WPSOffice_Level1"</w:instrText>
      </w:r>
      <w:r>
        <w:rPr>
          <w:rFonts w:hint="eastAsia" w:ascii="宋体" w:eastAsia="宋体" w:cs="宋体"/>
          <w:b/>
          <w:bCs/>
          <w:sz w:val="24"/>
          <w:szCs w:val="24"/>
        </w:rPr>
        <w:fldChar w:fldCharType="separate"/>
      </w:r>
      <w:r>
        <w:rPr>
          <w:rFonts w:hint="eastAsia" w:ascii="宋体" w:eastAsia="宋体" w:cs="宋体"/>
          <w:b/>
          <w:bCs/>
          <w:sz w:val="24"/>
          <w:szCs w:val="24"/>
        </w:rPr>
        <w:t>三、收支预算情况说明</w:t>
      </w:r>
      <w:r>
        <w:rPr>
          <w:rFonts w:hint="eastAsia" w:ascii="宋体" w:eastAsia="宋体" w:cs="宋体"/>
          <w:b/>
          <w:bCs/>
          <w:sz w:val="24"/>
          <w:szCs w:val="24"/>
        </w:rPr>
        <w:tab/>
      </w:r>
      <w:r>
        <w:rPr>
          <w:rFonts w:hint="eastAsia" w:ascii="宋体" w:cs="宋体"/>
          <w:b/>
          <w:bCs/>
          <w:sz w:val="24"/>
          <w:szCs w:val="24"/>
          <w:lang w:val="en-US" w:eastAsia="zh-CN"/>
        </w:rPr>
        <w:t>2</w:t>
      </w:r>
      <w:r>
        <w:rPr>
          <w:rFonts w:hint="eastAsia" w:ascii="宋体" w:eastAsia="宋体" w:cs="宋体"/>
          <w:b/>
          <w:bCs/>
          <w:sz w:val="24"/>
          <w:szCs w:val="24"/>
        </w:rPr>
        <w:fldChar w:fldCharType="end"/>
      </w:r>
    </w:p>
    <w:p>
      <w:pPr>
        <w:pStyle w:val="17"/>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eastAsia="宋体" w:cs="宋体"/>
          <w:sz w:val="24"/>
          <w:szCs w:val="24"/>
        </w:rPr>
      </w:pPr>
      <w:r>
        <w:rPr>
          <w:rFonts w:hint="eastAsia" w:ascii="宋体" w:eastAsia="宋体" w:cs="宋体"/>
          <w:sz w:val="24"/>
          <w:szCs w:val="24"/>
        </w:rPr>
        <w:fldChar w:fldCharType="begin"/>
      </w:r>
      <w:r>
        <w:instrText xml:space="preserve">HYPERLINK  \l "_Toc11178_WPSOffice_Level2"</w:instrText>
      </w:r>
      <w:r>
        <w:rPr>
          <w:rFonts w:hint="eastAsia" w:ascii="宋体" w:eastAsia="宋体" w:cs="宋体"/>
          <w:sz w:val="24"/>
          <w:szCs w:val="24"/>
        </w:rPr>
        <w:fldChar w:fldCharType="separate"/>
      </w:r>
      <w:r>
        <w:rPr>
          <w:rFonts w:hint="eastAsia" w:ascii="宋体" w:eastAsia="宋体" w:cs="宋体"/>
          <w:sz w:val="24"/>
          <w:szCs w:val="24"/>
        </w:rPr>
        <w:t>（一）收入预算情况</w:t>
      </w:r>
      <w:r>
        <w:rPr>
          <w:rFonts w:hint="eastAsia" w:ascii="宋体" w:eastAsia="宋体" w:cs="宋体"/>
          <w:sz w:val="24"/>
          <w:szCs w:val="24"/>
        </w:rPr>
        <w:tab/>
      </w:r>
      <w:r>
        <w:rPr>
          <w:rFonts w:hint="eastAsia" w:ascii="宋体" w:cs="宋体"/>
          <w:sz w:val="24"/>
          <w:szCs w:val="24"/>
          <w:lang w:val="en-US" w:eastAsia="zh-CN"/>
        </w:rPr>
        <w:t>2</w:t>
      </w:r>
      <w:r>
        <w:rPr>
          <w:rFonts w:hint="eastAsia" w:ascii="宋体" w:eastAsia="宋体" w:cs="宋体"/>
          <w:sz w:val="24"/>
          <w:szCs w:val="24"/>
        </w:rPr>
        <w:fldChar w:fldCharType="end"/>
      </w:r>
    </w:p>
    <w:p>
      <w:pPr>
        <w:pStyle w:val="17"/>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eastAsia="宋体" w:cs="宋体"/>
          <w:sz w:val="24"/>
          <w:szCs w:val="24"/>
        </w:rPr>
      </w:pPr>
      <w:r>
        <w:rPr>
          <w:rFonts w:hint="eastAsia" w:ascii="宋体" w:eastAsia="宋体" w:cs="宋体"/>
          <w:sz w:val="24"/>
          <w:szCs w:val="24"/>
        </w:rPr>
        <w:fldChar w:fldCharType="begin"/>
      </w:r>
      <w:r>
        <w:instrText xml:space="preserve">HYPERLINK  \l "_Toc17895_WPSOffice_Level2"</w:instrText>
      </w:r>
      <w:r>
        <w:rPr>
          <w:rFonts w:hint="eastAsia" w:ascii="宋体" w:eastAsia="宋体" w:cs="宋体"/>
          <w:sz w:val="24"/>
          <w:szCs w:val="24"/>
        </w:rPr>
        <w:fldChar w:fldCharType="separate"/>
      </w:r>
      <w:r>
        <w:rPr>
          <w:rFonts w:hint="eastAsia" w:ascii="宋体" w:eastAsia="宋体" w:cs="宋体"/>
          <w:sz w:val="24"/>
          <w:szCs w:val="24"/>
        </w:rPr>
        <w:t>（二）支出预算情况</w:t>
      </w:r>
      <w:r>
        <w:rPr>
          <w:rFonts w:hint="eastAsia" w:ascii="宋体" w:eastAsia="宋体" w:cs="宋体"/>
          <w:sz w:val="24"/>
          <w:szCs w:val="24"/>
        </w:rPr>
        <w:tab/>
      </w:r>
      <w:r>
        <w:rPr>
          <w:rFonts w:hint="eastAsia" w:ascii="宋体" w:cs="宋体"/>
          <w:sz w:val="24"/>
          <w:szCs w:val="24"/>
          <w:lang w:val="en-US" w:eastAsia="zh-CN"/>
        </w:rPr>
        <w:t>2</w:t>
      </w:r>
      <w:r>
        <w:rPr>
          <w:rFonts w:hint="eastAsia" w:ascii="宋体" w:eastAsia="宋体" w:cs="宋体"/>
          <w:sz w:val="24"/>
          <w:szCs w:val="24"/>
        </w:rPr>
        <w:fldChar w:fldCharType="end"/>
      </w:r>
    </w:p>
    <w:p>
      <w:pPr>
        <w:pStyle w:val="16"/>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eastAsia="宋体" w:cs="宋体"/>
          <w:sz w:val="24"/>
          <w:szCs w:val="24"/>
          <w:lang w:val="en-US" w:eastAsia="zh-CN"/>
        </w:rPr>
      </w:pPr>
      <w:r>
        <w:rPr>
          <w:rFonts w:hint="eastAsia" w:ascii="宋体" w:eastAsia="宋体" w:cs="宋体"/>
          <w:b/>
          <w:bCs/>
          <w:sz w:val="24"/>
          <w:szCs w:val="24"/>
        </w:rPr>
        <w:fldChar w:fldCharType="begin"/>
      </w:r>
      <w:r>
        <w:instrText xml:space="preserve">HYPERLINK  \l "_Toc14616_WPSOffice_Level1"</w:instrText>
      </w:r>
      <w:r>
        <w:rPr>
          <w:rFonts w:hint="eastAsia" w:ascii="宋体" w:eastAsia="宋体" w:cs="宋体"/>
          <w:b/>
          <w:bCs/>
          <w:sz w:val="24"/>
          <w:szCs w:val="24"/>
        </w:rPr>
        <w:fldChar w:fldCharType="separate"/>
      </w:r>
      <w:r>
        <w:rPr>
          <w:rFonts w:hint="eastAsia" w:ascii="宋体" w:eastAsia="宋体" w:cs="宋体"/>
          <w:b/>
          <w:bCs/>
          <w:sz w:val="24"/>
          <w:szCs w:val="24"/>
        </w:rPr>
        <w:t>四、财政拨款收支预算情况说明</w:t>
      </w:r>
      <w:r>
        <w:rPr>
          <w:rFonts w:hint="eastAsia" w:ascii="宋体" w:eastAsia="宋体" w:cs="宋体"/>
          <w:b/>
          <w:bCs/>
          <w:sz w:val="24"/>
          <w:szCs w:val="24"/>
        </w:rPr>
        <w:tab/>
      </w:r>
      <w:r>
        <w:rPr>
          <w:rFonts w:hint="eastAsia" w:ascii="宋体" w:eastAsia="宋体" w:cs="宋体"/>
          <w:b/>
          <w:bCs/>
          <w:sz w:val="24"/>
          <w:szCs w:val="24"/>
        </w:rPr>
        <w:fldChar w:fldCharType="end"/>
      </w:r>
      <w:r>
        <w:rPr>
          <w:rFonts w:hint="eastAsia" w:ascii="宋体" w:cs="宋体"/>
          <w:b/>
          <w:bCs/>
          <w:sz w:val="24"/>
          <w:szCs w:val="24"/>
          <w:lang w:val="en-US" w:eastAsia="zh-CN"/>
        </w:rPr>
        <w:t>2</w:t>
      </w:r>
    </w:p>
    <w:p>
      <w:pPr>
        <w:pStyle w:val="16"/>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eastAsia="宋体" w:cs="宋体"/>
          <w:sz w:val="24"/>
          <w:szCs w:val="24"/>
        </w:rPr>
      </w:pPr>
      <w:r>
        <w:rPr>
          <w:rFonts w:hint="eastAsia" w:ascii="宋体" w:eastAsia="宋体" w:cs="宋体"/>
          <w:b/>
          <w:bCs/>
          <w:sz w:val="24"/>
          <w:szCs w:val="24"/>
        </w:rPr>
        <w:fldChar w:fldCharType="begin"/>
      </w:r>
      <w:r>
        <w:instrText xml:space="preserve">HYPERLINK  \l "_Toc10808_WPSOffice_Level1"</w:instrText>
      </w:r>
      <w:r>
        <w:rPr>
          <w:rFonts w:hint="eastAsia" w:ascii="宋体" w:eastAsia="宋体" w:cs="宋体"/>
          <w:b/>
          <w:bCs/>
          <w:sz w:val="24"/>
          <w:szCs w:val="24"/>
        </w:rPr>
        <w:fldChar w:fldCharType="separate"/>
      </w:r>
      <w:r>
        <w:rPr>
          <w:rFonts w:hint="eastAsia" w:ascii="宋体" w:eastAsia="宋体" w:cs="宋体"/>
          <w:b/>
          <w:bCs/>
          <w:sz w:val="24"/>
          <w:szCs w:val="24"/>
        </w:rPr>
        <w:t>五、一般公共预算当年拨款情况说明</w:t>
      </w:r>
      <w:r>
        <w:rPr>
          <w:rFonts w:hint="eastAsia" w:ascii="宋体" w:eastAsia="宋体" w:cs="宋体"/>
          <w:b/>
          <w:bCs/>
          <w:sz w:val="24"/>
          <w:szCs w:val="24"/>
        </w:rPr>
        <w:tab/>
      </w:r>
      <w:r>
        <w:rPr>
          <w:rFonts w:hint="eastAsia" w:ascii="宋体" w:cs="宋体"/>
          <w:b/>
          <w:bCs/>
          <w:sz w:val="24"/>
          <w:szCs w:val="24"/>
          <w:lang w:val="en-US" w:eastAsia="zh-CN"/>
        </w:rPr>
        <w:t>3</w:t>
      </w:r>
      <w:r>
        <w:rPr>
          <w:rFonts w:hint="eastAsia" w:ascii="宋体" w:eastAsia="宋体" w:cs="宋体"/>
          <w:b/>
          <w:bCs/>
          <w:sz w:val="24"/>
          <w:szCs w:val="24"/>
        </w:rPr>
        <w:fldChar w:fldCharType="end"/>
      </w:r>
    </w:p>
    <w:p>
      <w:pPr>
        <w:pStyle w:val="17"/>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eastAsia="宋体" w:cs="宋体"/>
          <w:sz w:val="24"/>
          <w:szCs w:val="24"/>
        </w:rPr>
      </w:pPr>
      <w:r>
        <w:rPr>
          <w:rFonts w:hint="eastAsia" w:ascii="宋体" w:eastAsia="宋体" w:cs="宋体"/>
          <w:sz w:val="24"/>
          <w:szCs w:val="24"/>
        </w:rPr>
        <w:fldChar w:fldCharType="begin"/>
      </w:r>
      <w:r>
        <w:instrText xml:space="preserve">HYPERLINK  \l "_Toc1389_WPSOffice_Level2"</w:instrText>
      </w:r>
      <w:r>
        <w:rPr>
          <w:rFonts w:hint="eastAsia" w:ascii="宋体" w:eastAsia="宋体" w:cs="宋体"/>
          <w:sz w:val="24"/>
          <w:szCs w:val="24"/>
        </w:rPr>
        <w:fldChar w:fldCharType="separate"/>
      </w:r>
      <w:r>
        <w:rPr>
          <w:rFonts w:hint="eastAsia" w:ascii="宋体" w:eastAsia="宋体" w:cs="宋体"/>
          <w:sz w:val="24"/>
          <w:szCs w:val="24"/>
        </w:rPr>
        <w:t>（一）一般公共预算当年拨款规模变化情况</w:t>
      </w:r>
      <w:r>
        <w:rPr>
          <w:rFonts w:hint="eastAsia" w:ascii="宋体" w:eastAsia="宋体" w:cs="宋体"/>
          <w:sz w:val="24"/>
          <w:szCs w:val="24"/>
        </w:rPr>
        <w:tab/>
      </w:r>
      <w:r>
        <w:rPr>
          <w:rFonts w:hint="eastAsia" w:ascii="宋体" w:cs="宋体"/>
          <w:sz w:val="24"/>
          <w:szCs w:val="24"/>
          <w:lang w:val="en-US" w:eastAsia="zh-CN"/>
        </w:rPr>
        <w:t>3</w:t>
      </w:r>
      <w:r>
        <w:rPr>
          <w:rFonts w:hint="eastAsia" w:ascii="宋体" w:eastAsia="宋体" w:cs="宋体"/>
          <w:sz w:val="24"/>
          <w:szCs w:val="24"/>
        </w:rPr>
        <w:fldChar w:fldCharType="end"/>
      </w:r>
    </w:p>
    <w:p>
      <w:pPr>
        <w:pStyle w:val="17"/>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eastAsia="宋体" w:cs="宋体"/>
          <w:sz w:val="24"/>
          <w:szCs w:val="24"/>
        </w:rPr>
      </w:pPr>
      <w:r>
        <w:rPr>
          <w:rFonts w:hint="eastAsia" w:ascii="宋体" w:eastAsia="宋体" w:cs="宋体"/>
          <w:sz w:val="24"/>
          <w:szCs w:val="24"/>
        </w:rPr>
        <w:fldChar w:fldCharType="begin"/>
      </w:r>
      <w:r>
        <w:instrText xml:space="preserve">HYPERLINK  \l "_Toc31745_WPSOffice_Level2"</w:instrText>
      </w:r>
      <w:r>
        <w:rPr>
          <w:rFonts w:hint="eastAsia" w:ascii="宋体" w:eastAsia="宋体" w:cs="宋体"/>
          <w:sz w:val="24"/>
          <w:szCs w:val="24"/>
        </w:rPr>
        <w:fldChar w:fldCharType="separate"/>
      </w:r>
      <w:r>
        <w:rPr>
          <w:rFonts w:hint="eastAsia" w:ascii="宋体" w:eastAsia="宋体" w:cs="宋体"/>
          <w:sz w:val="24"/>
          <w:szCs w:val="24"/>
        </w:rPr>
        <w:t>（二）一般公共预算当年拨款结构情况</w:t>
      </w:r>
      <w:r>
        <w:rPr>
          <w:rFonts w:hint="eastAsia" w:ascii="宋体" w:eastAsia="宋体" w:cs="宋体"/>
          <w:sz w:val="24"/>
          <w:szCs w:val="24"/>
        </w:rPr>
        <w:tab/>
      </w:r>
      <w:r>
        <w:rPr>
          <w:rFonts w:hint="eastAsia" w:ascii="宋体" w:cs="宋体"/>
          <w:sz w:val="24"/>
          <w:szCs w:val="24"/>
          <w:lang w:val="en-US" w:eastAsia="zh-CN"/>
        </w:rPr>
        <w:t>3</w:t>
      </w:r>
      <w:r>
        <w:rPr>
          <w:rFonts w:hint="eastAsia" w:ascii="宋体" w:eastAsia="宋体" w:cs="宋体"/>
          <w:sz w:val="24"/>
          <w:szCs w:val="24"/>
        </w:rPr>
        <w:fldChar w:fldCharType="end"/>
      </w:r>
    </w:p>
    <w:p>
      <w:pPr>
        <w:pStyle w:val="17"/>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eastAsia="宋体" w:cs="宋体"/>
          <w:sz w:val="24"/>
          <w:szCs w:val="24"/>
        </w:rPr>
      </w:pPr>
      <w:r>
        <w:rPr>
          <w:rFonts w:hint="eastAsia" w:ascii="宋体" w:eastAsia="宋体" w:cs="宋体"/>
          <w:sz w:val="24"/>
          <w:szCs w:val="24"/>
        </w:rPr>
        <w:fldChar w:fldCharType="begin"/>
      </w:r>
      <w:r>
        <w:instrText xml:space="preserve">HYPERLINK  \l "_Toc986_WPSOffice_Level2"</w:instrText>
      </w:r>
      <w:r>
        <w:rPr>
          <w:rFonts w:hint="eastAsia" w:ascii="宋体" w:eastAsia="宋体" w:cs="宋体"/>
          <w:sz w:val="24"/>
          <w:szCs w:val="24"/>
        </w:rPr>
        <w:fldChar w:fldCharType="separate"/>
      </w:r>
      <w:r>
        <w:rPr>
          <w:rFonts w:hint="eastAsia" w:ascii="宋体" w:eastAsia="宋体" w:cs="宋体"/>
          <w:sz w:val="24"/>
          <w:szCs w:val="24"/>
        </w:rPr>
        <w:t>（三）一般公共预算当年拨款具体使用情况</w:t>
      </w:r>
      <w:r>
        <w:rPr>
          <w:rFonts w:hint="eastAsia" w:ascii="宋体" w:eastAsia="宋体" w:cs="宋体"/>
          <w:sz w:val="24"/>
          <w:szCs w:val="24"/>
        </w:rPr>
        <w:tab/>
      </w:r>
      <w:r>
        <w:rPr>
          <w:rFonts w:hint="eastAsia" w:ascii="宋体" w:cs="宋体"/>
          <w:sz w:val="24"/>
          <w:szCs w:val="24"/>
          <w:lang w:val="en-US" w:eastAsia="zh-CN"/>
        </w:rPr>
        <w:t>3</w:t>
      </w:r>
      <w:r>
        <w:rPr>
          <w:rFonts w:hint="eastAsia" w:ascii="宋体" w:eastAsia="宋体" w:cs="宋体"/>
          <w:sz w:val="24"/>
          <w:szCs w:val="24"/>
        </w:rPr>
        <w:fldChar w:fldCharType="end"/>
      </w:r>
    </w:p>
    <w:p>
      <w:pPr>
        <w:pStyle w:val="16"/>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eastAsia="宋体" w:cs="宋体"/>
          <w:sz w:val="24"/>
          <w:szCs w:val="24"/>
        </w:rPr>
      </w:pPr>
      <w:r>
        <w:rPr>
          <w:rFonts w:hint="eastAsia" w:ascii="宋体" w:eastAsia="宋体" w:cs="宋体"/>
          <w:b/>
          <w:bCs/>
          <w:sz w:val="24"/>
          <w:szCs w:val="24"/>
        </w:rPr>
        <w:fldChar w:fldCharType="begin"/>
      </w:r>
      <w:r>
        <w:instrText xml:space="preserve">HYPERLINK  \l "_Toc23805_WPSOffice_Level1"</w:instrText>
      </w:r>
      <w:r>
        <w:rPr>
          <w:rFonts w:hint="eastAsia" w:ascii="宋体" w:eastAsia="宋体" w:cs="宋体"/>
          <w:b/>
          <w:bCs/>
          <w:sz w:val="24"/>
          <w:szCs w:val="24"/>
        </w:rPr>
        <w:fldChar w:fldCharType="separate"/>
      </w:r>
      <w:r>
        <w:rPr>
          <w:rFonts w:hint="eastAsia" w:ascii="宋体" w:eastAsia="宋体" w:cs="宋体"/>
          <w:b/>
          <w:bCs/>
          <w:sz w:val="24"/>
          <w:szCs w:val="24"/>
        </w:rPr>
        <w:t>六、一般公共预算基本支出情况说明</w:t>
      </w:r>
      <w:r>
        <w:rPr>
          <w:rFonts w:hint="eastAsia" w:ascii="宋体" w:eastAsia="宋体" w:cs="宋体"/>
          <w:b/>
          <w:bCs/>
          <w:sz w:val="24"/>
          <w:szCs w:val="24"/>
        </w:rPr>
        <w:tab/>
      </w:r>
      <w:r>
        <w:rPr>
          <w:rFonts w:hint="eastAsia" w:ascii="宋体" w:cs="宋体"/>
          <w:b/>
          <w:bCs/>
          <w:sz w:val="24"/>
          <w:szCs w:val="24"/>
          <w:lang w:val="en-US" w:eastAsia="zh-CN"/>
        </w:rPr>
        <w:t>4</w:t>
      </w:r>
      <w:r>
        <w:rPr>
          <w:rFonts w:hint="eastAsia" w:ascii="宋体" w:eastAsia="宋体" w:cs="宋体"/>
          <w:b/>
          <w:bCs/>
          <w:sz w:val="24"/>
          <w:szCs w:val="24"/>
        </w:rPr>
        <w:fldChar w:fldCharType="end"/>
      </w:r>
    </w:p>
    <w:p>
      <w:pPr>
        <w:pStyle w:val="16"/>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eastAsia="宋体" w:cs="宋体"/>
          <w:sz w:val="24"/>
          <w:szCs w:val="24"/>
        </w:rPr>
      </w:pPr>
      <w:r>
        <w:rPr>
          <w:rFonts w:hint="eastAsia" w:ascii="宋体" w:eastAsia="宋体" w:cs="宋体"/>
          <w:b/>
          <w:bCs/>
          <w:sz w:val="24"/>
          <w:szCs w:val="24"/>
        </w:rPr>
        <w:fldChar w:fldCharType="begin"/>
      </w:r>
      <w:r>
        <w:instrText xml:space="preserve">HYPERLINK  \l "_Toc9533_WPSOffice_Level1"</w:instrText>
      </w:r>
      <w:r>
        <w:rPr>
          <w:rFonts w:hint="eastAsia" w:ascii="宋体" w:eastAsia="宋体" w:cs="宋体"/>
          <w:b/>
          <w:bCs/>
          <w:sz w:val="24"/>
          <w:szCs w:val="24"/>
        </w:rPr>
        <w:fldChar w:fldCharType="separate"/>
      </w:r>
      <w:r>
        <w:rPr>
          <w:rFonts w:hint="eastAsia" w:ascii="宋体" w:eastAsia="宋体" w:cs="宋体"/>
          <w:b/>
          <w:bCs/>
          <w:sz w:val="24"/>
          <w:szCs w:val="24"/>
        </w:rPr>
        <w:t>七、“三公”经费财政拨款预算安排情况说明</w:t>
      </w:r>
      <w:r>
        <w:rPr>
          <w:rFonts w:hint="eastAsia" w:ascii="宋体" w:eastAsia="宋体" w:cs="宋体"/>
          <w:b/>
          <w:bCs/>
          <w:sz w:val="24"/>
          <w:szCs w:val="24"/>
        </w:rPr>
        <w:tab/>
      </w:r>
      <w:r>
        <w:rPr>
          <w:rFonts w:hint="eastAsia" w:ascii="宋体" w:cs="宋体"/>
          <w:b/>
          <w:bCs/>
          <w:sz w:val="24"/>
          <w:szCs w:val="24"/>
          <w:lang w:val="en-US" w:eastAsia="zh-CN"/>
        </w:rPr>
        <w:t>5</w:t>
      </w:r>
      <w:r>
        <w:rPr>
          <w:rFonts w:hint="eastAsia" w:ascii="宋体" w:eastAsia="宋体" w:cs="宋体"/>
          <w:b/>
          <w:bCs/>
          <w:sz w:val="24"/>
          <w:szCs w:val="24"/>
        </w:rPr>
        <w:fldChar w:fldCharType="end"/>
      </w:r>
    </w:p>
    <w:p>
      <w:pPr>
        <w:pStyle w:val="16"/>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eastAsia="宋体" w:cs="宋体"/>
          <w:sz w:val="24"/>
          <w:szCs w:val="24"/>
        </w:rPr>
      </w:pPr>
      <w:r>
        <w:rPr>
          <w:rFonts w:hint="eastAsia" w:ascii="宋体" w:eastAsia="宋体" w:cs="宋体"/>
          <w:b/>
          <w:bCs/>
          <w:sz w:val="24"/>
          <w:szCs w:val="24"/>
        </w:rPr>
        <w:fldChar w:fldCharType="begin"/>
      </w:r>
      <w:r>
        <w:instrText xml:space="preserve">HYPERLINK  \l "_Toc8312_WPSOffice_Level1"</w:instrText>
      </w:r>
      <w:r>
        <w:rPr>
          <w:rFonts w:hint="eastAsia" w:ascii="宋体" w:eastAsia="宋体" w:cs="宋体"/>
          <w:b/>
          <w:bCs/>
          <w:sz w:val="24"/>
          <w:szCs w:val="24"/>
        </w:rPr>
        <w:fldChar w:fldCharType="separate"/>
      </w:r>
      <w:r>
        <w:rPr>
          <w:rFonts w:hint="eastAsia" w:ascii="宋体" w:eastAsia="宋体" w:cs="宋体"/>
          <w:b/>
          <w:bCs/>
          <w:sz w:val="24"/>
          <w:szCs w:val="24"/>
        </w:rPr>
        <w:t>八、政府性基金预算支出情况说明</w:t>
      </w:r>
      <w:r>
        <w:rPr>
          <w:rFonts w:hint="eastAsia" w:ascii="宋体" w:eastAsia="宋体" w:cs="宋体"/>
          <w:b/>
          <w:bCs/>
          <w:sz w:val="24"/>
          <w:szCs w:val="24"/>
        </w:rPr>
        <w:tab/>
      </w:r>
      <w:r>
        <w:rPr>
          <w:rFonts w:hint="eastAsia" w:ascii="宋体" w:cs="宋体"/>
          <w:b/>
          <w:bCs/>
          <w:sz w:val="24"/>
          <w:szCs w:val="24"/>
          <w:lang w:val="en-US" w:eastAsia="zh-CN"/>
        </w:rPr>
        <w:t>5</w:t>
      </w:r>
      <w:r>
        <w:rPr>
          <w:rFonts w:hint="eastAsia" w:ascii="宋体" w:eastAsia="宋体" w:cs="宋体"/>
          <w:b/>
          <w:bCs/>
          <w:sz w:val="24"/>
          <w:szCs w:val="24"/>
        </w:rPr>
        <w:fldChar w:fldCharType="end"/>
      </w:r>
    </w:p>
    <w:p>
      <w:pPr>
        <w:pStyle w:val="16"/>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cs="宋体"/>
          <w:b/>
          <w:bCs/>
          <w:sz w:val="24"/>
          <w:szCs w:val="24"/>
          <w:lang w:val="en-US" w:eastAsia="zh-CN"/>
        </w:rPr>
      </w:pPr>
      <w:r>
        <w:rPr>
          <w:rFonts w:hint="eastAsia" w:ascii="宋体" w:eastAsia="宋体" w:cs="宋体"/>
          <w:b/>
          <w:bCs/>
          <w:sz w:val="24"/>
          <w:szCs w:val="24"/>
        </w:rPr>
        <w:fldChar w:fldCharType="begin"/>
      </w:r>
      <w:r>
        <w:instrText xml:space="preserve">HYPERLINK  \l "_Toc1540_WPSOffice_Level1"</w:instrText>
      </w:r>
      <w:r>
        <w:rPr>
          <w:rFonts w:hint="eastAsia" w:ascii="宋体" w:eastAsia="宋体" w:cs="宋体"/>
          <w:b/>
          <w:bCs/>
          <w:sz w:val="24"/>
          <w:szCs w:val="24"/>
        </w:rPr>
        <w:fldChar w:fldCharType="separate"/>
      </w:r>
      <w:r>
        <w:rPr>
          <w:rFonts w:hint="eastAsia" w:ascii="宋体" w:eastAsia="宋体" w:cs="宋体"/>
          <w:b/>
          <w:bCs/>
          <w:sz w:val="24"/>
          <w:szCs w:val="24"/>
        </w:rPr>
        <w:t>九、其他重要事项的情况说明</w:t>
      </w:r>
      <w:r>
        <w:rPr>
          <w:rFonts w:hint="eastAsia" w:ascii="宋体" w:eastAsia="宋体" w:cs="宋体"/>
          <w:b/>
          <w:bCs/>
          <w:sz w:val="24"/>
          <w:szCs w:val="24"/>
        </w:rPr>
        <w:tab/>
      </w:r>
      <w:r>
        <w:rPr>
          <w:rFonts w:hint="eastAsia" w:ascii="宋体" w:cs="宋体"/>
          <w:b/>
          <w:bCs/>
          <w:sz w:val="24"/>
          <w:szCs w:val="24"/>
          <w:lang w:val="en-US" w:eastAsia="zh-CN"/>
        </w:rPr>
        <w:t>5</w:t>
      </w:r>
    </w:p>
    <w:p>
      <w:pPr>
        <w:pStyle w:val="17"/>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eastAsia="宋体" w:cs="宋体"/>
          <w:sz w:val="24"/>
          <w:szCs w:val="24"/>
        </w:rPr>
      </w:pPr>
      <w:r>
        <w:rPr>
          <w:rFonts w:hint="eastAsia" w:ascii="宋体" w:eastAsia="宋体" w:cs="宋体"/>
          <w:b/>
          <w:bCs/>
          <w:sz w:val="24"/>
          <w:szCs w:val="24"/>
        </w:rPr>
        <w:fldChar w:fldCharType="end"/>
      </w:r>
      <w:r>
        <w:rPr>
          <w:rFonts w:hint="eastAsia" w:ascii="宋体" w:eastAsia="宋体" w:cs="宋体"/>
          <w:sz w:val="24"/>
          <w:szCs w:val="24"/>
        </w:rPr>
        <w:fldChar w:fldCharType="begin"/>
      </w:r>
      <w:r>
        <w:instrText xml:space="preserve">HYPERLINK  \l "_Toc11178_WPSOffice_Level2"</w:instrText>
      </w:r>
      <w:r>
        <w:rPr>
          <w:rFonts w:hint="eastAsia" w:ascii="宋体" w:eastAsia="宋体" w:cs="宋体"/>
          <w:sz w:val="24"/>
          <w:szCs w:val="24"/>
        </w:rPr>
        <w:fldChar w:fldCharType="separate"/>
      </w:r>
      <w:r>
        <w:rPr>
          <w:rFonts w:hint="eastAsia" w:ascii="宋体" w:eastAsia="宋体" w:cs="宋体"/>
          <w:sz w:val="24"/>
          <w:szCs w:val="24"/>
        </w:rPr>
        <w:t>（一）</w:t>
      </w:r>
      <w:r>
        <w:rPr>
          <w:rFonts w:hint="eastAsia" w:ascii="宋体" w:cs="宋体"/>
          <w:sz w:val="24"/>
          <w:szCs w:val="24"/>
          <w:lang w:eastAsia="zh-CN"/>
        </w:rPr>
        <w:t>机关运行经费</w:t>
      </w:r>
      <w:r>
        <w:rPr>
          <w:rFonts w:hint="eastAsia" w:ascii="宋体" w:eastAsia="宋体" w:cs="宋体"/>
          <w:sz w:val="24"/>
          <w:szCs w:val="24"/>
        </w:rPr>
        <w:tab/>
      </w:r>
      <w:r>
        <w:rPr>
          <w:rFonts w:hint="eastAsia" w:ascii="宋体" w:cs="宋体"/>
          <w:sz w:val="24"/>
          <w:szCs w:val="24"/>
          <w:lang w:val="en-US" w:eastAsia="zh-CN"/>
        </w:rPr>
        <w:t>5</w:t>
      </w:r>
      <w:r>
        <w:rPr>
          <w:rFonts w:hint="eastAsia" w:ascii="宋体" w:eastAsia="宋体" w:cs="宋体"/>
          <w:sz w:val="24"/>
          <w:szCs w:val="24"/>
        </w:rPr>
        <w:fldChar w:fldCharType="end"/>
      </w:r>
      <w:r>
        <w:rPr>
          <w:rFonts w:hint="eastAsia" w:ascii="宋体" w:eastAsia="宋体" w:cs="宋体"/>
          <w:sz w:val="24"/>
          <w:szCs w:val="24"/>
        </w:rPr>
        <w:fldChar w:fldCharType="begin"/>
      </w:r>
      <w:r>
        <w:instrText xml:space="preserve">HYPERLINK  \l "_Toc1540_WPSOffice_Level1"</w:instrText>
      </w:r>
      <w:r>
        <w:rPr>
          <w:rFonts w:hint="eastAsia" w:ascii="宋体" w:eastAsia="宋体" w:cs="宋体"/>
          <w:sz w:val="24"/>
          <w:szCs w:val="24"/>
        </w:rPr>
        <w:fldChar w:fldCharType="separate"/>
      </w:r>
    </w:p>
    <w:p>
      <w:pPr>
        <w:pStyle w:val="17"/>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cs="宋体"/>
          <w:sz w:val="24"/>
          <w:szCs w:val="24"/>
          <w:lang w:val="en-US" w:eastAsia="zh-CN"/>
        </w:rPr>
      </w:pPr>
      <w:r>
        <w:rPr>
          <w:rFonts w:hint="eastAsia" w:ascii="宋体" w:eastAsia="宋体" w:cs="宋体"/>
          <w:sz w:val="24"/>
          <w:szCs w:val="24"/>
        </w:rPr>
        <w:fldChar w:fldCharType="end"/>
      </w:r>
      <w:r>
        <w:rPr>
          <w:rFonts w:hint="eastAsia" w:ascii="宋体" w:eastAsia="宋体" w:cs="宋体"/>
          <w:sz w:val="24"/>
          <w:szCs w:val="24"/>
        </w:rPr>
        <w:fldChar w:fldCharType="begin"/>
      </w:r>
      <w:r>
        <w:instrText xml:space="preserve">HYPERLINK  \l "_Toc17895_WPSOffice_Level2"</w:instrText>
      </w:r>
      <w:r>
        <w:rPr>
          <w:rFonts w:hint="eastAsia" w:ascii="宋体" w:eastAsia="宋体" w:cs="宋体"/>
          <w:sz w:val="24"/>
          <w:szCs w:val="24"/>
        </w:rPr>
        <w:fldChar w:fldCharType="separate"/>
      </w:r>
      <w:r>
        <w:rPr>
          <w:rFonts w:hint="eastAsia" w:ascii="宋体" w:eastAsia="宋体" w:cs="宋体"/>
          <w:sz w:val="24"/>
          <w:szCs w:val="24"/>
        </w:rPr>
        <w:t>（二）</w:t>
      </w:r>
      <w:r>
        <w:rPr>
          <w:rFonts w:hint="eastAsia" w:ascii="宋体" w:cs="宋体"/>
          <w:sz w:val="24"/>
          <w:szCs w:val="24"/>
          <w:lang w:eastAsia="zh-CN"/>
        </w:rPr>
        <w:t>政府采购情况</w:t>
      </w:r>
      <w:r>
        <w:rPr>
          <w:rFonts w:hint="eastAsia" w:ascii="宋体" w:eastAsia="宋体" w:cs="宋体"/>
          <w:sz w:val="24"/>
          <w:szCs w:val="24"/>
        </w:rPr>
        <w:tab/>
      </w:r>
      <w:r>
        <w:rPr>
          <w:rFonts w:hint="eastAsia" w:ascii="宋体" w:eastAsia="宋体" w:cs="宋体"/>
          <w:sz w:val="24"/>
          <w:szCs w:val="24"/>
        </w:rPr>
        <w:fldChar w:fldCharType="end"/>
      </w:r>
      <w:r>
        <w:rPr>
          <w:rFonts w:hint="eastAsia" w:ascii="宋体" w:cs="宋体"/>
          <w:sz w:val="24"/>
          <w:szCs w:val="24"/>
          <w:lang w:val="en-US" w:eastAsia="zh-CN"/>
        </w:rPr>
        <w:fldChar w:fldCharType="begin"/>
      </w:r>
      <w:r>
        <w:instrText xml:space="preserve">HYPERLINK  \l "_Toc1540_WPSOffice_Level1"</w:instrText>
      </w:r>
      <w:r>
        <w:rPr>
          <w:rFonts w:hint="eastAsia" w:ascii="宋体" w:cs="宋体"/>
          <w:sz w:val="24"/>
          <w:szCs w:val="24"/>
          <w:lang w:val="en-US" w:eastAsia="zh-CN"/>
        </w:rPr>
        <w:fldChar w:fldCharType="separate"/>
      </w:r>
      <w:r>
        <w:rPr>
          <w:rFonts w:hint="eastAsia" w:ascii="宋体" w:cs="宋体"/>
          <w:sz w:val="24"/>
          <w:szCs w:val="24"/>
          <w:lang w:val="en-US" w:eastAsia="zh-CN"/>
        </w:rPr>
        <w:t>5</w:t>
      </w:r>
    </w:p>
    <w:p>
      <w:pPr>
        <w:pStyle w:val="17"/>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eastAsia="宋体" w:cs="宋体"/>
          <w:sz w:val="24"/>
          <w:szCs w:val="24"/>
        </w:rPr>
      </w:pPr>
      <w:r>
        <w:rPr>
          <w:rFonts w:hint="eastAsia" w:ascii="宋体" w:cs="宋体"/>
          <w:sz w:val="24"/>
          <w:szCs w:val="24"/>
          <w:lang w:val="en-US" w:eastAsia="zh-CN"/>
        </w:rPr>
        <w:fldChar w:fldCharType="end"/>
      </w:r>
      <w:r>
        <w:rPr>
          <w:rFonts w:hint="eastAsia" w:ascii="宋体" w:eastAsia="宋体" w:cs="宋体"/>
          <w:sz w:val="24"/>
          <w:szCs w:val="24"/>
        </w:rPr>
        <w:fldChar w:fldCharType="begin"/>
      </w:r>
      <w:r>
        <w:instrText xml:space="preserve">HYPERLINK  \l "_Toc11178_WPSOffice_Level2"</w:instrText>
      </w:r>
      <w:r>
        <w:rPr>
          <w:rFonts w:hint="eastAsia" w:ascii="宋体" w:eastAsia="宋体" w:cs="宋体"/>
          <w:sz w:val="24"/>
          <w:szCs w:val="24"/>
        </w:rPr>
        <w:fldChar w:fldCharType="separate"/>
      </w:r>
      <w:r>
        <w:rPr>
          <w:rFonts w:hint="eastAsia" w:ascii="宋体" w:eastAsia="宋体" w:cs="宋体"/>
          <w:sz w:val="24"/>
          <w:szCs w:val="24"/>
        </w:rPr>
        <w:t>（</w:t>
      </w:r>
      <w:r>
        <w:rPr>
          <w:rFonts w:hint="eastAsia" w:ascii="宋体" w:cs="宋体"/>
          <w:sz w:val="24"/>
          <w:szCs w:val="24"/>
          <w:lang w:eastAsia="zh-CN"/>
        </w:rPr>
        <w:t>三</w:t>
      </w:r>
      <w:r>
        <w:rPr>
          <w:rFonts w:hint="eastAsia" w:ascii="宋体" w:eastAsia="宋体" w:cs="宋体"/>
          <w:sz w:val="24"/>
          <w:szCs w:val="24"/>
        </w:rPr>
        <w:t>）</w:t>
      </w:r>
      <w:r>
        <w:rPr>
          <w:rFonts w:hint="eastAsia" w:ascii="宋体" w:cs="宋体"/>
          <w:sz w:val="24"/>
          <w:szCs w:val="24"/>
          <w:lang w:eastAsia="zh-CN"/>
        </w:rPr>
        <w:t>国有资产占有使用情况</w:t>
      </w:r>
      <w:r>
        <w:rPr>
          <w:rFonts w:hint="eastAsia" w:ascii="宋体" w:eastAsia="宋体" w:cs="宋体"/>
          <w:sz w:val="24"/>
          <w:szCs w:val="24"/>
        </w:rPr>
        <w:tab/>
      </w:r>
      <w:r>
        <w:rPr>
          <w:rFonts w:hint="eastAsia" w:ascii="宋体" w:cs="宋体"/>
          <w:sz w:val="24"/>
          <w:szCs w:val="24"/>
          <w:lang w:val="en-US" w:eastAsia="zh-CN"/>
        </w:rPr>
        <w:t>5</w:t>
      </w:r>
      <w:r>
        <w:rPr>
          <w:rFonts w:hint="eastAsia" w:ascii="宋体" w:eastAsia="宋体" w:cs="宋体"/>
          <w:sz w:val="24"/>
          <w:szCs w:val="24"/>
        </w:rPr>
        <w:fldChar w:fldCharType="end"/>
      </w:r>
      <w:bookmarkStart w:id="0" w:name="_GoBack"/>
      <w:bookmarkEnd w:id="0"/>
      <w:r>
        <w:rPr>
          <w:rFonts w:hint="eastAsia" w:ascii="宋体" w:eastAsia="宋体" w:cs="宋体"/>
          <w:sz w:val="24"/>
          <w:szCs w:val="24"/>
        </w:rPr>
        <w:fldChar w:fldCharType="begin"/>
      </w:r>
      <w:r>
        <w:instrText xml:space="preserve">HYPERLINK  \l "_Toc1540_WPSOffice_Level1"</w:instrText>
      </w:r>
      <w:r>
        <w:rPr>
          <w:rFonts w:hint="eastAsia" w:ascii="宋体" w:eastAsia="宋体" w:cs="宋体"/>
          <w:sz w:val="24"/>
          <w:szCs w:val="24"/>
        </w:rPr>
        <w:fldChar w:fldCharType="separate"/>
      </w:r>
    </w:p>
    <w:p>
      <w:pPr>
        <w:pStyle w:val="17"/>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eastAsia="宋体" w:cs="宋体"/>
          <w:sz w:val="24"/>
          <w:szCs w:val="24"/>
        </w:rPr>
      </w:pPr>
      <w:r>
        <w:rPr>
          <w:rFonts w:hint="eastAsia" w:ascii="宋体" w:eastAsia="宋体" w:cs="宋体"/>
          <w:sz w:val="24"/>
          <w:szCs w:val="24"/>
        </w:rPr>
        <w:fldChar w:fldCharType="end"/>
      </w:r>
      <w:r>
        <w:rPr>
          <w:rFonts w:hint="eastAsia" w:ascii="宋体" w:eastAsia="宋体" w:cs="宋体"/>
          <w:sz w:val="24"/>
          <w:szCs w:val="24"/>
        </w:rPr>
        <w:fldChar w:fldCharType="begin"/>
      </w:r>
      <w:r>
        <w:instrText xml:space="preserve">HYPERLINK  \l "_Toc17895_WPSOffice_Level2"</w:instrText>
      </w:r>
      <w:r>
        <w:rPr>
          <w:rFonts w:hint="eastAsia" w:ascii="宋体" w:eastAsia="宋体" w:cs="宋体"/>
          <w:sz w:val="24"/>
          <w:szCs w:val="24"/>
        </w:rPr>
        <w:fldChar w:fldCharType="separate"/>
      </w:r>
      <w:r>
        <w:rPr>
          <w:rFonts w:hint="eastAsia" w:ascii="宋体" w:eastAsia="宋体" w:cs="宋体"/>
          <w:sz w:val="24"/>
          <w:szCs w:val="24"/>
        </w:rPr>
        <w:t>（</w:t>
      </w:r>
      <w:r>
        <w:rPr>
          <w:rFonts w:hint="eastAsia" w:ascii="宋体" w:cs="宋体"/>
          <w:sz w:val="24"/>
          <w:szCs w:val="24"/>
          <w:lang w:eastAsia="zh-CN"/>
        </w:rPr>
        <w:t>四</w:t>
      </w:r>
      <w:r>
        <w:rPr>
          <w:rFonts w:hint="eastAsia" w:ascii="宋体" w:eastAsia="宋体" w:cs="宋体"/>
          <w:sz w:val="24"/>
          <w:szCs w:val="24"/>
        </w:rPr>
        <w:t>）</w:t>
      </w:r>
      <w:r>
        <w:rPr>
          <w:rFonts w:hint="eastAsia" w:ascii="宋体" w:cs="宋体"/>
          <w:sz w:val="24"/>
          <w:szCs w:val="24"/>
          <w:lang w:eastAsia="zh-CN"/>
        </w:rPr>
        <w:t>绩效目标设置</w:t>
      </w:r>
      <w:r>
        <w:rPr>
          <w:rFonts w:hint="eastAsia" w:ascii="宋体" w:eastAsia="宋体" w:cs="宋体"/>
          <w:sz w:val="24"/>
          <w:szCs w:val="24"/>
        </w:rPr>
        <w:t>情况</w:t>
      </w:r>
      <w:r>
        <w:rPr>
          <w:rFonts w:hint="eastAsia" w:ascii="宋体" w:eastAsia="宋体" w:cs="宋体"/>
          <w:sz w:val="24"/>
          <w:szCs w:val="24"/>
        </w:rPr>
        <w:tab/>
      </w:r>
      <w:r>
        <w:rPr>
          <w:rFonts w:hint="eastAsia" w:ascii="宋体" w:cs="宋体"/>
          <w:sz w:val="24"/>
          <w:szCs w:val="24"/>
          <w:lang w:val="en-US" w:eastAsia="zh-CN"/>
        </w:rPr>
        <w:t>6</w:t>
      </w:r>
      <w:r>
        <w:rPr>
          <w:rFonts w:hint="eastAsia" w:ascii="宋体" w:eastAsia="宋体" w:cs="宋体"/>
          <w:sz w:val="24"/>
          <w:szCs w:val="24"/>
        </w:rPr>
        <w:fldChar w:fldCharType="end"/>
      </w:r>
      <w:r>
        <w:rPr>
          <w:rFonts w:hint="eastAsia" w:ascii="宋体" w:eastAsia="宋体" w:cs="宋体"/>
          <w:sz w:val="24"/>
          <w:szCs w:val="24"/>
        </w:rPr>
        <w:fldChar w:fldCharType="begin"/>
      </w:r>
      <w:r>
        <w:instrText xml:space="preserve">HYPERLINK  \l "_Toc1540_WPSOffice_Level1"</w:instrText>
      </w:r>
      <w:r>
        <w:rPr>
          <w:rFonts w:hint="eastAsia" w:ascii="宋体" w:eastAsia="宋体" w:cs="宋体"/>
          <w:sz w:val="24"/>
          <w:szCs w:val="24"/>
        </w:rPr>
        <w:fldChar w:fldCharType="separate"/>
      </w:r>
    </w:p>
    <w:p>
      <w:pPr>
        <w:pStyle w:val="16"/>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eastAsia="宋体" w:cs="宋体"/>
          <w:sz w:val="24"/>
          <w:szCs w:val="24"/>
        </w:rPr>
      </w:pPr>
      <w:r>
        <w:rPr>
          <w:rFonts w:hint="eastAsia" w:ascii="宋体" w:cs="宋体"/>
          <w:b/>
          <w:bCs/>
          <w:sz w:val="24"/>
          <w:szCs w:val="24"/>
          <w:lang w:eastAsia="zh-CN"/>
        </w:rPr>
        <w:t>十、</w:t>
      </w:r>
      <w:r>
        <w:rPr>
          <w:rFonts w:hint="eastAsia" w:ascii="宋体" w:eastAsia="宋体" w:cs="宋体"/>
          <w:b/>
          <w:bCs/>
          <w:sz w:val="24"/>
          <w:szCs w:val="24"/>
        </w:rPr>
        <w:t>名词解释</w:t>
      </w:r>
      <w:r>
        <w:rPr>
          <w:rFonts w:hint="eastAsia" w:ascii="宋体" w:eastAsia="宋体" w:cs="宋体"/>
          <w:b/>
          <w:bCs/>
          <w:sz w:val="24"/>
          <w:szCs w:val="24"/>
        </w:rPr>
        <w:tab/>
      </w:r>
      <w:r>
        <w:rPr>
          <w:rFonts w:hint="eastAsia" w:ascii="宋体" w:cs="宋体"/>
          <w:b/>
          <w:bCs/>
          <w:sz w:val="24"/>
          <w:szCs w:val="24"/>
          <w:lang w:val="en-US" w:eastAsia="zh-CN"/>
        </w:rPr>
        <w:t>6</w:t>
      </w:r>
      <w:r>
        <w:rPr>
          <w:rFonts w:hint="eastAsia" w:ascii="宋体" w:eastAsia="宋体" w:cs="宋体"/>
          <w:sz w:val="24"/>
          <w:szCs w:val="24"/>
        </w:rPr>
        <w:fldChar w:fldCharType="end"/>
      </w:r>
    </w:p>
    <w:p>
      <w:pPr>
        <w:keepNext w:val="0"/>
        <w:keepLines w:val="0"/>
        <w:pageBreakBefore w:val="0"/>
        <w:widowControl/>
        <w:kinsoku/>
        <w:wordWrap/>
        <w:overflowPunct/>
        <w:topLinePunct/>
        <w:autoSpaceDE/>
        <w:autoSpaceDN/>
        <w:bidi w:val="0"/>
        <w:adjustRightInd/>
        <w:snapToGrid/>
        <w:spacing w:line="480" w:lineRule="atLeast"/>
        <w:ind w:left="0" w:right="0" w:firstLine="60"/>
        <w:jc w:val="center"/>
        <w:textAlignment w:val="auto"/>
        <w:outlineLvl w:val="9"/>
        <w:rPr>
          <w:rFonts w:hint="eastAsia" w:ascii="方正小标宋简体" w:eastAsia="方正小标宋简体" w:cs="宋体"/>
          <w:color w:val="auto"/>
          <w:kern w:val="0"/>
          <w:sz w:val="36"/>
          <w:szCs w:val="36"/>
          <w:lang w:eastAsia="zh-CN"/>
        </w:rPr>
      </w:pPr>
    </w:p>
    <w:p>
      <w:pPr>
        <w:pStyle w:val="14"/>
        <w:rPr>
          <w:rFonts w:ascii="方正小标宋简体" w:eastAsia="方正小标宋简体" w:cs="宋体"/>
          <w:color w:val="auto"/>
          <w:kern w:val="0"/>
          <w:sz w:val="36"/>
          <w:szCs w:val="36"/>
          <w:lang w:eastAsia="zh-CN"/>
        </w:rPr>
      </w:pPr>
    </w:p>
    <w:p>
      <w:pPr>
        <w:pStyle w:val="14"/>
        <w:rPr>
          <w:rFonts w:ascii="方正小标宋简体" w:eastAsia="方正小标宋简体" w:cs="宋体"/>
          <w:color w:val="auto"/>
          <w:kern w:val="0"/>
          <w:sz w:val="36"/>
          <w:szCs w:val="36"/>
          <w:lang w:eastAsia="zh-CN"/>
        </w:rPr>
      </w:pPr>
    </w:p>
    <w:p>
      <w:pPr>
        <w:pStyle w:val="14"/>
        <w:rPr>
          <w:rFonts w:ascii="方正小标宋简体" w:eastAsia="方正小标宋简体" w:cs="宋体"/>
          <w:color w:val="auto"/>
          <w:kern w:val="0"/>
          <w:sz w:val="36"/>
          <w:szCs w:val="36"/>
          <w:lang w:eastAsia="zh-CN"/>
        </w:rPr>
      </w:pPr>
    </w:p>
    <w:p>
      <w:pPr>
        <w:keepNext w:val="0"/>
        <w:keepLines w:val="0"/>
        <w:pageBreakBefore w:val="0"/>
        <w:widowControl/>
        <w:kinsoku/>
        <w:wordWrap/>
        <w:overflowPunct/>
        <w:topLinePunct/>
        <w:autoSpaceDE/>
        <w:autoSpaceDN/>
        <w:adjustRightInd/>
        <w:snapToGrid/>
        <w:spacing w:line="480" w:lineRule="atLeast"/>
        <w:ind w:left="0" w:firstLine="60"/>
        <w:jc w:val="center"/>
        <w:rPr>
          <w:rFonts w:hint="eastAsia" w:ascii="方正小标宋简体" w:eastAsia="方正小标宋简体" w:cs="宋体"/>
          <w:color w:val="auto"/>
          <w:kern w:val="0"/>
          <w:sz w:val="52"/>
          <w:szCs w:val="52"/>
          <w:lang w:eastAsia="zh-CN"/>
        </w:rPr>
        <w:sectPr>
          <w:footerReference r:id="rId4" w:type="default"/>
          <w:pgSz w:w="11906" w:h="16838"/>
          <w:pgMar w:top="1440" w:right="1800" w:bottom="1440" w:left="1800" w:header="851" w:footer="992" w:gutter="0"/>
          <w:pgNumType w:fmt="decimal" w:start="1"/>
          <w:cols w:space="720" w:num="1"/>
          <w:docGrid w:type="lines" w:linePitch="312" w:charSpace="0"/>
        </w:sectPr>
      </w:pPr>
    </w:p>
    <w:p>
      <w:pPr>
        <w:keepNext w:val="0"/>
        <w:keepLines w:val="0"/>
        <w:pageBreakBefore w:val="0"/>
        <w:widowControl/>
        <w:kinsoku/>
        <w:wordWrap/>
        <w:overflowPunct/>
        <w:topLinePunct/>
        <w:autoSpaceDE/>
        <w:autoSpaceDN/>
        <w:adjustRightInd/>
        <w:snapToGrid/>
        <w:spacing w:line="480" w:lineRule="atLeast"/>
        <w:ind w:left="0" w:firstLine="60"/>
        <w:jc w:val="center"/>
        <w:rPr>
          <w:rFonts w:hint="eastAsia" w:ascii="方正小标宋简体" w:eastAsia="方正小标宋简体" w:cs="宋体"/>
          <w:color w:val="auto"/>
          <w:kern w:val="0"/>
          <w:sz w:val="52"/>
          <w:szCs w:val="52"/>
          <w:lang w:eastAsia="zh-CN"/>
        </w:rPr>
      </w:pPr>
      <w:r>
        <w:rPr>
          <w:rFonts w:hint="eastAsia" w:ascii="方正小标宋简体" w:eastAsia="方正小标宋简体" w:cs="宋体"/>
          <w:color w:val="auto"/>
          <w:kern w:val="0"/>
          <w:sz w:val="52"/>
          <w:szCs w:val="52"/>
          <w:lang w:eastAsia="zh-CN"/>
        </w:rPr>
        <w:t>金川县文学艺术界联合会</w:t>
      </w:r>
    </w:p>
    <w:p>
      <w:pPr>
        <w:keepNext w:val="0"/>
        <w:keepLines w:val="0"/>
        <w:pageBreakBefore w:val="0"/>
        <w:widowControl/>
        <w:kinsoku/>
        <w:wordWrap/>
        <w:overflowPunct/>
        <w:topLinePunct/>
        <w:autoSpaceDE/>
        <w:autoSpaceDN/>
        <w:bidi w:val="0"/>
        <w:adjustRightInd/>
        <w:snapToGrid/>
        <w:spacing w:line="480" w:lineRule="atLeast"/>
        <w:ind w:left="0" w:right="0" w:firstLine="60"/>
        <w:jc w:val="center"/>
        <w:textAlignment w:val="auto"/>
        <w:outlineLvl w:val="9"/>
        <w:rPr>
          <w:rFonts w:hint="eastAsia" w:ascii="方正小标宋简体" w:eastAsia="方正小标宋简体" w:cs="宋体"/>
          <w:color w:val="auto"/>
          <w:kern w:val="0"/>
          <w:sz w:val="52"/>
          <w:szCs w:val="52"/>
        </w:rPr>
      </w:pPr>
      <w:r>
        <w:rPr>
          <w:rFonts w:hint="eastAsia" w:ascii="方正小标宋简体" w:eastAsia="方正小标宋简体" w:cs="宋体"/>
          <w:color w:val="auto"/>
          <w:kern w:val="0"/>
          <w:sz w:val="52"/>
          <w:szCs w:val="52"/>
          <w:lang w:val="en-US" w:eastAsia="zh-CN"/>
        </w:rPr>
        <w:t>2024</w:t>
      </w:r>
      <w:r>
        <w:rPr>
          <w:rFonts w:hint="eastAsia" w:ascii="方正小标宋简体" w:eastAsia="方正小标宋简体" w:cs="宋体"/>
          <w:color w:val="auto"/>
          <w:kern w:val="0"/>
          <w:sz w:val="52"/>
          <w:szCs w:val="52"/>
        </w:rPr>
        <w:t>年部门预算编制说明</w:t>
      </w:r>
    </w:p>
    <w:p>
      <w:pPr>
        <w:keepNext w:val="0"/>
        <w:keepLines w:val="0"/>
        <w:pageBreakBefore w:val="0"/>
        <w:widowControl/>
        <w:kinsoku/>
        <w:wordWrap/>
        <w:overflowPunct/>
        <w:topLinePunct/>
        <w:autoSpaceDE/>
        <w:autoSpaceDN/>
        <w:bidi w:val="0"/>
        <w:adjustRightInd/>
        <w:snapToGrid/>
        <w:spacing w:line="480" w:lineRule="atLeast"/>
        <w:ind w:left="0" w:right="0" w:firstLine="726" w:firstLineChars="227"/>
        <w:jc w:val="left"/>
        <w:textAlignment w:val="auto"/>
        <w:outlineLvl w:val="9"/>
        <w:rPr>
          <w:rFonts w:hint="eastAsia" w:ascii="黑体" w:eastAsia="黑体" w:cs="宋体"/>
          <w:color w:val="333333"/>
          <w:kern w:val="0"/>
          <w:sz w:val="32"/>
          <w:szCs w:val="32"/>
          <w:lang w:eastAsia="zh-CN"/>
        </w:rPr>
      </w:pPr>
      <w:r>
        <w:rPr>
          <w:rFonts w:hint="eastAsia" w:ascii="黑体" w:eastAsia="黑体" w:cs="宋体"/>
          <w:color w:val="333333"/>
          <w:kern w:val="0"/>
          <w:sz w:val="32"/>
          <w:szCs w:val="32"/>
        </w:rPr>
        <w:t>一、基本职能及主要工作</w:t>
      </w:r>
    </w:p>
    <w:p>
      <w:pPr>
        <w:keepNext w:val="0"/>
        <w:keepLines w:val="0"/>
        <w:pageBreakBefore w:val="0"/>
        <w:widowControl/>
        <w:kinsoku/>
        <w:wordWrap/>
        <w:overflowPunct/>
        <w:topLinePunct/>
        <w:autoSpaceDE/>
        <w:autoSpaceDN/>
        <w:bidi w:val="0"/>
        <w:adjustRightInd/>
        <w:snapToGrid/>
        <w:spacing w:line="480" w:lineRule="atLeast"/>
        <w:ind w:left="0" w:right="0" w:firstLine="729" w:firstLineChars="227"/>
        <w:jc w:val="left"/>
        <w:textAlignment w:val="auto"/>
        <w:outlineLvl w:val="9"/>
        <w:rPr>
          <w:rFonts w:hint="eastAsia" w:ascii="楷体_GB2312" w:eastAsia="楷体_GB2312" w:cs="宋体"/>
          <w:b/>
          <w:bCs/>
          <w:color w:val="333333"/>
          <w:kern w:val="0"/>
          <w:sz w:val="32"/>
          <w:szCs w:val="32"/>
        </w:rPr>
      </w:pPr>
      <w:r>
        <w:rPr>
          <w:rFonts w:hint="eastAsia" w:ascii="楷体_GB2312" w:eastAsia="楷体_GB2312" w:cs="宋体"/>
          <w:b/>
          <w:bCs/>
          <w:color w:val="333333"/>
          <w:kern w:val="0"/>
          <w:sz w:val="32"/>
          <w:szCs w:val="32"/>
        </w:rPr>
        <w:t>（一）职能简介</w:t>
      </w:r>
    </w:p>
    <w:p>
      <w:pPr>
        <w:keepNext w:val="0"/>
        <w:keepLines w:val="0"/>
        <w:pageBreakBefore w:val="0"/>
        <w:widowControl/>
        <w:kinsoku/>
        <w:wordWrap/>
        <w:overflowPunct/>
        <w:topLinePunct/>
        <w:autoSpaceDE/>
        <w:autoSpaceDN/>
        <w:bidi w:val="0"/>
        <w:adjustRightInd/>
        <w:snapToGrid/>
        <w:spacing w:line="480" w:lineRule="atLeast"/>
        <w:ind w:left="0" w:right="0" w:firstLine="640" w:firstLineChars="200"/>
        <w:jc w:val="left"/>
        <w:textAlignment w:val="auto"/>
        <w:outlineLvl w:val="9"/>
        <w:rPr>
          <w:rFonts w:hint="eastAsia" w:ascii="仿宋_GB2312" w:eastAsia="仿宋_GB2312" w:cs="宋体"/>
          <w:color w:val="333333"/>
          <w:kern w:val="0"/>
          <w:sz w:val="32"/>
          <w:szCs w:val="32"/>
          <w:lang w:val="en-US" w:eastAsia="zh-CN"/>
        </w:rPr>
      </w:pPr>
      <w:r>
        <w:rPr>
          <w:rFonts w:hint="eastAsia" w:ascii="仿宋_GB2312" w:eastAsia="仿宋_GB2312" w:cs="宋体"/>
          <w:color w:val="333333"/>
          <w:kern w:val="0"/>
          <w:sz w:val="32"/>
          <w:szCs w:val="32"/>
          <w:lang w:val="en-US" w:eastAsia="zh-CN"/>
        </w:rPr>
        <w:t>金川县文学艺术界联合会是由各文艺家协会组成的人民团体，是党和政府联系文艺界的纽带，宗旨和业务范围是贯彻党的文艺路线方针和政策，拟定文艺事业发展规划，开展同各团体会员的联络、协调服务工作；组织各门艺术门类的创作和评论、学术交流、实地采风以及文艺精品力作和文艺家的宣传、推介；加强各协会 对文艺家的服务、组织会员间的交流活动；承办县委、县政府和上级有关部门交办的其他事项。</w:t>
      </w:r>
    </w:p>
    <w:p>
      <w:pPr>
        <w:keepNext w:val="0"/>
        <w:keepLines w:val="0"/>
        <w:pageBreakBefore w:val="0"/>
        <w:widowControl/>
        <w:kinsoku/>
        <w:wordWrap/>
        <w:overflowPunct/>
        <w:topLinePunct/>
        <w:autoSpaceDE/>
        <w:autoSpaceDN/>
        <w:bidi w:val="0"/>
        <w:adjustRightInd/>
        <w:snapToGrid/>
        <w:spacing w:line="480" w:lineRule="atLeast"/>
        <w:ind w:left="0" w:right="0" w:firstLine="729" w:firstLineChars="227"/>
        <w:jc w:val="left"/>
        <w:textAlignment w:val="auto"/>
        <w:outlineLvl w:val="9"/>
        <w:rPr>
          <w:rFonts w:hint="eastAsia" w:ascii="楷体_GB2312" w:eastAsia="楷体_GB2312" w:cs="宋体"/>
          <w:b/>
          <w:bCs/>
          <w:color w:val="333333"/>
          <w:kern w:val="0"/>
          <w:sz w:val="32"/>
          <w:szCs w:val="32"/>
        </w:rPr>
      </w:pPr>
      <w:r>
        <w:rPr>
          <w:rFonts w:hint="eastAsia" w:ascii="楷体_GB2312" w:eastAsia="楷体_GB2312" w:cs="宋体"/>
          <w:b/>
          <w:bCs/>
          <w:color w:val="333333"/>
          <w:kern w:val="0"/>
          <w:sz w:val="32"/>
          <w:szCs w:val="32"/>
          <w:lang w:eastAsia="zh-CN"/>
        </w:rPr>
        <w:t>（二）</w:t>
      </w:r>
      <w:r>
        <w:rPr>
          <w:rFonts w:hint="eastAsia" w:ascii="楷体_GB2312" w:eastAsia="楷体_GB2312" w:cs="宋体"/>
          <w:b/>
          <w:bCs/>
          <w:color w:val="333333"/>
          <w:kern w:val="0"/>
          <w:sz w:val="32"/>
          <w:szCs w:val="32"/>
          <w:lang w:val="en-US" w:eastAsia="zh-CN"/>
        </w:rPr>
        <w:t>2024</w:t>
      </w:r>
      <w:r>
        <w:rPr>
          <w:rFonts w:hint="eastAsia" w:ascii="楷体_GB2312" w:eastAsia="楷体_GB2312" w:cs="宋体"/>
          <w:b/>
          <w:bCs/>
          <w:color w:val="333333"/>
          <w:kern w:val="0"/>
          <w:sz w:val="32"/>
          <w:szCs w:val="32"/>
        </w:rPr>
        <w:t>年重点工作</w:t>
      </w:r>
    </w:p>
    <w:p>
      <w:pPr>
        <w:keepNext w:val="0"/>
        <w:keepLines w:val="0"/>
        <w:pageBreakBefore w:val="0"/>
        <w:widowControl/>
        <w:kinsoku/>
        <w:wordWrap/>
        <w:overflowPunct/>
        <w:topLinePunct/>
        <w:autoSpaceDE/>
        <w:autoSpaceDN/>
        <w:bidi w:val="0"/>
        <w:adjustRightInd/>
        <w:snapToGrid/>
        <w:spacing w:line="480" w:lineRule="atLeast"/>
        <w:ind w:left="0" w:right="0" w:firstLine="640" w:firstLineChars="200"/>
        <w:jc w:val="left"/>
        <w:textAlignment w:val="auto"/>
        <w:outlineLvl w:val="9"/>
        <w:rPr>
          <w:rFonts w:hint="default" w:ascii="仿宋_GB2312" w:eastAsia="仿宋_GB2312" w:cs="宋体"/>
          <w:color w:val="333333"/>
          <w:kern w:val="0"/>
          <w:sz w:val="32"/>
          <w:szCs w:val="32"/>
          <w:lang w:val="en-US" w:eastAsia="zh-CN"/>
        </w:rPr>
      </w:pPr>
      <w:r>
        <w:rPr>
          <w:rFonts w:hint="eastAsia" w:ascii="仿宋_GB2312" w:eastAsia="仿宋_GB2312" w:cs="宋体"/>
          <w:color w:val="333333"/>
          <w:kern w:val="0"/>
          <w:sz w:val="32"/>
          <w:szCs w:val="32"/>
          <w:lang w:val="en-US" w:eastAsia="zh-CN"/>
        </w:rPr>
        <w:t>2024年，按照县委县政府工作总体安排，着力抓好以下6项重点工作。一是认真开展学习贯彻习近平新时代中国特色社会主义思想主题教育；二是继续开展“六大六治”行动，持续优化干部作风；三是组织开展《阿木穰将军》专著实地踏勘工作，收集整理好第一手资料，写好金川的民族英雄；四是结合梨花节、红叶节、丰收节、民族团结进步月等特色活动，联合县级部门组织开展主题文艺活动，营造浓厚氛围；五是持续开展“金川民俗”展示行动；六是发挥“创阅中心”带动效能，持续开展赠书活动，浓郁阅读氛围。</w:t>
      </w:r>
    </w:p>
    <w:p>
      <w:pPr>
        <w:keepNext w:val="0"/>
        <w:keepLines w:val="0"/>
        <w:pageBreakBefore w:val="0"/>
        <w:widowControl/>
        <w:kinsoku/>
        <w:wordWrap/>
        <w:overflowPunct/>
        <w:topLinePunct/>
        <w:autoSpaceDE/>
        <w:autoSpaceDN/>
        <w:bidi w:val="0"/>
        <w:adjustRightInd/>
        <w:snapToGrid/>
        <w:spacing w:line="480" w:lineRule="atLeast"/>
        <w:ind w:left="0" w:right="0"/>
        <w:jc w:val="left"/>
        <w:textAlignment w:val="auto"/>
        <w:outlineLvl w:val="9"/>
        <w:rPr>
          <w:rFonts w:hint="eastAsia" w:ascii="黑体" w:eastAsia="黑体" w:cs="宋体"/>
          <w:color w:val="333333"/>
          <w:kern w:val="0"/>
          <w:sz w:val="32"/>
          <w:szCs w:val="32"/>
          <w:lang w:eastAsia="zh-CN"/>
        </w:rPr>
      </w:pPr>
      <w:r>
        <w:rPr>
          <w:rFonts w:hint="eastAsia" w:ascii="仿宋_GB2312" w:eastAsia="仿宋_GB2312" w:cs="宋体"/>
          <w:color w:val="333333"/>
          <w:kern w:val="0"/>
          <w:sz w:val="32"/>
          <w:szCs w:val="32"/>
        </w:rPr>
        <w:t>　　</w:t>
      </w:r>
      <w:r>
        <w:rPr>
          <w:rFonts w:hint="eastAsia" w:ascii="黑体" w:eastAsia="黑体" w:cs="宋体"/>
          <w:color w:val="333333"/>
          <w:kern w:val="0"/>
          <w:sz w:val="32"/>
          <w:szCs w:val="32"/>
        </w:rPr>
        <w:t>二、部门预算单位构成</w:t>
      </w:r>
    </w:p>
    <w:p>
      <w:pPr>
        <w:keepNext w:val="0"/>
        <w:keepLines w:val="0"/>
        <w:pageBreakBefore w:val="0"/>
        <w:widowControl/>
        <w:kinsoku/>
        <w:wordWrap/>
        <w:overflowPunct/>
        <w:topLinePunct/>
        <w:autoSpaceDE/>
        <w:autoSpaceDN/>
        <w:bidi w:val="0"/>
        <w:adjustRightInd/>
        <w:snapToGrid/>
        <w:spacing w:line="480" w:lineRule="atLeast"/>
        <w:ind w:left="0" w:right="0"/>
        <w:jc w:val="left"/>
        <w:textAlignment w:val="auto"/>
        <w:outlineLvl w:val="9"/>
        <w:rPr>
          <w:rFonts w:hint="eastAsia" w:ascii="仿宋_GB2312" w:eastAsia="仿宋_GB2312" w:cs="宋体"/>
          <w:color w:val="333333"/>
          <w:kern w:val="0"/>
          <w:sz w:val="32"/>
          <w:szCs w:val="32"/>
          <w:lang w:eastAsia="zh-CN"/>
        </w:rPr>
      </w:pPr>
      <w:r>
        <w:rPr>
          <w:rFonts w:hint="eastAsia" w:ascii="仿宋_GB2312" w:eastAsia="仿宋_GB2312" w:cs="宋体"/>
          <w:color w:val="333333"/>
          <w:kern w:val="0"/>
          <w:sz w:val="32"/>
          <w:szCs w:val="32"/>
        </w:rPr>
        <w:t>　　</w:t>
      </w:r>
      <w:r>
        <w:rPr>
          <w:rFonts w:hint="eastAsia" w:ascii="仿宋_GB2312" w:eastAsia="仿宋_GB2312" w:cs="宋体"/>
          <w:color w:val="333333"/>
          <w:kern w:val="0"/>
          <w:sz w:val="32"/>
          <w:szCs w:val="32"/>
          <w:lang w:eastAsia="zh-CN"/>
        </w:rPr>
        <w:t>文联</w:t>
      </w:r>
      <w:r>
        <w:rPr>
          <w:rFonts w:hint="eastAsia" w:ascii="仿宋_GB2312" w:eastAsia="仿宋_GB2312" w:cs="宋体"/>
          <w:color w:val="333333"/>
          <w:kern w:val="0"/>
          <w:sz w:val="32"/>
          <w:szCs w:val="32"/>
        </w:rPr>
        <w:t>预算单位1个，其中</w:t>
      </w:r>
      <w:r>
        <w:rPr>
          <w:rFonts w:hint="eastAsia" w:ascii="仿宋_GB2312" w:eastAsia="仿宋_GB2312" w:cs="宋体"/>
          <w:color w:val="333333"/>
          <w:kern w:val="0"/>
          <w:sz w:val="32"/>
          <w:szCs w:val="32"/>
          <w:lang w:eastAsia="zh-CN"/>
        </w:rPr>
        <w:t>事业</w:t>
      </w:r>
      <w:r>
        <w:rPr>
          <w:rFonts w:hint="eastAsia" w:ascii="仿宋_GB2312" w:eastAsia="仿宋_GB2312" w:cs="宋体"/>
          <w:color w:val="333333"/>
          <w:kern w:val="0"/>
          <w:sz w:val="32"/>
          <w:szCs w:val="32"/>
        </w:rPr>
        <w:t>单位1个</w:t>
      </w:r>
      <w:r>
        <w:rPr>
          <w:rFonts w:hint="eastAsia" w:ascii="仿宋_GB2312" w:eastAsia="仿宋_GB2312" w:cs="宋体"/>
          <w:color w:val="333333"/>
          <w:kern w:val="0"/>
          <w:sz w:val="32"/>
          <w:szCs w:val="32"/>
          <w:lang w:eastAsia="zh-CN"/>
        </w:rPr>
        <w:t>，</w:t>
      </w:r>
      <w:r>
        <w:rPr>
          <w:rFonts w:hint="eastAsia" w:ascii="仿宋_GB2312" w:eastAsia="仿宋_GB2312" w:cs="宋体"/>
          <w:color w:val="333333"/>
          <w:kern w:val="0"/>
          <w:sz w:val="32"/>
          <w:szCs w:val="32"/>
          <w:lang w:val="en-US" w:eastAsia="zh-CN"/>
        </w:rPr>
        <w:t>编制事业管理4人，实有事业管理4人</w:t>
      </w:r>
      <w:r>
        <w:rPr>
          <w:rFonts w:hint="eastAsia" w:ascii="仿宋_GB2312" w:eastAsia="仿宋_GB2312" w:cs="宋体"/>
          <w:color w:val="333333"/>
          <w:kern w:val="0"/>
          <w:sz w:val="32"/>
          <w:szCs w:val="32"/>
          <w:lang w:eastAsia="zh-CN"/>
        </w:rPr>
        <w:t>。</w:t>
      </w:r>
    </w:p>
    <w:p>
      <w:pPr>
        <w:keepNext w:val="0"/>
        <w:keepLines w:val="0"/>
        <w:pageBreakBefore w:val="0"/>
        <w:widowControl/>
        <w:kinsoku/>
        <w:wordWrap/>
        <w:overflowPunct/>
        <w:topLinePunct/>
        <w:autoSpaceDE/>
        <w:autoSpaceDN/>
        <w:bidi w:val="0"/>
        <w:adjustRightInd/>
        <w:snapToGrid/>
        <w:spacing w:line="480" w:lineRule="atLeast"/>
        <w:ind w:left="0" w:right="0"/>
        <w:jc w:val="left"/>
        <w:textAlignment w:val="auto"/>
        <w:outlineLvl w:val="9"/>
        <w:rPr>
          <w:rFonts w:hint="eastAsia" w:ascii="黑体" w:eastAsia="黑体" w:cs="宋体"/>
          <w:color w:val="333333"/>
          <w:kern w:val="0"/>
          <w:sz w:val="32"/>
          <w:szCs w:val="32"/>
          <w:lang w:eastAsia="zh-CN"/>
        </w:rPr>
      </w:pPr>
      <w:r>
        <w:rPr>
          <w:rFonts w:hint="eastAsia" w:ascii="仿宋_GB2312" w:eastAsia="仿宋_GB2312" w:cs="宋体"/>
          <w:color w:val="333333"/>
          <w:kern w:val="0"/>
          <w:sz w:val="32"/>
          <w:szCs w:val="32"/>
        </w:rPr>
        <w:t>　　</w:t>
      </w:r>
      <w:r>
        <w:rPr>
          <w:rFonts w:hint="eastAsia" w:ascii="黑体" w:eastAsia="黑体" w:cs="宋体"/>
          <w:color w:val="333333"/>
          <w:kern w:val="0"/>
          <w:sz w:val="32"/>
          <w:szCs w:val="32"/>
        </w:rPr>
        <w:t>三、收支预算情况说明</w:t>
      </w:r>
    </w:p>
    <w:p>
      <w:pPr>
        <w:keepNext w:val="0"/>
        <w:keepLines w:val="0"/>
        <w:pageBreakBefore w:val="0"/>
        <w:widowControl/>
        <w:kinsoku/>
        <w:wordWrap/>
        <w:overflowPunct/>
        <w:topLinePunct/>
        <w:autoSpaceDE/>
        <w:autoSpaceDN/>
        <w:bidi w:val="0"/>
        <w:adjustRightInd/>
        <w:snapToGrid/>
        <w:spacing w:line="480" w:lineRule="atLeast"/>
        <w:ind w:left="0" w:right="0"/>
        <w:jc w:val="left"/>
        <w:textAlignment w:val="auto"/>
        <w:outlineLvl w:val="9"/>
        <w:rPr>
          <w:rFonts w:hint="eastAsia" w:ascii="仿宋_GB2312" w:eastAsia="仿宋_GB2312" w:cs="宋体"/>
          <w:color w:val="333333"/>
          <w:kern w:val="0"/>
          <w:sz w:val="32"/>
          <w:szCs w:val="32"/>
          <w:lang w:eastAsia="zh-CN"/>
        </w:rPr>
      </w:pPr>
      <w:r>
        <w:rPr>
          <w:rFonts w:hint="eastAsia" w:ascii="仿宋_GB2312" w:eastAsia="仿宋_GB2312" w:cs="宋体"/>
          <w:color w:val="333333"/>
          <w:kern w:val="0"/>
          <w:sz w:val="32"/>
          <w:szCs w:val="32"/>
        </w:rPr>
        <w:t>　　按照综合预算的原则，</w:t>
      </w:r>
      <w:r>
        <w:rPr>
          <w:rFonts w:hint="eastAsia" w:ascii="仿宋_GB2312" w:eastAsia="仿宋_GB2312" w:cs="宋体"/>
          <w:color w:val="333333"/>
          <w:kern w:val="0"/>
          <w:sz w:val="32"/>
          <w:szCs w:val="32"/>
          <w:lang w:eastAsia="zh-CN"/>
        </w:rPr>
        <w:t>文联</w:t>
      </w:r>
      <w:r>
        <w:rPr>
          <w:rFonts w:hint="eastAsia" w:ascii="仿宋_GB2312" w:eastAsia="仿宋_GB2312" w:cs="宋体"/>
          <w:color w:val="333333"/>
          <w:kern w:val="0"/>
          <w:sz w:val="32"/>
          <w:szCs w:val="32"/>
        </w:rPr>
        <w:t>所有收入和支出均纳入部门预算管理。收入包括：</w:t>
      </w:r>
      <w:r>
        <w:rPr>
          <w:rFonts w:hint="eastAsia" w:ascii="仿宋_GB2312" w:eastAsia="仿宋_GB2312" w:cs="宋体"/>
          <w:color w:val="333333"/>
          <w:kern w:val="0"/>
          <w:sz w:val="32"/>
          <w:szCs w:val="32"/>
          <w:lang w:eastAsia="zh-CN"/>
        </w:rPr>
        <w:t>文化旅游体育与传媒</w:t>
      </w:r>
      <w:r>
        <w:rPr>
          <w:rFonts w:hint="eastAsia" w:ascii="仿宋_GB2312" w:eastAsia="仿宋_GB2312" w:cs="宋体"/>
          <w:color w:val="333333"/>
          <w:kern w:val="0"/>
          <w:sz w:val="32"/>
          <w:szCs w:val="32"/>
        </w:rPr>
        <w:t>收入</w:t>
      </w:r>
      <w:r>
        <w:rPr>
          <w:rFonts w:hint="eastAsia" w:ascii="仿宋_GB2312" w:eastAsia="仿宋_GB2312" w:cs="宋体"/>
          <w:color w:val="333333"/>
          <w:kern w:val="0"/>
          <w:sz w:val="32"/>
          <w:szCs w:val="32"/>
          <w:lang w:eastAsia="zh-CN"/>
        </w:rPr>
        <w:t>，社会保障和就业收入，</w:t>
      </w:r>
      <w:r>
        <w:rPr>
          <w:rFonts w:hint="eastAsia" w:ascii="仿宋_GB2312" w:eastAsia="仿宋_GB2312" w:cs="宋体"/>
          <w:color w:val="333333"/>
          <w:kern w:val="0"/>
          <w:sz w:val="32"/>
          <w:szCs w:val="32"/>
        </w:rPr>
        <w:t>医疗卫生与计划生育支出</w:t>
      </w:r>
      <w:r>
        <w:rPr>
          <w:rFonts w:hint="eastAsia" w:ascii="仿宋_GB2312" w:eastAsia="仿宋_GB2312" w:cs="宋体"/>
          <w:color w:val="333333"/>
          <w:kern w:val="0"/>
          <w:sz w:val="32"/>
          <w:szCs w:val="32"/>
          <w:lang w:eastAsia="zh-CN"/>
        </w:rPr>
        <w:t>收入，住房保障收入；</w:t>
      </w:r>
      <w:r>
        <w:rPr>
          <w:rFonts w:hint="eastAsia" w:ascii="仿宋_GB2312" w:eastAsia="仿宋_GB2312" w:cs="宋体"/>
          <w:color w:val="333333"/>
          <w:kern w:val="0"/>
          <w:sz w:val="32"/>
          <w:szCs w:val="32"/>
        </w:rPr>
        <w:t>支出包括：</w:t>
      </w:r>
      <w:r>
        <w:rPr>
          <w:rFonts w:hint="eastAsia" w:ascii="仿宋_GB2312" w:eastAsia="仿宋_GB2312" w:cs="宋体"/>
          <w:color w:val="333333"/>
          <w:kern w:val="0"/>
          <w:sz w:val="32"/>
          <w:szCs w:val="32"/>
          <w:lang w:eastAsia="zh-CN"/>
        </w:rPr>
        <w:t>文化旅游体育与传媒</w:t>
      </w:r>
      <w:r>
        <w:rPr>
          <w:rFonts w:hint="eastAsia" w:ascii="仿宋_GB2312" w:eastAsia="仿宋_GB2312" w:cs="宋体"/>
          <w:color w:val="333333"/>
          <w:kern w:val="0"/>
          <w:sz w:val="32"/>
          <w:szCs w:val="32"/>
        </w:rPr>
        <w:t>支出、社会保障和就业支出、医疗卫生与计划生育支出、住房保障支出。</w:t>
      </w:r>
      <w:r>
        <w:rPr>
          <w:rFonts w:hint="eastAsia" w:ascii="仿宋_GB2312" w:eastAsia="仿宋_GB2312" w:cs="宋体"/>
          <w:color w:val="333333"/>
          <w:kern w:val="0"/>
          <w:sz w:val="32"/>
          <w:szCs w:val="32"/>
          <w:lang w:eastAsia="zh-CN"/>
        </w:rPr>
        <w:t>文联</w:t>
      </w:r>
      <w:r>
        <w:rPr>
          <w:rFonts w:hint="eastAsia" w:ascii="仿宋_GB2312" w:eastAsia="仿宋_GB2312" w:cs="宋体"/>
          <w:color w:val="333333"/>
          <w:kern w:val="0"/>
          <w:sz w:val="32"/>
          <w:szCs w:val="32"/>
        </w:rPr>
        <w:t>20</w:t>
      </w:r>
      <w:r>
        <w:rPr>
          <w:rFonts w:hint="eastAsia" w:ascii="仿宋_GB2312" w:eastAsia="仿宋_GB2312" w:cs="宋体"/>
          <w:color w:val="333333"/>
          <w:kern w:val="0"/>
          <w:sz w:val="32"/>
          <w:szCs w:val="32"/>
          <w:lang w:val="en-US" w:eastAsia="zh-CN"/>
        </w:rPr>
        <w:t>24</w:t>
      </w:r>
      <w:r>
        <w:rPr>
          <w:rFonts w:hint="eastAsia" w:ascii="仿宋_GB2312" w:eastAsia="仿宋_GB2312" w:cs="宋体"/>
          <w:color w:val="333333"/>
          <w:kern w:val="0"/>
          <w:sz w:val="32"/>
          <w:szCs w:val="32"/>
        </w:rPr>
        <w:t>年收支总预算</w:t>
      </w:r>
      <w:r>
        <w:rPr>
          <w:rFonts w:hint="eastAsia" w:ascii="仿宋_GB2312" w:eastAsia="仿宋_GB2312" w:cs="宋体"/>
          <w:color w:val="333333"/>
          <w:kern w:val="0"/>
          <w:sz w:val="32"/>
          <w:szCs w:val="32"/>
          <w:lang w:val="en-US" w:eastAsia="zh-CN"/>
        </w:rPr>
        <w:t>91.51</w:t>
      </w:r>
      <w:r>
        <w:rPr>
          <w:rFonts w:hint="eastAsia" w:ascii="仿宋_GB2312" w:eastAsia="仿宋_GB2312" w:cs="宋体"/>
          <w:color w:val="333333"/>
          <w:kern w:val="0"/>
          <w:sz w:val="32"/>
          <w:szCs w:val="32"/>
        </w:rPr>
        <w:t>万元</w:t>
      </w:r>
      <w:r>
        <w:rPr>
          <w:rFonts w:hint="eastAsia" w:ascii="仿宋_GB2312" w:eastAsia="仿宋_GB2312" w:cs="宋体"/>
          <w:color w:val="333333"/>
          <w:kern w:val="0"/>
          <w:sz w:val="32"/>
          <w:szCs w:val="32"/>
          <w:lang w:eastAsia="zh-CN"/>
        </w:rPr>
        <w:t>，</w:t>
      </w:r>
      <w:r>
        <w:rPr>
          <w:rFonts w:hint="eastAsia" w:ascii="仿宋_GB2312" w:eastAsia="仿宋_GB2312" w:cs="宋体"/>
          <w:color w:val="333333"/>
          <w:kern w:val="0"/>
          <w:sz w:val="32"/>
          <w:szCs w:val="32"/>
        </w:rPr>
        <w:t>比20</w:t>
      </w:r>
      <w:r>
        <w:rPr>
          <w:rFonts w:hint="eastAsia" w:ascii="仿宋_GB2312" w:eastAsia="仿宋_GB2312" w:cs="宋体"/>
          <w:color w:val="333333"/>
          <w:kern w:val="0"/>
          <w:sz w:val="32"/>
          <w:szCs w:val="32"/>
          <w:lang w:val="en-US" w:eastAsia="zh-CN"/>
        </w:rPr>
        <w:t>23</w:t>
      </w:r>
      <w:r>
        <w:rPr>
          <w:rFonts w:hint="eastAsia" w:ascii="仿宋_GB2312" w:eastAsia="仿宋_GB2312" w:cs="宋体"/>
          <w:color w:val="333333"/>
          <w:kern w:val="0"/>
          <w:sz w:val="32"/>
          <w:szCs w:val="32"/>
        </w:rPr>
        <w:t>年收支预算总数</w:t>
      </w:r>
      <w:r>
        <w:rPr>
          <w:rFonts w:hint="eastAsia" w:ascii="仿宋_GB2312" w:eastAsia="仿宋_GB2312" w:cs="宋体"/>
          <w:color w:val="333333"/>
          <w:kern w:val="0"/>
          <w:sz w:val="32"/>
          <w:szCs w:val="32"/>
          <w:lang w:eastAsia="zh-CN"/>
        </w:rPr>
        <w:t>增加</w:t>
      </w:r>
      <w:r>
        <w:rPr>
          <w:rFonts w:hint="eastAsia" w:ascii="仿宋_GB2312" w:eastAsia="仿宋_GB2312" w:cs="宋体"/>
          <w:color w:val="333333"/>
          <w:kern w:val="0"/>
          <w:sz w:val="32"/>
          <w:szCs w:val="32"/>
          <w:lang w:val="en-US" w:eastAsia="zh-CN"/>
        </w:rPr>
        <w:t>2.72</w:t>
      </w:r>
      <w:r>
        <w:rPr>
          <w:rFonts w:hint="eastAsia" w:ascii="仿宋_GB2312" w:eastAsia="仿宋_GB2312" w:cs="宋体"/>
          <w:color w:val="333333"/>
          <w:kern w:val="0"/>
          <w:sz w:val="32"/>
          <w:szCs w:val="32"/>
        </w:rPr>
        <w:t>万元，主要是</w:t>
      </w:r>
      <w:r>
        <w:rPr>
          <w:rFonts w:hint="eastAsia" w:ascii="仿宋_GB2312" w:eastAsia="仿宋_GB2312" w:cs="宋体"/>
          <w:color w:val="333333"/>
          <w:kern w:val="0"/>
          <w:sz w:val="32"/>
          <w:szCs w:val="32"/>
          <w:lang w:eastAsia="zh-CN"/>
        </w:rPr>
        <w:t>工资调整，各类保险费用及住房公积金增加</w:t>
      </w:r>
      <w:r>
        <w:rPr>
          <w:rFonts w:hint="eastAsia" w:ascii="仿宋_GB2312" w:eastAsia="仿宋_GB2312" w:cs="宋体"/>
          <w:color w:val="333333"/>
          <w:kern w:val="0"/>
          <w:sz w:val="32"/>
          <w:szCs w:val="32"/>
        </w:rPr>
        <w:t>。</w:t>
      </w:r>
    </w:p>
    <w:p>
      <w:pPr>
        <w:keepNext w:val="0"/>
        <w:keepLines w:val="0"/>
        <w:pageBreakBefore w:val="0"/>
        <w:widowControl/>
        <w:kinsoku/>
        <w:wordWrap/>
        <w:overflowPunct/>
        <w:topLinePunct/>
        <w:autoSpaceDE/>
        <w:autoSpaceDN/>
        <w:bidi w:val="0"/>
        <w:adjustRightInd/>
        <w:snapToGrid/>
        <w:spacing w:line="480" w:lineRule="atLeast"/>
        <w:ind w:left="0" w:right="0"/>
        <w:jc w:val="left"/>
        <w:textAlignment w:val="auto"/>
        <w:outlineLvl w:val="9"/>
        <w:rPr>
          <w:rFonts w:hint="eastAsia" w:ascii="楷体_GB2312" w:eastAsia="楷体_GB2312" w:cs="宋体"/>
          <w:b/>
          <w:bCs/>
          <w:color w:val="333333"/>
          <w:kern w:val="0"/>
          <w:sz w:val="32"/>
          <w:szCs w:val="32"/>
          <w:lang w:eastAsia="zh-CN"/>
        </w:rPr>
      </w:pPr>
      <w:r>
        <w:rPr>
          <w:rFonts w:hint="eastAsia" w:ascii="仿宋_GB2312" w:eastAsia="仿宋_GB2312" w:cs="宋体"/>
          <w:color w:val="333333"/>
          <w:kern w:val="0"/>
          <w:sz w:val="32"/>
          <w:szCs w:val="32"/>
        </w:rPr>
        <w:t>　　</w:t>
      </w:r>
      <w:r>
        <w:rPr>
          <w:rFonts w:hint="eastAsia" w:ascii="楷体_GB2312" w:eastAsia="楷体_GB2312" w:cs="宋体"/>
          <w:b/>
          <w:bCs/>
          <w:color w:val="333333"/>
          <w:kern w:val="0"/>
          <w:sz w:val="32"/>
          <w:szCs w:val="32"/>
        </w:rPr>
        <w:t>（一）收入预算情况。</w:t>
      </w:r>
    </w:p>
    <w:p>
      <w:pPr>
        <w:keepNext w:val="0"/>
        <w:keepLines w:val="0"/>
        <w:pageBreakBefore w:val="0"/>
        <w:widowControl/>
        <w:kinsoku/>
        <w:wordWrap/>
        <w:overflowPunct/>
        <w:topLinePunct/>
        <w:autoSpaceDE/>
        <w:autoSpaceDN/>
        <w:bidi w:val="0"/>
        <w:adjustRightInd/>
        <w:snapToGrid/>
        <w:spacing w:line="480" w:lineRule="atLeast"/>
        <w:ind w:left="0" w:right="0"/>
        <w:jc w:val="left"/>
        <w:textAlignment w:val="auto"/>
        <w:outlineLvl w:val="9"/>
        <w:rPr>
          <w:rFonts w:hint="eastAsia" w:ascii="仿宋_GB2312" w:eastAsia="仿宋_GB2312" w:cs="宋体"/>
          <w:color w:val="333333"/>
          <w:kern w:val="0"/>
          <w:sz w:val="32"/>
          <w:szCs w:val="32"/>
          <w:lang w:eastAsia="zh-CN"/>
        </w:rPr>
      </w:pPr>
      <w:r>
        <w:rPr>
          <w:rFonts w:hint="eastAsia" w:ascii="仿宋_GB2312" w:eastAsia="仿宋_GB2312" w:cs="宋体"/>
          <w:color w:val="333333"/>
          <w:kern w:val="0"/>
          <w:sz w:val="32"/>
          <w:szCs w:val="32"/>
        </w:rPr>
        <w:t>　　20</w:t>
      </w:r>
      <w:r>
        <w:rPr>
          <w:rFonts w:hint="eastAsia" w:ascii="仿宋_GB2312" w:eastAsia="仿宋_GB2312" w:cs="宋体"/>
          <w:color w:val="333333"/>
          <w:kern w:val="0"/>
          <w:sz w:val="32"/>
          <w:szCs w:val="32"/>
          <w:lang w:val="en-US" w:eastAsia="zh-CN"/>
        </w:rPr>
        <w:t>24</w:t>
      </w:r>
      <w:r>
        <w:rPr>
          <w:rFonts w:hint="eastAsia" w:ascii="仿宋_GB2312" w:eastAsia="仿宋_GB2312" w:cs="宋体"/>
          <w:color w:val="333333"/>
          <w:kern w:val="0"/>
          <w:sz w:val="32"/>
          <w:szCs w:val="32"/>
        </w:rPr>
        <w:t>年收入预算</w:t>
      </w:r>
      <w:r>
        <w:rPr>
          <w:rFonts w:hint="eastAsia" w:ascii="仿宋_GB2312" w:eastAsia="仿宋_GB2312" w:cs="宋体"/>
          <w:color w:val="333333"/>
          <w:kern w:val="0"/>
          <w:sz w:val="32"/>
          <w:szCs w:val="32"/>
          <w:lang w:val="en-US" w:eastAsia="zh-CN"/>
        </w:rPr>
        <w:t>91.51</w:t>
      </w:r>
      <w:r>
        <w:rPr>
          <w:rFonts w:hint="eastAsia" w:ascii="仿宋_GB2312" w:eastAsia="仿宋_GB2312" w:cs="宋体"/>
          <w:color w:val="333333"/>
          <w:kern w:val="0"/>
          <w:sz w:val="32"/>
          <w:szCs w:val="32"/>
        </w:rPr>
        <w:t>万元，其中：一般公共预算拨款收入</w:t>
      </w:r>
      <w:r>
        <w:rPr>
          <w:rFonts w:hint="eastAsia" w:ascii="仿宋_GB2312" w:eastAsia="仿宋_GB2312" w:cs="宋体"/>
          <w:color w:val="333333"/>
          <w:kern w:val="0"/>
          <w:sz w:val="32"/>
          <w:szCs w:val="32"/>
          <w:lang w:val="en-US" w:eastAsia="zh-CN"/>
        </w:rPr>
        <w:t>91.51</w:t>
      </w:r>
      <w:r>
        <w:rPr>
          <w:rFonts w:hint="eastAsia" w:ascii="仿宋_GB2312" w:eastAsia="仿宋_GB2312" w:cs="宋体"/>
          <w:color w:val="333333"/>
          <w:kern w:val="0"/>
          <w:sz w:val="32"/>
          <w:szCs w:val="32"/>
        </w:rPr>
        <w:t>万元，占</w:t>
      </w:r>
      <w:r>
        <w:rPr>
          <w:rFonts w:hint="eastAsia" w:ascii="仿宋_GB2312" w:eastAsia="仿宋_GB2312" w:cs="宋体"/>
          <w:color w:val="333333"/>
          <w:kern w:val="0"/>
          <w:sz w:val="32"/>
          <w:szCs w:val="32"/>
          <w:lang w:val="en-US" w:eastAsia="zh-CN"/>
        </w:rPr>
        <w:t>100</w:t>
      </w:r>
      <w:r>
        <w:rPr>
          <w:rFonts w:hint="eastAsia" w:ascii="仿宋_GB2312" w:eastAsia="仿宋_GB2312" w:cs="宋体"/>
          <w:color w:val="333333"/>
          <w:kern w:val="0"/>
          <w:sz w:val="32"/>
          <w:szCs w:val="32"/>
        </w:rPr>
        <w:t>%。</w:t>
      </w:r>
    </w:p>
    <w:p>
      <w:pPr>
        <w:keepNext w:val="0"/>
        <w:keepLines w:val="0"/>
        <w:pageBreakBefore w:val="0"/>
        <w:widowControl/>
        <w:kinsoku/>
        <w:wordWrap/>
        <w:overflowPunct/>
        <w:topLinePunct/>
        <w:autoSpaceDE/>
        <w:autoSpaceDN/>
        <w:bidi w:val="0"/>
        <w:adjustRightInd/>
        <w:snapToGrid/>
        <w:spacing w:line="480" w:lineRule="atLeast"/>
        <w:ind w:left="0" w:right="0"/>
        <w:jc w:val="left"/>
        <w:textAlignment w:val="auto"/>
        <w:outlineLvl w:val="9"/>
        <w:rPr>
          <w:rFonts w:hint="eastAsia" w:ascii="楷体_GB2312" w:eastAsia="楷体_GB2312" w:cs="宋体"/>
          <w:b/>
          <w:bCs/>
          <w:color w:val="333333"/>
          <w:kern w:val="0"/>
          <w:sz w:val="32"/>
          <w:szCs w:val="32"/>
          <w:lang w:eastAsia="zh-CN"/>
        </w:rPr>
      </w:pPr>
      <w:r>
        <w:rPr>
          <w:rFonts w:hint="eastAsia" w:ascii="仿宋_GB2312" w:eastAsia="仿宋_GB2312" w:cs="宋体"/>
          <w:color w:val="333333"/>
          <w:kern w:val="0"/>
          <w:sz w:val="32"/>
          <w:szCs w:val="32"/>
        </w:rPr>
        <w:t>　　</w:t>
      </w:r>
      <w:r>
        <w:rPr>
          <w:rFonts w:hint="eastAsia" w:ascii="楷体_GB2312" w:eastAsia="楷体_GB2312" w:cs="宋体"/>
          <w:b/>
          <w:bCs/>
          <w:color w:val="333333"/>
          <w:kern w:val="0"/>
          <w:sz w:val="32"/>
          <w:szCs w:val="32"/>
        </w:rPr>
        <w:t>（二）支出预算情况。</w:t>
      </w:r>
    </w:p>
    <w:p>
      <w:pPr>
        <w:keepNext w:val="0"/>
        <w:keepLines w:val="0"/>
        <w:pageBreakBefore w:val="0"/>
        <w:widowControl/>
        <w:kinsoku/>
        <w:wordWrap/>
        <w:overflowPunct/>
        <w:topLinePunct/>
        <w:autoSpaceDE/>
        <w:autoSpaceDN/>
        <w:bidi w:val="0"/>
        <w:adjustRightInd/>
        <w:snapToGrid/>
        <w:spacing w:line="480" w:lineRule="atLeast"/>
        <w:ind w:left="0" w:right="0"/>
        <w:jc w:val="left"/>
        <w:textAlignment w:val="auto"/>
        <w:outlineLvl w:val="9"/>
        <w:rPr>
          <w:rFonts w:hint="eastAsia" w:ascii="仿宋_GB2312" w:eastAsia="仿宋_GB2312" w:cs="宋体"/>
          <w:color w:val="333333"/>
          <w:kern w:val="0"/>
          <w:sz w:val="32"/>
          <w:szCs w:val="32"/>
          <w:lang w:eastAsia="zh-CN"/>
        </w:rPr>
      </w:pPr>
      <w:r>
        <w:rPr>
          <w:rFonts w:hint="eastAsia" w:ascii="仿宋_GB2312" w:eastAsia="仿宋_GB2312" w:cs="宋体"/>
          <w:color w:val="333333"/>
          <w:kern w:val="0"/>
          <w:sz w:val="32"/>
          <w:szCs w:val="32"/>
        </w:rPr>
        <w:t>　</w:t>
      </w:r>
      <w:r>
        <w:rPr>
          <w:rFonts w:hint="eastAsia" w:ascii="仿宋_GB2312" w:eastAsia="仿宋_GB2312" w:cs="宋体"/>
          <w:color w:val="333333"/>
          <w:kern w:val="0"/>
          <w:sz w:val="32"/>
          <w:szCs w:val="32"/>
          <w:lang w:eastAsia="zh-CN"/>
        </w:rPr>
        <w:t>　</w:t>
      </w:r>
      <w:r>
        <w:rPr>
          <w:rFonts w:hint="eastAsia" w:ascii="仿宋_GB2312" w:eastAsia="仿宋_GB2312" w:cs="宋体"/>
          <w:color w:val="333333"/>
          <w:kern w:val="0"/>
          <w:sz w:val="32"/>
          <w:szCs w:val="32"/>
          <w:lang w:val="en-US" w:eastAsia="zh-CN"/>
        </w:rPr>
        <w:t>2024</w:t>
      </w:r>
      <w:r>
        <w:rPr>
          <w:rFonts w:hint="eastAsia" w:ascii="仿宋_GB2312" w:eastAsia="仿宋_GB2312" w:cs="宋体"/>
          <w:color w:val="333333"/>
          <w:kern w:val="0"/>
          <w:sz w:val="32"/>
          <w:szCs w:val="32"/>
        </w:rPr>
        <w:t>年支出预算</w:t>
      </w:r>
      <w:r>
        <w:rPr>
          <w:rFonts w:hint="eastAsia" w:ascii="仿宋_GB2312" w:eastAsia="仿宋_GB2312" w:cs="宋体"/>
          <w:color w:val="333333"/>
          <w:kern w:val="0"/>
          <w:sz w:val="32"/>
          <w:szCs w:val="32"/>
          <w:lang w:val="en-US" w:eastAsia="zh-CN"/>
        </w:rPr>
        <w:t>91.51</w:t>
      </w:r>
      <w:r>
        <w:rPr>
          <w:rFonts w:hint="eastAsia" w:ascii="仿宋_GB2312" w:eastAsia="仿宋_GB2312" w:cs="宋体"/>
          <w:color w:val="333333"/>
          <w:kern w:val="0"/>
          <w:sz w:val="32"/>
          <w:szCs w:val="32"/>
        </w:rPr>
        <w:t>万元，其中：基本支出</w:t>
      </w:r>
      <w:r>
        <w:rPr>
          <w:rFonts w:hint="eastAsia" w:ascii="仿宋_GB2312" w:eastAsia="仿宋_GB2312" w:cs="宋体"/>
          <w:color w:val="333333"/>
          <w:kern w:val="0"/>
          <w:sz w:val="32"/>
          <w:szCs w:val="32"/>
          <w:lang w:val="en-US" w:eastAsia="zh-CN"/>
        </w:rPr>
        <w:t>91.51</w:t>
      </w:r>
      <w:r>
        <w:rPr>
          <w:rFonts w:hint="eastAsia" w:ascii="仿宋_GB2312" w:eastAsia="仿宋_GB2312" w:cs="宋体"/>
          <w:color w:val="333333"/>
          <w:kern w:val="0"/>
          <w:sz w:val="32"/>
          <w:szCs w:val="32"/>
        </w:rPr>
        <w:t>万元，占</w:t>
      </w:r>
      <w:r>
        <w:rPr>
          <w:rFonts w:hint="eastAsia" w:ascii="仿宋_GB2312" w:eastAsia="仿宋_GB2312" w:cs="宋体"/>
          <w:color w:val="333333"/>
          <w:kern w:val="0"/>
          <w:sz w:val="32"/>
          <w:szCs w:val="32"/>
          <w:lang w:val="en-US" w:eastAsia="zh-CN"/>
        </w:rPr>
        <w:t>100</w:t>
      </w:r>
      <w:r>
        <w:rPr>
          <w:rFonts w:hint="eastAsia" w:ascii="仿宋_GB2312" w:eastAsia="仿宋_GB2312" w:cs="宋体"/>
          <w:color w:val="333333"/>
          <w:kern w:val="0"/>
          <w:sz w:val="32"/>
          <w:szCs w:val="32"/>
        </w:rPr>
        <w:t>%</w:t>
      </w:r>
      <w:r>
        <w:rPr>
          <w:rFonts w:hint="eastAsia" w:ascii="仿宋_GB2312" w:eastAsia="仿宋_GB2312" w:cs="宋体"/>
          <w:color w:val="333333"/>
          <w:kern w:val="0"/>
          <w:sz w:val="32"/>
          <w:szCs w:val="32"/>
          <w:lang w:eastAsia="zh-CN"/>
        </w:rPr>
        <w:t>；</w:t>
      </w:r>
    </w:p>
    <w:p>
      <w:pPr>
        <w:keepNext w:val="0"/>
        <w:keepLines w:val="0"/>
        <w:pageBreakBefore w:val="0"/>
        <w:widowControl/>
        <w:kinsoku/>
        <w:wordWrap/>
        <w:overflowPunct/>
        <w:topLinePunct/>
        <w:autoSpaceDE/>
        <w:autoSpaceDN/>
        <w:bidi w:val="0"/>
        <w:adjustRightInd/>
        <w:snapToGrid/>
        <w:spacing w:line="480" w:lineRule="atLeast"/>
        <w:ind w:left="0" w:right="0"/>
        <w:jc w:val="left"/>
        <w:textAlignment w:val="auto"/>
        <w:outlineLvl w:val="9"/>
        <w:rPr>
          <w:rFonts w:hint="eastAsia" w:ascii="黑体" w:eastAsia="黑体" w:cs="宋体"/>
          <w:color w:val="333333"/>
          <w:kern w:val="0"/>
          <w:sz w:val="32"/>
          <w:szCs w:val="32"/>
          <w:lang w:eastAsia="zh-CN"/>
        </w:rPr>
      </w:pPr>
      <w:r>
        <w:rPr>
          <w:rFonts w:hint="eastAsia" w:ascii="仿宋_GB2312" w:eastAsia="仿宋_GB2312" w:cs="宋体"/>
          <w:color w:val="333333"/>
          <w:kern w:val="0"/>
          <w:sz w:val="32"/>
          <w:szCs w:val="32"/>
        </w:rPr>
        <w:t>　　</w:t>
      </w:r>
      <w:r>
        <w:rPr>
          <w:rFonts w:hint="eastAsia" w:ascii="黑体" w:eastAsia="黑体" w:cs="宋体"/>
          <w:color w:val="333333"/>
          <w:kern w:val="0"/>
          <w:sz w:val="32"/>
          <w:szCs w:val="32"/>
        </w:rPr>
        <w:t>四、财政拨款收支预算情况说明</w:t>
      </w:r>
    </w:p>
    <w:p>
      <w:pPr>
        <w:keepNext w:val="0"/>
        <w:keepLines w:val="0"/>
        <w:pageBreakBefore w:val="0"/>
        <w:widowControl/>
        <w:kinsoku/>
        <w:wordWrap/>
        <w:overflowPunct/>
        <w:topLinePunct/>
        <w:autoSpaceDE/>
        <w:autoSpaceDN/>
        <w:bidi w:val="0"/>
        <w:adjustRightInd/>
        <w:snapToGrid/>
        <w:spacing w:line="480" w:lineRule="atLeast"/>
        <w:ind w:left="0" w:right="0"/>
        <w:jc w:val="left"/>
        <w:textAlignment w:val="auto"/>
        <w:outlineLvl w:val="9"/>
        <w:rPr>
          <w:rFonts w:hint="eastAsia" w:ascii="仿宋_GB2312" w:eastAsia="仿宋_GB2312" w:cs="宋体"/>
          <w:color w:val="333333"/>
          <w:kern w:val="0"/>
          <w:sz w:val="32"/>
          <w:szCs w:val="32"/>
          <w:lang w:eastAsia="zh-CN"/>
        </w:rPr>
      </w:pPr>
      <w:r>
        <w:rPr>
          <w:rFonts w:hint="eastAsia" w:ascii="仿宋_GB2312" w:eastAsia="仿宋_GB2312" w:cs="宋体"/>
          <w:color w:val="333333"/>
          <w:kern w:val="0"/>
          <w:sz w:val="32"/>
          <w:szCs w:val="32"/>
        </w:rPr>
        <w:t>　　</w:t>
      </w:r>
      <w:r>
        <w:rPr>
          <w:rFonts w:hint="eastAsia" w:ascii="仿宋_GB2312" w:eastAsia="仿宋_GB2312" w:cs="宋体"/>
          <w:color w:val="333333"/>
          <w:kern w:val="0"/>
          <w:sz w:val="32"/>
          <w:szCs w:val="32"/>
          <w:lang w:val="en-US" w:eastAsia="zh-CN"/>
        </w:rPr>
        <w:t>2024</w:t>
      </w:r>
      <w:r>
        <w:rPr>
          <w:rFonts w:hint="eastAsia" w:ascii="仿宋_GB2312" w:eastAsia="仿宋_GB2312" w:cs="宋体"/>
          <w:color w:val="333333"/>
          <w:kern w:val="0"/>
          <w:sz w:val="32"/>
          <w:szCs w:val="32"/>
        </w:rPr>
        <w:t>年财政拨款收支总预算</w:t>
      </w:r>
      <w:r>
        <w:rPr>
          <w:rFonts w:hint="eastAsia" w:ascii="仿宋_GB2312" w:eastAsia="仿宋_GB2312" w:cs="宋体"/>
          <w:color w:val="333333"/>
          <w:kern w:val="0"/>
          <w:sz w:val="32"/>
          <w:szCs w:val="32"/>
          <w:lang w:val="en-US" w:eastAsia="zh-CN"/>
        </w:rPr>
        <w:t>91.51</w:t>
      </w:r>
      <w:r>
        <w:rPr>
          <w:rFonts w:hint="eastAsia" w:ascii="仿宋_GB2312" w:eastAsia="仿宋_GB2312" w:cs="宋体"/>
          <w:color w:val="333333"/>
          <w:kern w:val="0"/>
          <w:sz w:val="32"/>
          <w:szCs w:val="32"/>
        </w:rPr>
        <w:t>万元</w:t>
      </w:r>
      <w:r>
        <w:rPr>
          <w:rFonts w:hint="eastAsia" w:ascii="仿宋_GB2312" w:eastAsia="仿宋_GB2312" w:cs="宋体"/>
          <w:color w:val="333333"/>
          <w:kern w:val="0"/>
          <w:sz w:val="32"/>
          <w:szCs w:val="32"/>
          <w:lang w:eastAsia="zh-CN"/>
        </w:rPr>
        <w:t>，</w:t>
      </w:r>
      <w:r>
        <w:rPr>
          <w:rFonts w:hint="eastAsia" w:ascii="仿宋_GB2312" w:eastAsia="仿宋_GB2312" w:cs="宋体"/>
          <w:color w:val="333333"/>
          <w:kern w:val="0"/>
          <w:sz w:val="32"/>
          <w:szCs w:val="32"/>
        </w:rPr>
        <w:t>比20</w:t>
      </w:r>
      <w:r>
        <w:rPr>
          <w:rFonts w:hint="eastAsia" w:ascii="仿宋_GB2312" w:eastAsia="仿宋_GB2312" w:cs="宋体"/>
          <w:color w:val="333333"/>
          <w:kern w:val="0"/>
          <w:sz w:val="32"/>
          <w:szCs w:val="32"/>
          <w:lang w:val="en-US" w:eastAsia="zh-CN"/>
        </w:rPr>
        <w:t>23</w:t>
      </w:r>
      <w:r>
        <w:rPr>
          <w:rFonts w:hint="eastAsia" w:ascii="仿宋_GB2312" w:eastAsia="仿宋_GB2312" w:cs="宋体"/>
          <w:color w:val="333333"/>
          <w:kern w:val="0"/>
          <w:sz w:val="32"/>
          <w:szCs w:val="32"/>
        </w:rPr>
        <w:t>年财政拨款收支总预算</w:t>
      </w:r>
      <w:r>
        <w:rPr>
          <w:rFonts w:hint="eastAsia" w:ascii="仿宋_GB2312" w:eastAsia="仿宋_GB2312" w:cs="宋体"/>
          <w:color w:val="333333"/>
          <w:kern w:val="0"/>
          <w:sz w:val="32"/>
          <w:szCs w:val="32"/>
          <w:lang w:eastAsia="zh-CN"/>
        </w:rPr>
        <w:t>增加</w:t>
      </w:r>
      <w:r>
        <w:rPr>
          <w:rFonts w:hint="eastAsia" w:ascii="仿宋_GB2312" w:eastAsia="仿宋_GB2312" w:cs="宋体"/>
          <w:color w:val="333333"/>
          <w:kern w:val="0"/>
          <w:sz w:val="32"/>
          <w:szCs w:val="32"/>
          <w:lang w:val="en-US" w:eastAsia="zh-CN"/>
        </w:rPr>
        <w:t>2.72</w:t>
      </w:r>
      <w:r>
        <w:rPr>
          <w:rFonts w:hint="eastAsia" w:ascii="仿宋_GB2312" w:eastAsia="仿宋_GB2312" w:cs="宋体"/>
          <w:color w:val="333333"/>
          <w:kern w:val="0"/>
          <w:sz w:val="32"/>
          <w:szCs w:val="32"/>
        </w:rPr>
        <w:t>万元，主要是因为</w:t>
      </w:r>
      <w:r>
        <w:rPr>
          <w:rFonts w:hint="eastAsia" w:ascii="仿宋_GB2312" w:eastAsia="仿宋_GB2312" w:cs="宋体"/>
          <w:color w:val="333333"/>
          <w:kern w:val="0"/>
          <w:sz w:val="32"/>
          <w:szCs w:val="32"/>
          <w:lang w:eastAsia="zh-CN"/>
        </w:rPr>
        <w:t>人员工资调整，各类保险费用及住房公积金增加</w:t>
      </w:r>
      <w:r>
        <w:rPr>
          <w:rFonts w:hint="eastAsia" w:ascii="仿宋_GB2312" w:eastAsia="仿宋_GB2312" w:cs="宋体"/>
          <w:color w:val="333333"/>
          <w:kern w:val="0"/>
          <w:sz w:val="32"/>
          <w:szCs w:val="32"/>
        </w:rPr>
        <w:t>。</w:t>
      </w:r>
    </w:p>
    <w:p>
      <w:pPr>
        <w:keepNext w:val="0"/>
        <w:keepLines w:val="0"/>
        <w:pageBreakBefore w:val="0"/>
        <w:widowControl/>
        <w:kinsoku/>
        <w:wordWrap/>
        <w:overflowPunct/>
        <w:topLinePunct/>
        <w:autoSpaceDE/>
        <w:autoSpaceDN/>
        <w:bidi w:val="0"/>
        <w:adjustRightInd/>
        <w:snapToGrid/>
        <w:spacing w:line="480" w:lineRule="atLeast"/>
        <w:ind w:left="0" w:right="0"/>
        <w:jc w:val="left"/>
        <w:textAlignment w:val="auto"/>
        <w:outlineLvl w:val="9"/>
        <w:rPr>
          <w:rFonts w:hint="eastAsia" w:ascii="仿宋_GB2312" w:eastAsia="仿宋_GB2312" w:cs="宋体"/>
          <w:color w:val="000000" w:themeColor="text1"/>
          <w:kern w:val="0"/>
          <w:sz w:val="32"/>
          <w:szCs w:val="32"/>
          <w:lang w:val="en-US" w:eastAsia="zh-CN"/>
          <w14:textFill>
            <w14:solidFill>
              <w14:schemeClr w14:val="tx1"/>
            </w14:solidFill>
          </w14:textFill>
        </w:rPr>
      </w:pPr>
      <w:r>
        <w:rPr>
          <w:rFonts w:hint="eastAsia" w:ascii="仿宋_GB2312" w:eastAsia="仿宋_GB2312" w:cs="宋体"/>
          <w:color w:val="333333"/>
          <w:kern w:val="0"/>
          <w:sz w:val="32"/>
          <w:szCs w:val="32"/>
        </w:rPr>
        <w:t>　　</w:t>
      </w:r>
      <w:r>
        <w:rPr>
          <w:rFonts w:hint="eastAsia" w:ascii="仿宋_GB2312" w:eastAsia="仿宋_GB2312" w:cs="宋体"/>
          <w:color w:val="000000" w:themeColor="text1"/>
          <w:kern w:val="0"/>
          <w:sz w:val="32"/>
          <w:szCs w:val="32"/>
          <w14:textFill>
            <w14:solidFill>
              <w14:schemeClr w14:val="tx1"/>
            </w14:solidFill>
          </w14:textFill>
        </w:rPr>
        <w:t>收入包括：本年一般公共预算拨款收入</w:t>
      </w:r>
      <w:r>
        <w:rPr>
          <w:rFonts w:hint="eastAsia" w:ascii="仿宋_GB2312" w:eastAsia="仿宋_GB2312" w:cs="宋体"/>
          <w:color w:val="000000" w:themeColor="text1"/>
          <w:kern w:val="0"/>
          <w:sz w:val="32"/>
          <w:szCs w:val="32"/>
          <w:lang w:val="en-US" w:eastAsia="zh-CN"/>
          <w14:textFill>
            <w14:solidFill>
              <w14:schemeClr w14:val="tx1"/>
            </w14:solidFill>
          </w14:textFill>
        </w:rPr>
        <w:t>91.51</w:t>
      </w:r>
      <w:r>
        <w:rPr>
          <w:rFonts w:hint="eastAsia" w:ascii="仿宋_GB2312" w:eastAsia="仿宋_GB2312" w:cs="宋体"/>
          <w:color w:val="000000" w:themeColor="text1"/>
          <w:kern w:val="0"/>
          <w:sz w:val="32"/>
          <w:szCs w:val="32"/>
          <w14:textFill>
            <w14:solidFill>
              <w14:schemeClr w14:val="tx1"/>
            </w14:solidFill>
          </w14:textFill>
        </w:rPr>
        <w:t>万元</w:t>
      </w:r>
      <w:r>
        <w:rPr>
          <w:rFonts w:hint="eastAsia" w:ascii="仿宋_GB2312" w:eastAsia="仿宋_GB2312" w:cs="宋体"/>
          <w:color w:val="000000" w:themeColor="text1"/>
          <w:kern w:val="0"/>
          <w:sz w:val="32"/>
          <w:szCs w:val="32"/>
          <w:lang w:eastAsia="zh-CN"/>
          <w14:textFill>
            <w14:solidFill>
              <w14:schemeClr w14:val="tx1"/>
            </w14:solidFill>
          </w14:textFill>
        </w:rPr>
        <w:t>，</w:t>
      </w:r>
      <w:r>
        <w:rPr>
          <w:rFonts w:hint="eastAsia" w:ascii="仿宋_GB2312" w:eastAsia="仿宋_GB2312" w:cs="宋体"/>
          <w:color w:val="000000" w:themeColor="text1"/>
          <w:kern w:val="0"/>
          <w:sz w:val="32"/>
          <w:szCs w:val="32"/>
          <w14:textFill>
            <w14:solidFill>
              <w14:schemeClr w14:val="tx1"/>
            </w14:solidFill>
          </w14:textFill>
        </w:rPr>
        <w:t>支出包括：</w:t>
      </w:r>
      <w:r>
        <w:rPr>
          <w:rFonts w:hint="eastAsia" w:ascii="仿宋_GB2312" w:eastAsia="仿宋_GB2312" w:cs="宋体"/>
          <w:color w:val="000000" w:themeColor="text1"/>
          <w:kern w:val="0"/>
          <w:sz w:val="32"/>
          <w:szCs w:val="32"/>
          <w:lang w:eastAsia="zh-CN"/>
          <w14:textFill>
            <w14:solidFill>
              <w14:schemeClr w14:val="tx1"/>
            </w14:solidFill>
          </w14:textFill>
        </w:rPr>
        <w:t>文化旅游体育与传媒</w:t>
      </w:r>
      <w:r>
        <w:rPr>
          <w:rFonts w:hint="eastAsia" w:ascii="仿宋_GB2312" w:eastAsia="仿宋_GB2312" w:cs="宋体"/>
          <w:color w:val="000000" w:themeColor="text1"/>
          <w:kern w:val="0"/>
          <w:sz w:val="32"/>
          <w:szCs w:val="32"/>
          <w14:textFill>
            <w14:solidFill>
              <w14:schemeClr w14:val="tx1"/>
            </w14:solidFill>
          </w14:textFill>
        </w:rPr>
        <w:t>支出</w:t>
      </w:r>
      <w:r>
        <w:rPr>
          <w:rFonts w:hint="eastAsia" w:ascii="仿宋_GB2312" w:eastAsia="仿宋_GB2312" w:cs="宋体"/>
          <w:color w:val="000000" w:themeColor="text1"/>
          <w:kern w:val="0"/>
          <w:sz w:val="32"/>
          <w:szCs w:val="32"/>
          <w:lang w:val="en-US" w:eastAsia="zh-CN"/>
          <w14:textFill>
            <w14:solidFill>
              <w14:schemeClr w14:val="tx1"/>
            </w14:solidFill>
          </w14:textFill>
        </w:rPr>
        <w:t>65.21</w:t>
      </w:r>
      <w:r>
        <w:rPr>
          <w:rFonts w:hint="eastAsia" w:ascii="仿宋_GB2312" w:eastAsia="仿宋_GB2312" w:cs="宋体"/>
          <w:color w:val="000000" w:themeColor="text1"/>
          <w:kern w:val="0"/>
          <w:sz w:val="32"/>
          <w:szCs w:val="32"/>
          <w14:textFill>
            <w14:solidFill>
              <w14:schemeClr w14:val="tx1"/>
            </w14:solidFill>
          </w14:textFill>
        </w:rPr>
        <w:t>万元、社会保障和就业支出</w:t>
      </w:r>
      <w:r>
        <w:rPr>
          <w:rFonts w:hint="eastAsia" w:ascii="仿宋_GB2312" w:eastAsia="仿宋_GB2312" w:cs="宋体"/>
          <w:color w:val="000000" w:themeColor="text1"/>
          <w:kern w:val="0"/>
          <w:sz w:val="32"/>
          <w:szCs w:val="32"/>
          <w:lang w:val="en-US" w:eastAsia="zh-CN"/>
          <w14:textFill>
            <w14:solidFill>
              <w14:schemeClr w14:val="tx1"/>
            </w14:solidFill>
          </w14:textFill>
        </w:rPr>
        <w:t>13.4</w:t>
      </w:r>
      <w:r>
        <w:rPr>
          <w:rFonts w:hint="eastAsia" w:ascii="仿宋_GB2312" w:eastAsia="仿宋_GB2312" w:cs="宋体"/>
          <w:color w:val="000000" w:themeColor="text1"/>
          <w:kern w:val="0"/>
          <w:sz w:val="32"/>
          <w:szCs w:val="32"/>
          <w14:textFill>
            <w14:solidFill>
              <w14:schemeClr w14:val="tx1"/>
            </w14:solidFill>
          </w14:textFill>
        </w:rPr>
        <w:t>万元、医疗卫生与计划生育支出</w:t>
      </w:r>
      <w:r>
        <w:rPr>
          <w:rFonts w:hint="eastAsia" w:ascii="仿宋_GB2312" w:eastAsia="仿宋_GB2312" w:cs="宋体"/>
          <w:color w:val="000000" w:themeColor="text1"/>
          <w:kern w:val="0"/>
          <w:sz w:val="32"/>
          <w:szCs w:val="32"/>
          <w:lang w:val="en-US" w:eastAsia="zh-CN"/>
          <w14:textFill>
            <w14:solidFill>
              <w14:schemeClr w14:val="tx1"/>
            </w14:solidFill>
          </w14:textFill>
        </w:rPr>
        <w:t>5.44</w:t>
      </w:r>
      <w:r>
        <w:rPr>
          <w:rFonts w:hint="eastAsia" w:ascii="仿宋_GB2312" w:eastAsia="仿宋_GB2312" w:cs="宋体"/>
          <w:color w:val="000000" w:themeColor="text1"/>
          <w:kern w:val="0"/>
          <w:sz w:val="32"/>
          <w:szCs w:val="32"/>
          <w14:textFill>
            <w14:solidFill>
              <w14:schemeClr w14:val="tx1"/>
            </w14:solidFill>
          </w14:textFill>
        </w:rPr>
        <w:t>万元、住房保障支出</w:t>
      </w:r>
      <w:r>
        <w:rPr>
          <w:rFonts w:hint="eastAsia" w:ascii="仿宋_GB2312" w:eastAsia="仿宋_GB2312" w:cs="宋体"/>
          <w:color w:val="000000" w:themeColor="text1"/>
          <w:kern w:val="0"/>
          <w:sz w:val="32"/>
          <w:szCs w:val="32"/>
          <w:lang w:val="en-US" w:eastAsia="zh-CN"/>
          <w14:textFill>
            <w14:solidFill>
              <w14:schemeClr w14:val="tx1"/>
            </w14:solidFill>
          </w14:textFill>
        </w:rPr>
        <w:t>7.47</w:t>
      </w:r>
      <w:r>
        <w:rPr>
          <w:rFonts w:hint="eastAsia" w:ascii="仿宋_GB2312" w:eastAsia="仿宋_GB2312" w:cs="宋体"/>
          <w:color w:val="000000" w:themeColor="text1"/>
          <w:kern w:val="0"/>
          <w:sz w:val="32"/>
          <w:szCs w:val="32"/>
          <w14:textFill>
            <w14:solidFill>
              <w14:schemeClr w14:val="tx1"/>
            </w14:solidFill>
          </w14:textFill>
        </w:rPr>
        <w:t>万元</w:t>
      </w:r>
      <w:r>
        <w:rPr>
          <w:rFonts w:hint="eastAsia" w:ascii="仿宋_GB2312" w:eastAsia="仿宋_GB2312" w:cs="宋体"/>
          <w:color w:val="000000" w:themeColor="text1"/>
          <w:kern w:val="0"/>
          <w:sz w:val="32"/>
          <w:szCs w:val="32"/>
          <w:lang w:val="en-US" w:eastAsia="zh-CN"/>
          <w14:textFill>
            <w14:solidFill>
              <w14:schemeClr w14:val="tx1"/>
            </w14:solidFill>
          </w14:textFill>
        </w:rPr>
        <w:t>。</w:t>
      </w:r>
    </w:p>
    <w:p>
      <w:pPr>
        <w:keepNext w:val="0"/>
        <w:keepLines w:val="0"/>
        <w:pageBreakBefore w:val="0"/>
        <w:widowControl/>
        <w:kinsoku/>
        <w:wordWrap/>
        <w:overflowPunct/>
        <w:topLinePunct/>
        <w:autoSpaceDE/>
        <w:autoSpaceDN/>
        <w:bidi w:val="0"/>
        <w:adjustRightInd/>
        <w:snapToGrid/>
        <w:spacing w:line="480" w:lineRule="atLeast"/>
        <w:ind w:left="0" w:right="0"/>
        <w:jc w:val="left"/>
        <w:textAlignment w:val="auto"/>
        <w:outlineLvl w:val="9"/>
        <w:rPr>
          <w:rFonts w:hint="eastAsia" w:ascii="黑体" w:eastAsia="黑体" w:cs="宋体"/>
          <w:color w:val="333333"/>
          <w:kern w:val="0"/>
          <w:sz w:val="32"/>
          <w:szCs w:val="32"/>
          <w:lang w:eastAsia="zh-CN"/>
        </w:rPr>
      </w:pPr>
      <w:r>
        <w:rPr>
          <w:rFonts w:hint="eastAsia" w:ascii="仿宋_GB2312" w:eastAsia="仿宋_GB2312" w:cs="宋体"/>
          <w:color w:val="333333"/>
          <w:kern w:val="0"/>
          <w:sz w:val="32"/>
          <w:szCs w:val="32"/>
        </w:rPr>
        <w:t>　　</w:t>
      </w:r>
      <w:r>
        <w:rPr>
          <w:rFonts w:hint="eastAsia" w:ascii="黑体" w:eastAsia="黑体" w:cs="宋体"/>
          <w:color w:val="333333"/>
          <w:kern w:val="0"/>
          <w:sz w:val="32"/>
          <w:szCs w:val="32"/>
        </w:rPr>
        <w:t>五、一般公共预算当年拨款情况说明</w:t>
      </w:r>
    </w:p>
    <w:p>
      <w:pPr>
        <w:keepNext w:val="0"/>
        <w:keepLines w:val="0"/>
        <w:pageBreakBefore w:val="0"/>
        <w:widowControl/>
        <w:kinsoku/>
        <w:wordWrap/>
        <w:overflowPunct/>
        <w:topLinePunct/>
        <w:autoSpaceDE/>
        <w:autoSpaceDN/>
        <w:bidi w:val="0"/>
        <w:adjustRightInd/>
        <w:snapToGrid/>
        <w:spacing w:line="480" w:lineRule="atLeast"/>
        <w:ind w:left="0" w:right="0"/>
        <w:jc w:val="left"/>
        <w:textAlignment w:val="auto"/>
        <w:outlineLvl w:val="9"/>
        <w:rPr>
          <w:rFonts w:hint="eastAsia" w:ascii="楷体_GB2312" w:eastAsia="楷体_GB2312" w:cs="宋体"/>
          <w:b/>
          <w:bCs/>
          <w:color w:val="333333"/>
          <w:kern w:val="0"/>
          <w:sz w:val="32"/>
          <w:szCs w:val="32"/>
          <w:lang w:eastAsia="zh-CN"/>
        </w:rPr>
      </w:pPr>
      <w:r>
        <w:rPr>
          <w:rFonts w:hint="eastAsia" w:ascii="仿宋_GB2312" w:eastAsia="仿宋_GB2312" w:cs="宋体"/>
          <w:color w:val="333333"/>
          <w:kern w:val="0"/>
          <w:sz w:val="32"/>
          <w:szCs w:val="32"/>
        </w:rPr>
        <w:t>　　</w:t>
      </w:r>
      <w:r>
        <w:rPr>
          <w:rFonts w:hint="eastAsia" w:ascii="楷体_GB2312" w:eastAsia="楷体_GB2312" w:cs="宋体"/>
          <w:b/>
          <w:bCs/>
          <w:color w:val="333333"/>
          <w:kern w:val="0"/>
          <w:sz w:val="32"/>
          <w:szCs w:val="32"/>
        </w:rPr>
        <w:t>（一）一般公共预算当年拨款规模变化情况。</w:t>
      </w:r>
    </w:p>
    <w:p>
      <w:pPr>
        <w:keepNext w:val="0"/>
        <w:keepLines w:val="0"/>
        <w:pageBreakBefore w:val="0"/>
        <w:widowControl/>
        <w:kinsoku/>
        <w:wordWrap/>
        <w:overflowPunct/>
        <w:topLinePunct/>
        <w:autoSpaceDE/>
        <w:autoSpaceDN/>
        <w:bidi w:val="0"/>
        <w:adjustRightInd/>
        <w:snapToGrid/>
        <w:spacing w:line="480" w:lineRule="atLeast"/>
        <w:ind w:left="0" w:right="0"/>
        <w:jc w:val="left"/>
        <w:textAlignment w:val="auto"/>
        <w:outlineLvl w:val="9"/>
        <w:rPr>
          <w:rFonts w:hint="eastAsia" w:ascii="仿宋_GB2312" w:eastAsia="仿宋_GB2312" w:cs="宋体"/>
          <w:color w:val="333333"/>
          <w:kern w:val="0"/>
          <w:sz w:val="32"/>
          <w:szCs w:val="32"/>
          <w:lang w:eastAsia="zh-CN"/>
        </w:rPr>
      </w:pPr>
      <w:r>
        <w:rPr>
          <w:rFonts w:hint="eastAsia" w:ascii="仿宋_GB2312" w:eastAsia="仿宋_GB2312" w:cs="宋体"/>
          <w:color w:val="333333"/>
          <w:kern w:val="0"/>
          <w:sz w:val="32"/>
          <w:szCs w:val="32"/>
        </w:rPr>
        <w:t>　　</w:t>
      </w:r>
      <w:r>
        <w:rPr>
          <w:rFonts w:hint="eastAsia" w:ascii="仿宋_GB2312" w:eastAsia="仿宋_GB2312" w:cs="宋体"/>
          <w:color w:val="333333"/>
          <w:kern w:val="0"/>
          <w:sz w:val="32"/>
          <w:szCs w:val="32"/>
          <w:lang w:eastAsia="zh-CN"/>
        </w:rPr>
        <w:t>文联</w:t>
      </w:r>
      <w:r>
        <w:rPr>
          <w:rFonts w:hint="eastAsia" w:ascii="仿宋_GB2312" w:eastAsia="仿宋_GB2312" w:cs="宋体"/>
          <w:color w:val="333333"/>
          <w:kern w:val="0"/>
          <w:sz w:val="32"/>
          <w:szCs w:val="32"/>
          <w:lang w:val="en-US" w:eastAsia="zh-CN"/>
        </w:rPr>
        <w:t>2024</w:t>
      </w:r>
      <w:r>
        <w:rPr>
          <w:rFonts w:hint="eastAsia" w:ascii="仿宋_GB2312" w:eastAsia="仿宋_GB2312" w:cs="宋体"/>
          <w:color w:val="333333"/>
          <w:kern w:val="0"/>
          <w:sz w:val="32"/>
          <w:szCs w:val="32"/>
        </w:rPr>
        <w:t>年一般公共预算当年拨款</w:t>
      </w:r>
      <w:r>
        <w:rPr>
          <w:rFonts w:hint="eastAsia" w:ascii="仿宋_GB2312" w:eastAsia="仿宋_GB2312" w:cs="宋体"/>
          <w:color w:val="333333"/>
          <w:kern w:val="0"/>
          <w:sz w:val="32"/>
          <w:szCs w:val="32"/>
          <w:lang w:val="en-US" w:eastAsia="zh-CN"/>
        </w:rPr>
        <w:t>91.51</w:t>
      </w:r>
      <w:r>
        <w:rPr>
          <w:rFonts w:hint="eastAsia" w:ascii="仿宋_GB2312" w:eastAsia="仿宋_GB2312" w:cs="宋体"/>
          <w:color w:val="333333"/>
          <w:kern w:val="0"/>
          <w:sz w:val="32"/>
          <w:szCs w:val="32"/>
        </w:rPr>
        <w:t>万元，比</w:t>
      </w:r>
      <w:r>
        <w:rPr>
          <w:rFonts w:hint="eastAsia" w:ascii="仿宋_GB2312" w:eastAsia="仿宋_GB2312" w:cs="宋体"/>
          <w:color w:val="333333"/>
          <w:kern w:val="0"/>
          <w:sz w:val="32"/>
          <w:szCs w:val="32"/>
          <w:lang w:val="en-US" w:eastAsia="zh-CN"/>
        </w:rPr>
        <w:t>2023</w:t>
      </w:r>
      <w:r>
        <w:rPr>
          <w:rFonts w:hint="eastAsia" w:ascii="仿宋_GB2312" w:eastAsia="仿宋_GB2312" w:cs="宋体"/>
          <w:color w:val="333333"/>
          <w:kern w:val="0"/>
          <w:sz w:val="32"/>
          <w:szCs w:val="32"/>
        </w:rPr>
        <w:t>年预算数</w:t>
      </w:r>
      <w:r>
        <w:rPr>
          <w:rFonts w:hint="eastAsia" w:ascii="仿宋_GB2312" w:eastAsia="仿宋_GB2312" w:cs="宋体"/>
          <w:color w:val="333333"/>
          <w:kern w:val="0"/>
          <w:sz w:val="32"/>
          <w:szCs w:val="32"/>
          <w:lang w:eastAsia="zh-CN"/>
        </w:rPr>
        <w:t>增加</w:t>
      </w:r>
      <w:r>
        <w:rPr>
          <w:rFonts w:hint="eastAsia" w:ascii="仿宋_GB2312" w:eastAsia="仿宋_GB2312" w:cs="宋体"/>
          <w:color w:val="333333"/>
          <w:kern w:val="0"/>
          <w:sz w:val="32"/>
          <w:szCs w:val="32"/>
          <w:lang w:val="en-US" w:eastAsia="zh-CN"/>
        </w:rPr>
        <w:t>2.72</w:t>
      </w:r>
      <w:r>
        <w:rPr>
          <w:rFonts w:hint="eastAsia" w:ascii="仿宋_GB2312" w:eastAsia="仿宋_GB2312" w:cs="宋体"/>
          <w:color w:val="333333"/>
          <w:kern w:val="0"/>
          <w:sz w:val="32"/>
          <w:szCs w:val="32"/>
        </w:rPr>
        <w:t>万元，主要是因为</w:t>
      </w:r>
      <w:r>
        <w:rPr>
          <w:rFonts w:hint="eastAsia" w:ascii="仿宋_GB2312" w:eastAsia="仿宋_GB2312" w:cs="宋体"/>
          <w:color w:val="333333"/>
          <w:kern w:val="0"/>
          <w:sz w:val="32"/>
          <w:szCs w:val="32"/>
          <w:lang w:eastAsia="zh-CN"/>
        </w:rPr>
        <w:t>人员工资调整，各项保险增加。</w:t>
      </w:r>
    </w:p>
    <w:p>
      <w:pPr>
        <w:keepNext w:val="0"/>
        <w:keepLines w:val="0"/>
        <w:pageBreakBefore w:val="0"/>
        <w:widowControl/>
        <w:kinsoku/>
        <w:wordWrap/>
        <w:overflowPunct/>
        <w:topLinePunct/>
        <w:autoSpaceDE/>
        <w:autoSpaceDN/>
        <w:bidi w:val="0"/>
        <w:adjustRightInd/>
        <w:snapToGrid/>
        <w:spacing w:line="480" w:lineRule="atLeast"/>
        <w:ind w:left="0" w:right="0"/>
        <w:jc w:val="left"/>
        <w:textAlignment w:val="auto"/>
        <w:outlineLvl w:val="9"/>
        <w:rPr>
          <w:rFonts w:hint="eastAsia" w:ascii="楷体_GB2312" w:eastAsia="楷体_GB2312" w:cs="宋体"/>
          <w:b/>
          <w:bCs/>
          <w:color w:val="333333"/>
          <w:kern w:val="0"/>
          <w:sz w:val="32"/>
          <w:szCs w:val="32"/>
          <w:lang w:eastAsia="zh-CN"/>
        </w:rPr>
      </w:pPr>
      <w:r>
        <w:rPr>
          <w:rFonts w:hint="eastAsia" w:ascii="仿宋_GB2312" w:eastAsia="仿宋_GB2312" w:cs="宋体"/>
          <w:color w:val="333333"/>
          <w:kern w:val="0"/>
          <w:sz w:val="32"/>
          <w:szCs w:val="32"/>
        </w:rPr>
        <w:t>　　</w:t>
      </w:r>
      <w:r>
        <w:rPr>
          <w:rFonts w:hint="eastAsia" w:ascii="楷体_GB2312" w:eastAsia="楷体_GB2312" w:cs="宋体"/>
          <w:b/>
          <w:bCs/>
          <w:color w:val="333333"/>
          <w:kern w:val="0"/>
          <w:sz w:val="32"/>
          <w:szCs w:val="32"/>
        </w:rPr>
        <w:t>（二）一般公共预算当年拨款结构情况。</w:t>
      </w:r>
    </w:p>
    <w:p>
      <w:pPr>
        <w:keepNext w:val="0"/>
        <w:keepLines w:val="0"/>
        <w:pageBreakBefore w:val="0"/>
        <w:widowControl/>
        <w:kinsoku/>
        <w:wordWrap/>
        <w:overflowPunct/>
        <w:topLinePunct/>
        <w:autoSpaceDE/>
        <w:autoSpaceDN/>
        <w:bidi w:val="0"/>
        <w:adjustRightInd/>
        <w:snapToGrid/>
        <w:spacing w:line="480" w:lineRule="atLeast"/>
        <w:ind w:left="0" w:right="0"/>
        <w:jc w:val="left"/>
        <w:textAlignment w:val="auto"/>
        <w:outlineLvl w:val="9"/>
        <w:rPr>
          <w:rFonts w:hint="eastAsia" w:ascii="仿宋_GB2312" w:eastAsia="仿宋_GB2312" w:cs="宋体"/>
          <w:color w:val="333333"/>
          <w:kern w:val="0"/>
          <w:sz w:val="32"/>
          <w:szCs w:val="32"/>
          <w:lang w:eastAsia="zh-CN"/>
        </w:rPr>
      </w:pPr>
      <w:r>
        <w:rPr>
          <w:rFonts w:hint="eastAsia" w:ascii="仿宋_GB2312" w:eastAsia="仿宋_GB2312" w:cs="宋体"/>
          <w:color w:val="333333"/>
          <w:kern w:val="0"/>
          <w:sz w:val="32"/>
          <w:szCs w:val="32"/>
        </w:rPr>
        <w:t>　　</w:t>
      </w:r>
      <w:r>
        <w:rPr>
          <w:rFonts w:hint="eastAsia" w:ascii="仿宋_GB2312" w:eastAsia="仿宋_GB2312" w:cs="宋体"/>
          <w:color w:val="333333"/>
          <w:kern w:val="0"/>
          <w:sz w:val="32"/>
          <w:szCs w:val="32"/>
          <w:lang w:eastAsia="zh-CN"/>
        </w:rPr>
        <w:t>文化旅游体育与传媒</w:t>
      </w:r>
      <w:r>
        <w:rPr>
          <w:rFonts w:hint="eastAsia" w:ascii="仿宋_GB2312" w:eastAsia="仿宋_GB2312" w:cs="宋体"/>
          <w:color w:val="333333"/>
          <w:kern w:val="0"/>
          <w:sz w:val="32"/>
          <w:szCs w:val="32"/>
        </w:rPr>
        <w:t>支出</w:t>
      </w:r>
      <w:r>
        <w:rPr>
          <w:rFonts w:hint="eastAsia" w:ascii="仿宋_GB2312" w:eastAsia="仿宋_GB2312" w:cs="宋体"/>
          <w:color w:val="333333"/>
          <w:kern w:val="0"/>
          <w:sz w:val="32"/>
          <w:szCs w:val="32"/>
          <w:lang w:val="en-US" w:eastAsia="zh-CN"/>
        </w:rPr>
        <w:t>65.21</w:t>
      </w:r>
      <w:r>
        <w:rPr>
          <w:rFonts w:hint="eastAsia" w:ascii="仿宋_GB2312" w:eastAsia="仿宋_GB2312" w:cs="宋体"/>
          <w:color w:val="333333"/>
          <w:kern w:val="0"/>
          <w:sz w:val="32"/>
          <w:szCs w:val="32"/>
        </w:rPr>
        <w:t>万元、占</w:t>
      </w:r>
      <w:r>
        <w:rPr>
          <w:rFonts w:hint="eastAsia" w:ascii="仿宋_GB2312" w:eastAsia="仿宋_GB2312" w:cs="宋体"/>
          <w:color w:val="333333"/>
          <w:kern w:val="0"/>
          <w:sz w:val="32"/>
          <w:szCs w:val="32"/>
          <w:lang w:val="en-US" w:eastAsia="zh-CN"/>
        </w:rPr>
        <w:t>71.26</w:t>
      </w:r>
      <w:r>
        <w:rPr>
          <w:rFonts w:hint="eastAsia" w:ascii="仿宋_GB2312" w:eastAsia="仿宋_GB2312" w:cs="宋体"/>
          <w:color w:val="333333"/>
          <w:kern w:val="0"/>
          <w:sz w:val="32"/>
          <w:szCs w:val="32"/>
        </w:rPr>
        <w:t>%；社会保障和就业支出</w:t>
      </w:r>
      <w:r>
        <w:rPr>
          <w:rFonts w:hint="eastAsia" w:ascii="仿宋_GB2312" w:eastAsia="仿宋_GB2312" w:cs="宋体"/>
          <w:color w:val="333333"/>
          <w:kern w:val="0"/>
          <w:sz w:val="32"/>
          <w:szCs w:val="32"/>
          <w:lang w:val="en-US" w:eastAsia="zh-CN"/>
        </w:rPr>
        <w:t>13.40</w:t>
      </w:r>
      <w:r>
        <w:rPr>
          <w:rFonts w:hint="eastAsia" w:ascii="仿宋_GB2312" w:eastAsia="仿宋_GB2312" w:cs="宋体"/>
          <w:color w:val="333333"/>
          <w:kern w:val="0"/>
          <w:sz w:val="32"/>
          <w:szCs w:val="32"/>
        </w:rPr>
        <w:t>万元、占</w:t>
      </w:r>
      <w:r>
        <w:rPr>
          <w:rFonts w:hint="eastAsia" w:ascii="仿宋_GB2312" w:eastAsia="仿宋_GB2312" w:cs="宋体"/>
          <w:color w:val="333333"/>
          <w:kern w:val="0"/>
          <w:sz w:val="32"/>
          <w:szCs w:val="32"/>
          <w:lang w:val="en-US" w:eastAsia="zh-CN"/>
        </w:rPr>
        <w:t>14.64</w:t>
      </w:r>
      <w:r>
        <w:rPr>
          <w:rFonts w:hint="eastAsia" w:ascii="仿宋_GB2312" w:eastAsia="仿宋_GB2312" w:cs="宋体"/>
          <w:color w:val="333333"/>
          <w:kern w:val="0"/>
          <w:sz w:val="32"/>
          <w:szCs w:val="32"/>
        </w:rPr>
        <w:t>%；医疗卫生与计划生育支出</w:t>
      </w:r>
      <w:r>
        <w:rPr>
          <w:rFonts w:hint="eastAsia" w:ascii="仿宋_GB2312" w:eastAsia="仿宋_GB2312" w:cs="宋体"/>
          <w:color w:val="333333"/>
          <w:kern w:val="0"/>
          <w:sz w:val="32"/>
          <w:szCs w:val="32"/>
          <w:lang w:val="en-US" w:eastAsia="zh-CN"/>
        </w:rPr>
        <w:t>5.44</w:t>
      </w:r>
      <w:r>
        <w:rPr>
          <w:rFonts w:hint="eastAsia" w:ascii="仿宋_GB2312" w:eastAsia="仿宋_GB2312" w:cs="宋体"/>
          <w:color w:val="333333"/>
          <w:kern w:val="0"/>
          <w:sz w:val="32"/>
          <w:szCs w:val="32"/>
        </w:rPr>
        <w:t>万元、占</w:t>
      </w:r>
      <w:r>
        <w:rPr>
          <w:rFonts w:hint="eastAsia" w:ascii="仿宋_GB2312" w:eastAsia="仿宋_GB2312" w:cs="宋体"/>
          <w:color w:val="333333"/>
          <w:kern w:val="0"/>
          <w:sz w:val="32"/>
          <w:szCs w:val="32"/>
          <w:lang w:val="en-US" w:eastAsia="zh-CN"/>
        </w:rPr>
        <w:t>5.94</w:t>
      </w:r>
      <w:r>
        <w:rPr>
          <w:rFonts w:hint="eastAsia" w:ascii="仿宋_GB2312" w:eastAsia="仿宋_GB2312" w:cs="宋体"/>
          <w:color w:val="333333"/>
          <w:kern w:val="0"/>
          <w:sz w:val="32"/>
          <w:szCs w:val="32"/>
        </w:rPr>
        <w:t>%；住房保障支出</w:t>
      </w:r>
      <w:r>
        <w:rPr>
          <w:rFonts w:hint="eastAsia" w:ascii="仿宋_GB2312" w:eastAsia="仿宋_GB2312" w:cs="宋体"/>
          <w:color w:val="333333"/>
          <w:kern w:val="0"/>
          <w:sz w:val="32"/>
          <w:szCs w:val="32"/>
          <w:lang w:val="en-US" w:eastAsia="zh-CN"/>
        </w:rPr>
        <w:t>7.47</w:t>
      </w:r>
      <w:r>
        <w:rPr>
          <w:rFonts w:hint="eastAsia" w:ascii="仿宋_GB2312" w:eastAsia="仿宋_GB2312" w:cs="宋体"/>
          <w:color w:val="333333"/>
          <w:kern w:val="0"/>
          <w:sz w:val="32"/>
          <w:szCs w:val="32"/>
        </w:rPr>
        <w:t>万元。占</w:t>
      </w:r>
      <w:r>
        <w:rPr>
          <w:rFonts w:hint="eastAsia" w:ascii="仿宋_GB2312" w:eastAsia="仿宋_GB2312" w:cs="宋体"/>
          <w:color w:val="333333"/>
          <w:kern w:val="0"/>
          <w:sz w:val="32"/>
          <w:szCs w:val="32"/>
          <w:lang w:val="en-US" w:eastAsia="zh-CN"/>
        </w:rPr>
        <w:t>8.16</w:t>
      </w:r>
      <w:r>
        <w:rPr>
          <w:rFonts w:hint="eastAsia" w:ascii="仿宋_GB2312" w:eastAsia="仿宋_GB2312" w:cs="宋体"/>
          <w:color w:val="333333"/>
          <w:kern w:val="0"/>
          <w:sz w:val="32"/>
          <w:szCs w:val="32"/>
        </w:rPr>
        <w:t>%。</w:t>
      </w:r>
    </w:p>
    <w:p>
      <w:pPr>
        <w:keepNext w:val="0"/>
        <w:keepLines w:val="0"/>
        <w:pageBreakBefore w:val="0"/>
        <w:widowControl/>
        <w:kinsoku/>
        <w:wordWrap/>
        <w:overflowPunct/>
        <w:topLinePunct/>
        <w:autoSpaceDE/>
        <w:autoSpaceDN/>
        <w:bidi w:val="0"/>
        <w:adjustRightInd/>
        <w:snapToGrid/>
        <w:spacing w:line="480" w:lineRule="atLeast"/>
        <w:ind w:left="0" w:right="0"/>
        <w:jc w:val="left"/>
        <w:textAlignment w:val="auto"/>
        <w:outlineLvl w:val="9"/>
        <w:rPr>
          <w:rFonts w:hint="eastAsia" w:ascii="楷体_GB2312" w:eastAsia="楷体_GB2312" w:cs="宋体"/>
          <w:b/>
          <w:bCs/>
          <w:color w:val="C00000"/>
          <w:kern w:val="0"/>
          <w:sz w:val="32"/>
          <w:szCs w:val="32"/>
          <w:lang w:eastAsia="zh-CN"/>
        </w:rPr>
      </w:pPr>
      <w:r>
        <w:rPr>
          <w:rFonts w:hint="eastAsia" w:ascii="仿宋_GB2312" w:eastAsia="仿宋_GB2312" w:cs="宋体"/>
          <w:color w:val="333333"/>
          <w:kern w:val="0"/>
          <w:sz w:val="32"/>
          <w:szCs w:val="32"/>
          <w:lang w:val="en-US" w:eastAsia="zh-CN"/>
        </w:rPr>
        <w:t xml:space="preserve">    </w:t>
      </w:r>
      <w:r>
        <w:rPr>
          <w:rFonts w:hint="eastAsia" w:ascii="楷体_GB2312" w:eastAsia="楷体_GB2312" w:cs="宋体"/>
          <w:b/>
          <w:bCs/>
          <w:color w:val="000000" w:themeColor="text1"/>
          <w:kern w:val="0"/>
          <w:sz w:val="32"/>
          <w:szCs w:val="32"/>
          <w14:textFill>
            <w14:solidFill>
              <w14:schemeClr w14:val="tx1"/>
            </w14:solidFill>
          </w14:textFill>
        </w:rPr>
        <w:t>（三）一般公共预算当年拨款具体使用情况。</w:t>
      </w:r>
    </w:p>
    <w:p>
      <w:pPr>
        <w:keepNext w:val="0"/>
        <w:keepLines w:val="0"/>
        <w:pageBreakBefore w:val="0"/>
        <w:widowControl/>
        <w:kinsoku/>
        <w:wordWrap/>
        <w:overflowPunct/>
        <w:topLinePunct/>
        <w:autoSpaceDE/>
        <w:autoSpaceDN/>
        <w:bidi w:val="0"/>
        <w:adjustRightInd/>
        <w:snapToGrid/>
        <w:spacing w:line="480" w:lineRule="atLeast"/>
        <w:ind w:left="0" w:right="0"/>
        <w:jc w:val="left"/>
        <w:textAlignment w:val="auto"/>
        <w:outlineLvl w:val="9"/>
        <w:rPr>
          <w:rFonts w:ascii="仿宋_GB2312" w:eastAsia="仿宋_GB2312" w:cs="宋体"/>
          <w:color w:val="333333"/>
          <w:kern w:val="0"/>
          <w:sz w:val="32"/>
          <w:szCs w:val="32"/>
        </w:rPr>
      </w:pPr>
      <w:r>
        <w:rPr>
          <w:rFonts w:hint="eastAsia" w:ascii="楷体_GB2312" w:eastAsia="楷体_GB2312" w:cs="宋体"/>
          <w:b/>
          <w:bCs/>
          <w:color w:val="333333"/>
          <w:kern w:val="0"/>
          <w:sz w:val="32"/>
          <w:szCs w:val="32"/>
          <w:lang w:eastAsia="zh-CN"/>
        </w:rPr>
        <w:t>　　</w:t>
      </w:r>
      <w:r>
        <w:rPr>
          <w:rFonts w:hint="eastAsia" w:ascii="仿宋_GB2312" w:eastAsia="仿宋_GB2312" w:cs="宋体"/>
          <w:color w:val="333333"/>
          <w:kern w:val="0"/>
          <w:sz w:val="32"/>
          <w:szCs w:val="32"/>
          <w:lang w:val="en-US" w:eastAsia="zh-CN"/>
        </w:rPr>
        <w:t>1</w:t>
      </w:r>
      <w:r>
        <w:rPr>
          <w:rFonts w:hint="eastAsia" w:ascii="仿宋_GB2312" w:eastAsia="仿宋_GB2312" w:cs="宋体"/>
          <w:b/>
          <w:bCs/>
          <w:color w:val="333333"/>
          <w:kern w:val="0"/>
          <w:sz w:val="32"/>
          <w:szCs w:val="32"/>
        </w:rPr>
        <w:t>.</w:t>
      </w:r>
      <w:r>
        <w:rPr>
          <w:rFonts w:hint="eastAsia" w:ascii="仿宋_GB2312" w:eastAsia="仿宋_GB2312" w:cs="宋体"/>
          <w:b/>
          <w:bCs/>
          <w:color w:val="333333"/>
          <w:kern w:val="0"/>
          <w:sz w:val="32"/>
          <w:szCs w:val="32"/>
          <w:lang w:eastAsia="zh-CN"/>
        </w:rPr>
        <w:t>文化旅游体育与传媒</w:t>
      </w:r>
      <w:r>
        <w:rPr>
          <w:rFonts w:hint="eastAsia" w:ascii="仿宋_GB2312" w:eastAsia="仿宋_GB2312" w:cs="宋体"/>
          <w:b/>
          <w:bCs/>
          <w:color w:val="333333"/>
          <w:kern w:val="0"/>
          <w:sz w:val="32"/>
          <w:szCs w:val="32"/>
        </w:rPr>
        <w:t>支出（类）</w:t>
      </w:r>
      <w:r>
        <w:rPr>
          <w:rFonts w:hint="eastAsia" w:ascii="仿宋_GB2312" w:eastAsia="仿宋_GB2312" w:cs="宋体"/>
          <w:b/>
          <w:bCs/>
          <w:color w:val="333333"/>
          <w:kern w:val="0"/>
          <w:sz w:val="32"/>
          <w:szCs w:val="32"/>
          <w:lang w:eastAsia="zh-CN"/>
        </w:rPr>
        <w:t>文化和旅游</w:t>
      </w:r>
      <w:r>
        <w:rPr>
          <w:rFonts w:hint="eastAsia" w:ascii="仿宋_GB2312" w:eastAsia="仿宋_GB2312" w:cs="宋体"/>
          <w:b/>
          <w:bCs/>
          <w:color w:val="333333"/>
          <w:kern w:val="0"/>
          <w:sz w:val="32"/>
          <w:szCs w:val="32"/>
        </w:rPr>
        <w:t>（款）</w:t>
      </w:r>
      <w:r>
        <w:rPr>
          <w:rFonts w:hint="eastAsia" w:ascii="仿宋_GB2312" w:eastAsia="仿宋_GB2312" w:cs="宋体"/>
          <w:b/>
          <w:bCs/>
          <w:color w:val="333333"/>
          <w:kern w:val="0"/>
          <w:sz w:val="32"/>
          <w:szCs w:val="32"/>
          <w:lang w:eastAsia="zh-CN"/>
        </w:rPr>
        <w:t>其他文化和旅游支出</w:t>
      </w:r>
      <w:r>
        <w:rPr>
          <w:rFonts w:hint="eastAsia" w:ascii="仿宋_GB2312" w:eastAsia="仿宋_GB2312" w:cs="宋体"/>
          <w:b/>
          <w:bCs/>
          <w:color w:val="333333"/>
          <w:kern w:val="0"/>
          <w:sz w:val="32"/>
          <w:szCs w:val="32"/>
        </w:rPr>
        <w:t>（项）</w:t>
      </w:r>
      <w:r>
        <w:rPr>
          <w:rFonts w:hint="eastAsia" w:ascii="仿宋_GB2312" w:eastAsia="仿宋_GB2312" w:cs="宋体"/>
          <w:color w:val="333333"/>
          <w:kern w:val="0"/>
          <w:sz w:val="32"/>
          <w:szCs w:val="32"/>
        </w:rPr>
        <w:t>20</w:t>
      </w:r>
      <w:r>
        <w:rPr>
          <w:rFonts w:hint="eastAsia" w:ascii="仿宋_GB2312" w:eastAsia="仿宋_GB2312" w:cs="宋体"/>
          <w:color w:val="333333"/>
          <w:kern w:val="0"/>
          <w:sz w:val="32"/>
          <w:szCs w:val="32"/>
          <w:lang w:val="en-US" w:eastAsia="zh-CN"/>
        </w:rPr>
        <w:t>24</w:t>
      </w:r>
      <w:r>
        <w:rPr>
          <w:rFonts w:hint="eastAsia" w:ascii="仿宋_GB2312" w:eastAsia="仿宋_GB2312" w:cs="宋体"/>
          <w:color w:val="333333"/>
          <w:kern w:val="0"/>
          <w:sz w:val="32"/>
          <w:szCs w:val="32"/>
        </w:rPr>
        <w:t>年预算数为</w:t>
      </w:r>
      <w:r>
        <w:rPr>
          <w:rFonts w:hint="eastAsia" w:ascii="仿宋_GB2312" w:eastAsia="仿宋_GB2312" w:cs="宋体"/>
          <w:color w:val="333333"/>
          <w:kern w:val="0"/>
          <w:sz w:val="32"/>
          <w:szCs w:val="32"/>
          <w:lang w:val="en-US" w:eastAsia="zh-CN"/>
        </w:rPr>
        <w:t>65.21</w:t>
      </w:r>
      <w:r>
        <w:rPr>
          <w:rFonts w:hint="eastAsia" w:ascii="仿宋_GB2312" w:eastAsia="仿宋_GB2312" w:cs="宋体"/>
          <w:color w:val="333333"/>
          <w:kern w:val="0"/>
          <w:sz w:val="32"/>
          <w:szCs w:val="32"/>
        </w:rPr>
        <w:t>万元，主要用于：单位正常运转的基本支出，包括基本工资、津贴补贴等人员经费以及办公费、</w:t>
      </w:r>
      <w:r>
        <w:rPr>
          <w:rFonts w:hint="eastAsia" w:ascii="仿宋_GB2312" w:eastAsia="仿宋_GB2312" w:cs="宋体"/>
          <w:color w:val="333333"/>
          <w:kern w:val="0"/>
          <w:sz w:val="32"/>
          <w:szCs w:val="32"/>
          <w:lang w:eastAsia="zh-CN"/>
        </w:rPr>
        <w:t>差旅费、其他交通费用</w:t>
      </w:r>
      <w:r>
        <w:rPr>
          <w:rFonts w:hint="eastAsia" w:ascii="仿宋_GB2312" w:eastAsia="仿宋_GB2312" w:cs="宋体"/>
          <w:color w:val="333333"/>
          <w:kern w:val="0"/>
          <w:sz w:val="32"/>
          <w:szCs w:val="32"/>
        </w:rPr>
        <w:t>等日常公用经费。</w:t>
      </w:r>
    </w:p>
    <w:p>
      <w:pPr>
        <w:keepNext w:val="0"/>
        <w:keepLines w:val="0"/>
        <w:pageBreakBefore w:val="0"/>
        <w:widowControl/>
        <w:kinsoku/>
        <w:wordWrap/>
        <w:overflowPunct/>
        <w:topLinePunct/>
        <w:autoSpaceDE/>
        <w:autoSpaceDN/>
        <w:bidi w:val="0"/>
        <w:adjustRightInd/>
        <w:snapToGrid/>
        <w:spacing w:line="480" w:lineRule="atLeast"/>
        <w:ind w:right="0"/>
        <w:jc w:val="left"/>
        <w:textAlignment w:val="auto"/>
        <w:outlineLvl w:val="9"/>
        <w:rPr>
          <w:rFonts w:hint="eastAsia" w:ascii="仿宋_GB2312" w:eastAsia="仿宋_GB2312" w:cs="宋体"/>
          <w:color w:val="333333"/>
          <w:kern w:val="0"/>
          <w:sz w:val="32"/>
          <w:szCs w:val="32"/>
          <w:lang w:eastAsia="zh-CN"/>
        </w:rPr>
      </w:pPr>
      <w:r>
        <w:rPr>
          <w:rFonts w:hint="eastAsia" w:ascii="仿宋_GB2312" w:eastAsia="仿宋_GB2312" w:cs="宋体"/>
          <w:b/>
          <w:bCs/>
          <w:color w:val="333333"/>
          <w:kern w:val="0"/>
          <w:sz w:val="32"/>
          <w:szCs w:val="32"/>
          <w:lang w:val="en-US" w:eastAsia="zh-CN"/>
        </w:rPr>
        <w:t>　　2.</w:t>
      </w:r>
      <w:r>
        <w:rPr>
          <w:rFonts w:hint="eastAsia" w:ascii="仿宋_GB2312" w:eastAsia="仿宋_GB2312" w:cs="宋体"/>
          <w:b/>
          <w:bCs/>
          <w:color w:val="333333"/>
          <w:kern w:val="0"/>
          <w:sz w:val="32"/>
          <w:szCs w:val="32"/>
        </w:rPr>
        <w:t>社会保障和就业</w:t>
      </w:r>
      <w:r>
        <w:rPr>
          <w:rFonts w:hint="eastAsia" w:ascii="仿宋_GB2312" w:eastAsia="仿宋_GB2312" w:cs="宋体"/>
          <w:b/>
          <w:bCs/>
          <w:color w:val="333333"/>
          <w:kern w:val="0"/>
          <w:sz w:val="32"/>
          <w:szCs w:val="32"/>
          <w:lang w:eastAsia="zh-CN"/>
        </w:rPr>
        <w:t>支出</w:t>
      </w:r>
      <w:r>
        <w:rPr>
          <w:rFonts w:hint="eastAsia" w:ascii="仿宋_GB2312" w:eastAsia="仿宋_GB2312" w:cs="宋体"/>
          <w:b/>
          <w:bCs/>
          <w:color w:val="333333"/>
          <w:kern w:val="0"/>
          <w:sz w:val="32"/>
          <w:szCs w:val="32"/>
        </w:rPr>
        <w:t>（类）行政事业单位离退休（款）机关事业单位基本养老保险缴费支出（项）</w:t>
      </w:r>
      <w:r>
        <w:rPr>
          <w:rFonts w:hint="eastAsia" w:ascii="仿宋_GB2312" w:eastAsia="仿宋_GB2312" w:cs="宋体"/>
          <w:color w:val="333333"/>
          <w:kern w:val="0"/>
          <w:sz w:val="32"/>
          <w:szCs w:val="32"/>
          <w:lang w:val="en-US" w:eastAsia="zh-CN"/>
        </w:rPr>
        <w:t>2024</w:t>
      </w:r>
      <w:r>
        <w:rPr>
          <w:rFonts w:hint="eastAsia" w:ascii="仿宋_GB2312" w:eastAsia="仿宋_GB2312" w:cs="宋体"/>
          <w:color w:val="333333"/>
          <w:kern w:val="0"/>
          <w:sz w:val="32"/>
          <w:szCs w:val="32"/>
        </w:rPr>
        <w:t>年预算数为</w:t>
      </w:r>
      <w:r>
        <w:rPr>
          <w:rFonts w:hint="eastAsia" w:ascii="仿宋_GB2312" w:eastAsia="仿宋_GB2312" w:cs="宋体"/>
          <w:color w:val="333333"/>
          <w:kern w:val="0"/>
          <w:sz w:val="32"/>
          <w:szCs w:val="32"/>
          <w:lang w:val="en-US" w:eastAsia="zh-CN"/>
        </w:rPr>
        <w:t>8.93</w:t>
      </w:r>
      <w:r>
        <w:rPr>
          <w:rFonts w:hint="eastAsia" w:ascii="仿宋_GB2312" w:eastAsia="仿宋_GB2312" w:cs="宋体"/>
          <w:color w:val="333333"/>
          <w:kern w:val="0"/>
          <w:sz w:val="32"/>
          <w:szCs w:val="32"/>
        </w:rPr>
        <w:t>万元，主要用于：实施养老保险制度后，部门按规定由单位缴纳的基本养老保险费支出。</w:t>
      </w:r>
    </w:p>
    <w:p>
      <w:pPr>
        <w:keepNext w:val="0"/>
        <w:keepLines w:val="0"/>
        <w:pageBreakBefore w:val="0"/>
        <w:widowControl/>
        <w:kinsoku/>
        <w:wordWrap/>
        <w:overflowPunct/>
        <w:topLinePunct/>
        <w:autoSpaceDE/>
        <w:autoSpaceDN/>
        <w:bidi w:val="0"/>
        <w:adjustRightInd/>
        <w:snapToGrid/>
        <w:spacing w:line="480" w:lineRule="atLeast"/>
        <w:ind w:right="0"/>
        <w:jc w:val="left"/>
        <w:textAlignment w:val="auto"/>
        <w:outlineLvl w:val="9"/>
        <w:rPr>
          <w:rFonts w:hint="eastAsia" w:ascii="仿宋_GB2312" w:eastAsia="仿宋_GB2312" w:cs="宋体"/>
          <w:color w:val="333333"/>
          <w:kern w:val="0"/>
          <w:sz w:val="32"/>
          <w:szCs w:val="32"/>
          <w:lang w:eastAsia="zh-CN"/>
        </w:rPr>
      </w:pPr>
      <w:r>
        <w:rPr>
          <w:rFonts w:hint="eastAsia" w:ascii="仿宋_GB2312" w:eastAsia="仿宋_GB2312" w:cs="宋体"/>
          <w:color w:val="333333"/>
          <w:kern w:val="0"/>
          <w:sz w:val="32"/>
          <w:szCs w:val="32"/>
        </w:rPr>
        <w:t>　　</w:t>
      </w:r>
      <w:r>
        <w:rPr>
          <w:rFonts w:hint="eastAsia" w:ascii="仿宋_GB2312" w:eastAsia="仿宋_GB2312" w:cs="宋体"/>
          <w:b/>
          <w:bCs/>
          <w:color w:val="333333"/>
          <w:kern w:val="0"/>
          <w:sz w:val="32"/>
          <w:szCs w:val="32"/>
          <w:lang w:val="en-US" w:eastAsia="zh-CN"/>
        </w:rPr>
        <w:t>3</w:t>
      </w:r>
      <w:r>
        <w:rPr>
          <w:rFonts w:hint="eastAsia" w:ascii="仿宋_GB2312" w:eastAsia="仿宋_GB2312" w:cs="宋体"/>
          <w:b/>
          <w:bCs/>
          <w:color w:val="333333"/>
          <w:kern w:val="0"/>
          <w:sz w:val="32"/>
          <w:szCs w:val="32"/>
        </w:rPr>
        <w:t>.社会保障和就业（类）行政事业单位离退休（款）机关事业单位职业年金缴费支出（项）</w:t>
      </w:r>
      <w:r>
        <w:rPr>
          <w:rFonts w:hint="eastAsia" w:ascii="仿宋_GB2312" w:eastAsia="仿宋_GB2312" w:cs="宋体"/>
          <w:color w:val="333333"/>
          <w:kern w:val="0"/>
          <w:sz w:val="32"/>
          <w:szCs w:val="32"/>
          <w:lang w:val="en-US" w:eastAsia="zh-CN"/>
        </w:rPr>
        <w:t>2024</w:t>
      </w:r>
      <w:r>
        <w:rPr>
          <w:rFonts w:hint="eastAsia" w:ascii="仿宋_GB2312" w:eastAsia="仿宋_GB2312" w:cs="宋体"/>
          <w:color w:val="333333"/>
          <w:kern w:val="0"/>
          <w:sz w:val="32"/>
          <w:szCs w:val="32"/>
        </w:rPr>
        <w:t>年预算数为</w:t>
      </w:r>
      <w:r>
        <w:rPr>
          <w:rFonts w:hint="eastAsia" w:ascii="仿宋_GB2312" w:eastAsia="仿宋_GB2312" w:cs="宋体"/>
          <w:color w:val="333333"/>
          <w:kern w:val="0"/>
          <w:sz w:val="32"/>
          <w:szCs w:val="32"/>
          <w:lang w:val="en-US" w:eastAsia="zh-CN"/>
        </w:rPr>
        <w:t>4.47</w:t>
      </w:r>
      <w:r>
        <w:rPr>
          <w:rFonts w:hint="eastAsia" w:ascii="仿宋_GB2312" w:eastAsia="仿宋_GB2312" w:cs="宋体"/>
          <w:color w:val="333333"/>
          <w:kern w:val="0"/>
          <w:sz w:val="32"/>
          <w:szCs w:val="32"/>
        </w:rPr>
        <w:t>万元，主要用于：实施养老保险制度后，部门按规定由单位缴纳的职业年金支出。</w:t>
      </w:r>
    </w:p>
    <w:p>
      <w:pPr>
        <w:keepNext w:val="0"/>
        <w:keepLines w:val="0"/>
        <w:pageBreakBefore w:val="0"/>
        <w:widowControl/>
        <w:kinsoku/>
        <w:wordWrap/>
        <w:overflowPunct/>
        <w:topLinePunct/>
        <w:autoSpaceDE/>
        <w:autoSpaceDN/>
        <w:bidi w:val="0"/>
        <w:adjustRightInd/>
        <w:snapToGrid/>
        <w:spacing w:line="480" w:lineRule="atLeast"/>
        <w:ind w:right="0"/>
        <w:jc w:val="left"/>
        <w:textAlignment w:val="auto"/>
        <w:outlineLvl w:val="9"/>
        <w:rPr>
          <w:rFonts w:hint="eastAsia" w:ascii="仿宋_GB2312" w:eastAsia="仿宋_GB2312" w:cs="宋体"/>
          <w:color w:val="333333"/>
          <w:kern w:val="0"/>
          <w:sz w:val="32"/>
          <w:szCs w:val="32"/>
          <w:lang w:eastAsia="zh-CN"/>
        </w:rPr>
      </w:pPr>
      <w:r>
        <w:rPr>
          <w:rFonts w:hint="eastAsia" w:ascii="仿宋_GB2312" w:eastAsia="仿宋_GB2312" w:cs="宋体"/>
          <w:color w:val="333333"/>
          <w:kern w:val="0"/>
          <w:sz w:val="32"/>
          <w:szCs w:val="32"/>
        </w:rPr>
        <w:t>　　</w:t>
      </w:r>
      <w:r>
        <w:rPr>
          <w:rFonts w:hint="eastAsia" w:ascii="仿宋_GB2312" w:eastAsia="仿宋_GB2312" w:cs="宋体"/>
          <w:b/>
          <w:bCs/>
          <w:color w:val="333333"/>
          <w:kern w:val="0"/>
          <w:sz w:val="32"/>
          <w:szCs w:val="32"/>
          <w:lang w:val="en-US" w:eastAsia="zh-CN"/>
        </w:rPr>
        <w:t>4</w:t>
      </w:r>
      <w:r>
        <w:rPr>
          <w:rFonts w:hint="eastAsia" w:ascii="仿宋_GB2312" w:eastAsia="仿宋_GB2312" w:cs="宋体"/>
          <w:b/>
          <w:bCs/>
          <w:color w:val="333333"/>
          <w:kern w:val="0"/>
          <w:sz w:val="32"/>
          <w:szCs w:val="32"/>
        </w:rPr>
        <w:t>.医疗卫生与计划生育</w:t>
      </w:r>
      <w:r>
        <w:rPr>
          <w:rFonts w:hint="eastAsia" w:ascii="仿宋_GB2312" w:eastAsia="仿宋_GB2312" w:cs="宋体"/>
          <w:b/>
          <w:bCs/>
          <w:color w:val="333333"/>
          <w:kern w:val="0"/>
          <w:sz w:val="32"/>
          <w:szCs w:val="32"/>
          <w:lang w:eastAsia="zh-CN"/>
        </w:rPr>
        <w:t>支出</w:t>
      </w:r>
      <w:r>
        <w:rPr>
          <w:rFonts w:hint="eastAsia" w:ascii="仿宋_GB2312" w:eastAsia="仿宋_GB2312" w:cs="宋体"/>
          <w:b/>
          <w:bCs/>
          <w:color w:val="333333"/>
          <w:kern w:val="0"/>
          <w:sz w:val="32"/>
          <w:szCs w:val="32"/>
        </w:rPr>
        <w:t>（类）行政事业单位医疗（款）事业单位医疗（项）</w:t>
      </w:r>
      <w:r>
        <w:rPr>
          <w:rFonts w:hint="eastAsia" w:ascii="仿宋_GB2312" w:eastAsia="仿宋_GB2312" w:cs="宋体"/>
          <w:color w:val="333333"/>
          <w:kern w:val="0"/>
          <w:sz w:val="32"/>
          <w:szCs w:val="32"/>
          <w:lang w:val="en-US" w:eastAsia="zh-CN"/>
        </w:rPr>
        <w:t>2024</w:t>
      </w:r>
      <w:r>
        <w:rPr>
          <w:rFonts w:hint="eastAsia" w:ascii="仿宋_GB2312" w:eastAsia="仿宋_GB2312" w:cs="宋体"/>
          <w:color w:val="333333"/>
          <w:kern w:val="0"/>
          <w:sz w:val="32"/>
          <w:szCs w:val="32"/>
        </w:rPr>
        <w:t>年预算数为</w:t>
      </w:r>
      <w:r>
        <w:rPr>
          <w:rFonts w:hint="eastAsia" w:ascii="仿宋_GB2312" w:eastAsia="仿宋_GB2312" w:cs="宋体"/>
          <w:color w:val="333333"/>
          <w:kern w:val="0"/>
          <w:sz w:val="32"/>
          <w:szCs w:val="32"/>
          <w:lang w:val="en-US" w:eastAsia="zh-CN"/>
        </w:rPr>
        <w:t>4.36</w:t>
      </w:r>
      <w:r>
        <w:rPr>
          <w:rFonts w:hint="eastAsia" w:ascii="仿宋_GB2312" w:eastAsia="仿宋_GB2312" w:cs="宋体"/>
          <w:color w:val="333333"/>
          <w:kern w:val="0"/>
          <w:sz w:val="32"/>
          <w:szCs w:val="32"/>
        </w:rPr>
        <w:t>万元，主要用于：事业单位基本医疗保险缴费支出。</w:t>
      </w:r>
    </w:p>
    <w:p>
      <w:pPr>
        <w:keepNext w:val="0"/>
        <w:keepLines w:val="0"/>
        <w:pageBreakBefore w:val="0"/>
        <w:widowControl/>
        <w:kinsoku/>
        <w:wordWrap/>
        <w:overflowPunct/>
        <w:topLinePunct/>
        <w:autoSpaceDE/>
        <w:autoSpaceDN/>
        <w:bidi w:val="0"/>
        <w:adjustRightInd/>
        <w:snapToGrid/>
        <w:spacing w:line="480" w:lineRule="atLeast"/>
        <w:ind w:right="0"/>
        <w:jc w:val="left"/>
        <w:textAlignment w:val="auto"/>
        <w:outlineLvl w:val="9"/>
        <w:rPr>
          <w:rFonts w:hint="eastAsia" w:ascii="仿宋_GB2312" w:eastAsia="仿宋_GB2312" w:cs="宋体"/>
          <w:color w:val="333333"/>
          <w:kern w:val="0"/>
          <w:sz w:val="32"/>
          <w:szCs w:val="32"/>
          <w:lang w:eastAsia="zh-CN"/>
        </w:rPr>
      </w:pPr>
      <w:r>
        <w:rPr>
          <w:rFonts w:hint="eastAsia" w:ascii="仿宋_GB2312" w:eastAsia="仿宋_GB2312" w:cs="宋体"/>
          <w:color w:val="333333"/>
          <w:kern w:val="0"/>
          <w:sz w:val="32"/>
          <w:szCs w:val="32"/>
        </w:rPr>
        <w:t>　　</w:t>
      </w:r>
      <w:r>
        <w:rPr>
          <w:rFonts w:hint="eastAsia" w:ascii="仿宋_GB2312" w:eastAsia="仿宋_GB2312" w:cs="宋体"/>
          <w:b/>
          <w:bCs/>
          <w:color w:val="333333"/>
          <w:kern w:val="0"/>
          <w:sz w:val="32"/>
          <w:szCs w:val="32"/>
          <w:lang w:val="en-US" w:eastAsia="zh-CN"/>
        </w:rPr>
        <w:t>5</w:t>
      </w:r>
      <w:r>
        <w:rPr>
          <w:rFonts w:hint="eastAsia" w:ascii="仿宋_GB2312" w:eastAsia="仿宋_GB2312" w:cs="宋体"/>
          <w:b/>
          <w:bCs/>
          <w:color w:val="333333"/>
          <w:kern w:val="0"/>
          <w:sz w:val="32"/>
          <w:szCs w:val="32"/>
        </w:rPr>
        <w:t>.医疗卫生与计划生育（类）行政事业单位医疗（款）公务员医疗补助（项）</w:t>
      </w:r>
      <w:r>
        <w:rPr>
          <w:rFonts w:hint="eastAsia" w:ascii="仿宋_GB2312" w:eastAsia="仿宋_GB2312" w:cs="宋体"/>
          <w:color w:val="333333"/>
          <w:kern w:val="0"/>
          <w:sz w:val="32"/>
          <w:szCs w:val="32"/>
          <w:lang w:val="en-US" w:eastAsia="zh-CN"/>
        </w:rPr>
        <w:t>2022</w:t>
      </w:r>
      <w:r>
        <w:rPr>
          <w:rFonts w:hint="eastAsia" w:ascii="仿宋_GB2312" w:eastAsia="仿宋_GB2312" w:cs="宋体"/>
          <w:color w:val="333333"/>
          <w:kern w:val="0"/>
          <w:sz w:val="32"/>
          <w:szCs w:val="32"/>
        </w:rPr>
        <w:t>年预算数为</w:t>
      </w:r>
      <w:r>
        <w:rPr>
          <w:rFonts w:hint="eastAsia" w:ascii="仿宋_GB2312" w:eastAsia="仿宋_GB2312" w:cs="宋体"/>
          <w:color w:val="333333"/>
          <w:kern w:val="0"/>
          <w:sz w:val="32"/>
          <w:szCs w:val="32"/>
          <w:lang w:val="en-US" w:eastAsia="zh-CN"/>
        </w:rPr>
        <w:t>1.08</w:t>
      </w:r>
      <w:r>
        <w:rPr>
          <w:rFonts w:hint="eastAsia" w:ascii="仿宋_GB2312" w:eastAsia="仿宋_GB2312" w:cs="宋体"/>
          <w:color w:val="333333"/>
          <w:kern w:val="0"/>
          <w:sz w:val="32"/>
          <w:szCs w:val="32"/>
        </w:rPr>
        <w:t>万元，主要用于：事业单位集中缴纳公务员医疗补助支出。</w:t>
      </w:r>
    </w:p>
    <w:p>
      <w:pPr>
        <w:keepNext w:val="0"/>
        <w:keepLines w:val="0"/>
        <w:pageBreakBefore w:val="0"/>
        <w:widowControl/>
        <w:kinsoku/>
        <w:wordWrap/>
        <w:overflowPunct/>
        <w:topLinePunct/>
        <w:autoSpaceDE/>
        <w:autoSpaceDN/>
        <w:bidi w:val="0"/>
        <w:adjustRightInd/>
        <w:snapToGrid/>
        <w:spacing w:line="480" w:lineRule="atLeast"/>
        <w:ind w:right="0"/>
        <w:jc w:val="left"/>
        <w:textAlignment w:val="auto"/>
        <w:outlineLvl w:val="9"/>
        <w:rPr>
          <w:rFonts w:hint="eastAsia" w:ascii="仿宋_GB2312" w:eastAsia="仿宋_GB2312" w:cs="宋体"/>
          <w:color w:val="333333"/>
          <w:kern w:val="0"/>
          <w:sz w:val="32"/>
          <w:szCs w:val="32"/>
          <w:lang w:eastAsia="zh-CN"/>
        </w:rPr>
      </w:pPr>
      <w:r>
        <w:rPr>
          <w:rFonts w:hint="eastAsia" w:ascii="仿宋_GB2312" w:eastAsia="仿宋_GB2312" w:cs="宋体"/>
          <w:color w:val="333333"/>
          <w:kern w:val="0"/>
          <w:sz w:val="32"/>
          <w:szCs w:val="32"/>
        </w:rPr>
        <w:t>　　</w:t>
      </w:r>
      <w:r>
        <w:rPr>
          <w:rFonts w:hint="eastAsia" w:ascii="仿宋_GB2312" w:eastAsia="仿宋_GB2312" w:cs="宋体"/>
          <w:b/>
          <w:bCs/>
          <w:color w:val="333333"/>
          <w:kern w:val="0"/>
          <w:sz w:val="32"/>
          <w:szCs w:val="32"/>
          <w:lang w:val="en-US" w:eastAsia="zh-CN"/>
        </w:rPr>
        <w:t>6</w:t>
      </w:r>
      <w:r>
        <w:rPr>
          <w:rFonts w:hint="eastAsia" w:ascii="仿宋_GB2312" w:eastAsia="仿宋_GB2312" w:cs="宋体"/>
          <w:b/>
          <w:bCs/>
          <w:color w:val="333333"/>
          <w:kern w:val="0"/>
          <w:sz w:val="32"/>
          <w:szCs w:val="32"/>
        </w:rPr>
        <w:t>.住房保障（类）住房改革支出（款）住房公积金（项）</w:t>
      </w:r>
      <w:r>
        <w:rPr>
          <w:rFonts w:hint="eastAsia" w:ascii="仿宋_GB2312" w:eastAsia="仿宋_GB2312" w:cs="宋体"/>
          <w:color w:val="333333"/>
          <w:kern w:val="0"/>
          <w:sz w:val="32"/>
          <w:szCs w:val="32"/>
          <w:lang w:val="en-US" w:eastAsia="zh-CN"/>
        </w:rPr>
        <w:t>2024</w:t>
      </w:r>
      <w:r>
        <w:rPr>
          <w:rFonts w:hint="eastAsia" w:ascii="仿宋_GB2312" w:eastAsia="仿宋_GB2312" w:cs="宋体"/>
          <w:color w:val="333333"/>
          <w:kern w:val="0"/>
          <w:sz w:val="32"/>
          <w:szCs w:val="32"/>
        </w:rPr>
        <w:t>年预算数为</w:t>
      </w:r>
      <w:r>
        <w:rPr>
          <w:rFonts w:hint="eastAsia" w:ascii="仿宋_GB2312" w:eastAsia="仿宋_GB2312" w:cs="宋体"/>
          <w:color w:val="333333"/>
          <w:kern w:val="0"/>
          <w:sz w:val="32"/>
          <w:szCs w:val="32"/>
          <w:lang w:val="en-US" w:eastAsia="zh-CN"/>
        </w:rPr>
        <w:t>7.47</w:t>
      </w:r>
      <w:r>
        <w:rPr>
          <w:rFonts w:hint="eastAsia" w:ascii="仿宋_GB2312" w:eastAsia="仿宋_GB2312" w:cs="宋体"/>
          <w:color w:val="333333"/>
          <w:kern w:val="0"/>
          <w:sz w:val="32"/>
          <w:szCs w:val="32"/>
        </w:rPr>
        <w:t>万元，主要用于：部门按人力资源和社会保障部、财政部规定的基本工资和津贴补贴以及规定比例为职工缴纳的住房公积金支出。</w:t>
      </w:r>
    </w:p>
    <w:p>
      <w:pPr>
        <w:keepNext w:val="0"/>
        <w:keepLines w:val="0"/>
        <w:pageBreakBefore w:val="0"/>
        <w:widowControl/>
        <w:kinsoku/>
        <w:wordWrap/>
        <w:overflowPunct/>
        <w:topLinePunct/>
        <w:autoSpaceDE/>
        <w:autoSpaceDN/>
        <w:bidi w:val="0"/>
        <w:adjustRightInd/>
        <w:snapToGrid/>
        <w:spacing w:line="480" w:lineRule="atLeast"/>
        <w:ind w:right="0"/>
        <w:jc w:val="left"/>
        <w:textAlignment w:val="auto"/>
        <w:outlineLvl w:val="9"/>
        <w:rPr>
          <w:rFonts w:hint="eastAsia" w:ascii="黑体" w:eastAsia="黑体" w:cs="宋体"/>
          <w:color w:val="333333"/>
          <w:kern w:val="0"/>
          <w:sz w:val="32"/>
          <w:szCs w:val="32"/>
          <w:lang w:eastAsia="zh-CN"/>
        </w:rPr>
      </w:pPr>
      <w:r>
        <w:rPr>
          <w:rFonts w:hint="eastAsia" w:ascii="仿宋_GB2312" w:eastAsia="仿宋_GB2312" w:cs="宋体"/>
          <w:color w:val="333333"/>
          <w:kern w:val="0"/>
          <w:sz w:val="32"/>
          <w:szCs w:val="32"/>
        </w:rPr>
        <w:t>　　</w:t>
      </w:r>
      <w:r>
        <w:rPr>
          <w:rFonts w:hint="eastAsia" w:ascii="黑体" w:eastAsia="黑体" w:cs="宋体"/>
          <w:color w:val="333333"/>
          <w:kern w:val="0"/>
          <w:sz w:val="32"/>
          <w:szCs w:val="32"/>
        </w:rPr>
        <w:t>六、一般公共预算基本支出情况说明</w:t>
      </w:r>
    </w:p>
    <w:p>
      <w:pPr>
        <w:keepNext w:val="0"/>
        <w:keepLines w:val="0"/>
        <w:pageBreakBefore w:val="0"/>
        <w:widowControl/>
        <w:kinsoku/>
        <w:wordWrap/>
        <w:overflowPunct/>
        <w:topLinePunct/>
        <w:autoSpaceDE/>
        <w:autoSpaceDN/>
        <w:bidi w:val="0"/>
        <w:adjustRightInd/>
        <w:snapToGrid/>
        <w:spacing w:line="480" w:lineRule="atLeast"/>
        <w:ind w:right="0"/>
        <w:jc w:val="left"/>
        <w:textAlignment w:val="auto"/>
        <w:outlineLvl w:val="9"/>
        <w:rPr>
          <w:rFonts w:hint="eastAsia" w:ascii="仿宋_GB2312" w:eastAsia="仿宋_GB2312" w:cs="宋体"/>
          <w:color w:val="333333"/>
          <w:kern w:val="0"/>
          <w:sz w:val="32"/>
          <w:szCs w:val="32"/>
        </w:rPr>
      </w:pPr>
      <w:r>
        <w:rPr>
          <w:rFonts w:hint="eastAsia" w:ascii="仿宋_GB2312" w:eastAsia="仿宋_GB2312" w:cs="宋体"/>
          <w:color w:val="333333"/>
          <w:kern w:val="0"/>
          <w:sz w:val="32"/>
          <w:szCs w:val="32"/>
        </w:rPr>
        <w:t>　　</w:t>
      </w:r>
      <w:r>
        <w:rPr>
          <w:rFonts w:hint="eastAsia" w:ascii="仿宋_GB2312" w:eastAsia="仿宋_GB2312" w:cs="宋体"/>
          <w:color w:val="333333"/>
          <w:kern w:val="0"/>
          <w:sz w:val="32"/>
          <w:szCs w:val="32"/>
          <w:lang w:eastAsia="zh-CN"/>
        </w:rPr>
        <w:t>文联</w:t>
      </w:r>
      <w:r>
        <w:rPr>
          <w:rFonts w:hint="eastAsia" w:ascii="仿宋_GB2312" w:eastAsia="仿宋_GB2312" w:cs="宋体"/>
          <w:color w:val="333333"/>
          <w:kern w:val="0"/>
          <w:sz w:val="32"/>
          <w:szCs w:val="32"/>
          <w:lang w:val="en-US" w:eastAsia="zh-CN"/>
        </w:rPr>
        <w:t>2024</w:t>
      </w:r>
      <w:r>
        <w:rPr>
          <w:rFonts w:hint="eastAsia" w:ascii="仿宋_GB2312" w:eastAsia="仿宋_GB2312" w:cs="宋体"/>
          <w:color w:val="333333"/>
          <w:kern w:val="0"/>
          <w:sz w:val="32"/>
          <w:szCs w:val="32"/>
        </w:rPr>
        <w:t>年一般公共预算基本支出</w:t>
      </w:r>
      <w:r>
        <w:rPr>
          <w:rFonts w:hint="eastAsia" w:ascii="仿宋_GB2312" w:eastAsia="仿宋_GB2312" w:cs="宋体"/>
          <w:color w:val="333333"/>
          <w:kern w:val="0"/>
          <w:sz w:val="32"/>
          <w:szCs w:val="32"/>
          <w:lang w:val="en-US" w:eastAsia="zh-CN"/>
        </w:rPr>
        <w:t>91.51</w:t>
      </w:r>
      <w:r>
        <w:rPr>
          <w:rFonts w:hint="eastAsia" w:ascii="仿宋_GB2312" w:eastAsia="仿宋_GB2312" w:cs="宋体"/>
          <w:color w:val="333333"/>
          <w:kern w:val="0"/>
          <w:sz w:val="32"/>
          <w:szCs w:val="32"/>
        </w:rPr>
        <w:t>万元</w:t>
      </w:r>
      <w:r>
        <w:rPr>
          <w:rFonts w:hint="eastAsia" w:ascii="仿宋_GB2312" w:eastAsia="仿宋_GB2312" w:cs="宋体"/>
          <w:color w:val="333333"/>
          <w:kern w:val="0"/>
          <w:sz w:val="32"/>
          <w:szCs w:val="32"/>
          <w:lang w:eastAsia="zh-CN"/>
        </w:rPr>
        <w:t>。</w:t>
      </w:r>
      <w:r>
        <w:rPr>
          <w:rFonts w:hint="eastAsia" w:ascii="仿宋_GB2312" w:eastAsia="仿宋_GB2312" w:cs="宋体"/>
          <w:color w:val="333333"/>
          <w:kern w:val="0"/>
          <w:sz w:val="32"/>
          <w:szCs w:val="32"/>
        </w:rPr>
        <w:t>其中：人员经费</w:t>
      </w:r>
      <w:r>
        <w:rPr>
          <w:rFonts w:hint="eastAsia" w:ascii="仿宋_GB2312" w:eastAsia="仿宋_GB2312" w:cs="宋体"/>
          <w:color w:val="333333"/>
          <w:kern w:val="0"/>
          <w:sz w:val="32"/>
          <w:szCs w:val="32"/>
          <w:lang w:val="en-US" w:eastAsia="zh-CN"/>
        </w:rPr>
        <w:t>83.54</w:t>
      </w:r>
      <w:r>
        <w:rPr>
          <w:rFonts w:hint="eastAsia" w:ascii="仿宋_GB2312" w:eastAsia="仿宋_GB2312" w:cs="宋体"/>
          <w:color w:val="333333"/>
          <w:kern w:val="0"/>
          <w:sz w:val="32"/>
          <w:szCs w:val="32"/>
        </w:rPr>
        <w:t>万元，主要包括：基本工资、津贴补贴、奖金、社会保险缴费等支出。公用经费</w:t>
      </w:r>
      <w:r>
        <w:rPr>
          <w:rFonts w:hint="eastAsia" w:ascii="仿宋_GB2312" w:eastAsia="仿宋_GB2312" w:cs="宋体"/>
          <w:color w:val="333333"/>
          <w:kern w:val="0"/>
          <w:sz w:val="32"/>
          <w:szCs w:val="32"/>
          <w:lang w:val="en-US" w:eastAsia="zh-CN"/>
        </w:rPr>
        <w:t>7.97</w:t>
      </w:r>
      <w:r>
        <w:rPr>
          <w:rFonts w:hint="eastAsia" w:ascii="仿宋_GB2312" w:eastAsia="仿宋_GB2312" w:cs="宋体"/>
          <w:color w:val="333333"/>
          <w:kern w:val="0"/>
          <w:sz w:val="32"/>
          <w:szCs w:val="32"/>
        </w:rPr>
        <w:t>万元，主要包括：办公费、</w:t>
      </w:r>
      <w:r>
        <w:rPr>
          <w:rFonts w:hint="eastAsia" w:ascii="仿宋_GB2312" w:eastAsia="仿宋_GB2312" w:cs="宋体"/>
          <w:color w:val="333333"/>
          <w:kern w:val="0"/>
          <w:sz w:val="32"/>
          <w:szCs w:val="32"/>
          <w:lang w:eastAsia="zh-CN"/>
        </w:rPr>
        <w:t>邮电</w:t>
      </w:r>
      <w:r>
        <w:rPr>
          <w:rFonts w:hint="eastAsia" w:ascii="仿宋_GB2312" w:eastAsia="仿宋_GB2312" w:cs="宋体"/>
          <w:color w:val="333333"/>
          <w:kern w:val="0"/>
          <w:sz w:val="32"/>
          <w:szCs w:val="32"/>
        </w:rPr>
        <w:t>费、差旅费、劳务费</w:t>
      </w:r>
      <w:r>
        <w:rPr>
          <w:rFonts w:hint="eastAsia" w:ascii="仿宋_GB2312" w:eastAsia="仿宋_GB2312" w:cs="宋体"/>
          <w:color w:val="333333"/>
          <w:kern w:val="0"/>
          <w:sz w:val="32"/>
          <w:szCs w:val="32"/>
          <w:lang w:eastAsia="zh-CN"/>
        </w:rPr>
        <w:t>、租赁费、其他交通费</w:t>
      </w:r>
      <w:r>
        <w:rPr>
          <w:rFonts w:hint="eastAsia" w:ascii="仿宋_GB2312" w:eastAsia="仿宋_GB2312" w:cs="宋体"/>
          <w:color w:val="333333"/>
          <w:kern w:val="0"/>
          <w:sz w:val="32"/>
          <w:szCs w:val="32"/>
        </w:rPr>
        <w:t>支出。</w:t>
      </w:r>
    </w:p>
    <w:p>
      <w:pPr>
        <w:keepNext w:val="0"/>
        <w:keepLines w:val="0"/>
        <w:pageBreakBefore w:val="0"/>
        <w:widowControl/>
        <w:kinsoku/>
        <w:wordWrap/>
        <w:overflowPunct/>
        <w:topLinePunct/>
        <w:autoSpaceDE/>
        <w:autoSpaceDN/>
        <w:bidi w:val="0"/>
        <w:adjustRightInd/>
        <w:snapToGrid/>
        <w:spacing w:line="480" w:lineRule="atLeast"/>
        <w:ind w:left="0" w:right="0" w:firstLine="640" w:firstLineChars="200"/>
        <w:jc w:val="left"/>
        <w:textAlignment w:val="auto"/>
        <w:outlineLvl w:val="9"/>
        <w:rPr>
          <w:rFonts w:hint="eastAsia" w:ascii="黑体" w:eastAsia="黑体" w:cs="宋体"/>
          <w:color w:val="333333"/>
          <w:kern w:val="0"/>
          <w:sz w:val="32"/>
          <w:szCs w:val="32"/>
          <w:lang w:eastAsia="zh-CN"/>
        </w:rPr>
      </w:pPr>
      <w:r>
        <w:rPr>
          <w:rFonts w:hint="eastAsia" w:ascii="黑体" w:eastAsia="黑体" w:cs="宋体"/>
          <w:color w:val="333333"/>
          <w:kern w:val="0"/>
          <w:sz w:val="32"/>
          <w:szCs w:val="32"/>
        </w:rPr>
        <w:t>七、“三公”经费财政拨款预算安排情况说明</w:t>
      </w:r>
    </w:p>
    <w:p>
      <w:pPr>
        <w:keepNext w:val="0"/>
        <w:keepLines w:val="0"/>
        <w:pageBreakBefore w:val="0"/>
        <w:widowControl/>
        <w:kinsoku/>
        <w:wordWrap/>
        <w:overflowPunct/>
        <w:topLinePunct/>
        <w:autoSpaceDE/>
        <w:autoSpaceDN/>
        <w:bidi w:val="0"/>
        <w:adjustRightInd/>
        <w:snapToGrid/>
        <w:spacing w:line="480" w:lineRule="atLeast"/>
        <w:ind w:right="0" w:firstLine="640" w:firstLineChars="200"/>
        <w:jc w:val="left"/>
        <w:textAlignment w:val="auto"/>
        <w:outlineLvl w:val="9"/>
        <w:rPr>
          <w:rFonts w:hint="eastAsia" w:ascii="仿宋_GB2312" w:eastAsia="仿宋_GB2312" w:cs="宋体"/>
          <w:color w:val="333333"/>
          <w:kern w:val="0"/>
          <w:sz w:val="32"/>
          <w:szCs w:val="32"/>
          <w:lang w:eastAsia="zh-CN"/>
        </w:rPr>
      </w:pPr>
      <w:r>
        <w:rPr>
          <w:rFonts w:hint="eastAsia" w:ascii="仿宋_GB2312" w:eastAsia="仿宋_GB2312" w:cs="宋体"/>
          <w:color w:val="333333"/>
          <w:kern w:val="0"/>
          <w:sz w:val="32"/>
          <w:szCs w:val="32"/>
          <w:lang w:val="en-US" w:eastAsia="zh-CN"/>
        </w:rPr>
        <w:t>2024</w:t>
      </w:r>
      <w:r>
        <w:rPr>
          <w:rFonts w:hint="eastAsia" w:ascii="仿宋_GB2312" w:eastAsia="仿宋_GB2312" w:cs="宋体"/>
          <w:color w:val="333333"/>
          <w:kern w:val="0"/>
          <w:sz w:val="32"/>
          <w:szCs w:val="32"/>
        </w:rPr>
        <w:t>年“三公”经费财政拨款预算数</w:t>
      </w:r>
      <w:r>
        <w:rPr>
          <w:rFonts w:hint="eastAsia" w:ascii="仿宋_GB2312" w:eastAsia="仿宋_GB2312" w:cs="宋体"/>
          <w:color w:val="333333"/>
          <w:kern w:val="0"/>
          <w:sz w:val="32"/>
          <w:szCs w:val="32"/>
          <w:lang w:val="en-US" w:eastAsia="zh-CN"/>
        </w:rPr>
        <w:t>0</w:t>
      </w:r>
      <w:r>
        <w:rPr>
          <w:rFonts w:hint="eastAsia" w:ascii="仿宋_GB2312" w:eastAsia="仿宋_GB2312" w:cs="宋体"/>
          <w:color w:val="333333"/>
          <w:kern w:val="0"/>
          <w:sz w:val="32"/>
          <w:szCs w:val="32"/>
        </w:rPr>
        <w:t>万元，其中：因公出国（境）经费</w:t>
      </w:r>
      <w:r>
        <w:rPr>
          <w:rFonts w:hint="eastAsia" w:ascii="仿宋_GB2312" w:eastAsia="仿宋_GB2312" w:cs="宋体"/>
          <w:color w:val="333333"/>
          <w:kern w:val="0"/>
          <w:sz w:val="32"/>
          <w:szCs w:val="32"/>
          <w:lang w:val="en-US" w:eastAsia="zh-CN"/>
        </w:rPr>
        <w:t>0</w:t>
      </w:r>
      <w:r>
        <w:rPr>
          <w:rFonts w:hint="eastAsia" w:ascii="仿宋_GB2312" w:eastAsia="仿宋_GB2312" w:cs="宋体"/>
          <w:color w:val="333333"/>
          <w:kern w:val="0"/>
          <w:sz w:val="32"/>
          <w:szCs w:val="32"/>
        </w:rPr>
        <w:t>万元，公务接待费</w:t>
      </w:r>
      <w:r>
        <w:rPr>
          <w:rFonts w:hint="eastAsia" w:ascii="仿宋_GB2312" w:eastAsia="仿宋_GB2312" w:cs="宋体"/>
          <w:color w:val="333333"/>
          <w:kern w:val="0"/>
          <w:sz w:val="32"/>
          <w:szCs w:val="32"/>
          <w:lang w:val="en-US" w:eastAsia="zh-CN"/>
        </w:rPr>
        <w:t>0</w:t>
      </w:r>
      <w:r>
        <w:rPr>
          <w:rFonts w:hint="eastAsia" w:ascii="仿宋_GB2312" w:eastAsia="仿宋_GB2312" w:cs="宋体"/>
          <w:color w:val="333333"/>
          <w:kern w:val="0"/>
          <w:sz w:val="32"/>
          <w:szCs w:val="32"/>
        </w:rPr>
        <w:t>万元，公务用车购置及运行维护费</w:t>
      </w:r>
      <w:r>
        <w:rPr>
          <w:rFonts w:hint="eastAsia" w:ascii="仿宋_GB2312" w:eastAsia="仿宋_GB2312" w:cs="宋体"/>
          <w:color w:val="333333"/>
          <w:kern w:val="0"/>
          <w:sz w:val="32"/>
          <w:szCs w:val="32"/>
          <w:lang w:val="en-US" w:eastAsia="zh-CN"/>
        </w:rPr>
        <w:t>0</w:t>
      </w:r>
      <w:r>
        <w:rPr>
          <w:rFonts w:hint="eastAsia" w:ascii="仿宋_GB2312" w:eastAsia="仿宋_GB2312" w:cs="宋体"/>
          <w:color w:val="333333"/>
          <w:kern w:val="0"/>
          <w:sz w:val="32"/>
          <w:szCs w:val="32"/>
        </w:rPr>
        <w:t>万元。</w:t>
      </w:r>
    </w:p>
    <w:p>
      <w:pPr>
        <w:keepNext w:val="0"/>
        <w:keepLines w:val="0"/>
        <w:pageBreakBefore w:val="0"/>
        <w:widowControl/>
        <w:kinsoku/>
        <w:wordWrap/>
        <w:overflowPunct/>
        <w:topLinePunct/>
        <w:autoSpaceDE/>
        <w:autoSpaceDN/>
        <w:bidi w:val="0"/>
        <w:adjustRightInd/>
        <w:snapToGrid/>
        <w:spacing w:line="480" w:lineRule="atLeast"/>
        <w:ind w:left="0" w:right="0" w:firstLine="640" w:firstLineChars="200"/>
        <w:jc w:val="left"/>
        <w:textAlignment w:val="auto"/>
        <w:outlineLvl w:val="9"/>
        <w:rPr>
          <w:rFonts w:hint="eastAsia" w:ascii="黑体" w:eastAsia="黑体" w:cs="宋体"/>
          <w:color w:val="333333"/>
          <w:kern w:val="0"/>
          <w:sz w:val="32"/>
          <w:szCs w:val="32"/>
          <w:lang w:eastAsia="zh-CN"/>
        </w:rPr>
      </w:pPr>
      <w:r>
        <w:rPr>
          <w:rFonts w:hint="eastAsia" w:ascii="黑体" w:eastAsia="黑体" w:cs="宋体"/>
          <w:color w:val="333333"/>
          <w:kern w:val="0"/>
          <w:sz w:val="32"/>
          <w:szCs w:val="32"/>
        </w:rPr>
        <w:t>八、政府性基金预算支出情况说明</w:t>
      </w:r>
    </w:p>
    <w:p>
      <w:pPr>
        <w:keepNext w:val="0"/>
        <w:keepLines w:val="0"/>
        <w:pageBreakBefore w:val="0"/>
        <w:widowControl/>
        <w:kinsoku/>
        <w:wordWrap/>
        <w:overflowPunct/>
        <w:topLinePunct/>
        <w:autoSpaceDE/>
        <w:autoSpaceDN/>
        <w:bidi w:val="0"/>
        <w:adjustRightInd/>
        <w:snapToGrid/>
        <w:spacing w:line="480" w:lineRule="atLeast"/>
        <w:ind w:left="0" w:right="0" w:firstLine="640" w:firstLineChars="200"/>
        <w:jc w:val="left"/>
        <w:textAlignment w:val="auto"/>
        <w:outlineLvl w:val="9"/>
        <w:rPr>
          <w:rFonts w:hint="eastAsia" w:ascii="仿宋_GB2312" w:eastAsia="仿宋_GB2312" w:cs="宋体"/>
          <w:color w:val="333333"/>
          <w:kern w:val="0"/>
          <w:sz w:val="32"/>
          <w:szCs w:val="32"/>
          <w:lang w:eastAsia="zh-CN"/>
        </w:rPr>
      </w:pPr>
      <w:r>
        <w:rPr>
          <w:rFonts w:hint="eastAsia" w:ascii="仿宋_GB2312" w:eastAsia="仿宋_GB2312" w:cs="宋体"/>
          <w:color w:val="333333"/>
          <w:kern w:val="0"/>
          <w:sz w:val="32"/>
          <w:szCs w:val="32"/>
          <w:lang w:val="en-US" w:eastAsia="zh-CN"/>
        </w:rPr>
        <w:t>2024</w:t>
      </w:r>
      <w:r>
        <w:rPr>
          <w:rFonts w:hint="eastAsia" w:ascii="仿宋_GB2312" w:eastAsia="仿宋_GB2312" w:cs="宋体"/>
          <w:color w:val="333333"/>
          <w:kern w:val="0"/>
          <w:sz w:val="32"/>
          <w:szCs w:val="32"/>
        </w:rPr>
        <w:t>年没有使用政府性基金预算拨款安排的支出。</w:t>
      </w:r>
    </w:p>
    <w:p>
      <w:pPr>
        <w:keepNext w:val="0"/>
        <w:keepLines w:val="0"/>
        <w:pageBreakBefore w:val="0"/>
        <w:widowControl/>
        <w:kinsoku/>
        <w:wordWrap/>
        <w:overflowPunct/>
        <w:topLinePunct/>
        <w:autoSpaceDE/>
        <w:autoSpaceDN/>
        <w:bidi w:val="0"/>
        <w:adjustRightInd/>
        <w:snapToGrid/>
        <w:spacing w:line="480" w:lineRule="atLeast"/>
        <w:ind w:left="0" w:right="0" w:firstLine="640" w:firstLineChars="200"/>
        <w:jc w:val="left"/>
        <w:textAlignment w:val="auto"/>
        <w:outlineLvl w:val="9"/>
        <w:rPr>
          <w:rFonts w:hint="eastAsia" w:ascii="黑体" w:eastAsia="黑体" w:cs="宋体"/>
          <w:color w:val="333333"/>
          <w:kern w:val="0"/>
          <w:sz w:val="32"/>
          <w:szCs w:val="32"/>
        </w:rPr>
      </w:pPr>
      <w:r>
        <w:rPr>
          <w:rFonts w:hint="eastAsia" w:ascii="黑体" w:eastAsia="黑体" w:cs="宋体"/>
          <w:color w:val="333333"/>
          <w:kern w:val="0"/>
          <w:sz w:val="32"/>
          <w:szCs w:val="32"/>
          <w:lang w:eastAsia="zh-CN"/>
        </w:rPr>
        <w:t>九</w:t>
      </w:r>
      <w:r>
        <w:rPr>
          <w:rFonts w:hint="eastAsia" w:ascii="黑体" w:eastAsia="黑体" w:cs="宋体"/>
          <w:color w:val="333333"/>
          <w:kern w:val="0"/>
          <w:sz w:val="32"/>
          <w:szCs w:val="32"/>
        </w:rPr>
        <w:t>、其他重要事项的情况说明</w:t>
      </w:r>
    </w:p>
    <w:p>
      <w:pPr>
        <w:rPr>
          <w:rFonts w:hint="eastAsia" w:ascii="仿宋_GB2312" w:eastAsia="仿宋_GB2312" w:cs="仿宋_GB2312"/>
          <w:color w:val="auto"/>
          <w:sz w:val="32"/>
          <w:szCs w:val="32"/>
          <w:lang w:val="en-US"/>
        </w:rPr>
      </w:pPr>
      <w:r>
        <w:rPr>
          <w:rFonts w:hint="eastAsia" w:ascii="楷体_GB2312" w:eastAsia="楷体_GB2312" w:cs="楷体_GB2312"/>
          <w:b/>
          <w:bCs/>
          <w:color w:val="auto"/>
          <w:sz w:val="32"/>
          <w:szCs w:val="32"/>
          <w:lang w:val="en-US" w:eastAsia="zh-CN"/>
        </w:rPr>
        <w:t>　　</w:t>
      </w:r>
      <w:r>
        <w:rPr>
          <w:rFonts w:hint="eastAsia" w:ascii="楷体_GB2312" w:eastAsia="楷体_GB2312" w:cs="楷体_GB2312"/>
          <w:b/>
          <w:bCs/>
          <w:color w:val="auto"/>
          <w:sz w:val="32"/>
          <w:szCs w:val="32"/>
          <w:lang w:val="en-US"/>
        </w:rPr>
        <w:t>（一）机关运行经费</w:t>
      </w:r>
    </w:p>
    <w:p>
      <w:pPr>
        <w:rPr>
          <w:rFonts w:hint="eastAsia" w:ascii="仿宋_GB2312" w:eastAsia="仿宋_GB2312" w:cs="仿宋_GB2312"/>
          <w:color w:val="C00000"/>
          <w:sz w:val="32"/>
          <w:szCs w:val="32"/>
          <w:lang w:val="en-US"/>
        </w:rPr>
      </w:pPr>
      <w:r>
        <w:rPr>
          <w:rFonts w:hint="eastAsia" w:ascii="仿宋_GB2312" w:eastAsia="仿宋_GB2312" w:cs="仿宋_GB2312"/>
          <w:color w:val="auto"/>
          <w:sz w:val="32"/>
          <w:szCs w:val="32"/>
          <w:lang w:val="en-US"/>
        </w:rPr>
        <w:t>　　20</w:t>
      </w:r>
      <w:r>
        <w:rPr>
          <w:rFonts w:hint="eastAsia" w:ascii="仿宋_GB2312" w:eastAsia="仿宋_GB2312" w:cs="仿宋_GB2312"/>
          <w:color w:val="auto"/>
          <w:sz w:val="32"/>
          <w:szCs w:val="32"/>
          <w:lang w:val="en-US" w:eastAsia="zh-CN"/>
        </w:rPr>
        <w:t>24</w:t>
      </w:r>
      <w:r>
        <w:rPr>
          <w:rFonts w:hint="eastAsia" w:ascii="仿宋_GB2312" w:eastAsia="仿宋_GB2312" w:cs="仿宋_GB2312"/>
          <w:color w:val="auto"/>
          <w:sz w:val="32"/>
          <w:szCs w:val="32"/>
          <w:lang w:val="en-US"/>
        </w:rPr>
        <w:t>年，</w:t>
      </w:r>
      <w:r>
        <w:rPr>
          <w:rFonts w:hint="eastAsia" w:ascii="仿宋_GB2312" w:eastAsia="仿宋_GB2312" w:cs="仿宋_GB2312"/>
          <w:color w:val="auto"/>
          <w:sz w:val="32"/>
          <w:szCs w:val="32"/>
          <w:lang w:val="en-US" w:eastAsia="zh-CN"/>
        </w:rPr>
        <w:t>文联</w:t>
      </w:r>
      <w:r>
        <w:rPr>
          <w:rFonts w:hint="eastAsia" w:ascii="仿宋_GB2312" w:eastAsia="仿宋_GB2312" w:cs="仿宋_GB2312"/>
          <w:color w:val="auto"/>
          <w:sz w:val="32"/>
          <w:szCs w:val="32"/>
          <w:lang w:val="en-US"/>
        </w:rPr>
        <w:t>的单位运行经费财政拨款预算为</w:t>
      </w:r>
      <w:r>
        <w:rPr>
          <w:rFonts w:hint="eastAsia" w:ascii="仿宋_GB2312" w:eastAsia="仿宋_GB2312" w:cs="仿宋_GB2312"/>
          <w:color w:val="auto"/>
          <w:sz w:val="32"/>
          <w:szCs w:val="32"/>
          <w:lang w:val="en-US" w:eastAsia="zh-CN"/>
        </w:rPr>
        <w:t>91.51</w:t>
      </w:r>
      <w:r>
        <w:rPr>
          <w:rFonts w:hint="eastAsia" w:ascii="仿宋_GB2312" w:eastAsia="仿宋_GB2312" w:cs="仿宋_GB2312"/>
          <w:color w:val="auto"/>
          <w:sz w:val="32"/>
          <w:szCs w:val="32"/>
          <w:lang w:val="en-US"/>
        </w:rPr>
        <w:t>万元，比20</w:t>
      </w:r>
      <w:r>
        <w:rPr>
          <w:rFonts w:hint="eastAsia" w:ascii="仿宋_GB2312" w:eastAsia="仿宋_GB2312" w:cs="仿宋_GB2312"/>
          <w:color w:val="auto"/>
          <w:sz w:val="32"/>
          <w:szCs w:val="32"/>
          <w:lang w:val="en-US" w:eastAsia="zh-CN"/>
        </w:rPr>
        <w:t>23</w:t>
      </w:r>
      <w:r>
        <w:rPr>
          <w:rFonts w:hint="eastAsia" w:ascii="仿宋_GB2312" w:eastAsia="仿宋_GB2312" w:cs="仿宋_GB2312"/>
          <w:color w:val="auto"/>
          <w:sz w:val="32"/>
          <w:szCs w:val="32"/>
          <w:lang w:val="en-US"/>
        </w:rPr>
        <w:t>年预算增加</w:t>
      </w:r>
      <w:r>
        <w:rPr>
          <w:rFonts w:hint="eastAsia" w:ascii="仿宋_GB2312" w:eastAsia="仿宋_GB2312" w:cs="仿宋_GB2312"/>
          <w:color w:val="auto"/>
          <w:sz w:val="32"/>
          <w:szCs w:val="32"/>
          <w:lang w:val="en-US" w:eastAsia="zh-CN"/>
        </w:rPr>
        <w:t>2.72</w:t>
      </w:r>
      <w:r>
        <w:rPr>
          <w:rFonts w:hint="eastAsia" w:ascii="仿宋_GB2312" w:eastAsia="仿宋_GB2312" w:cs="仿宋_GB2312"/>
          <w:color w:val="auto"/>
          <w:sz w:val="32"/>
          <w:szCs w:val="32"/>
          <w:lang w:val="en-US"/>
        </w:rPr>
        <w:t>万元，</w:t>
      </w:r>
      <w:r>
        <w:rPr>
          <w:rFonts w:hint="eastAsia" w:ascii="仿宋_GB2312" w:eastAsia="仿宋_GB2312" w:cs="仿宋_GB2312"/>
          <w:color w:val="000000" w:themeColor="text1"/>
          <w:sz w:val="32"/>
          <w:szCs w:val="32"/>
          <w:lang w:val="en-US"/>
          <w14:textFill>
            <w14:solidFill>
              <w14:schemeClr w14:val="tx1"/>
            </w14:solidFill>
          </w14:textFill>
        </w:rPr>
        <w:t>增长</w:t>
      </w:r>
      <w:r>
        <w:rPr>
          <w:rFonts w:hint="eastAsia" w:ascii="仿宋_GB2312" w:eastAsia="仿宋_GB2312" w:cs="仿宋_GB2312"/>
          <w:color w:val="000000" w:themeColor="text1"/>
          <w:sz w:val="32"/>
          <w:szCs w:val="32"/>
          <w:lang w:val="en-US" w:eastAsia="zh-CN"/>
          <w14:textFill>
            <w14:solidFill>
              <w14:schemeClr w14:val="tx1"/>
            </w14:solidFill>
          </w14:textFill>
        </w:rPr>
        <w:t>3.06</w:t>
      </w:r>
      <w:r>
        <w:rPr>
          <w:rFonts w:hint="eastAsia" w:ascii="仿宋_GB2312" w:eastAsia="仿宋_GB2312" w:cs="仿宋_GB2312"/>
          <w:color w:val="000000" w:themeColor="text1"/>
          <w:sz w:val="32"/>
          <w:szCs w:val="32"/>
          <w:lang w:val="en-US"/>
          <w14:textFill>
            <w14:solidFill>
              <w14:schemeClr w14:val="tx1"/>
            </w14:solidFill>
          </w14:textFill>
        </w:rPr>
        <w:t>%。</w:t>
      </w:r>
    </w:p>
    <w:p>
      <w:pPr>
        <w:rPr>
          <w:rFonts w:hint="eastAsia" w:ascii="仿宋_GB2312" w:eastAsia="仿宋_GB2312" w:cs="仿宋_GB2312"/>
          <w:color w:val="auto"/>
          <w:sz w:val="32"/>
          <w:szCs w:val="32"/>
          <w:lang w:val="en-US"/>
        </w:rPr>
      </w:pPr>
      <w:r>
        <w:rPr>
          <w:rFonts w:hint="eastAsia" w:ascii="仿宋_GB2312" w:eastAsia="仿宋_GB2312" w:cs="仿宋_GB2312"/>
          <w:color w:val="auto"/>
          <w:sz w:val="32"/>
          <w:szCs w:val="32"/>
          <w:lang w:val="en-US"/>
        </w:rPr>
        <w:t>　　</w:t>
      </w:r>
      <w:r>
        <w:rPr>
          <w:rFonts w:hint="eastAsia" w:ascii="楷体_GB2312" w:eastAsia="楷体_GB2312" w:cs="楷体_GB2312"/>
          <w:b/>
          <w:bCs/>
          <w:color w:val="auto"/>
          <w:sz w:val="32"/>
          <w:szCs w:val="32"/>
          <w:lang w:val="en-US"/>
        </w:rPr>
        <w:t>（二）政府采购情况</w:t>
      </w:r>
    </w:p>
    <w:p>
      <w:pPr>
        <w:rPr>
          <w:rFonts w:hint="eastAsia" w:ascii="仿宋_GB2312" w:eastAsia="仿宋_GB2312" w:cs="仿宋_GB2312"/>
          <w:color w:val="auto"/>
          <w:sz w:val="32"/>
          <w:szCs w:val="32"/>
          <w:lang w:val="en-US"/>
        </w:rPr>
      </w:pPr>
      <w:r>
        <w:rPr>
          <w:rFonts w:hint="eastAsia" w:ascii="仿宋_GB2312" w:eastAsia="仿宋_GB2312" w:cs="仿宋_GB2312"/>
          <w:color w:val="auto"/>
          <w:sz w:val="32"/>
          <w:szCs w:val="32"/>
          <w:lang w:val="en-US"/>
        </w:rPr>
        <w:t>　　20</w:t>
      </w:r>
      <w:r>
        <w:rPr>
          <w:rFonts w:hint="eastAsia" w:ascii="仿宋_GB2312" w:eastAsia="仿宋_GB2312" w:cs="仿宋_GB2312"/>
          <w:color w:val="auto"/>
          <w:sz w:val="32"/>
          <w:szCs w:val="32"/>
          <w:lang w:val="en-US" w:eastAsia="zh-CN"/>
        </w:rPr>
        <w:t>24</w:t>
      </w:r>
      <w:r>
        <w:rPr>
          <w:rFonts w:hint="eastAsia" w:ascii="仿宋_GB2312" w:eastAsia="仿宋_GB2312" w:cs="仿宋_GB2312"/>
          <w:color w:val="auto"/>
          <w:sz w:val="32"/>
          <w:szCs w:val="32"/>
          <w:lang w:val="en-US"/>
        </w:rPr>
        <w:t>年，</w:t>
      </w:r>
      <w:r>
        <w:rPr>
          <w:rFonts w:hint="eastAsia" w:ascii="仿宋_GB2312" w:eastAsia="仿宋_GB2312" w:cs="仿宋_GB2312"/>
          <w:color w:val="auto"/>
          <w:sz w:val="32"/>
          <w:szCs w:val="32"/>
          <w:lang w:val="en-US" w:eastAsia="zh-CN"/>
        </w:rPr>
        <w:t>文联</w:t>
      </w:r>
      <w:r>
        <w:rPr>
          <w:rFonts w:hint="eastAsia" w:ascii="仿宋_GB2312" w:eastAsia="仿宋_GB2312" w:cs="仿宋_GB2312"/>
          <w:color w:val="auto"/>
          <w:sz w:val="32"/>
          <w:szCs w:val="32"/>
          <w:lang w:val="en-US"/>
        </w:rPr>
        <w:t>政府采购预算</w:t>
      </w:r>
      <w:r>
        <w:rPr>
          <w:rFonts w:hint="eastAsia" w:ascii="仿宋_GB2312" w:eastAsia="仿宋_GB2312" w:cs="仿宋_GB2312"/>
          <w:color w:val="auto"/>
          <w:sz w:val="32"/>
          <w:szCs w:val="32"/>
          <w:lang w:val="en-US" w:eastAsia="zh-CN"/>
        </w:rPr>
        <w:t>0</w:t>
      </w:r>
      <w:r>
        <w:rPr>
          <w:rFonts w:hint="eastAsia" w:ascii="仿宋_GB2312" w:eastAsia="仿宋_GB2312" w:cs="仿宋_GB2312"/>
          <w:color w:val="auto"/>
          <w:sz w:val="32"/>
          <w:szCs w:val="32"/>
          <w:lang w:val="en-US"/>
        </w:rPr>
        <w:t>万元。</w:t>
      </w:r>
    </w:p>
    <w:p>
      <w:pPr>
        <w:rPr>
          <w:rFonts w:hint="eastAsia" w:ascii="仿宋_GB2312" w:eastAsia="仿宋_GB2312" w:cs="仿宋_GB2312"/>
          <w:color w:val="auto"/>
          <w:sz w:val="32"/>
          <w:szCs w:val="32"/>
          <w:lang w:val="en-US"/>
        </w:rPr>
      </w:pPr>
      <w:r>
        <w:rPr>
          <w:rFonts w:hint="eastAsia" w:ascii="仿宋_GB2312" w:eastAsia="仿宋_GB2312" w:cs="仿宋_GB2312"/>
          <w:color w:val="auto"/>
          <w:sz w:val="32"/>
          <w:szCs w:val="32"/>
          <w:lang w:val="en-US"/>
        </w:rPr>
        <w:t>　　</w:t>
      </w:r>
      <w:r>
        <w:rPr>
          <w:rFonts w:hint="eastAsia" w:ascii="楷体_GB2312" w:eastAsia="楷体_GB2312" w:cs="楷体_GB2312"/>
          <w:b/>
          <w:bCs/>
          <w:color w:val="auto"/>
          <w:sz w:val="32"/>
          <w:szCs w:val="32"/>
          <w:lang w:val="en-US"/>
        </w:rPr>
        <w:t>（三）国有资产占有使用情况</w:t>
      </w:r>
    </w:p>
    <w:p>
      <w:pPr>
        <w:rPr>
          <w:rFonts w:hint="eastAsia" w:ascii="仿宋_GB2312" w:eastAsia="仿宋_GB2312" w:cs="仿宋_GB2312"/>
          <w:color w:val="auto"/>
          <w:sz w:val="32"/>
          <w:szCs w:val="32"/>
          <w:lang w:val="en-US"/>
        </w:rPr>
      </w:pPr>
      <w:r>
        <w:rPr>
          <w:rFonts w:hint="eastAsia" w:ascii="仿宋_GB2312" w:eastAsia="仿宋_GB2312" w:cs="仿宋_GB2312"/>
          <w:color w:val="auto"/>
          <w:sz w:val="32"/>
          <w:szCs w:val="32"/>
          <w:lang w:val="en-US"/>
        </w:rPr>
        <w:t>　　截至20</w:t>
      </w:r>
      <w:r>
        <w:rPr>
          <w:rFonts w:hint="eastAsia" w:ascii="仿宋_GB2312" w:eastAsia="仿宋_GB2312" w:cs="仿宋_GB2312"/>
          <w:color w:val="auto"/>
          <w:sz w:val="32"/>
          <w:szCs w:val="32"/>
          <w:lang w:val="en-US" w:eastAsia="zh-CN"/>
        </w:rPr>
        <w:t>24</w:t>
      </w:r>
      <w:r>
        <w:rPr>
          <w:rFonts w:hint="eastAsia" w:ascii="仿宋_GB2312" w:eastAsia="仿宋_GB2312" w:cs="仿宋_GB2312"/>
          <w:color w:val="auto"/>
          <w:sz w:val="32"/>
          <w:szCs w:val="32"/>
          <w:lang w:val="en-US"/>
        </w:rPr>
        <w:t>年底，</w:t>
      </w:r>
      <w:r>
        <w:rPr>
          <w:rFonts w:hint="eastAsia" w:ascii="仿宋_GB2312" w:eastAsia="仿宋_GB2312" w:cs="仿宋_GB2312"/>
          <w:color w:val="auto"/>
          <w:sz w:val="32"/>
          <w:szCs w:val="32"/>
          <w:lang w:val="en-US" w:eastAsia="zh-CN"/>
        </w:rPr>
        <w:t>文联</w:t>
      </w:r>
      <w:r>
        <w:rPr>
          <w:rFonts w:hint="eastAsia" w:ascii="仿宋_GB2312" w:eastAsia="仿宋_GB2312" w:cs="仿宋_GB2312"/>
          <w:color w:val="auto"/>
          <w:sz w:val="32"/>
          <w:szCs w:val="32"/>
          <w:lang w:val="en-US"/>
        </w:rPr>
        <w:t>共有车辆</w:t>
      </w:r>
      <w:r>
        <w:rPr>
          <w:rFonts w:hint="eastAsia" w:ascii="仿宋_GB2312" w:eastAsia="仿宋_GB2312" w:cs="仿宋_GB2312"/>
          <w:color w:val="auto"/>
          <w:sz w:val="32"/>
          <w:szCs w:val="32"/>
          <w:lang w:val="en-US" w:eastAsia="zh-CN"/>
        </w:rPr>
        <w:t>0</w:t>
      </w:r>
      <w:r>
        <w:rPr>
          <w:rFonts w:hint="eastAsia" w:ascii="仿宋_GB2312" w:eastAsia="仿宋_GB2312" w:cs="仿宋_GB2312"/>
          <w:color w:val="auto"/>
          <w:sz w:val="32"/>
          <w:szCs w:val="32"/>
          <w:lang w:val="en-US"/>
        </w:rPr>
        <w:t>辆</w:t>
      </w:r>
      <w:r>
        <w:rPr>
          <w:rFonts w:hint="eastAsia" w:ascii="仿宋_GB2312" w:eastAsia="仿宋_GB2312" w:cs="仿宋_GB2312"/>
          <w:color w:val="auto"/>
          <w:sz w:val="32"/>
          <w:szCs w:val="32"/>
          <w:lang w:val="en-US" w:eastAsia="zh-CN"/>
        </w:rPr>
        <w:t>，</w:t>
      </w:r>
      <w:r>
        <w:rPr>
          <w:rFonts w:hint="eastAsia" w:ascii="仿宋_GB2312" w:eastAsia="仿宋_GB2312" w:cs="仿宋_GB2312"/>
          <w:color w:val="auto"/>
          <w:sz w:val="32"/>
          <w:szCs w:val="32"/>
          <w:lang w:val="en-US"/>
        </w:rPr>
        <w:t>单位价值200万元以上大型设备0台（套）。</w:t>
      </w:r>
    </w:p>
    <w:p>
      <w:pPr>
        <w:rPr>
          <w:rFonts w:hint="eastAsia" w:ascii="仿宋_GB2312" w:eastAsia="仿宋_GB2312" w:cs="仿宋_GB2312"/>
          <w:color w:val="auto"/>
          <w:sz w:val="32"/>
          <w:szCs w:val="32"/>
          <w:lang w:val="en-US"/>
        </w:rPr>
      </w:pPr>
      <w:r>
        <w:rPr>
          <w:rFonts w:hint="eastAsia" w:ascii="仿宋_GB2312" w:eastAsia="仿宋_GB2312" w:cs="仿宋_GB2312"/>
          <w:color w:val="auto"/>
          <w:sz w:val="32"/>
          <w:szCs w:val="32"/>
          <w:lang w:val="en-US"/>
        </w:rPr>
        <w:t>　　20</w:t>
      </w:r>
      <w:r>
        <w:rPr>
          <w:rFonts w:hint="eastAsia" w:ascii="仿宋_GB2312" w:eastAsia="仿宋_GB2312" w:cs="仿宋_GB2312"/>
          <w:color w:val="auto"/>
          <w:sz w:val="32"/>
          <w:szCs w:val="32"/>
          <w:lang w:val="en-US" w:eastAsia="zh-CN"/>
        </w:rPr>
        <w:t>24</w:t>
      </w:r>
      <w:r>
        <w:rPr>
          <w:rFonts w:hint="eastAsia" w:ascii="仿宋_GB2312" w:eastAsia="仿宋_GB2312" w:cs="仿宋_GB2312"/>
          <w:color w:val="auto"/>
          <w:sz w:val="32"/>
          <w:szCs w:val="32"/>
          <w:lang w:val="en-US"/>
        </w:rPr>
        <w:t>年部门预算未安排购置车辆及单位价值200万元以上大型设备。</w:t>
      </w:r>
    </w:p>
    <w:p>
      <w:pPr>
        <w:rPr>
          <w:rFonts w:hint="eastAsia" w:ascii="仿宋_GB2312" w:eastAsia="仿宋_GB2312" w:cs="仿宋_GB2312"/>
          <w:color w:val="auto"/>
          <w:sz w:val="32"/>
          <w:szCs w:val="32"/>
          <w:lang w:val="en-US"/>
        </w:rPr>
      </w:pPr>
      <w:r>
        <w:rPr>
          <w:rFonts w:hint="eastAsia" w:ascii="仿宋_GB2312" w:eastAsia="仿宋_GB2312" w:cs="仿宋_GB2312"/>
          <w:color w:val="auto"/>
          <w:sz w:val="32"/>
          <w:szCs w:val="32"/>
          <w:lang w:val="en-US"/>
        </w:rPr>
        <w:t>　　</w:t>
      </w:r>
      <w:r>
        <w:rPr>
          <w:rFonts w:hint="eastAsia" w:ascii="楷体_GB2312" w:eastAsia="楷体_GB2312" w:cs="楷体_GB2312"/>
          <w:b/>
          <w:bCs/>
          <w:color w:val="auto"/>
          <w:sz w:val="32"/>
          <w:szCs w:val="32"/>
          <w:lang w:val="en-US"/>
        </w:rPr>
        <w:t>（四）绩效目标设置情况</w:t>
      </w:r>
    </w:p>
    <w:p>
      <w:pPr>
        <w:rPr>
          <w:rFonts w:hint="eastAsia" w:ascii="仿宋_GB2312" w:eastAsia="仿宋_GB2312" w:cs="仿宋_GB2312"/>
          <w:color w:val="auto"/>
          <w:sz w:val="32"/>
          <w:szCs w:val="32"/>
          <w:lang w:val="en-US"/>
        </w:rPr>
      </w:pPr>
      <w:r>
        <w:rPr>
          <w:rFonts w:hint="eastAsia" w:ascii="仿宋_GB2312" w:eastAsia="仿宋_GB2312" w:cs="仿宋_GB2312"/>
          <w:color w:val="auto"/>
          <w:sz w:val="32"/>
          <w:szCs w:val="32"/>
          <w:lang w:val="en-US"/>
        </w:rPr>
        <w:t>　　20</w:t>
      </w:r>
      <w:r>
        <w:rPr>
          <w:rFonts w:hint="eastAsia" w:ascii="仿宋_GB2312" w:eastAsia="仿宋_GB2312" w:cs="仿宋_GB2312"/>
          <w:color w:val="auto"/>
          <w:sz w:val="32"/>
          <w:szCs w:val="32"/>
          <w:lang w:val="en-US" w:eastAsia="zh-CN"/>
        </w:rPr>
        <w:t>24</w:t>
      </w:r>
      <w:r>
        <w:rPr>
          <w:rFonts w:hint="eastAsia" w:ascii="仿宋_GB2312" w:eastAsia="仿宋_GB2312" w:cs="仿宋_GB2312"/>
          <w:color w:val="auto"/>
          <w:sz w:val="32"/>
          <w:szCs w:val="32"/>
          <w:lang w:val="en-US"/>
        </w:rPr>
        <w:t>年</w:t>
      </w:r>
      <w:r>
        <w:rPr>
          <w:rFonts w:hint="eastAsia" w:ascii="仿宋_GB2312" w:eastAsia="仿宋_GB2312" w:cs="仿宋_GB2312"/>
          <w:color w:val="auto"/>
          <w:sz w:val="32"/>
          <w:szCs w:val="32"/>
          <w:lang w:val="en-US" w:eastAsia="zh-CN"/>
        </w:rPr>
        <w:t>文联基本支出和项目支出</w:t>
      </w:r>
      <w:r>
        <w:rPr>
          <w:rFonts w:hint="eastAsia" w:ascii="仿宋_GB2312" w:eastAsia="仿宋_GB2312" w:cs="仿宋_GB2312"/>
          <w:color w:val="auto"/>
          <w:sz w:val="32"/>
          <w:szCs w:val="32"/>
          <w:lang w:val="en-US"/>
        </w:rPr>
        <w:t>均按要求实行绩效目标管理，涉及一般公共预算当年拨款</w:t>
      </w:r>
      <w:r>
        <w:rPr>
          <w:rFonts w:hint="eastAsia" w:ascii="仿宋_GB2312" w:eastAsia="仿宋_GB2312" w:cs="仿宋_GB2312"/>
          <w:color w:val="auto"/>
          <w:sz w:val="32"/>
          <w:szCs w:val="32"/>
          <w:lang w:val="en-US" w:eastAsia="zh-CN"/>
        </w:rPr>
        <w:t>91.51</w:t>
      </w:r>
      <w:r>
        <w:rPr>
          <w:rFonts w:hint="eastAsia" w:ascii="仿宋_GB2312" w:eastAsia="仿宋_GB2312" w:cs="仿宋_GB2312"/>
          <w:color w:val="auto"/>
          <w:sz w:val="32"/>
          <w:szCs w:val="32"/>
          <w:lang w:val="en-US"/>
        </w:rPr>
        <w:t>万元。</w:t>
      </w:r>
    </w:p>
    <w:p>
      <w:pPr>
        <w:keepNext w:val="0"/>
        <w:keepLines w:val="0"/>
        <w:pageBreakBefore w:val="0"/>
        <w:widowControl/>
        <w:kinsoku/>
        <w:wordWrap/>
        <w:overflowPunct/>
        <w:topLinePunct/>
        <w:autoSpaceDE/>
        <w:autoSpaceDN/>
        <w:bidi w:val="0"/>
        <w:adjustRightInd/>
        <w:snapToGrid/>
        <w:spacing w:line="480" w:lineRule="atLeast"/>
        <w:ind w:right="0"/>
        <w:jc w:val="left"/>
        <w:textAlignment w:val="auto"/>
        <w:outlineLvl w:val="9"/>
        <w:rPr>
          <w:rFonts w:hint="eastAsia" w:ascii="黑体" w:eastAsia="黑体" w:cs="宋体"/>
          <w:color w:val="333333"/>
          <w:kern w:val="0"/>
          <w:sz w:val="32"/>
          <w:szCs w:val="32"/>
          <w:lang w:eastAsia="zh-CN"/>
        </w:rPr>
      </w:pPr>
      <w:r>
        <w:rPr>
          <w:rFonts w:hint="eastAsia" w:ascii="黑体" w:eastAsia="黑体" w:cs="宋体"/>
          <w:color w:val="333333"/>
          <w:kern w:val="0"/>
          <w:sz w:val="32"/>
          <w:szCs w:val="32"/>
          <w:lang w:eastAsia="zh-CN"/>
        </w:rPr>
        <w:t>　　</w:t>
      </w:r>
      <w:r>
        <w:rPr>
          <w:rFonts w:hint="eastAsia" w:ascii="黑体" w:eastAsia="黑体" w:cs="宋体"/>
          <w:color w:val="333333"/>
          <w:kern w:val="0"/>
          <w:sz w:val="32"/>
          <w:szCs w:val="32"/>
        </w:rPr>
        <w:t>十、名词解释</w:t>
      </w:r>
    </w:p>
    <w:p>
      <w:pPr>
        <w:keepNext w:val="0"/>
        <w:keepLines w:val="0"/>
        <w:pageBreakBefore w:val="0"/>
        <w:widowControl/>
        <w:kinsoku/>
        <w:wordWrap/>
        <w:overflowPunct/>
        <w:topLinePunct/>
        <w:autoSpaceDE/>
        <w:autoSpaceDN/>
        <w:bidi w:val="0"/>
        <w:adjustRightInd/>
        <w:snapToGrid/>
        <w:spacing w:line="480" w:lineRule="atLeast"/>
        <w:ind w:right="0"/>
        <w:jc w:val="left"/>
        <w:textAlignment w:val="auto"/>
        <w:outlineLvl w:val="9"/>
        <w:rPr>
          <w:rFonts w:hint="eastAsia" w:ascii="仿宋_GB2312" w:eastAsia="仿宋_GB2312" w:cs="宋体"/>
          <w:color w:val="333333"/>
          <w:kern w:val="0"/>
          <w:sz w:val="32"/>
          <w:szCs w:val="32"/>
          <w:lang w:val="en-US" w:eastAsia="zh-CN" w:bidi="ar-SA"/>
        </w:rPr>
      </w:pPr>
      <w:r>
        <w:rPr>
          <w:rFonts w:hint="eastAsia" w:ascii="黑体" w:eastAsia="黑体" w:cs="宋体"/>
          <w:color w:val="333333"/>
          <w:kern w:val="0"/>
          <w:sz w:val="32"/>
          <w:szCs w:val="32"/>
          <w:lang w:val="en-US" w:eastAsia="zh-CN"/>
        </w:rPr>
        <w:t xml:space="preserve">    </w:t>
      </w:r>
      <w:r>
        <w:rPr>
          <w:rFonts w:hint="eastAsia" w:ascii="仿宋_GB2312" w:eastAsia="仿宋_GB2312" w:cs="宋体"/>
          <w:color w:val="333333"/>
          <w:kern w:val="0"/>
          <w:sz w:val="32"/>
          <w:szCs w:val="32"/>
        </w:rPr>
        <w:t>1.一般公共预算拨款收入：指省级财政当年拨付的资金。</w:t>
      </w:r>
    </w:p>
    <w:p>
      <w:pPr>
        <w:keepNext w:val="0"/>
        <w:keepLines w:val="0"/>
        <w:pageBreakBefore w:val="0"/>
        <w:widowControl/>
        <w:kinsoku/>
        <w:wordWrap/>
        <w:overflowPunct/>
        <w:topLinePunct/>
        <w:autoSpaceDE/>
        <w:autoSpaceDN/>
        <w:bidi w:val="0"/>
        <w:adjustRightInd/>
        <w:snapToGrid/>
        <w:spacing w:line="480" w:lineRule="atLeast"/>
        <w:ind w:right="0"/>
        <w:jc w:val="left"/>
        <w:textAlignment w:val="auto"/>
        <w:outlineLvl w:val="9"/>
        <w:rPr>
          <w:rFonts w:hint="eastAsia" w:ascii="仿宋_GB2312" w:eastAsia="仿宋_GB2312" w:cs="宋体"/>
          <w:color w:val="333333"/>
          <w:kern w:val="0"/>
          <w:sz w:val="32"/>
          <w:szCs w:val="32"/>
          <w:lang w:val="en-US" w:eastAsia="zh-CN" w:bidi="ar-SA"/>
        </w:rPr>
      </w:pPr>
      <w:r>
        <w:rPr>
          <w:rFonts w:hint="eastAsia" w:ascii="仿宋_GB2312" w:eastAsia="仿宋_GB2312" w:cs="宋体"/>
          <w:color w:val="333333"/>
          <w:kern w:val="0"/>
          <w:sz w:val="32"/>
          <w:szCs w:val="32"/>
          <w:lang w:val="en-US" w:eastAsia="zh-CN"/>
        </w:rPr>
        <w:t xml:space="preserve">    2.</w:t>
      </w:r>
      <w:r>
        <w:rPr>
          <w:rFonts w:hint="eastAsia" w:ascii="仿宋_GB2312" w:eastAsia="仿宋_GB2312" w:cs="宋体"/>
          <w:color w:val="333333"/>
          <w:kern w:val="0"/>
          <w:sz w:val="32"/>
          <w:szCs w:val="32"/>
          <w:lang w:val="en-US" w:eastAsia="zh-CN" w:bidi="ar-SA"/>
        </w:rPr>
        <w:t>文化旅游体育与传媒支出（类）文化（款）其他文化和旅游支出（项）：指单位用于其他文化方面的支出。</w:t>
      </w:r>
    </w:p>
    <w:p>
      <w:pPr>
        <w:keepNext w:val="0"/>
        <w:keepLines w:val="0"/>
        <w:pageBreakBefore w:val="0"/>
        <w:widowControl/>
        <w:kinsoku/>
        <w:wordWrap/>
        <w:overflowPunct/>
        <w:topLinePunct/>
        <w:autoSpaceDE/>
        <w:autoSpaceDN/>
        <w:bidi w:val="0"/>
        <w:adjustRightInd/>
        <w:snapToGrid/>
        <w:ind w:left="0" w:right="0"/>
        <w:textAlignment w:val="auto"/>
        <w:outlineLvl w:val="9"/>
        <w:rPr>
          <w:rFonts w:hint="eastAsia" w:ascii="仿宋_GB2312" w:eastAsia="仿宋_GB2312" w:cs="宋体"/>
          <w:color w:val="333333"/>
          <w:kern w:val="0"/>
          <w:sz w:val="32"/>
          <w:szCs w:val="32"/>
          <w:lang w:eastAsia="zh-CN"/>
        </w:rPr>
      </w:pPr>
      <w:r>
        <w:rPr>
          <w:rFonts w:hint="eastAsia" w:ascii="仿宋_GB2312" w:eastAsia="仿宋_GB2312" w:cs="宋体"/>
          <w:color w:val="333333"/>
          <w:kern w:val="0"/>
          <w:sz w:val="32"/>
          <w:szCs w:val="32"/>
          <w:lang w:val="en-US" w:eastAsia="zh-CN" w:bidi="ar-SA"/>
        </w:rPr>
        <w:t xml:space="preserve">    3</w:t>
      </w:r>
      <w:r>
        <w:rPr>
          <w:rFonts w:hint="eastAsia" w:ascii="仿宋_GB2312" w:eastAsia="仿宋_GB2312" w:cs="宋体"/>
          <w:color w:val="333333"/>
          <w:kern w:val="0"/>
          <w:sz w:val="32"/>
          <w:szCs w:val="32"/>
        </w:rPr>
        <w:t>.社会保障和就业（类）行政事业单位离退休（款）机关事业单位基本养老保险缴费支出（项）：指部门实施养老保险制度由单位缴纳的养老保险费的支出。</w:t>
      </w:r>
    </w:p>
    <w:p>
      <w:pPr>
        <w:keepNext w:val="0"/>
        <w:keepLines w:val="0"/>
        <w:pageBreakBefore w:val="0"/>
        <w:widowControl/>
        <w:kinsoku/>
        <w:wordWrap/>
        <w:overflowPunct/>
        <w:topLinePunct/>
        <w:autoSpaceDE/>
        <w:autoSpaceDN/>
        <w:bidi w:val="0"/>
        <w:adjustRightInd/>
        <w:snapToGrid/>
        <w:ind w:left="0" w:right="0"/>
        <w:textAlignment w:val="auto"/>
        <w:outlineLvl w:val="9"/>
        <w:rPr>
          <w:rFonts w:hint="eastAsia" w:ascii="仿宋_GB2312" w:eastAsia="仿宋_GB2312" w:cs="宋体"/>
          <w:color w:val="333333"/>
          <w:kern w:val="0"/>
          <w:sz w:val="32"/>
          <w:szCs w:val="32"/>
          <w:lang w:eastAsia="zh-CN"/>
        </w:rPr>
      </w:pPr>
      <w:r>
        <w:rPr>
          <w:rFonts w:hint="eastAsia" w:ascii="仿宋_GB2312" w:eastAsia="仿宋_GB2312" w:cs="宋体"/>
          <w:color w:val="333333"/>
          <w:kern w:val="0"/>
          <w:sz w:val="32"/>
          <w:szCs w:val="32"/>
          <w:lang w:val="en-US" w:eastAsia="zh-CN"/>
        </w:rPr>
        <w:t xml:space="preserve">    4</w:t>
      </w:r>
      <w:r>
        <w:rPr>
          <w:rFonts w:hint="eastAsia" w:ascii="仿宋_GB2312" w:eastAsia="仿宋_GB2312" w:cs="宋体"/>
          <w:color w:val="333333"/>
          <w:kern w:val="0"/>
          <w:sz w:val="32"/>
          <w:szCs w:val="32"/>
        </w:rPr>
        <w:t>.社会保障和就业（类）行政事业单位离退休（款）机关事业单位职业年金缴费支出（项）：指部门实施养老保险制度由单位缴纳的职业年金的支出。</w:t>
      </w:r>
    </w:p>
    <w:p>
      <w:pPr>
        <w:keepNext w:val="0"/>
        <w:keepLines w:val="0"/>
        <w:pageBreakBefore w:val="0"/>
        <w:widowControl/>
        <w:kinsoku/>
        <w:wordWrap/>
        <w:overflowPunct/>
        <w:topLinePunct/>
        <w:autoSpaceDE/>
        <w:autoSpaceDN/>
        <w:bidi w:val="0"/>
        <w:adjustRightInd/>
        <w:snapToGrid/>
        <w:ind w:left="0" w:right="0"/>
        <w:textAlignment w:val="auto"/>
        <w:outlineLvl w:val="9"/>
        <w:rPr>
          <w:rFonts w:hint="eastAsia" w:ascii="仿宋_GB2312" w:eastAsia="仿宋_GB2312" w:cs="宋体"/>
          <w:color w:val="333333"/>
          <w:kern w:val="0"/>
          <w:sz w:val="32"/>
          <w:szCs w:val="32"/>
          <w:lang w:eastAsia="zh-CN"/>
        </w:rPr>
      </w:pPr>
      <w:r>
        <w:rPr>
          <w:rFonts w:hint="eastAsia" w:ascii="仿宋_GB2312" w:eastAsia="仿宋_GB2312" w:cs="宋体"/>
          <w:color w:val="333333"/>
          <w:kern w:val="0"/>
          <w:sz w:val="32"/>
          <w:szCs w:val="32"/>
        </w:rPr>
        <w:t>　　</w:t>
      </w:r>
      <w:r>
        <w:rPr>
          <w:rFonts w:hint="eastAsia" w:ascii="仿宋_GB2312" w:eastAsia="仿宋_GB2312" w:cs="宋体"/>
          <w:color w:val="333333"/>
          <w:kern w:val="0"/>
          <w:sz w:val="32"/>
          <w:szCs w:val="32"/>
          <w:lang w:val="en-US" w:eastAsia="zh-CN"/>
        </w:rPr>
        <w:t>5</w:t>
      </w:r>
      <w:r>
        <w:rPr>
          <w:rFonts w:hint="eastAsia" w:ascii="仿宋_GB2312" w:eastAsia="仿宋_GB2312" w:cs="宋体"/>
          <w:color w:val="333333"/>
          <w:kern w:val="0"/>
          <w:sz w:val="32"/>
          <w:szCs w:val="32"/>
        </w:rPr>
        <w:t>.医疗卫生与计划生育（类）行政事业单位医疗（款）事业单位医疗（项）：指事业单位用于缴纳单位基本医疗保险支出。</w:t>
      </w:r>
    </w:p>
    <w:p>
      <w:pPr>
        <w:keepNext w:val="0"/>
        <w:keepLines w:val="0"/>
        <w:pageBreakBefore w:val="0"/>
        <w:widowControl/>
        <w:kinsoku/>
        <w:wordWrap/>
        <w:overflowPunct/>
        <w:topLinePunct/>
        <w:autoSpaceDE/>
        <w:autoSpaceDN/>
        <w:bidi w:val="0"/>
        <w:adjustRightInd/>
        <w:snapToGrid/>
        <w:ind w:left="0" w:right="0"/>
        <w:textAlignment w:val="auto"/>
        <w:outlineLvl w:val="9"/>
        <w:rPr>
          <w:rFonts w:hint="eastAsia" w:ascii="仿宋_GB2312" w:eastAsia="仿宋_GB2312" w:cs="宋体"/>
          <w:color w:val="333333"/>
          <w:kern w:val="0"/>
          <w:sz w:val="32"/>
          <w:szCs w:val="32"/>
          <w:lang w:eastAsia="zh-CN"/>
        </w:rPr>
      </w:pPr>
      <w:r>
        <w:rPr>
          <w:rFonts w:hint="eastAsia" w:ascii="仿宋_GB2312" w:eastAsia="仿宋_GB2312" w:cs="宋体"/>
          <w:color w:val="333333"/>
          <w:kern w:val="0"/>
          <w:sz w:val="32"/>
          <w:szCs w:val="32"/>
        </w:rPr>
        <w:t>　　</w:t>
      </w:r>
      <w:r>
        <w:rPr>
          <w:rFonts w:hint="eastAsia" w:ascii="仿宋_GB2312" w:eastAsia="仿宋_GB2312" w:cs="宋体"/>
          <w:color w:val="333333"/>
          <w:kern w:val="0"/>
          <w:sz w:val="32"/>
          <w:szCs w:val="32"/>
          <w:lang w:val="en-US" w:eastAsia="zh-CN"/>
        </w:rPr>
        <w:t>6</w:t>
      </w:r>
      <w:r>
        <w:rPr>
          <w:rFonts w:hint="eastAsia" w:ascii="仿宋_GB2312" w:eastAsia="仿宋_GB2312" w:cs="宋体"/>
          <w:color w:val="333333"/>
          <w:kern w:val="0"/>
          <w:sz w:val="32"/>
          <w:szCs w:val="32"/>
        </w:rPr>
        <w:t>.医疗卫生与计划生育（类）行政事业单位医疗（款）公务员医疗补助（项）：指厅机关及参公管理事业单位用于集中缴纳公务员医疗补助支出。</w:t>
      </w:r>
    </w:p>
    <w:p>
      <w:pPr>
        <w:keepNext w:val="0"/>
        <w:keepLines w:val="0"/>
        <w:pageBreakBefore w:val="0"/>
        <w:widowControl/>
        <w:kinsoku/>
        <w:wordWrap/>
        <w:overflowPunct/>
        <w:topLinePunct/>
        <w:autoSpaceDE/>
        <w:autoSpaceDN/>
        <w:bidi w:val="0"/>
        <w:adjustRightInd/>
        <w:snapToGrid/>
        <w:ind w:left="0" w:right="0"/>
        <w:textAlignment w:val="auto"/>
        <w:outlineLvl w:val="9"/>
        <w:rPr>
          <w:rFonts w:hint="eastAsia" w:ascii="仿宋_GB2312" w:eastAsia="仿宋_GB2312" w:cs="宋体"/>
          <w:color w:val="333333"/>
          <w:kern w:val="0"/>
          <w:sz w:val="32"/>
          <w:szCs w:val="32"/>
          <w:lang w:eastAsia="zh-CN"/>
        </w:rPr>
      </w:pPr>
      <w:r>
        <w:rPr>
          <w:rFonts w:hint="eastAsia" w:ascii="仿宋_GB2312" w:eastAsia="仿宋_GB2312" w:cs="宋体"/>
          <w:color w:val="333333"/>
          <w:kern w:val="0"/>
          <w:sz w:val="32"/>
          <w:szCs w:val="32"/>
        </w:rPr>
        <w:t>　　</w:t>
      </w:r>
      <w:r>
        <w:rPr>
          <w:rFonts w:hint="eastAsia" w:ascii="仿宋_GB2312" w:eastAsia="仿宋_GB2312" w:cs="宋体"/>
          <w:color w:val="333333"/>
          <w:kern w:val="0"/>
          <w:sz w:val="32"/>
          <w:szCs w:val="32"/>
          <w:lang w:val="en-US" w:eastAsia="zh-CN"/>
        </w:rPr>
        <w:t>7</w:t>
      </w:r>
      <w:r>
        <w:rPr>
          <w:rFonts w:hint="eastAsia" w:ascii="仿宋_GB2312" w:eastAsia="仿宋_GB2312" w:cs="宋体"/>
          <w:color w:val="333333"/>
          <w:kern w:val="0"/>
          <w:sz w:val="32"/>
          <w:szCs w:val="32"/>
        </w:rPr>
        <w:t>.住房保障（类）住房改革支出（款）住房公积金（项）：指按照《住房公积金管理条例》的规定，由单位及其在职职工缴存的长期住房储金。</w:t>
      </w:r>
    </w:p>
    <w:p>
      <w:pPr>
        <w:keepNext w:val="0"/>
        <w:keepLines w:val="0"/>
        <w:pageBreakBefore w:val="0"/>
        <w:widowControl/>
        <w:kinsoku/>
        <w:wordWrap/>
        <w:overflowPunct/>
        <w:topLinePunct/>
        <w:autoSpaceDE/>
        <w:autoSpaceDN/>
        <w:bidi w:val="0"/>
        <w:adjustRightInd/>
        <w:snapToGrid/>
        <w:ind w:left="0" w:right="0"/>
        <w:textAlignment w:val="auto"/>
        <w:outlineLvl w:val="9"/>
        <w:rPr>
          <w:rFonts w:hint="eastAsia" w:ascii="仿宋_GB2312" w:eastAsia="仿宋_GB2312" w:cs="宋体"/>
          <w:color w:val="333333"/>
          <w:kern w:val="0"/>
          <w:sz w:val="32"/>
          <w:szCs w:val="32"/>
          <w:lang w:eastAsia="zh-CN"/>
        </w:rPr>
      </w:pPr>
      <w:r>
        <w:rPr>
          <w:rFonts w:hint="eastAsia" w:ascii="仿宋_GB2312" w:eastAsia="仿宋_GB2312" w:cs="宋体"/>
          <w:color w:val="333333"/>
          <w:kern w:val="0"/>
          <w:sz w:val="32"/>
          <w:szCs w:val="32"/>
        </w:rPr>
        <w:t>　</w:t>
      </w:r>
      <w:r>
        <w:rPr>
          <w:rFonts w:hint="eastAsia" w:ascii="仿宋_GB2312" w:eastAsia="仿宋_GB2312" w:cs="宋体"/>
          <w:color w:val="333333"/>
          <w:kern w:val="0"/>
          <w:sz w:val="32"/>
          <w:szCs w:val="32"/>
          <w:lang w:val="en-US" w:eastAsia="zh-CN"/>
        </w:rPr>
        <w:t xml:space="preserve">  8</w:t>
      </w:r>
      <w:r>
        <w:rPr>
          <w:rFonts w:hint="eastAsia" w:ascii="仿宋_GB2312" w:eastAsia="仿宋_GB2312" w:cs="宋体"/>
          <w:color w:val="333333"/>
          <w:kern w:val="0"/>
          <w:sz w:val="32"/>
          <w:szCs w:val="32"/>
        </w:rPr>
        <w:t>.基本支出：指为保证机构正常运转，完成日常工作任务而发生的人员支出和公用支出。</w:t>
      </w:r>
    </w:p>
    <w:p>
      <w:pPr>
        <w:keepNext w:val="0"/>
        <w:keepLines w:val="0"/>
        <w:pageBreakBefore w:val="0"/>
        <w:widowControl/>
        <w:kinsoku/>
        <w:wordWrap/>
        <w:overflowPunct/>
        <w:topLinePunct/>
        <w:autoSpaceDE/>
        <w:autoSpaceDN/>
        <w:bidi w:val="0"/>
        <w:adjustRightInd/>
        <w:snapToGrid/>
        <w:ind w:left="0" w:right="0"/>
        <w:textAlignment w:val="auto"/>
        <w:outlineLvl w:val="9"/>
        <w:rPr>
          <w:rFonts w:hint="eastAsia" w:ascii="仿宋_GB2312" w:eastAsia="仿宋_GB2312" w:cs="宋体"/>
          <w:color w:val="333333"/>
          <w:kern w:val="0"/>
          <w:sz w:val="32"/>
          <w:szCs w:val="32"/>
          <w:lang w:eastAsia="zh-CN"/>
        </w:rPr>
      </w:pPr>
      <w:r>
        <w:rPr>
          <w:rFonts w:hint="eastAsia" w:ascii="仿宋_GB2312" w:eastAsia="仿宋_GB2312" w:cs="宋体"/>
          <w:color w:val="333333"/>
          <w:kern w:val="0"/>
          <w:sz w:val="32"/>
          <w:szCs w:val="32"/>
        </w:rPr>
        <w:t>　</w:t>
      </w:r>
      <w:r>
        <w:rPr>
          <w:rFonts w:hint="eastAsia" w:ascii="仿宋_GB2312" w:eastAsia="仿宋_GB2312" w:cs="宋体"/>
          <w:color w:val="333333"/>
          <w:kern w:val="0"/>
          <w:sz w:val="32"/>
          <w:szCs w:val="32"/>
          <w:lang w:val="en-US" w:eastAsia="zh-CN"/>
        </w:rPr>
        <w:t xml:space="preserve">  9</w:t>
      </w:r>
      <w:r>
        <w:rPr>
          <w:rFonts w:hint="eastAsia" w:ascii="仿宋_GB2312" w:eastAsia="仿宋_GB2312" w:cs="宋体"/>
          <w:color w:val="333333"/>
          <w:kern w:val="0"/>
          <w:sz w:val="32"/>
          <w:szCs w:val="32"/>
        </w:rPr>
        <w:t>.“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4"/>
        <w:rPr>
          <w:rFonts w:hint="eastAsia"/>
          <w:lang w:eastAsia="zh-CN"/>
        </w:rPr>
      </w:pPr>
    </w:p>
    <w:p>
      <w:pPr>
        <w:pStyle w:val="14"/>
        <w:rPr>
          <w:rFonts w:hint="eastAsia"/>
          <w:lang w:eastAsia="zh-CN"/>
        </w:rPr>
      </w:pPr>
    </w:p>
    <w:sectPr>
      <w:footerReference r:id="rId5"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Luxi Sans">
    <w:altName w:val="Segoe Print"/>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Ayd1Ld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MDJ3Ut0CAAAkBgAADgAAAAAAAAABACAAAAAfAQAAZHJzL2Uyb0RvYy54bWxQSwUG&#10;AAAAAAYABgBZAQAAbgY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PRhHJN0CAAAkBgAADgAAAAAAAAABACAAAAAfAQAAZHJzL2Uyb0RvYy54bWxQSwUG&#10;AAAAAAYABgBZAQAAbgY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MmJhZjlhNzlhOTRiOGJhN2ViNTJmNjIxMWMzZTM2YmEifQ=="/>
  </w:docVars>
  <w:rsids>
    <w:rsidRoot w:val="00000000"/>
    <w:rsid w:val="00506725"/>
    <w:rsid w:val="041A2F36"/>
    <w:rsid w:val="0469769B"/>
    <w:rsid w:val="04CE1F73"/>
    <w:rsid w:val="0A0C3321"/>
    <w:rsid w:val="0DE325EB"/>
    <w:rsid w:val="0F024CF3"/>
    <w:rsid w:val="0FF07DAF"/>
    <w:rsid w:val="121A426B"/>
    <w:rsid w:val="1310457C"/>
    <w:rsid w:val="169528F0"/>
    <w:rsid w:val="188E0195"/>
    <w:rsid w:val="241F5B18"/>
    <w:rsid w:val="264B4D7A"/>
    <w:rsid w:val="29143B49"/>
    <w:rsid w:val="355C2AFF"/>
    <w:rsid w:val="3EBB5ABB"/>
    <w:rsid w:val="40307062"/>
    <w:rsid w:val="425A30A9"/>
    <w:rsid w:val="443A04B0"/>
    <w:rsid w:val="45A71A34"/>
    <w:rsid w:val="4FB97C87"/>
    <w:rsid w:val="58610A8E"/>
    <w:rsid w:val="5F952235"/>
    <w:rsid w:val="62E469D5"/>
    <w:rsid w:val="6BF01A4B"/>
    <w:rsid w:val="725D7774"/>
    <w:rsid w:val="780A636B"/>
    <w:rsid w:val="7CCA791B"/>
    <w:rsid w:val="7D4237D4"/>
    <w:rsid w:val="7E643900"/>
    <w:rsid w:val="7F335F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rPr>
  </w:style>
  <w:style w:type="paragraph" w:styleId="4">
    <w:name w:val="heading 2"/>
    <w:basedOn w:val="1"/>
    <w:next w:val="1"/>
    <w:autoRedefine/>
    <w:qFormat/>
    <w:uiPriority w:val="0"/>
    <w:pPr>
      <w:keepNext/>
      <w:keepLines/>
      <w:spacing w:before="260" w:after="260" w:line="415" w:lineRule="auto"/>
      <w:outlineLvl w:val="1"/>
    </w:pPr>
    <w:rPr>
      <w:rFonts w:ascii="Luxi Sans" w:hAnsi="Luxi Sans" w:eastAsia="黑体"/>
      <w:b/>
      <w:sz w:val="32"/>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11">
    <w:name w:val="Default Paragraph Font"/>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2">
    <w:name w:val="table of figures"/>
    <w:basedOn w:val="1"/>
    <w:next w:val="1"/>
    <w:autoRedefine/>
    <w:unhideWhenUsed/>
    <w:qFormat/>
    <w:uiPriority w:val="99"/>
    <w:pPr>
      <w:ind w:left="200" w:leftChars="200" w:hanging="200" w:hangingChars="200"/>
    </w:pPr>
  </w:style>
  <w:style w:type="paragraph" w:styleId="6">
    <w:name w:val="index 8"/>
    <w:basedOn w:val="1"/>
    <w:next w:val="1"/>
    <w:qFormat/>
    <w:uiPriority w:val="0"/>
    <w:pPr>
      <w:ind w:left="2940"/>
    </w:pPr>
  </w:style>
  <w:style w:type="paragraph" w:styleId="7">
    <w:name w:val="footer"/>
    <w:basedOn w:val="1"/>
    <w:uiPriority w:val="0"/>
    <w:pPr>
      <w:tabs>
        <w:tab w:val="center" w:pos="4153"/>
        <w:tab w:val="right" w:pos="8306"/>
      </w:tabs>
      <w:snapToGrid w:val="0"/>
      <w:jc w:val="left"/>
    </w:pPr>
    <w:rPr>
      <w:sz w:val="18"/>
    </w:rPr>
  </w:style>
  <w:style w:type="paragraph" w:styleId="8">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index 7"/>
    <w:basedOn w:val="1"/>
    <w:next w:val="1"/>
    <w:qFormat/>
    <w:uiPriority w:val="0"/>
    <w:pPr>
      <w:ind w:left="2520"/>
    </w:pPr>
  </w:style>
  <w:style w:type="character" w:styleId="12">
    <w:name w:val="Strong"/>
    <w:basedOn w:val="11"/>
    <w:autoRedefine/>
    <w:qFormat/>
    <w:uiPriority w:val="0"/>
    <w:rPr>
      <w:b/>
      <w:bCs/>
    </w:rPr>
  </w:style>
  <w:style w:type="character" w:styleId="13">
    <w:name w:val="Hyperlink"/>
    <w:basedOn w:val="11"/>
    <w:autoRedefine/>
    <w:qFormat/>
    <w:uiPriority w:val="0"/>
    <w:rPr>
      <w:color w:val="0000FF"/>
      <w:u w:val="single"/>
    </w:rPr>
  </w:style>
  <w:style w:type="paragraph" w:customStyle="1" w:styleId="14">
    <w:name w:val="文档正文"/>
    <w:autoRedefine/>
    <w:qFormat/>
    <w:uiPriority w:val="0"/>
    <w:pPr>
      <w:widowControl w:val="0"/>
      <w:adjustRightInd w:val="0"/>
      <w:spacing w:line="480" w:lineRule="atLeast"/>
      <w:jc w:val="both"/>
      <w:textAlignment w:val="baseline"/>
    </w:pPr>
    <w:rPr>
      <w:rFonts w:ascii="Arial" w:hAnsi="Arial" w:eastAsia="宋体" w:cs="Arial"/>
      <w:kern w:val="0"/>
      <w:sz w:val="21"/>
      <w:szCs w:val="22"/>
      <w:lang w:val="en-US" w:eastAsia="zh-CN" w:bidi="ar-SA"/>
    </w:rPr>
  </w:style>
  <w:style w:type="character" w:customStyle="1" w:styleId="15">
    <w:name w:val="pagetext0031"/>
    <w:basedOn w:val="11"/>
    <w:uiPriority w:val="0"/>
    <w:rPr>
      <w:rFonts w:ascii="宋体" w:eastAsia="宋体"/>
      <w:color w:val="555555"/>
      <w:sz w:val="21"/>
      <w:szCs w:val="21"/>
    </w:rPr>
  </w:style>
  <w:style w:type="paragraph" w:customStyle="1" w:styleId="16">
    <w:name w:val="WPSOffice手动目录 1"/>
    <w:next w:val="9"/>
    <w:uiPriority w:val="0"/>
    <w:rPr>
      <w:rFonts w:ascii="Times New Roman" w:hAnsi="Times New Roman" w:eastAsia="宋体" w:cs="Times New Roman"/>
      <w:sz w:val="20"/>
      <w:szCs w:val="20"/>
      <w:lang w:val="en-US" w:eastAsia="zh-CN" w:bidi="ar-SA"/>
    </w:rPr>
  </w:style>
  <w:style w:type="paragraph" w:customStyle="1" w:styleId="17">
    <w:name w:val="WPSOffice手动目录 2"/>
    <w:next w:val="6"/>
    <w:uiPriority w:val="0"/>
    <w:pPr>
      <w:ind w:left="200" w:leftChars="200"/>
    </w:pPr>
    <w:rPr>
      <w:rFonts w:ascii="Times New Roman" w:hAnsi="Times New Roman" w:eastAsia="宋体" w:cs="Times New Roman"/>
      <w:sz w:val="20"/>
      <w:szCs w:val="20"/>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Lenovo (Beijing) Limited</Company>
  <Pages>10</Pages>
  <Words>3279</Words>
  <Characters>3513</Characters>
  <Lines>216</Lines>
  <Paragraphs>46</Paragraphs>
  <TotalTime>11</TotalTime>
  <ScaleCrop>false</ScaleCrop>
  <LinksUpToDate>false</LinksUpToDate>
  <CharactersWithSpaces>3688</CharactersWithSpaces>
  <Application>WPS Office_12.1.0.16388_F1E327BC-269C-435d-A152-05C5408002CA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2018-03-21T07:45:00Z</dcterms:created>
  <dc:creator>Lenovo User</dc:creator>
  <cp:lastModifiedBy>JR</cp:lastModifiedBy>
  <dcterms:modified xsi:type="dcterms:W3CDTF">2024-02-28T08:20:28Z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DF6C94A62C48408A9003DCA032743399</vt:lpwstr>
  </property>
</Properties>
</file>