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96597"/>
      <w:bookmarkStart w:id="3" w:name="_Toc15377193"/>
      <w:bookmarkStart w:id="4" w:name="_Toc15378441"/>
      <w:bookmarkStart w:id="5" w:name="_Toc15377425"/>
      <w:r>
        <w:rPr>
          <w:rFonts w:ascii="黑体" w:eastAsia="黑体"/>
          <w:color w:val="000000"/>
          <w:sz w:val="72"/>
          <w:szCs w:val="72"/>
        </w:rPr>
        <w:t>20</w:t>
      </w:r>
      <w:r>
        <w:rPr>
          <w:rFonts w:hint="eastAsia" w:ascii="黑体" w:eastAsia="黑体"/>
          <w:color w:val="000000"/>
          <w:sz w:val="72"/>
          <w:szCs w:val="72"/>
          <w:lang w:val="en-US" w:eastAsia="zh-CN"/>
        </w:rPr>
        <w:t>21</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hint="eastAsia" w:ascii="方正小标宋简体" w:eastAsia="方正小标宋简体"/>
          <w:color w:val="000000"/>
          <w:sz w:val="72"/>
          <w:szCs w:val="72"/>
          <w:lang w:eastAsia="zh-CN"/>
        </w:rPr>
      </w:pPr>
      <w:bookmarkStart w:id="6" w:name="_Toc15306268"/>
      <w:bookmarkStart w:id="7" w:name="_Toc15396598"/>
      <w:bookmarkStart w:id="8" w:name="_Toc15396476"/>
      <w:bookmarkStart w:id="9" w:name="_Toc15378442"/>
      <w:bookmarkStart w:id="10" w:name="_Toc15377194"/>
      <w:bookmarkStart w:id="11" w:name="_Toc15377426"/>
      <w:r>
        <w:rPr>
          <w:rFonts w:hint="eastAsia" w:ascii="方正小标宋简体" w:eastAsia="方正小标宋简体"/>
          <w:color w:val="000000"/>
          <w:sz w:val="72"/>
          <w:szCs w:val="72"/>
          <w:lang w:eastAsia="zh-CN"/>
        </w:rPr>
        <w:t>金川县文学艺术界联合会部门</w:t>
      </w:r>
      <w:r>
        <w:rPr>
          <w:rFonts w:hint="eastAsia" w:ascii="方正小标宋简体" w:eastAsia="方正小标宋简体"/>
          <w:color w:val="000000"/>
          <w:sz w:val="72"/>
          <w:szCs w:val="72"/>
        </w:rPr>
        <w:t>决算</w:t>
      </w:r>
      <w:bookmarkEnd w:id="6"/>
      <w:bookmarkEnd w:id="7"/>
      <w:bookmarkEnd w:id="8"/>
      <w:bookmarkEnd w:id="9"/>
      <w:bookmarkEnd w:id="10"/>
      <w:bookmarkEnd w:id="11"/>
      <w:r>
        <w:rPr>
          <w:rFonts w:hint="eastAsia" w:ascii="方正小标宋简体" w:eastAsia="方正小标宋简体"/>
          <w:color w:val="000000"/>
          <w:sz w:val="72"/>
          <w:szCs w:val="72"/>
          <w:lang w:eastAsia="zh-CN"/>
        </w:rPr>
        <w:t>分析报告</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s="Arial"/>
          <w:sz w:val="28"/>
          <w:szCs w:val="28"/>
        </w:rPr>
      </w:pPr>
      <w:r>
        <w:rPr>
          <w:rFonts w:ascii="方正小标宋简体" w:eastAsia="方正小标宋简体"/>
          <w:color w:val="000000"/>
          <w:sz w:val="36"/>
          <w:szCs w:val="36"/>
        </w:rPr>
        <w:br w:type="page"/>
      </w:r>
      <w:r>
        <w:rPr>
          <w:rFonts w:hint="eastAsia" w:ascii="黑体" w:eastAsia="黑体"/>
          <w:color w:val="000000"/>
          <w:sz w:val="48"/>
          <w:szCs w:val="48"/>
        </w:rPr>
        <w:t>目录</w:t>
      </w: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rPr>
          <w:rFonts w:hint="eastAsia"/>
        </w:rPr>
      </w:pPr>
      <w:r>
        <w:rPr>
          <w:rFonts w:hint="eastAsia"/>
        </w:rPr>
        <w:t>公开时间：</w:t>
      </w:r>
      <w:r>
        <w:rPr>
          <w:rFonts w:hint="eastAsia"/>
          <w:lang w:eastAsia="zh-CN"/>
        </w:rPr>
        <w:t>　</w:t>
      </w: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p>
      <w:pPr>
        <w:rPr>
          <w:rFonts w:hint="eastAsia"/>
        </w:rPr>
      </w:pPr>
    </w:p>
    <w:p>
      <w:pPr>
        <w:pStyle w:val="11"/>
        <w:rPr>
          <w:rFonts w:hint="eastAsia" w:eastAsia="仿宋" w:cs="Arial"/>
          <w:lang w:val="en-US" w:eastAsia="zh-CN"/>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fldChar w:fldCharType="end"/>
      </w:r>
      <w:r>
        <w:rPr>
          <w:rFonts w:hint="eastAsia"/>
          <w:lang w:val="en-US" w:eastAsia="zh-CN"/>
        </w:rPr>
        <w:t>4</w:t>
      </w:r>
    </w:p>
    <w:p>
      <w:pPr>
        <w:pStyle w:val="12"/>
        <w:rPr>
          <w:rFonts w:hint="eastAsia" w:ascii="仿宋" w:eastAsia="仿宋" w:cs="Arial"/>
          <w:sz w:val="28"/>
          <w:szCs w:val="28"/>
          <w:lang w:val="en-US" w:eastAsia="zh-CN"/>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4</w:t>
      </w:r>
    </w:p>
    <w:p>
      <w:pPr>
        <w:pStyle w:val="12"/>
        <w:rPr>
          <w:rFonts w:hint="eastAsia" w:ascii="仿宋" w:eastAsia="仿宋" w:cs="Arial"/>
          <w:sz w:val="28"/>
          <w:szCs w:val="28"/>
          <w:lang w:val="en-US" w:eastAsia="zh-CN"/>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6</w:t>
      </w:r>
    </w:p>
    <w:p>
      <w:pPr>
        <w:pStyle w:val="11"/>
        <w:rPr>
          <w:rFonts w:hint="eastAsia" w:eastAsia="仿宋"/>
          <w:lang w:val="en-US" w:eastAsia="zh-CN"/>
        </w:rPr>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fldChar w:fldCharType="end"/>
      </w:r>
      <w:r>
        <w:rPr>
          <w:rFonts w:hint="eastAsia"/>
          <w:lang w:val="en-US" w:eastAsia="zh-CN"/>
        </w:rPr>
        <w:t>6</w:t>
      </w:r>
    </w:p>
    <w:p>
      <w:pPr>
        <w:pStyle w:val="12"/>
        <w:rPr>
          <w:rFonts w:hint="eastAsia" w:ascii="仿宋" w:eastAsia="仿宋" w:cs="Arial"/>
          <w:sz w:val="28"/>
          <w:szCs w:val="28"/>
          <w:lang w:val="en-US" w:eastAsia="zh-CN"/>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6</w:t>
      </w:r>
    </w:p>
    <w:p>
      <w:pPr>
        <w:pStyle w:val="12"/>
        <w:rPr>
          <w:rFonts w:hint="eastAsia" w:ascii="仿宋" w:eastAsia="仿宋" w:cs="Arial"/>
          <w:sz w:val="28"/>
          <w:szCs w:val="28"/>
          <w:lang w:val="en-US" w:eastAsia="zh-CN"/>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7</w:t>
      </w:r>
    </w:p>
    <w:p>
      <w:pPr>
        <w:pStyle w:val="12"/>
        <w:rPr>
          <w:rFonts w:hint="eastAsia" w:ascii="仿宋" w:eastAsia="仿宋" w:cs="Arial"/>
          <w:sz w:val="28"/>
          <w:szCs w:val="28"/>
          <w:lang w:val="en-US" w:eastAsia="zh-CN"/>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8</w:t>
      </w:r>
    </w:p>
    <w:p>
      <w:pPr>
        <w:pStyle w:val="12"/>
        <w:rPr>
          <w:rFonts w:hint="eastAsia" w:ascii="仿宋" w:eastAsia="仿宋" w:cs="Arial"/>
          <w:sz w:val="28"/>
          <w:szCs w:val="28"/>
          <w:lang w:val="en-US" w:eastAsia="zh-CN"/>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8</w:t>
      </w:r>
    </w:p>
    <w:p>
      <w:pPr>
        <w:pStyle w:val="12"/>
        <w:rPr>
          <w:rFonts w:hint="eastAsia" w:ascii="仿宋" w:eastAsia="仿宋" w:cs="Arial"/>
          <w:sz w:val="28"/>
          <w:szCs w:val="28"/>
          <w:lang w:val="en-US" w:eastAsia="zh-CN"/>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9</w:t>
      </w:r>
    </w:p>
    <w:p>
      <w:pPr>
        <w:pStyle w:val="12"/>
        <w:rPr>
          <w:rFonts w:hint="default"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10</w:t>
      </w:r>
    </w:p>
    <w:p>
      <w:pPr>
        <w:pStyle w:val="12"/>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1</w:t>
      </w:r>
    </w:p>
    <w:p>
      <w:pPr>
        <w:pStyle w:val="12"/>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pPr>
        <w:pStyle w:val="12"/>
        <w:rPr>
          <w:rFonts w:hint="eastAsia"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pPr>
        <w:pStyle w:val="12"/>
        <w:rPr>
          <w:rFonts w:hint="default" w:ascii="仿宋" w:eastAsia="仿宋"/>
          <w:sz w:val="28"/>
          <w:szCs w:val="28"/>
          <w:lang w:val="en-US"/>
        </w:rPr>
      </w:pPr>
      <w:r>
        <w:rPr>
          <w:rStyle w:val="16"/>
          <w:rFonts w:hint="eastAsia" w:ascii="仿宋" w:eastAsia="仿宋" w:cs="Times New Roman"/>
          <w:bCs/>
          <w:kern w:val="2"/>
          <w:sz w:val="28"/>
          <w:szCs w:val="28"/>
          <w:lang w:val="en-US" w:eastAsia="zh-CN" w:bidi="ar-SA"/>
        </w:rPr>
        <w:t>十、预算绩效情况说明............................. .....12</w:t>
      </w:r>
    </w:p>
    <w:p>
      <w:pPr>
        <w:pStyle w:val="12"/>
        <w:rPr>
          <w:rFonts w:hint="eastAsia" w:ascii="仿宋" w:eastAsia="仿宋" w:cs="Arial"/>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cs="Times New Roman"/>
          <w:bCs/>
          <w:sz w:val="28"/>
          <w:szCs w:val="28"/>
        </w:rPr>
        <w:t>一、其他重要事项的情况说明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pPr>
        <w:pStyle w:val="11"/>
        <w:rPr>
          <w:rFonts w:hint="eastAsia" w:ascii="仿宋" w:eastAsia="仿宋"/>
          <w:color w:val="000000"/>
          <w:sz w:val="24"/>
          <w:lang w:val="en-US" w:eastAsia="zh-CN"/>
        </w:rPr>
      </w:pPr>
      <w:r>
        <w:rPr>
          <w:rFonts w:hint="eastAsia"/>
          <w:lang w:val="en-US" w:eastAsia="zh-CN"/>
        </w:rPr>
        <w:t xml:space="preserve">   </w:t>
      </w: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fldChar w:fldCharType="end"/>
      </w:r>
      <w:r>
        <w:rPr>
          <w:rFonts w:hint="eastAsia"/>
          <w:lang w:val="en-US" w:eastAsia="zh-CN"/>
        </w:rPr>
        <w:t>1</w:t>
      </w:r>
      <w:r>
        <w:rPr>
          <w:rFonts w:ascii="仿宋" w:eastAsia="仿宋"/>
          <w:color w:val="000000"/>
          <w:sz w:val="24"/>
        </w:rPr>
        <w:fldChar w:fldCharType="end"/>
      </w:r>
      <w:r>
        <w:rPr>
          <w:rFonts w:hint="eastAsia"/>
          <w:color w:val="000000"/>
          <w:sz w:val="24"/>
          <w:lang w:val="en-US" w:eastAsia="zh-CN"/>
        </w:rPr>
        <w:t>3</w:t>
      </w:r>
    </w:p>
    <w:p>
      <w:pPr>
        <w:pStyle w:val="12"/>
        <w:ind w:left="420"/>
        <w:rPr>
          <w:rFonts w:hint="eastAsia" w:ascii="仿宋" w:eastAsia="仿宋" w:cs="Arial"/>
          <w:sz w:val="28"/>
          <w:szCs w:val="28"/>
          <w:lang w:val="en-US" w:eastAsia="zh-CN"/>
        </w:rPr>
      </w:pPr>
      <w:r>
        <w:fldChar w:fldCharType="begin"/>
      </w:r>
      <w:r>
        <w:instrText xml:space="preserve"> HYPERLINK \l "_Toc15396614" </w:instrText>
      </w:r>
      <w:r>
        <w:fldChar w:fldCharType="separate"/>
      </w:r>
      <w:r>
        <w:rPr>
          <w:rFonts w:hint="eastAsia" w:ascii="仿宋" w:hAnsi="Times New Roman" w:eastAsia="仿宋" w:cs="Times New Roman"/>
          <w:bCs/>
          <w:kern w:val="44"/>
          <w:sz w:val="28"/>
          <w:szCs w:val="28"/>
          <w:lang w:val="en-US" w:eastAsia="zh-CN" w:bidi="ar-SA"/>
        </w:rPr>
        <w:t>第四部分</w:t>
      </w:r>
      <w:r>
        <w:rPr>
          <w:bCs/>
          <w:kern w:val="44"/>
        </w:rPr>
        <w:t xml:space="preserve"> </w:t>
      </w:r>
      <w:r>
        <w:rPr>
          <w:rFonts w:hint="eastAsia" w:ascii="仿宋" w:hAnsi="Times New Roman" w:eastAsia="仿宋" w:cs="Times New Roman"/>
          <w:bCs/>
          <w:kern w:val="2"/>
          <w:sz w:val="28"/>
          <w:szCs w:val="28"/>
          <w:lang w:val="en-US" w:eastAsia="zh-CN" w:bidi="ar-SA"/>
        </w:rPr>
        <w:t>金川县文学艺术界联合会2021年部门整体支出绩效评价报告</w:t>
      </w:r>
      <w:r>
        <w:fldChar w:fldCharType="begin"/>
      </w:r>
      <w:r>
        <w:instrText xml:space="preserve"> HYPERLINK \l "_Toc15396615" </w:instrText>
      </w:r>
      <w:r>
        <w:fldChar w:fldCharType="separate"/>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5</w:t>
      </w:r>
    </w:p>
    <w:p>
      <w:pPr>
        <w:spacing w:line="560" w:lineRule="exact"/>
        <w:jc w:val="both"/>
        <w:rPr>
          <w:rFonts w:cs="Arial"/>
        </w:rPr>
      </w:pPr>
      <w:r>
        <w:tab/>
      </w:r>
      <w:r>
        <w:rPr>
          <w:rFonts w:hint="eastAsia"/>
        </w:rPr>
        <w:fldChar w:fldCharType="end"/>
      </w:r>
      <w:bookmarkStart w:id="69" w:name="_GoBack"/>
      <w:bookmarkEnd w:id="69"/>
    </w:p>
    <w:p>
      <w:pPr>
        <w:pStyle w:val="12"/>
        <w:ind w:left="420"/>
        <w:rPr>
          <w:rFonts w:hint="eastAsia" w:ascii="仿宋" w:eastAsia="仿宋" w:cs="Arial"/>
          <w:sz w:val="28"/>
          <w:szCs w:val="28"/>
          <w:lang w:val="en-US" w:eastAsia="zh-CN"/>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5</w:t>
      </w:r>
    </w:p>
    <w:p>
      <w:pPr>
        <w:pStyle w:val="11"/>
        <w:rPr>
          <w:rFonts w:hint="default"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fldChar w:fldCharType="end"/>
      </w:r>
      <w:r>
        <w:rPr>
          <w:rFonts w:hint="eastAsia"/>
          <w:lang w:val="en-US" w:eastAsia="zh-CN"/>
        </w:rPr>
        <w:t>19</w:t>
      </w:r>
    </w:p>
    <w:p>
      <w:pPr>
        <w:pStyle w:val="12"/>
        <w:ind w:left="420"/>
        <w:rPr>
          <w:rFonts w:hint="default" w:ascii="仿宋" w:eastAsia="仿宋" w:cs="Arial"/>
          <w:sz w:val="28"/>
          <w:szCs w:val="28"/>
          <w:lang w:val="en-US" w:eastAsia="zh-CN"/>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19</w:t>
      </w:r>
    </w:p>
    <w:p>
      <w:pPr>
        <w:pStyle w:val="12"/>
        <w:ind w:left="420"/>
        <w:rPr>
          <w:rFonts w:hint="eastAsia" w:ascii="仿宋" w:eastAsia="仿宋" w:cs="Arial"/>
          <w:sz w:val="28"/>
          <w:szCs w:val="28"/>
          <w:lang w:val="en-US" w:eastAsia="zh-CN"/>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lang w:val="en-US" w:eastAsia="zh-CN"/>
        </w:rPr>
        <w:t>19</w:t>
      </w:r>
      <w:r>
        <w:rPr>
          <w:rFonts w:hint="eastAsia" w:ascii="仿宋" w:eastAsia="仿宋"/>
          <w:sz w:val="28"/>
          <w:szCs w:val="28"/>
        </w:rPr>
        <w:fldChar w:fldCharType="end"/>
      </w:r>
    </w:p>
    <w:p>
      <w:pPr>
        <w:pStyle w:val="12"/>
        <w:ind w:left="420"/>
        <w:rPr>
          <w:rFonts w:hint="default" w:ascii="仿宋" w:eastAsia="仿宋" w:cs="Arial"/>
          <w:sz w:val="28"/>
          <w:szCs w:val="28"/>
          <w:lang w:val="en-US" w:eastAsia="zh-CN"/>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19</w:t>
      </w:r>
    </w:p>
    <w:p>
      <w:pPr>
        <w:pStyle w:val="12"/>
        <w:ind w:left="420"/>
        <w:rPr>
          <w:rFonts w:hint="default" w:ascii="仿宋" w:eastAsia="仿宋" w:cs="Arial"/>
          <w:sz w:val="28"/>
          <w:szCs w:val="28"/>
          <w:lang w:val="en-US" w:eastAsia="zh-CN"/>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19</w:t>
      </w:r>
    </w:p>
    <w:p>
      <w:pPr>
        <w:pStyle w:val="12"/>
        <w:ind w:left="420"/>
        <w:rPr>
          <w:rFonts w:hint="default" w:ascii="仿宋" w:eastAsia="仿宋"/>
          <w:sz w:val="28"/>
          <w:szCs w:val="28"/>
          <w:lang w:val="en-US" w:eastAsia="zh-CN"/>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19</w:t>
      </w:r>
    </w:p>
    <w:p>
      <w:pPr>
        <w:pStyle w:val="12"/>
        <w:ind w:left="420"/>
        <w:rPr>
          <w:rFonts w:hint="default" w:ascii="仿宋" w:eastAsia="仿宋" w:cs="Arial"/>
          <w:sz w:val="28"/>
          <w:szCs w:val="28"/>
          <w:lang w:val="en-US" w:eastAsia="zh-CN"/>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19</w:t>
      </w:r>
    </w:p>
    <w:p>
      <w:pPr>
        <w:pStyle w:val="12"/>
        <w:ind w:left="420"/>
        <w:rPr>
          <w:rFonts w:hint="default" w:ascii="仿宋" w:eastAsia="仿宋" w:cs="Arial"/>
          <w:sz w:val="28"/>
          <w:szCs w:val="28"/>
          <w:lang w:val="en-US" w:eastAsia="zh-CN"/>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19</w:t>
      </w:r>
    </w:p>
    <w:p>
      <w:pPr>
        <w:pStyle w:val="12"/>
        <w:ind w:left="420"/>
        <w:rPr>
          <w:rFonts w:hint="default" w:ascii="仿宋" w:eastAsia="仿宋" w:cs="Arial"/>
          <w:sz w:val="28"/>
          <w:szCs w:val="28"/>
          <w:lang w:val="en-US" w:eastAsia="zh-CN"/>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19</w:t>
      </w:r>
    </w:p>
    <w:p>
      <w:pPr>
        <w:pStyle w:val="12"/>
        <w:ind w:left="420"/>
        <w:rPr>
          <w:rFonts w:hint="default" w:ascii="仿宋" w:eastAsia="仿宋" w:cs="Arial"/>
          <w:sz w:val="28"/>
          <w:szCs w:val="28"/>
          <w:lang w:val="en-US" w:eastAsia="zh-CN"/>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19</w:t>
      </w:r>
    </w:p>
    <w:p>
      <w:pPr>
        <w:pStyle w:val="12"/>
        <w:ind w:left="420"/>
        <w:rPr>
          <w:rFonts w:hint="default" w:ascii="仿宋" w:eastAsia="仿宋" w:cs="Arial"/>
          <w:sz w:val="28"/>
          <w:szCs w:val="28"/>
          <w:lang w:val="en-US" w:eastAsia="zh-CN"/>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19</w:t>
      </w:r>
    </w:p>
    <w:p>
      <w:pPr>
        <w:pStyle w:val="12"/>
        <w:ind w:left="420"/>
        <w:rPr>
          <w:rFonts w:hint="default" w:ascii="仿宋" w:eastAsia="仿宋" w:cs="Arial"/>
          <w:sz w:val="28"/>
          <w:szCs w:val="28"/>
          <w:lang w:val="en-US" w:eastAsia="zh-CN"/>
        </w:rPr>
      </w:pPr>
      <w:r>
        <w:rPr>
          <w:rFonts w:hint="eastAsia" w:ascii="仿宋" w:eastAsia="仿宋"/>
          <w:sz w:val="28"/>
          <w:szCs w:val="28"/>
        </w:rPr>
        <w:t>十一、政府</w:t>
      </w:r>
      <w:r>
        <w:rPr>
          <w:rStyle w:val="26"/>
          <w:rFonts w:hint="eastAsia" w:ascii="仿宋" w:eastAsia="仿宋"/>
          <w:b w:val="0"/>
          <w:bCs w:val="0"/>
        </w:rPr>
        <w:t>性基金预算财政拨款收入支出决算表</w:t>
      </w:r>
      <w:r>
        <w:fldChar w:fldCharType="begin"/>
      </w:r>
      <w:r>
        <w:instrText xml:space="preserve"> HYPERLINK \l "_Toc15396629" </w:instrText>
      </w:r>
      <w:r>
        <w:fldChar w:fldCharType="separate"/>
      </w:r>
      <w:r>
        <w:rPr>
          <w:rFonts w:ascii="仿宋" w:eastAsia="仿宋"/>
          <w:sz w:val="28"/>
          <w:szCs w:val="28"/>
        </w:rPr>
        <w:tab/>
      </w:r>
      <w:r>
        <w:rPr>
          <w:rFonts w:hint="eastAsia" w:ascii="仿宋" w:eastAsia="仿宋"/>
          <w:sz w:val="28"/>
          <w:szCs w:val="28"/>
        </w:rPr>
        <w:fldChar w:fldCharType="end"/>
      </w:r>
      <w:r>
        <w:rPr>
          <w:rFonts w:hint="eastAsia" w:ascii="仿宋" w:eastAsia="仿宋"/>
          <w:sz w:val="28"/>
          <w:szCs w:val="28"/>
          <w:lang w:val="en-US" w:eastAsia="zh-CN"/>
        </w:rPr>
        <w:t>19</w:t>
      </w:r>
    </w:p>
    <w:p>
      <w:pPr>
        <w:pStyle w:val="12"/>
        <w:ind w:left="420"/>
        <w:rPr>
          <w:rFonts w:hint="default" w:ascii="仿宋" w:eastAsia="仿宋"/>
          <w:sz w:val="28"/>
          <w:szCs w:val="28"/>
          <w:lang w:val="en-US" w:eastAsia="zh-CN"/>
        </w:rPr>
      </w:pPr>
      <w:r>
        <w:rPr>
          <w:rFonts w:hint="eastAsia" w:ascii="仿宋" w:eastAsia="仿宋"/>
          <w:sz w:val="28"/>
          <w:szCs w:val="28"/>
        </w:rPr>
        <w:t>十二、政府性基金预算财政拨款“三公”经费支出决算表</w:t>
      </w:r>
      <w:r>
        <w:rPr>
          <w:rFonts w:hint="eastAsia" w:ascii="仿宋" w:eastAsia="仿宋"/>
          <w:sz w:val="28"/>
          <w:szCs w:val="28"/>
          <w:lang w:eastAsia="zh-CN"/>
        </w:rPr>
        <w:t>　　</w:t>
      </w:r>
      <w:r>
        <w:rPr>
          <w:rFonts w:hint="eastAsia" w:ascii="仿宋" w:eastAsia="仿宋"/>
          <w:sz w:val="28"/>
          <w:szCs w:val="28"/>
          <w:lang w:val="en-US" w:eastAsia="zh-CN"/>
        </w:rPr>
        <w:t>19</w:t>
      </w:r>
    </w:p>
    <w:p>
      <w:pPr>
        <w:pStyle w:val="12"/>
        <w:ind w:left="420"/>
        <w:rPr>
          <w:rFonts w:hint="default" w:ascii="仿宋" w:eastAsia="仿宋"/>
          <w:sz w:val="28"/>
          <w:szCs w:val="28"/>
          <w:lang w:val="en-US" w:eastAsia="zh-CN"/>
        </w:rPr>
      </w:pPr>
      <w:r>
        <w:rPr>
          <w:rFonts w:hint="eastAsia" w:ascii="仿宋" w:eastAsia="仿宋"/>
          <w:sz w:val="28"/>
          <w:szCs w:val="28"/>
        </w:rPr>
        <w:t>十三、国有资本经营预算财拨款收入支出决算表</w:t>
      </w:r>
      <w:r>
        <w:rPr>
          <w:rFonts w:hint="eastAsia" w:ascii="仿宋" w:eastAsia="仿宋"/>
          <w:sz w:val="28"/>
          <w:szCs w:val="28"/>
          <w:lang w:eastAsia="zh-CN"/>
        </w:rPr>
        <w:t>　　　　　　</w:t>
      </w:r>
      <w:r>
        <w:rPr>
          <w:rFonts w:hint="eastAsia" w:ascii="仿宋" w:eastAsia="仿宋"/>
          <w:sz w:val="28"/>
          <w:szCs w:val="28"/>
          <w:lang w:val="en-US" w:eastAsia="zh-CN"/>
        </w:rPr>
        <w:t>19</w:t>
      </w:r>
    </w:p>
    <w:p>
      <w:pPr>
        <w:pStyle w:val="12"/>
        <w:ind w:left="420"/>
        <w:rPr>
          <w:rFonts w:hint="default" w:ascii="仿宋" w:eastAsia="仿宋"/>
          <w:sz w:val="28"/>
          <w:szCs w:val="28"/>
          <w:lang w:val="en-US" w:eastAsia="zh-CN"/>
        </w:rPr>
      </w:pPr>
      <w:r>
        <w:rPr>
          <w:rFonts w:hint="eastAsia" w:ascii="仿宋" w:eastAsia="仿宋"/>
          <w:sz w:val="28"/>
          <w:szCs w:val="28"/>
        </w:rPr>
        <w:t>十四、</w:t>
      </w:r>
      <w:r>
        <w:rPr>
          <w:rFonts w:hint="eastAsia" w:ascii="仿宋" w:eastAsia="仿宋"/>
          <w:sz w:val="28"/>
          <w:szCs w:val="28"/>
          <w:lang w:val="en-US" w:eastAsia="zh-CN"/>
        </w:rPr>
        <w:t>国有</w:t>
      </w:r>
      <w:r>
        <w:rPr>
          <w:rFonts w:hint="eastAsia" w:ascii="仿宋" w:eastAsia="仿宋"/>
          <w:sz w:val="28"/>
          <w:szCs w:val="28"/>
        </w:rPr>
        <w:t>资本经营预算财政拨款支出决算表</w:t>
      </w:r>
      <w:r>
        <w:rPr>
          <w:rFonts w:hint="eastAsia" w:ascii="仿宋" w:eastAsia="仿宋"/>
          <w:sz w:val="28"/>
          <w:szCs w:val="28"/>
          <w:lang w:eastAsia="zh-CN"/>
        </w:rPr>
        <w:t>　</w:t>
      </w:r>
      <w:r>
        <w:rPr>
          <w:rFonts w:ascii="仿宋" w:eastAsia="仿宋"/>
          <w:sz w:val="28"/>
          <w:szCs w:val="28"/>
        </w:rPr>
        <w:tab/>
      </w:r>
      <w:r>
        <w:rPr>
          <w:rFonts w:hint="eastAsia" w:ascii="仿宋" w:eastAsia="仿宋"/>
          <w:sz w:val="28"/>
          <w:szCs w:val="28"/>
          <w:lang w:eastAsia="zh-CN"/>
        </w:rPr>
        <w:t>　　　　　　</w:t>
      </w:r>
      <w:r>
        <w:rPr>
          <w:rFonts w:hint="eastAsia" w:ascii="仿宋" w:eastAsia="仿宋"/>
          <w:sz w:val="28"/>
          <w:szCs w:val="28"/>
          <w:lang w:val="en-US" w:eastAsia="zh-CN"/>
        </w:rPr>
        <w:t>19</w:t>
      </w:r>
    </w:p>
    <w:p>
      <w:pPr>
        <w:pStyle w:val="3"/>
        <w:jc w:val="center"/>
        <w:rPr>
          <w:rFonts w:hint="eastAsia" w:ascii="黑体" w:eastAsia="黑体"/>
          <w:b w:val="0"/>
        </w:rPr>
      </w:pPr>
      <w:bookmarkStart w:id="12" w:name="_Toc15396599"/>
      <w:bookmarkStart w:id="13" w:name="_Toc15377196"/>
    </w:p>
    <w:p>
      <w:pPr>
        <w:pStyle w:val="2"/>
        <w:rPr>
          <w:rFonts w:hint="eastAsia"/>
        </w:rPr>
      </w:pPr>
    </w:p>
    <w:p>
      <w:pPr>
        <w:pStyle w:val="2"/>
        <w:rPr>
          <w:rFonts w:hint="eastAsia"/>
        </w:rPr>
      </w:pPr>
    </w:p>
    <w:p>
      <w:pPr>
        <w:pStyle w:val="2"/>
        <w:rPr>
          <w:rFonts w:hint="eastAsia"/>
        </w:rPr>
      </w:pPr>
    </w:p>
    <w:p>
      <w:pPr>
        <w:pStyle w:val="2"/>
        <w:rPr>
          <w:rFonts w:hint="eastAsia"/>
        </w:rPr>
      </w:pPr>
    </w:p>
    <w:p>
      <w:pPr>
        <w:pStyle w:val="3"/>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pPr>
        <w:pStyle w:val="4"/>
        <w:keepNext/>
        <w:keepLines/>
        <w:pageBreakBefore w:val="0"/>
        <w:widowControl w:val="0"/>
        <w:kinsoku/>
        <w:wordWrap/>
        <w:overflowPunct/>
        <w:topLinePunct w:val="0"/>
        <w:autoSpaceDE/>
        <w:autoSpaceDN/>
        <w:bidi w:val="0"/>
        <w:adjustRightInd/>
        <w:snapToGrid/>
        <w:spacing w:before="0" w:after="0" w:line="240" w:lineRule="auto"/>
        <w:ind w:left="638" w:leftChars="304" w:firstLine="0" w:firstLineChars="0"/>
        <w:textAlignment w:val="auto"/>
        <w:rPr>
          <w:rStyle w:val="18"/>
          <w:rFonts w:hint="eastAsia" w:ascii="黑体" w:eastAsia="黑体"/>
          <w:b w:val="0"/>
          <w:bCs w:val="0"/>
        </w:rPr>
      </w:pPr>
      <w:bookmarkStart w:id="14" w:name="_Toc15396600"/>
      <w:bookmarkStart w:id="15" w:name="_Toc15377197"/>
      <w:r>
        <w:rPr>
          <w:rFonts w:hint="eastAsia" w:ascii="黑体" w:eastAsia="黑体"/>
          <w:b w:val="0"/>
          <w:color w:val="000000"/>
        </w:rPr>
        <w:t>一、基</w:t>
      </w:r>
      <w:r>
        <w:rPr>
          <w:rStyle w:val="18"/>
          <w:rFonts w:hint="eastAsia" w:ascii="黑体" w:eastAsia="黑体"/>
          <w:b w:val="0"/>
          <w:bCs w:val="0"/>
        </w:rPr>
        <w:t>本职能及主要工作</w:t>
      </w:r>
      <w:bookmarkEnd w:id="14"/>
      <w:bookmarkEnd w:id="15"/>
      <w:bookmarkStart w:id="16" w:name="_Toc15378445"/>
      <w:bookmarkStart w:id="17" w:name="_Toc15377198"/>
    </w:p>
    <w:p>
      <w:pPr>
        <w:pStyle w:val="5"/>
        <w:bidi w:val="0"/>
        <w:ind w:firstLine="643" w:firstLineChars="200"/>
        <w:rPr>
          <w:rFonts w:hint="eastAsia"/>
        </w:rPr>
      </w:pPr>
      <w:r>
        <w:rPr>
          <w:rFonts w:hint="eastAsia"/>
        </w:rPr>
        <w:t>（一）主要职能</w:t>
      </w:r>
      <w:bookmarkEnd w:id="16"/>
      <w:bookmarkEnd w:id="17"/>
      <w:bookmarkStart w:id="18" w:name="_Toc15378446"/>
      <w:bookmarkStart w:id="19" w:name="_Toc15377199"/>
    </w:p>
    <w:p>
      <w:pPr>
        <w:widowControl/>
        <w:ind w:firstLine="640" w:firstLineChars="200"/>
        <w:jc w:val="left"/>
        <w:rPr>
          <w:rFonts w:hint="eastAsia" w:ascii="仿宋_GB2312" w:eastAsia="仿宋_GB2312"/>
          <w:color w:val="000000"/>
          <w:sz w:val="32"/>
          <w:szCs w:val="32"/>
        </w:rPr>
      </w:pPr>
      <w:r>
        <w:rPr>
          <w:rFonts w:hint="eastAsia" w:ascii="仿宋_GB2312" w:eastAsia="仿宋_GB2312"/>
          <w:b w:val="0"/>
          <w:bCs/>
          <w:color w:val="000000"/>
          <w:sz w:val="32"/>
          <w:szCs w:val="32"/>
          <w:lang w:val="en-US" w:eastAsia="zh-CN"/>
        </w:rPr>
        <w:t>金川县文学艺术界联合会是由各文艺家协会组成的人民团体，是党和政府联系文艺界的纽带，其主要职能如下：</w:t>
      </w:r>
      <w:r>
        <w:rPr>
          <w:rFonts w:hint="eastAsia" w:ascii="仿宋_GB2312" w:eastAsia="仿宋_GB2312"/>
          <w:b/>
          <w:bCs/>
          <w:color w:val="000000"/>
          <w:sz w:val="32"/>
          <w:szCs w:val="32"/>
        </w:rPr>
        <w:t>一是</w:t>
      </w:r>
      <w:r>
        <w:rPr>
          <w:rFonts w:hint="eastAsia" w:ascii="仿宋_GB2312" w:eastAsia="仿宋_GB2312"/>
          <w:color w:val="000000"/>
          <w:sz w:val="32"/>
          <w:szCs w:val="32"/>
        </w:rPr>
        <w:t>团结带领全县广大文艺家和文艺工作者，高举社会主义伟大旗，坚持文艺“为人民服务、为社会主义服务”的方向和“百花齐放、百家争鸣”的方针，坚持文艺“贴近实际、贴近生活、贴近群众”的原则，践行社会主义核心价值观，为发展和繁荣社会主义文艺事业、建设文化强县、全面建成小康社会、实现金川的路发展和长治久安努力斗。</w:t>
      </w:r>
      <w:r>
        <w:rPr>
          <w:rFonts w:hint="eastAsia" w:ascii="仿宋_GB2312" w:eastAsia="仿宋_GB2312"/>
          <w:b/>
          <w:bCs/>
          <w:color w:val="000000"/>
          <w:sz w:val="32"/>
          <w:szCs w:val="32"/>
          <w:lang w:eastAsia="zh-CN"/>
        </w:rPr>
        <w:t>二是</w:t>
      </w:r>
      <w:r>
        <w:rPr>
          <w:rFonts w:hint="eastAsia" w:ascii="仿宋_GB2312" w:eastAsia="仿宋_GB2312"/>
          <w:color w:val="000000"/>
          <w:sz w:val="32"/>
          <w:szCs w:val="32"/>
        </w:rPr>
        <w:t>组织带领全县广大文艺家和文艺工作者深入生活、扎根人民，加强艺术实践，抓好文艺作，唱主旋律、传播正能量，用科学的理论武装人，用正确的论引导人，用高尚的精神塑造人，用优秀的作品鼓舞人。</w:t>
      </w:r>
      <w:r>
        <w:rPr>
          <w:rFonts w:hint="eastAsia" w:ascii="仿宋_GB2312" w:eastAsia="仿宋_GB2312"/>
          <w:b/>
          <w:bCs/>
          <w:color w:val="000000"/>
          <w:sz w:val="32"/>
          <w:szCs w:val="32"/>
          <w:lang w:eastAsia="zh-CN"/>
        </w:rPr>
        <w:t>三是</w:t>
      </w:r>
      <w:r>
        <w:rPr>
          <w:rFonts w:hint="eastAsia" w:ascii="仿宋_GB2312" w:eastAsia="仿宋_GB2312"/>
          <w:color w:val="000000"/>
          <w:sz w:val="32"/>
          <w:szCs w:val="32"/>
        </w:rPr>
        <w:t>负责对有关的文学艺术社团进行监督管理，发</w:t>
      </w:r>
      <w:r>
        <w:rPr>
          <w:rFonts w:hint="eastAsia" w:ascii="仿宋_GB2312" w:eastAsia="仿宋_GB2312"/>
          <w:b w:val="0"/>
          <w:bCs w:val="0"/>
          <w:color w:val="000000"/>
          <w:sz w:val="32"/>
          <w:szCs w:val="32"/>
        </w:rPr>
        <w:t>挥人オ和专业</w:t>
      </w:r>
      <w:r>
        <w:rPr>
          <w:rFonts w:hint="eastAsia" w:ascii="仿宋_GB2312" w:eastAsia="仿宋_GB2312"/>
          <w:color w:val="000000"/>
          <w:sz w:val="32"/>
          <w:szCs w:val="32"/>
        </w:rPr>
        <w:t>优势，通过发展会员、组织文艺创作、学术研究、刊物出版、文艺评奖，开展备种文艺活动，繁荣和发展金川县的文艺事业。</w:t>
      </w:r>
      <w:r>
        <w:rPr>
          <w:rFonts w:hint="eastAsia" w:ascii="仿宋_GB2312" w:eastAsia="仿宋_GB2312"/>
          <w:b/>
          <w:bCs/>
          <w:color w:val="000000"/>
          <w:sz w:val="32"/>
          <w:szCs w:val="32"/>
          <w:lang w:eastAsia="zh-CN"/>
        </w:rPr>
        <w:t>四是</w:t>
      </w:r>
      <w:r>
        <w:rPr>
          <w:rFonts w:hint="eastAsia" w:ascii="仿宋_GB2312" w:eastAsia="仿宋_GB2312"/>
          <w:color w:val="000000"/>
          <w:sz w:val="32"/>
          <w:szCs w:val="32"/>
        </w:rPr>
        <w:t>尊重各民族文艺传统，采取各种措施，积极发现、培养和扶持文艺人</w:t>
      </w:r>
      <w:r>
        <w:rPr>
          <w:rFonts w:hint="eastAsia" w:ascii="仿宋_GB2312" w:eastAsia="仿宋_GB2312"/>
          <w:b w:val="0"/>
          <w:bCs w:val="0"/>
          <w:color w:val="000000"/>
          <w:sz w:val="32"/>
          <w:szCs w:val="32"/>
        </w:rPr>
        <w:t>オ</w:t>
      </w:r>
      <w:r>
        <w:rPr>
          <w:rFonts w:hint="eastAsia" w:ascii="仿宋_GB2312" w:eastAsia="仿宋_GB2312"/>
          <w:color w:val="000000"/>
          <w:sz w:val="32"/>
          <w:szCs w:val="32"/>
        </w:rPr>
        <w:t>，尤其是少数民族青年文艺人オ，促进各民族文学艺术事业共同发展。</w:t>
      </w:r>
    </w:p>
    <w:p>
      <w:pPr>
        <w:widowControl/>
        <w:jc w:val="left"/>
        <w:rPr>
          <w:rFonts w:hint="eastAsia" w:ascii="仿宋_GB2312" w:hAnsi="仿宋_GB2312"/>
          <w:szCs w:val="32"/>
        </w:rPr>
      </w:pPr>
      <w:r>
        <w:rPr>
          <w:rFonts w:hint="eastAsia" w:ascii="仿宋_GB2312" w:eastAsia="仿宋_GB2312"/>
          <w:b/>
          <w:bCs/>
          <w:color w:val="000000"/>
          <w:sz w:val="32"/>
          <w:szCs w:val="32"/>
          <w:lang w:eastAsia="zh-CN"/>
        </w:rPr>
        <w:t>五是</w:t>
      </w:r>
      <w:r>
        <w:rPr>
          <w:rFonts w:hint="eastAsia" w:ascii="仿宋_GB2312" w:eastAsia="仿宋_GB2312"/>
          <w:color w:val="000000"/>
          <w:sz w:val="32"/>
          <w:szCs w:val="32"/>
        </w:rPr>
        <w:t>积极促进全县各民族文家和文艺工作者的团结，加强各地区文联系统之间的联，积极开展文艺交流活动，树立金川文艺新形象，提高金川文艺影响力。</w:t>
      </w:r>
      <w:r>
        <w:rPr>
          <w:rFonts w:hint="eastAsia" w:ascii="仿宋_GB2312" w:eastAsia="仿宋_GB2312"/>
          <w:b/>
          <w:bCs/>
          <w:color w:val="000000"/>
          <w:sz w:val="32"/>
          <w:szCs w:val="32"/>
          <w:lang w:eastAsia="zh-CN"/>
        </w:rPr>
        <w:t>六是</w:t>
      </w:r>
      <w:r>
        <w:rPr>
          <w:rFonts w:hint="eastAsia" w:ascii="仿宋_GB2312" w:eastAsia="仿宋_GB2312"/>
          <w:color w:val="000000"/>
          <w:sz w:val="32"/>
          <w:szCs w:val="32"/>
        </w:rPr>
        <w:t>倡导“爱国、为民、崇德、尚艺”文艺界核心价值观，培养良好的职业精神和职业道德;从真反映文艺界的意见、建议和要求，积极开展本县文艺领域自律维权工作维护团体会员和文学艺术家及文艺工作者的知识产权等合法权益。</w:t>
      </w:r>
      <w:r>
        <w:rPr>
          <w:rFonts w:hint="eastAsia" w:ascii="仿宋_GB2312" w:eastAsia="仿宋_GB2312"/>
          <w:b/>
          <w:bCs/>
          <w:color w:val="000000"/>
          <w:sz w:val="32"/>
          <w:szCs w:val="32"/>
          <w:lang w:eastAsia="zh-CN"/>
        </w:rPr>
        <w:t>七是</w:t>
      </w:r>
      <w:r>
        <w:rPr>
          <w:rFonts w:hint="eastAsia" w:ascii="仿宋_GB2312" w:eastAsia="仿宋_GB2312"/>
          <w:color w:val="000000"/>
          <w:sz w:val="32"/>
          <w:szCs w:val="32"/>
        </w:rPr>
        <w:t>积极开展文艺传播和文艺惠民活动，丰富和提高全县各族人民的文艺生，弘扬民族文精神，发展民族文学艺术事业。</w:t>
      </w:r>
      <w:r>
        <w:rPr>
          <w:rFonts w:hint="eastAsia" w:ascii="仿宋_GB2312" w:eastAsia="仿宋_GB2312"/>
          <w:b/>
          <w:bCs/>
          <w:color w:val="000000"/>
          <w:sz w:val="32"/>
          <w:szCs w:val="32"/>
          <w:lang w:eastAsia="zh-CN"/>
        </w:rPr>
        <w:t>八是</w:t>
      </w:r>
      <w:r>
        <w:rPr>
          <w:rFonts w:hint="eastAsia" w:ascii="仿宋_GB2312" w:eastAsia="仿宋_GB2312"/>
          <w:color w:val="000000"/>
          <w:sz w:val="32"/>
          <w:szCs w:val="32"/>
        </w:rPr>
        <w:t>组织召开金川县文联代表大会、委员会、主席团会议和全县性文学艺术会代表大会及全县性文联系统的工作会议。</w:t>
      </w:r>
      <w:r>
        <w:rPr>
          <w:rFonts w:hint="eastAsia" w:ascii="仿宋_GB2312" w:eastAsia="仿宋_GB2312"/>
          <w:b/>
          <w:bCs/>
          <w:color w:val="000000"/>
          <w:sz w:val="32"/>
          <w:szCs w:val="32"/>
          <w:lang w:eastAsia="zh-CN"/>
        </w:rPr>
        <w:t>九是</w:t>
      </w:r>
      <w:r>
        <w:rPr>
          <w:rFonts w:hint="eastAsia" w:ascii="仿宋_GB2312" w:eastAsia="仿宋_GB2312"/>
          <w:b w:val="0"/>
          <w:bCs/>
          <w:color w:val="000000"/>
          <w:sz w:val="32"/>
          <w:szCs w:val="32"/>
          <w:lang w:val="en-US" w:eastAsia="zh-CN"/>
        </w:rPr>
        <w:t>承办县委、县政府和上级有关部门交办的其它事项。</w:t>
      </w:r>
    </w:p>
    <w:p>
      <w:pPr>
        <w:pStyle w:val="4"/>
        <w:spacing w:before="0" w:after="0" w:line="240" w:lineRule="auto"/>
        <w:ind w:firstLine="321" w:firstLineChars="100"/>
        <w:rPr>
          <w:rFonts w:hint="eastAsia" w:ascii="楷体" w:eastAsia="楷体" w:cs="楷体"/>
          <w:bCs/>
          <w:color w:val="000000"/>
          <w:sz w:val="32"/>
          <w:szCs w:val="32"/>
        </w:rPr>
      </w:pPr>
      <w:r>
        <w:rPr>
          <w:rFonts w:hint="eastAsia" w:ascii="楷体" w:eastAsia="楷体" w:cs="楷体"/>
          <w:bCs/>
          <w:color w:val="000000"/>
          <w:sz w:val="32"/>
          <w:szCs w:val="32"/>
        </w:rPr>
        <w:t>（二）20</w:t>
      </w:r>
      <w:r>
        <w:rPr>
          <w:rFonts w:hint="eastAsia" w:ascii="楷体" w:eastAsia="楷体" w:cs="楷体"/>
          <w:bCs/>
          <w:color w:val="000000"/>
          <w:sz w:val="32"/>
          <w:szCs w:val="32"/>
          <w:lang w:val="en-US" w:eastAsia="zh-CN"/>
        </w:rPr>
        <w:t>21</w:t>
      </w:r>
      <w:r>
        <w:rPr>
          <w:rFonts w:hint="eastAsia" w:ascii="楷体" w:eastAsia="楷体" w:cs="楷体"/>
          <w:bCs/>
          <w:color w:val="000000"/>
          <w:sz w:val="32"/>
          <w:szCs w:val="32"/>
        </w:rPr>
        <w:t>年重点工作完成情况</w:t>
      </w:r>
      <w:bookmarkEnd w:id="18"/>
      <w:bookmarkEnd w:id="1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黑体" w:hAnsi="黑体" w:eastAsia="黑体" w:cs="黑体"/>
          <w:b w:val="0"/>
          <w:bCs/>
          <w:color w:val="2B2B2B"/>
          <w:kern w:val="0"/>
          <w:sz w:val="32"/>
          <w:szCs w:val="32"/>
          <w:lang w:val="en-US" w:eastAsia="zh-CN"/>
        </w:rPr>
      </w:pPr>
      <w:bookmarkStart w:id="20" w:name="_Toc15377200"/>
      <w:bookmarkStart w:id="21" w:name="_Toc15396601"/>
      <w:r>
        <w:rPr>
          <w:rFonts w:hint="eastAsia" w:ascii="黑体" w:hAnsi="黑体" w:eastAsia="黑体" w:cs="黑体"/>
          <w:b w:val="0"/>
          <w:bCs/>
          <w:color w:val="2B2B2B"/>
          <w:kern w:val="0"/>
          <w:sz w:val="32"/>
          <w:szCs w:val="32"/>
          <w:lang w:val="en-US" w:eastAsia="zh-CN"/>
        </w:rPr>
        <w:t>1、学以致用，锻造过硬本领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采取集中学习、自学、交流座谈会等多种形式，组织各协会及文联干部职工认真学习党的十九</w:t>
      </w:r>
      <w:r>
        <w:rPr>
          <w:rFonts w:hint="eastAsia" w:ascii="仿宋_GB2312" w:hAnsi="仿宋_GB2312" w:eastAsia="仿宋_GB2312" w:cs="仿宋_GB2312"/>
          <w:sz w:val="32"/>
          <w:szCs w:val="32"/>
          <w:lang w:val="en-US" w:eastAsia="zh-CN"/>
        </w:rPr>
        <w:t>届五中</w:t>
      </w:r>
      <w:r>
        <w:rPr>
          <w:rFonts w:hint="eastAsia" w:ascii="仿宋_GB2312" w:hAnsi="仿宋_GB2312" w:eastAsia="仿宋_GB2312" w:cs="仿宋_GB2312"/>
          <w:sz w:val="32"/>
          <w:szCs w:val="32"/>
        </w:rPr>
        <w:t>全会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中央第七次西藏工作会等会议精神，提高思想认识，紧跟时代步伐，找准工作方向，提升自我。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黑体" w:hAnsi="黑体" w:eastAsia="黑体" w:cs="黑体"/>
          <w:b w:val="0"/>
          <w:bCs/>
          <w:color w:val="2B2B2B"/>
          <w:kern w:val="0"/>
          <w:sz w:val="32"/>
          <w:szCs w:val="32"/>
          <w:lang w:val="en-US" w:eastAsia="zh-CN"/>
        </w:rPr>
      </w:pPr>
      <w:r>
        <w:rPr>
          <w:rFonts w:hint="eastAsia" w:ascii="黑体" w:hAnsi="黑体" w:eastAsia="黑体" w:cs="黑体"/>
          <w:b w:val="0"/>
          <w:bCs/>
          <w:color w:val="2B2B2B"/>
          <w:kern w:val="0"/>
          <w:sz w:val="32"/>
          <w:szCs w:val="32"/>
          <w:lang w:val="en-US" w:eastAsia="zh-CN"/>
        </w:rPr>
        <w:t>2、奋勇争先，开展多彩活动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2B2B2B"/>
          <w:kern w:val="0"/>
          <w:sz w:val="32"/>
          <w:szCs w:val="32"/>
          <w:lang w:val="en-US" w:eastAsia="zh-CN"/>
        </w:rPr>
        <w:t>按照县委县政府的安排部署，紧扣发展、民生、稳定三条主线，充分发挥桥梁纽带作用，引导广大文艺工作者积极开展脱贫攻坚、乡村振兴、生态建设、基层治理等方面的创作活动。</w:t>
      </w:r>
    </w:p>
    <w:p>
      <w:pPr>
        <w:pStyle w:val="2"/>
        <w:keepNext w:val="0"/>
        <w:keepLines w:val="0"/>
        <w:pageBreakBefore w:val="0"/>
        <w:widowControl w:val="0"/>
        <w:kinsoku/>
        <w:wordWrap/>
        <w:overflowPunct/>
        <w:topLinePunct w:val="0"/>
        <w:autoSpaceDE/>
        <w:autoSpaceDN/>
        <w:bidi w:val="0"/>
        <w:snapToGrid/>
        <w:spacing w:line="576" w:lineRule="exact"/>
        <w:ind w:firstLine="640" w:firstLineChars="200"/>
        <w:rPr>
          <w:rFonts w:hint="default" w:ascii="黑体" w:hAnsi="黑体" w:eastAsia="黑体" w:cs="黑体"/>
          <w:b w:val="0"/>
          <w:bCs w:val="0"/>
          <w:sz w:val="32"/>
          <w:szCs w:val="32"/>
          <w:lang w:val="en-US"/>
        </w:rPr>
      </w:pPr>
      <w:r>
        <w:rPr>
          <w:rFonts w:hint="eastAsia" w:ascii="黑体" w:hAnsi="黑体" w:eastAsia="黑体" w:cs="黑体"/>
          <w:b w:val="0"/>
          <w:bCs w:val="0"/>
          <w:sz w:val="32"/>
          <w:szCs w:val="32"/>
          <w:lang w:val="en-US" w:eastAsia="zh-CN"/>
        </w:rPr>
        <w:t>3、拓展渠道，宣传推介金川</w:t>
      </w:r>
    </w:p>
    <w:p>
      <w:pPr>
        <w:pStyle w:val="2"/>
        <w:keepNext w:val="0"/>
        <w:keepLines w:val="0"/>
        <w:pageBreakBefore w:val="0"/>
        <w:widowControl w:val="0"/>
        <w:kinsoku/>
        <w:wordWrap/>
        <w:overflowPunct/>
        <w:topLinePunct w:val="0"/>
        <w:autoSpaceDE/>
        <w:autoSpaceDN/>
        <w:bidi w:val="0"/>
        <w:snapToGrid/>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以转化运用“多民族作家金川行”文学实践活动成果，在国家、省级宣传媒介、学习强国平台和作家自己的微信、微博平台发布，以文学的形式、梨花的名义，全面推挤大美金川。</w:t>
      </w:r>
    </w:p>
    <w:p>
      <w:pPr>
        <w:spacing w:line="578" w:lineRule="exact"/>
        <w:ind w:left="0" w:firstLine="640" w:firstLineChars="200"/>
        <w:rPr>
          <w:rStyle w:val="18"/>
          <w:b w:val="0"/>
          <w:bCs w:val="0"/>
        </w:rPr>
      </w:pPr>
      <w:r>
        <w:rPr>
          <w:rStyle w:val="18"/>
          <w:rFonts w:hint="eastAsia" w:ascii="黑体" w:eastAsia="黑体"/>
          <w:b w:val="0"/>
          <w:bCs w:val="0"/>
        </w:rPr>
        <w:t>二、机构设置</w:t>
      </w:r>
      <w:bookmarkEnd w:id="20"/>
      <w:bookmarkEnd w:id="21"/>
    </w:p>
    <w:p>
      <w:pPr>
        <w:widowControl/>
        <w:ind w:firstLine="640" w:firstLineChars="200"/>
        <w:jc w:val="left"/>
        <w:rPr>
          <w:rFonts w:hint="eastAsia" w:ascii="仿宋" w:hAnsi="仿宋" w:eastAsia="仿宋_GB2312"/>
          <w:color w:val="000000"/>
          <w:kern w:val="0"/>
          <w:sz w:val="32"/>
          <w:szCs w:val="32"/>
          <w:lang w:eastAsia="zh-CN"/>
        </w:rPr>
      </w:pPr>
      <w:r>
        <w:rPr>
          <w:rFonts w:hint="eastAsia" w:ascii="仿宋_GB2312" w:eastAsia="仿宋_GB2312"/>
          <w:color w:val="000000"/>
          <w:sz w:val="32"/>
          <w:szCs w:val="32"/>
          <w:lang w:eastAsia="zh-CN"/>
        </w:rPr>
        <w:t>文联为正科级事业单位，一个行政核算机构，经费形式为全额拨款。内设机构</w:t>
      </w:r>
      <w:r>
        <w:rPr>
          <w:rFonts w:hint="eastAsia" w:ascii="仿宋_GB2312" w:eastAsia="仿宋_GB2312"/>
          <w:color w:val="000000"/>
          <w:sz w:val="32"/>
          <w:szCs w:val="32"/>
          <w:lang w:val="en-US" w:eastAsia="zh-CN"/>
        </w:rPr>
        <w:t>1个（办公室），</w:t>
      </w:r>
      <w:r>
        <w:rPr>
          <w:rFonts w:hint="eastAsia" w:ascii="仿宋_GB2312" w:eastAsia="仿宋_GB2312"/>
          <w:color w:val="000000"/>
          <w:sz w:val="32"/>
          <w:szCs w:val="32"/>
          <w:lang w:eastAsia="zh-CN"/>
        </w:rPr>
        <w:t>核定事业编制</w:t>
      </w:r>
      <w:r>
        <w:rPr>
          <w:rFonts w:hint="eastAsia" w:ascii="仿宋_GB2312" w:eastAsia="仿宋_GB2312"/>
          <w:color w:val="000000"/>
          <w:sz w:val="32"/>
          <w:szCs w:val="32"/>
          <w:lang w:val="en-US" w:eastAsia="zh-CN"/>
        </w:rPr>
        <w:t>4名，实有事业管理人员3人。</w:t>
      </w:r>
    </w:p>
    <w:p>
      <w:pPr>
        <w:pStyle w:val="3"/>
        <w:ind w:right="440"/>
        <w:jc w:val="right"/>
      </w:pPr>
      <w:bookmarkStart w:id="22" w:name="_Toc15396602"/>
      <w:bookmarkStart w:id="23" w:name="_Toc15377204"/>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w:t>
      </w:r>
      <w:r>
        <w:rPr>
          <w:rStyle w:val="17"/>
          <w:rFonts w:hint="eastAsia" w:ascii="黑体" w:eastAsia="黑体"/>
          <w:b w:val="0"/>
          <w:bCs w:val="0"/>
          <w:lang w:val="en-US"/>
        </w:rPr>
        <w:t>21</w:t>
      </w:r>
      <w:r>
        <w:rPr>
          <w:rStyle w:val="17"/>
          <w:rFonts w:hint="eastAsia" w:ascii="黑体" w:eastAsia="黑体"/>
          <w:b w:val="0"/>
          <w:bCs w:val="0"/>
        </w:rPr>
        <w:t>年度部门决算情况说明</w:t>
      </w:r>
      <w:bookmarkEnd w:id="22"/>
      <w:bookmarkEnd w:id="23"/>
    </w:p>
    <w:p>
      <w:pPr>
        <w:pStyle w:val="23"/>
        <w:numPr>
          <w:ilvl w:val="0"/>
          <w:numId w:val="0"/>
        </w:numPr>
        <w:spacing w:line="240" w:lineRule="auto"/>
        <w:ind w:leftChars="0" w:firstLine="640" w:firstLineChars="200"/>
        <w:outlineLvl w:val="1"/>
        <w:rPr>
          <w:rStyle w:val="18"/>
          <w:rFonts w:ascii="黑体" w:eastAsia="黑体"/>
          <w:b w:val="0"/>
        </w:rPr>
      </w:pPr>
      <w:bookmarkStart w:id="24" w:name="_Toc15377205"/>
      <w:bookmarkStart w:id="25" w:name="_Toc15396603"/>
      <w:r>
        <w:rPr>
          <w:rFonts w:hint="eastAsia" w:ascii="黑体" w:eastAsia="黑体"/>
          <w:color w:val="000000"/>
          <w:sz w:val="32"/>
          <w:szCs w:val="32"/>
          <w:lang w:eastAsia="zh-CN"/>
        </w:rPr>
        <w:t>一、</w:t>
      </w:r>
      <w:r>
        <w:rPr>
          <w:rFonts w:hint="eastAsia" w:ascii="黑体" w:eastAsia="黑体"/>
          <w:color w:val="000000"/>
          <w:sz w:val="32"/>
          <w:szCs w:val="32"/>
        </w:rPr>
        <w:t>收</w:t>
      </w:r>
      <w:r>
        <w:rPr>
          <w:rStyle w:val="18"/>
          <w:rFonts w:hint="eastAsia" w:ascii="黑体" w:eastAsia="黑体"/>
          <w:b w:val="0"/>
        </w:rPr>
        <w:t>入支出决算总体情况说明</w:t>
      </w:r>
      <w:bookmarkEnd w:id="24"/>
      <w:bookmarkEnd w:id="25"/>
    </w:p>
    <w:p>
      <w:pPr>
        <w:snapToGrid w:val="0"/>
        <w:spacing w:line="520" w:lineRule="exact"/>
        <w:ind w:firstLine="632" w:firstLineChars="200"/>
        <w:rPr>
          <w:rFonts w:ascii="仿宋_GB2312" w:eastAsia="仿宋_GB2312"/>
          <w:color w:val="000000"/>
          <w:spacing w:val="-2"/>
          <w:kern w:val="2"/>
          <w:sz w:val="32"/>
          <w:szCs w:val="32"/>
          <w:lang w:val="en-US" w:eastAsia="zh-CN" w:bidi="ar-SA"/>
        </w:rPr>
      </w:pPr>
      <w:r>
        <w:rPr>
          <w:rFonts w:hint="eastAsia" w:ascii="仿宋_GB2312" w:eastAsia="仿宋_GB2312"/>
          <w:color w:val="000000"/>
          <w:spacing w:val="-2"/>
          <w:kern w:val="2"/>
          <w:sz w:val="32"/>
          <w:szCs w:val="32"/>
          <w:lang w:val="en-US" w:eastAsia="zh-CN" w:bidi="ar-SA"/>
        </w:rPr>
        <w:t>2021年度总收入81.69万元，较上年收入增加20.53万元，增加25%。增加的主要原因是</w:t>
      </w:r>
      <w:r>
        <w:rPr>
          <w:rFonts w:hint="eastAsia" w:ascii="仿宋" w:hAnsi="仿宋" w:eastAsia="仿宋" w:cs="仿宋_GB2312"/>
          <w:color w:val="000000"/>
          <w:kern w:val="0"/>
          <w:sz w:val="32"/>
          <w:szCs w:val="32"/>
          <w:lang w:val="zh-CN"/>
        </w:rPr>
        <w:t>增加了公务经费及调资的</w:t>
      </w:r>
      <w:r>
        <w:rPr>
          <w:rFonts w:hint="eastAsia" w:ascii="仿宋" w:hAnsi="仿宋" w:eastAsia="仿宋" w:cs="仿宋_GB2312"/>
          <w:color w:val="000000"/>
          <w:kern w:val="0"/>
          <w:sz w:val="32"/>
          <w:szCs w:val="32"/>
          <w:lang w:val="zh-CN" w:eastAsia="zh-CN"/>
        </w:rPr>
        <w:t>收入</w:t>
      </w:r>
      <w:r>
        <w:rPr>
          <w:rFonts w:hint="eastAsia" w:ascii="仿宋" w:hAnsi="仿宋" w:eastAsia="仿宋" w:cs="仿宋_GB2312"/>
          <w:color w:val="000000"/>
          <w:kern w:val="0"/>
          <w:sz w:val="32"/>
          <w:szCs w:val="32"/>
          <w:lang w:val="zh-CN"/>
        </w:rPr>
        <w:t>数</w:t>
      </w:r>
      <w:r>
        <w:rPr>
          <w:rFonts w:hint="eastAsia" w:ascii="仿宋_GB2312" w:eastAsia="仿宋_GB2312"/>
          <w:color w:val="000000"/>
          <w:spacing w:val="-2"/>
          <w:kern w:val="2"/>
          <w:sz w:val="32"/>
          <w:szCs w:val="32"/>
          <w:lang w:val="en-US" w:eastAsia="zh-CN" w:bidi="ar-SA"/>
        </w:rPr>
        <w:t>。</w:t>
      </w:r>
    </w:p>
    <w:p>
      <w:pPr>
        <w:snapToGrid w:val="0"/>
        <w:spacing w:line="520" w:lineRule="exact"/>
        <w:ind w:firstLine="632" w:firstLineChars="200"/>
        <w:rPr>
          <w:rFonts w:hint="eastAsia" w:ascii="仿宋_GB2312" w:eastAsia="仿宋_GB2312"/>
          <w:color w:val="auto"/>
          <w:spacing w:val="-2"/>
          <w:kern w:val="2"/>
          <w:sz w:val="32"/>
          <w:szCs w:val="32"/>
          <w:lang w:val="en-US" w:eastAsia="zh-CN" w:bidi="ar-SA"/>
        </w:rPr>
      </w:pPr>
      <w:r>
        <w:rPr>
          <w:rFonts w:hint="eastAsia" w:ascii="仿宋_GB2312" w:eastAsia="仿宋_GB2312"/>
          <w:color w:val="auto"/>
          <w:spacing w:val="-2"/>
          <w:kern w:val="2"/>
          <w:sz w:val="32"/>
          <w:szCs w:val="32"/>
          <w:lang w:val="en-US" w:eastAsia="zh-CN" w:bidi="ar-SA"/>
        </w:rPr>
        <w:t>2021年总支出81.69万元，较上年支出增加20.53万元，增加25%。主要原因是2021年增加了公务经费和人员经费支出。</w:t>
      </w:r>
    </w:p>
    <w:p>
      <w:pPr>
        <w:pStyle w:val="2"/>
        <w:rPr>
          <w:rFonts w:hint="eastAsia" w:ascii="黑体" w:eastAsia="黑体" w:cs="Times New Roman"/>
          <w:color w:val="000000"/>
          <w:kern w:val="2"/>
          <w:sz w:val="32"/>
          <w:szCs w:val="32"/>
          <w:lang w:val="en-US" w:eastAsia="zh-CN" w:bidi="ar-SA"/>
        </w:rPr>
      </w:pPr>
      <w:r>
        <w:rPr>
          <w:rFonts w:hint="eastAsia" w:ascii="黑体" w:eastAsia="黑体" w:cs="Times New Roman"/>
          <w:color w:val="00000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-196850</wp:posOffset>
            </wp:positionH>
            <wp:positionV relativeFrom="paragraph">
              <wp:posOffset>247650</wp:posOffset>
            </wp:positionV>
            <wp:extent cx="5365115" cy="3375660"/>
            <wp:effectExtent l="4445" t="4445" r="21590" b="10795"/>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6" w:name="_Toc15396604"/>
      <w:bookmarkStart w:id="27" w:name="_Toc15377206"/>
      <w:r>
        <w:rPr>
          <w:rFonts w:hint="eastAsia" w:ascii="黑体" w:eastAsia="黑体" w:cs="Times New Roman"/>
          <w:color w:val="000000"/>
          <w:kern w:val="2"/>
          <w:sz w:val="32"/>
          <w:szCs w:val="32"/>
          <w:lang w:val="en-US" w:eastAsia="zh-CN" w:bidi="ar-SA"/>
        </w:rPr>
        <w:t xml:space="preserve">  </w:t>
      </w:r>
    </w:p>
    <w:p>
      <w:pPr>
        <w:pStyle w:val="2"/>
        <w:rPr>
          <w:rStyle w:val="18"/>
          <w:rFonts w:ascii="黑体" w:eastAsia="黑体"/>
          <w:b w:val="0"/>
        </w:rPr>
      </w:pPr>
      <w:r>
        <w:rPr>
          <w:rFonts w:hint="eastAsia" w:ascii="黑体" w:eastAsia="黑体" w:cs="Times New Roman"/>
          <w:color w:val="000000"/>
          <w:kern w:val="2"/>
          <w:sz w:val="32"/>
          <w:szCs w:val="32"/>
          <w:lang w:val="en-US" w:eastAsia="zh-CN" w:bidi="ar-SA"/>
        </w:rPr>
        <w:t xml:space="preserve">  二、收入决</w:t>
      </w:r>
      <w:r>
        <w:rPr>
          <w:rStyle w:val="18"/>
          <w:rFonts w:hint="eastAsia" w:ascii="黑体" w:eastAsia="黑体"/>
          <w:b w:val="0"/>
        </w:rPr>
        <w:t>算情况说明</w:t>
      </w:r>
      <w:bookmarkEnd w:id="26"/>
      <w:bookmarkEnd w:id="27"/>
    </w:p>
    <w:p>
      <w:pPr>
        <w:spacing w:line="600" w:lineRule="exact"/>
        <w:ind w:firstLine="640" w:firstLineChars="200"/>
        <w:outlineLvl w:val="1"/>
        <w:rPr>
          <w:rFonts w:hint="eastAsia" w:ascii="仿宋" w:eastAsia="仿宋"/>
          <w:color w:val="000000"/>
          <w:sz w:val="32"/>
          <w:szCs w:val="32"/>
          <w:lang w:val="en-US" w:eastAsia="zh-CN"/>
        </w:rPr>
      </w:pPr>
      <w:r>
        <w:rPr>
          <w:rFonts w:hint="eastAsia" w:ascii="黑体" w:eastAsia="黑体" w:cs="Times New Roman"/>
          <w:color w:val="000000"/>
          <w:kern w:val="2"/>
          <w:sz w:val="32"/>
          <w:szCs w:val="32"/>
          <w:lang w:val="en-US" w:eastAsia="zh-CN" w:bidi="ar-SA"/>
        </w:rPr>
        <w:drawing>
          <wp:anchor distT="0" distB="0" distL="114300" distR="114300" simplePos="0" relativeHeight="251660288" behindDoc="0" locked="0" layoutInCell="1" allowOverlap="1">
            <wp:simplePos x="0" y="0"/>
            <wp:positionH relativeFrom="column">
              <wp:posOffset>250190</wp:posOffset>
            </wp:positionH>
            <wp:positionV relativeFrom="paragraph">
              <wp:posOffset>2098040</wp:posOffset>
            </wp:positionV>
            <wp:extent cx="4971415" cy="2109470"/>
            <wp:effectExtent l="5080" t="4445" r="14605" b="19685"/>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w:t>
      </w:r>
      <w:r>
        <w:rPr>
          <w:rFonts w:hint="eastAsia" w:ascii="仿宋" w:eastAsia="仿宋"/>
          <w:color w:val="000000"/>
          <w:sz w:val="32"/>
          <w:szCs w:val="32"/>
          <w:lang w:val="en-US" w:eastAsia="zh-CN"/>
        </w:rPr>
        <w:t>总</w:t>
      </w:r>
      <w:r>
        <w:rPr>
          <w:rFonts w:hint="eastAsia" w:ascii="仿宋" w:eastAsia="仿宋"/>
          <w:color w:val="000000"/>
          <w:sz w:val="32"/>
          <w:szCs w:val="32"/>
        </w:rPr>
        <w:t>收入</w:t>
      </w:r>
      <w:r>
        <w:rPr>
          <w:rFonts w:hint="eastAsia" w:ascii="仿宋" w:eastAsia="仿宋"/>
          <w:color w:val="000000"/>
          <w:sz w:val="32"/>
          <w:szCs w:val="32"/>
          <w:lang w:val="en-US" w:eastAsia="zh-CN"/>
        </w:rPr>
        <w:t>81.69</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81.69</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；国有资本经营预算财政拨款收入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；事业收入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；经营收入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r>
        <w:rPr>
          <w:rFonts w:hint="eastAsia" w:ascii="仿宋" w:eastAsia="仿宋"/>
          <w:color w:val="000000"/>
          <w:sz w:val="32"/>
          <w:szCs w:val="32"/>
          <w:lang w:val="en-US" w:eastAsia="zh-CN"/>
        </w:rPr>
        <w:t>。</w:t>
      </w:r>
    </w:p>
    <w:p>
      <w:pPr>
        <w:spacing w:line="600" w:lineRule="exact"/>
        <w:ind w:firstLine="640" w:firstLineChars="200"/>
        <w:outlineLvl w:val="1"/>
        <w:rPr>
          <w:rStyle w:val="18"/>
          <w:rFonts w:ascii="黑体" w:eastAsia="黑体"/>
          <w:b w:val="0"/>
        </w:rPr>
      </w:pPr>
      <w:bookmarkStart w:id="28" w:name="_Toc15396605"/>
      <w:bookmarkStart w:id="29" w:name="_Toc15377207"/>
      <w:r>
        <w:rPr>
          <w:rFonts w:hint="eastAsia" w:ascii="黑体" w:eastAsia="黑体" w:cs="Times New Roman"/>
          <w:color w:val="000000"/>
          <w:kern w:val="2"/>
          <w:sz w:val="32"/>
          <w:szCs w:val="32"/>
          <w:lang w:val="en-US" w:eastAsia="zh-CN" w:bidi="ar-SA"/>
        </w:rPr>
        <w:t>三、支出决</w:t>
      </w:r>
      <w:r>
        <w:rPr>
          <w:rStyle w:val="18"/>
          <w:rFonts w:hint="eastAsia" w:ascii="黑体" w:eastAsia="黑体"/>
          <w:b w:val="0"/>
        </w:rPr>
        <w:t>算情况说明</w:t>
      </w:r>
      <w:bookmarkEnd w:id="28"/>
      <w:bookmarkEnd w:id="29"/>
    </w:p>
    <w:p>
      <w:pPr>
        <w:spacing w:line="600" w:lineRule="exact"/>
        <w:ind w:firstLine="640" w:firstLineChars="200"/>
        <w:rPr>
          <w:rFonts w:hint="default" w:ascii="仿宋" w:eastAsia="仿宋"/>
          <w:color w:val="000000"/>
          <w:sz w:val="32"/>
          <w:szCs w:val="32"/>
          <w:shd w:val="pct10" w:color="auto" w:fill="FFFFFF"/>
          <w:lang w:val="en-US"/>
        </w:rPr>
      </w:pPr>
      <w:r>
        <w:rPr>
          <w:rFonts w:hint="eastAsia"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81.69</w:t>
      </w:r>
      <w:r>
        <w:rPr>
          <w:rFonts w:hint="eastAsia" w:ascii="仿宋" w:eastAsia="仿宋"/>
          <w:color w:val="000000"/>
          <w:sz w:val="32"/>
          <w:szCs w:val="32"/>
        </w:rPr>
        <w:t>万元，其中：</w:t>
      </w:r>
      <w:r>
        <w:rPr>
          <w:rFonts w:hint="eastAsia" w:ascii="仿宋" w:eastAsia="仿宋"/>
          <w:color w:val="000000"/>
          <w:sz w:val="32"/>
          <w:szCs w:val="32"/>
          <w:lang w:eastAsia="zh-CN"/>
        </w:rPr>
        <w:t>文化旅游体育与传媒支出为</w:t>
      </w:r>
      <w:r>
        <w:rPr>
          <w:rFonts w:hint="eastAsia" w:ascii="仿宋" w:eastAsia="仿宋"/>
          <w:color w:val="000000"/>
          <w:sz w:val="32"/>
          <w:szCs w:val="32"/>
          <w:lang w:val="en-US" w:eastAsia="zh-CN"/>
        </w:rPr>
        <w:t>66万元，占比80.79%；社会保障和就业支出为7.52万元，占比9.21%；卫生健康支出3.04万元，占比3.72%；住房保障支出5.12万元，占比6.27%。</w:t>
      </w:r>
    </w:p>
    <w:p>
      <w:pPr>
        <w:spacing w:line="600" w:lineRule="exact"/>
        <w:ind w:firstLine="640" w:firstLineChars="20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anchor distT="0" distB="0" distL="114300" distR="114300" simplePos="0" relativeHeight="251660288" behindDoc="0" locked="0" layoutInCell="1" allowOverlap="1">
            <wp:simplePos x="0" y="0"/>
            <wp:positionH relativeFrom="column">
              <wp:posOffset>54610</wp:posOffset>
            </wp:positionH>
            <wp:positionV relativeFrom="paragraph">
              <wp:posOffset>147320</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8"/>
          <w:rFonts w:ascii="黑体" w:eastAsia="黑体"/>
          <w:b w:val="0"/>
        </w:rPr>
      </w:pPr>
      <w:bookmarkStart w:id="30" w:name="_Toc15377208"/>
      <w:bookmarkStart w:id="31" w:name="_Toc15396606"/>
      <w:r>
        <w:rPr>
          <w:rFonts w:hint="eastAsia" w:ascii="黑体" w:eastAsia="黑体"/>
          <w:color w:val="000000"/>
          <w:sz w:val="32"/>
          <w:szCs w:val="32"/>
        </w:rPr>
        <w:t>四、财</w:t>
      </w:r>
      <w:r>
        <w:rPr>
          <w:rStyle w:val="18"/>
          <w:rFonts w:hint="eastAsia" w:ascii="黑体" w:eastAsia="黑体"/>
          <w:b w:val="0"/>
        </w:rPr>
        <w:t>政拨款收入支出决算总体情况说明</w:t>
      </w:r>
      <w:bookmarkEnd w:id="30"/>
      <w:bookmarkEnd w:id="31"/>
    </w:p>
    <w:p>
      <w:pPr>
        <w:snapToGrid w:val="0"/>
        <w:spacing w:line="520" w:lineRule="exact"/>
        <w:ind w:firstLine="640" w:firstLineChars="200"/>
        <w:rPr>
          <w:rFonts w:hint="eastAsia" w:ascii="仿宋_GB2312" w:eastAsia="仿宋_GB2312"/>
          <w:color w:val="auto"/>
          <w:spacing w:val="-2"/>
          <w:kern w:val="2"/>
          <w:sz w:val="32"/>
          <w:szCs w:val="32"/>
          <w:lang w:val="en-US" w:eastAsia="zh-CN" w:bidi="ar-SA"/>
        </w:rPr>
      </w:pPr>
      <w:r>
        <w:rPr>
          <w:rFonts w:hint="eastAsia" w:ascii="仿宋" w:eastAsia="仿宋"/>
          <w:color w:val="000000"/>
          <w:sz w:val="32"/>
          <w:szCs w:val="32"/>
        </w:rPr>
        <w:drawing>
          <wp:anchor distT="0" distB="0" distL="114300" distR="114300" simplePos="0" relativeHeight="251660288" behindDoc="0" locked="0" layoutInCell="1" allowOverlap="1">
            <wp:simplePos x="0" y="0"/>
            <wp:positionH relativeFrom="column">
              <wp:posOffset>209550</wp:posOffset>
            </wp:positionH>
            <wp:positionV relativeFrom="paragraph">
              <wp:posOffset>1162050</wp:posOffset>
            </wp:positionV>
            <wp:extent cx="5090160" cy="2837180"/>
            <wp:effectExtent l="4445" t="4445" r="10795" b="15875"/>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eastAsia="仿宋"/>
          <w:color w:val="000000"/>
          <w:sz w:val="32"/>
          <w:szCs w:val="32"/>
          <w:lang w:val="en-US" w:eastAsia="zh-CN"/>
        </w:rPr>
        <w:t>2021年财政拨款收入81.69万元。与2020年相比，一般公共预算财政拨款收入较上年增加20.53万元，增加25%。增加的主要原因是</w:t>
      </w:r>
      <w:r>
        <w:rPr>
          <w:rFonts w:hint="eastAsia" w:ascii="仿宋_GB2312" w:eastAsia="仿宋_GB2312"/>
          <w:color w:val="auto"/>
          <w:spacing w:val="-2"/>
          <w:kern w:val="2"/>
          <w:sz w:val="32"/>
          <w:szCs w:val="32"/>
          <w:lang w:val="en-US" w:eastAsia="zh-CN" w:bidi="ar-SA"/>
        </w:rPr>
        <w:t>2020年增加了公务费和人员经费支出。</w:t>
      </w:r>
      <w:bookmarkStart w:id="32" w:name="_Toc15396607"/>
      <w:bookmarkStart w:id="33" w:name="_Toc15377209"/>
    </w:p>
    <w:p>
      <w:pPr>
        <w:snapToGrid w:val="0"/>
        <w:spacing w:line="520" w:lineRule="exact"/>
        <w:ind w:firstLine="640" w:firstLineChars="200"/>
        <w:rPr>
          <w:rStyle w:val="18"/>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hint="eastAsia" w:ascii="仿宋_GB2312" w:eastAsia="仿宋_GB2312"/>
          <w:color w:val="auto"/>
          <w:spacing w:val="-2"/>
          <w:kern w:val="2"/>
          <w:sz w:val="32"/>
          <w:szCs w:val="32"/>
          <w:lang w:val="en-US" w:eastAsia="zh-CN" w:bidi="ar-SA"/>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w:t>
      </w:r>
      <w:r>
        <w:rPr>
          <w:rFonts w:hint="eastAsia" w:ascii="仿宋_GB2312" w:eastAsia="仿宋_GB2312"/>
          <w:spacing w:val="-2"/>
          <w:kern w:val="2"/>
          <w:sz w:val="32"/>
          <w:szCs w:val="32"/>
          <w:lang w:val="en-US" w:eastAsia="zh-CN" w:bidi="ar-SA"/>
        </w:rPr>
        <w:t>一般公共预算财政拨款支出81.69万元，</w:t>
      </w:r>
      <w:r>
        <w:rPr>
          <w:rFonts w:hint="eastAsia" w:ascii="仿宋" w:eastAsia="仿宋"/>
          <w:color w:val="000000"/>
          <w:sz w:val="32"/>
          <w:szCs w:val="32"/>
        </w:rPr>
        <w:t>占本年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的100</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年相比，一般公共预算财政拨款</w:t>
      </w:r>
      <w:r>
        <w:rPr>
          <w:rFonts w:hint="eastAsia" w:ascii="仿宋_GB2312" w:eastAsia="仿宋_GB2312"/>
          <w:spacing w:val="-2"/>
          <w:kern w:val="2"/>
          <w:sz w:val="32"/>
          <w:szCs w:val="32"/>
          <w:lang w:val="en-US" w:eastAsia="zh-CN" w:bidi="ar-SA"/>
        </w:rPr>
        <w:t>支出</w:t>
      </w:r>
      <w:r>
        <w:rPr>
          <w:rFonts w:hint="eastAsia" w:ascii="仿宋" w:eastAsia="仿宋"/>
          <w:color w:val="000000"/>
          <w:sz w:val="32"/>
          <w:szCs w:val="32"/>
          <w:lang w:val="en-US" w:eastAsia="zh-CN"/>
        </w:rPr>
        <w:t>增加25%。增加的主要原因是</w:t>
      </w:r>
      <w:r>
        <w:rPr>
          <w:rFonts w:hint="eastAsia" w:ascii="仿宋_GB2312" w:eastAsia="仿宋_GB2312"/>
          <w:color w:val="auto"/>
          <w:spacing w:val="-2"/>
          <w:kern w:val="2"/>
          <w:sz w:val="32"/>
          <w:szCs w:val="32"/>
          <w:lang w:val="en-US" w:eastAsia="zh-CN" w:bidi="ar-SA"/>
        </w:rPr>
        <w:t>2020年增加了公务经费和人员经费支出。</w:t>
      </w: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0288"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60288" behindDoc="0" locked="0" layoutInCell="1" allowOverlap="1">
            <wp:simplePos x="0" y="0"/>
            <wp:positionH relativeFrom="column">
              <wp:posOffset>551815</wp:posOffset>
            </wp:positionH>
            <wp:positionV relativeFrom="paragraph">
              <wp:posOffset>1623060</wp:posOffset>
            </wp:positionV>
            <wp:extent cx="4572000" cy="2108200"/>
            <wp:effectExtent l="4445" t="4445" r="14605" b="20955"/>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81.69</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lang w:eastAsia="zh-CN"/>
        </w:rPr>
        <w:t>文化体育与传媒</w:t>
      </w:r>
      <w:r>
        <w:rPr>
          <w:rFonts w:hint="eastAsia" w:ascii="仿宋" w:eastAsia="仿宋"/>
          <w:color w:val="000000"/>
          <w:sz w:val="32"/>
          <w:szCs w:val="32"/>
        </w:rPr>
        <w:t>支出</w:t>
      </w:r>
      <w:r>
        <w:rPr>
          <w:rFonts w:hint="eastAsia" w:ascii="仿宋" w:eastAsia="仿宋"/>
          <w:color w:val="000000"/>
          <w:sz w:val="32"/>
          <w:szCs w:val="32"/>
          <w:lang w:val="en-US" w:eastAsia="zh-CN"/>
        </w:rPr>
        <w:t>66</w:t>
      </w:r>
      <w:r>
        <w:rPr>
          <w:rFonts w:hint="eastAsia" w:ascii="仿宋" w:eastAsia="仿宋"/>
          <w:color w:val="000000"/>
          <w:sz w:val="32"/>
          <w:szCs w:val="32"/>
        </w:rPr>
        <w:t>万元，占</w:t>
      </w:r>
      <w:r>
        <w:rPr>
          <w:rFonts w:hint="eastAsia" w:ascii="仿宋" w:eastAsia="仿宋"/>
          <w:color w:val="000000"/>
          <w:sz w:val="32"/>
          <w:szCs w:val="32"/>
          <w:lang w:val="en-US" w:eastAsia="zh-CN"/>
        </w:rPr>
        <w:t>80.79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color w:val="000000"/>
          <w:sz w:val="32"/>
          <w:szCs w:val="32"/>
        </w:rPr>
        <w:t>支出</w:t>
      </w:r>
      <w:r>
        <w:rPr>
          <w:rFonts w:hint="eastAsia" w:ascii="仿宋" w:eastAsia="仿宋"/>
          <w:color w:val="000000"/>
          <w:sz w:val="32"/>
          <w:szCs w:val="32"/>
          <w:lang w:val="en-US" w:eastAsia="zh-CN"/>
        </w:rPr>
        <w:t>7.52</w:t>
      </w:r>
      <w:r>
        <w:rPr>
          <w:rFonts w:hint="eastAsia" w:ascii="仿宋" w:eastAsia="仿宋"/>
          <w:color w:val="000000"/>
          <w:sz w:val="32"/>
          <w:szCs w:val="32"/>
        </w:rPr>
        <w:t>万元，占</w:t>
      </w:r>
      <w:r>
        <w:rPr>
          <w:rFonts w:hint="eastAsia" w:ascii="仿宋" w:eastAsia="仿宋"/>
          <w:color w:val="000000"/>
          <w:sz w:val="32"/>
          <w:szCs w:val="32"/>
          <w:lang w:val="en-US" w:eastAsia="zh-CN"/>
        </w:rPr>
        <w:t>9.21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w:t>
      </w:r>
      <w:r>
        <w:rPr>
          <w:rFonts w:hint="eastAsia" w:ascii="仿宋" w:eastAsia="仿宋"/>
          <w:b/>
          <w:bCs/>
          <w:color w:val="000000"/>
          <w:sz w:val="32"/>
          <w:szCs w:val="32"/>
          <w:lang w:eastAsia="zh-CN"/>
        </w:rPr>
        <w:t>健康</w:t>
      </w:r>
      <w:r>
        <w:rPr>
          <w:rFonts w:hint="eastAsia" w:ascii="仿宋" w:eastAsia="仿宋"/>
          <w:b/>
          <w:bCs/>
          <w:color w:val="000000"/>
          <w:sz w:val="32"/>
          <w:szCs w:val="32"/>
        </w:rPr>
        <w:t>支出</w:t>
      </w:r>
      <w:r>
        <w:rPr>
          <w:rFonts w:hint="eastAsia" w:ascii="仿宋" w:eastAsia="仿宋"/>
          <w:color w:val="000000"/>
          <w:sz w:val="32"/>
          <w:szCs w:val="32"/>
          <w:lang w:val="en-US" w:eastAsia="zh-CN"/>
        </w:rPr>
        <w:t>3.05</w:t>
      </w:r>
      <w:r>
        <w:rPr>
          <w:rFonts w:hint="eastAsia" w:ascii="仿宋" w:eastAsia="仿宋"/>
          <w:color w:val="000000"/>
          <w:sz w:val="32"/>
          <w:szCs w:val="32"/>
        </w:rPr>
        <w:t>万元，占</w:t>
      </w:r>
      <w:r>
        <w:rPr>
          <w:rFonts w:hint="eastAsia" w:ascii="仿宋" w:eastAsia="仿宋"/>
          <w:color w:val="000000"/>
          <w:sz w:val="32"/>
          <w:szCs w:val="32"/>
          <w:lang w:val="en-US" w:eastAsia="zh-CN"/>
        </w:rPr>
        <w:t>3.72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lang w:val="en-US" w:eastAsia="zh-CN"/>
        </w:rPr>
        <w:t>5.12</w:t>
      </w:r>
      <w:r>
        <w:rPr>
          <w:rFonts w:hint="eastAsia" w:ascii="仿宋" w:eastAsia="仿宋"/>
          <w:color w:val="000000"/>
          <w:sz w:val="32"/>
          <w:szCs w:val="32"/>
        </w:rPr>
        <w:t>万元，占</w:t>
      </w:r>
      <w:r>
        <w:rPr>
          <w:rFonts w:hint="eastAsia" w:ascii="仿宋" w:eastAsia="仿宋"/>
          <w:color w:val="000000"/>
          <w:sz w:val="32"/>
          <w:szCs w:val="32"/>
          <w:lang w:val="en-US" w:eastAsia="zh-CN"/>
        </w:rPr>
        <w:t>6.27</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3" w:firstLineChars="200"/>
        <w:outlineLvl w:val="2"/>
        <w:rPr>
          <w:rFonts w:hint="eastAsia" w:ascii="仿宋" w:eastAsia="仿宋"/>
          <w:b/>
          <w:color w:val="000000"/>
          <w:sz w:val="32"/>
          <w:szCs w:val="32"/>
          <w:lang w:val="en-US" w:eastAsia="zh-CN"/>
        </w:rPr>
      </w:pPr>
      <w:bookmarkStart w:id="36" w:name="_Toc15377212"/>
      <w:bookmarkStart w:id="37" w:name="_Toc15378460"/>
      <w:bookmarkStart w:id="38" w:name="_Toc15377213"/>
      <w:bookmarkStart w:id="39" w:name="_Toc15377444"/>
      <w:r>
        <w:rPr>
          <w:rFonts w:hint="eastAsia" w:ascii="仿宋" w:eastAsia="仿宋"/>
          <w:b/>
          <w:color w:val="000000"/>
          <w:sz w:val="32"/>
          <w:szCs w:val="32"/>
        </w:rPr>
        <w:t>（三）一般公共预算财政拨款支出决算具体情况</w:t>
      </w:r>
      <w:bookmarkEnd w:id="36"/>
    </w:p>
    <w:p>
      <w:pPr>
        <w:spacing w:line="600" w:lineRule="exact"/>
        <w:outlineLvl w:val="2"/>
        <w:rPr>
          <w:rFonts w:ascii="仿宋" w:eastAsia="仿宋"/>
          <w:b w:val="0"/>
          <w:bCs/>
          <w:color w:val="FF0000"/>
          <w:sz w:val="32"/>
          <w:szCs w:val="32"/>
        </w:rPr>
      </w:pPr>
      <w:r>
        <w:rPr>
          <w:rFonts w:hint="eastAsia" w:ascii="仿宋" w:eastAsia="仿宋"/>
          <w:b w:val="0"/>
          <w:bCs/>
          <w:color w:val="000000"/>
          <w:sz w:val="32"/>
          <w:szCs w:val="32"/>
          <w:lang w:val="en-US" w:eastAsia="zh-CN"/>
        </w:rPr>
        <w:t xml:space="preserve">    </w:t>
      </w:r>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21</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w:t>
      </w:r>
      <w:r>
        <w:rPr>
          <w:rFonts w:hint="eastAsia" w:ascii="仿宋" w:eastAsia="仿宋"/>
          <w:b w:val="0"/>
          <w:bCs/>
          <w:color w:val="000000"/>
          <w:sz w:val="32"/>
          <w:szCs w:val="32"/>
          <w:lang w:val="en-US" w:eastAsia="zh-CN"/>
        </w:rPr>
        <w:t>数为81.69万元，</w:t>
      </w:r>
      <w:r>
        <w:rPr>
          <w:rFonts w:hint="eastAsia" w:ascii="仿宋" w:eastAsia="仿宋"/>
          <w:b w:val="0"/>
          <w:bCs/>
          <w:color w:val="000000"/>
          <w:sz w:val="32"/>
          <w:szCs w:val="32"/>
        </w:rPr>
        <w:t>支出决算数为</w:t>
      </w:r>
      <w:r>
        <w:rPr>
          <w:rFonts w:hint="eastAsia" w:ascii="仿宋" w:eastAsia="仿宋"/>
          <w:b w:val="0"/>
          <w:bCs/>
          <w:color w:val="000000"/>
          <w:sz w:val="32"/>
          <w:szCs w:val="32"/>
          <w:lang w:val="en-US" w:eastAsia="zh-CN"/>
        </w:rPr>
        <w:t>81.69万元</w:t>
      </w:r>
      <w:r>
        <w:rPr>
          <w:rFonts w:hint="eastAsia" w:ascii="仿宋" w:eastAsia="仿宋"/>
          <w:b w:val="0"/>
          <w:bCs/>
          <w:color w:val="000000"/>
          <w:sz w:val="32"/>
          <w:szCs w:val="32"/>
        </w:rPr>
        <w:t>，完</w:t>
      </w:r>
      <w:r>
        <w:rPr>
          <w:rStyle w:val="15"/>
          <w:rFonts w:hint="eastAsia" w:ascii="仿宋" w:eastAsia="仿宋"/>
          <w:b w:val="0"/>
          <w:bCs/>
          <w:color w:val="000000"/>
          <w:sz w:val="32"/>
          <w:szCs w:val="32"/>
        </w:rPr>
        <w:t>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。其中：</w:t>
      </w:r>
      <w:bookmarkEnd w:id="37"/>
      <w:bookmarkEnd w:id="38"/>
      <w:bookmarkEnd w:id="39"/>
    </w:p>
    <w:p>
      <w:pPr>
        <w:spacing w:line="600" w:lineRule="exact"/>
        <w:ind w:left="0" w:firstLine="643" w:firstLineChars="200"/>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1.</w:t>
      </w:r>
      <w:r>
        <w:rPr>
          <w:rStyle w:val="15"/>
          <w:rFonts w:hint="eastAsia" w:ascii="仿宋" w:eastAsia="仿宋"/>
          <w:bCs/>
          <w:color w:val="000000"/>
          <w:sz w:val="32"/>
          <w:szCs w:val="32"/>
          <w:lang w:eastAsia="zh-CN"/>
        </w:rPr>
        <w:t>文化体育与传媒</w:t>
      </w:r>
      <w:r>
        <w:rPr>
          <w:rStyle w:val="15"/>
          <w:rFonts w:hint="eastAsia" w:ascii="仿宋" w:eastAsia="仿宋"/>
          <w:bCs/>
          <w:color w:val="000000"/>
          <w:sz w:val="32"/>
          <w:szCs w:val="32"/>
          <w:lang w:val="en-US" w:eastAsia="zh-CN"/>
        </w:rPr>
        <w:t>207</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文化01（款）其他文化支出99</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66</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5"/>
          <w:rFonts w:ascii="仿宋" w:eastAsia="仿宋"/>
          <w:bCs/>
          <w:color w:val="000000"/>
          <w:sz w:val="32"/>
          <w:szCs w:val="32"/>
        </w:rPr>
        <w:t>2.</w:t>
      </w:r>
      <w:r>
        <w:rPr>
          <w:rStyle w:val="15"/>
          <w:rFonts w:hint="eastAsia" w:ascii="仿宋" w:eastAsia="仿宋"/>
          <w:bCs/>
          <w:color w:val="000000"/>
          <w:sz w:val="32"/>
          <w:szCs w:val="32"/>
        </w:rPr>
        <w:t>社会保障和就业</w:t>
      </w:r>
      <w:r>
        <w:rPr>
          <w:rStyle w:val="15"/>
          <w:rFonts w:hint="eastAsia" w:ascii="仿宋" w:eastAsia="仿宋"/>
          <w:bCs/>
          <w:color w:val="000000"/>
          <w:sz w:val="32"/>
          <w:szCs w:val="32"/>
          <w:lang w:val="en-US" w:eastAsia="zh-CN"/>
        </w:rPr>
        <w:t>208</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行政事业单位离退休05</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机关事业单位基本养老保险缴费支出05</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5.01</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lang w:val="en-US" w:eastAsia="zh-CN"/>
        </w:rPr>
        <w:t>3.</w:t>
      </w:r>
      <w:r>
        <w:rPr>
          <w:rStyle w:val="15"/>
          <w:rFonts w:hint="eastAsia" w:ascii="仿宋" w:eastAsia="仿宋"/>
          <w:bCs/>
          <w:color w:val="000000"/>
          <w:sz w:val="32"/>
          <w:szCs w:val="32"/>
        </w:rPr>
        <w:t>社会保障和就业</w:t>
      </w:r>
      <w:r>
        <w:rPr>
          <w:rStyle w:val="15"/>
          <w:rFonts w:hint="eastAsia" w:ascii="仿宋" w:eastAsia="仿宋"/>
          <w:bCs/>
          <w:color w:val="000000"/>
          <w:sz w:val="32"/>
          <w:szCs w:val="32"/>
          <w:lang w:val="en-US" w:eastAsia="zh-CN"/>
        </w:rPr>
        <w:t>208</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行政事业单位离退休05</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机关事业单位基本职业年金缴费支出06</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2.51</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lang w:val="en-US" w:eastAsia="zh-CN"/>
        </w:rPr>
        <w:t>4.</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lang w:val="en-US" w:eastAsia="zh-CN"/>
        </w:rPr>
        <w:t>210</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行政事业单位医疗11</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事业单位医疗02</w:t>
      </w:r>
      <w:r>
        <w:rPr>
          <w:rStyle w:val="15"/>
          <w:rFonts w:hint="eastAsia" w:ascii="仿宋" w:eastAsia="仿宋"/>
          <w:bCs/>
          <w:color w:val="000000"/>
          <w:sz w:val="32"/>
          <w:szCs w:val="32"/>
        </w:rPr>
        <w:t>（项）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2.21</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Fonts w:hint="default" w:ascii="仿宋_GB2312" w:eastAsia="仿宋_GB2312"/>
          <w:sz w:val="32"/>
          <w:szCs w:val="32"/>
          <w:lang w:val="en-US" w:eastAsia="zh-CN"/>
        </w:rPr>
      </w:pPr>
      <w:r>
        <w:rPr>
          <w:rStyle w:val="15"/>
          <w:rFonts w:hint="eastAsia" w:ascii="仿宋" w:eastAsia="仿宋"/>
          <w:bCs/>
          <w:color w:val="auto"/>
          <w:sz w:val="32"/>
          <w:szCs w:val="32"/>
          <w:lang w:val="en-US" w:eastAsia="zh-CN"/>
        </w:rPr>
        <w:t>5.</w:t>
      </w:r>
      <w:r>
        <w:rPr>
          <w:rStyle w:val="15"/>
          <w:rFonts w:hint="eastAsia" w:ascii="仿宋" w:eastAsia="仿宋"/>
          <w:bCs/>
          <w:color w:val="auto"/>
          <w:sz w:val="32"/>
          <w:szCs w:val="32"/>
          <w:lang w:eastAsia="zh-CN"/>
        </w:rPr>
        <w:t>卫生健康支出</w:t>
      </w:r>
      <w:r>
        <w:rPr>
          <w:rStyle w:val="15"/>
          <w:rFonts w:hint="eastAsia" w:ascii="仿宋" w:eastAsia="仿宋"/>
          <w:bCs/>
          <w:color w:val="auto"/>
          <w:sz w:val="32"/>
          <w:szCs w:val="32"/>
          <w:lang w:val="en-US" w:eastAsia="zh-CN"/>
        </w:rPr>
        <w:t>210</w:t>
      </w:r>
      <w:r>
        <w:rPr>
          <w:rStyle w:val="15"/>
          <w:rFonts w:hint="eastAsia" w:ascii="仿宋" w:eastAsia="仿宋"/>
          <w:bCs/>
          <w:color w:val="auto"/>
          <w:sz w:val="32"/>
          <w:szCs w:val="32"/>
        </w:rPr>
        <w:t>（类）</w:t>
      </w:r>
      <w:r>
        <w:rPr>
          <w:rStyle w:val="15"/>
          <w:rFonts w:hint="eastAsia" w:ascii="仿宋" w:eastAsia="仿宋"/>
          <w:bCs/>
          <w:color w:val="auto"/>
          <w:sz w:val="32"/>
          <w:szCs w:val="32"/>
          <w:lang w:val="en-US" w:eastAsia="zh-CN"/>
        </w:rPr>
        <w:t>行政事业单位医疗11</w:t>
      </w:r>
      <w:r>
        <w:rPr>
          <w:rStyle w:val="15"/>
          <w:rFonts w:hint="eastAsia" w:ascii="仿宋" w:eastAsia="仿宋"/>
          <w:bCs/>
          <w:color w:val="auto"/>
          <w:sz w:val="32"/>
          <w:szCs w:val="32"/>
        </w:rPr>
        <w:t>（款）</w:t>
      </w:r>
      <w:r>
        <w:rPr>
          <w:rFonts w:hint="eastAsia" w:ascii="仿宋_GB2312" w:eastAsia="仿宋_GB2312"/>
          <w:sz w:val="32"/>
          <w:szCs w:val="32"/>
          <w:lang w:eastAsia="zh-CN"/>
        </w:rPr>
        <w:t>其他行政事业单位医疗支出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w:t>
      </w:r>
      <w:r>
        <w:rPr>
          <w:rFonts w:hint="eastAsia" w:ascii="仿宋_GB2312" w:eastAsia="仿宋_GB2312"/>
          <w:color w:val="000000"/>
          <w:sz w:val="32"/>
          <w:szCs w:val="32"/>
          <w:lang w:eastAsia="zh-CN"/>
        </w:rPr>
        <w:t>：</w:t>
      </w:r>
      <w:r>
        <w:rPr>
          <w:rFonts w:hint="eastAsia"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年决算数为</w:t>
      </w:r>
      <w:r>
        <w:rPr>
          <w:rFonts w:hint="eastAsia" w:ascii="仿宋_GB2312" w:eastAsia="仿宋_GB2312"/>
          <w:sz w:val="32"/>
          <w:szCs w:val="32"/>
          <w:lang w:val="en-US" w:eastAsia="zh-CN"/>
        </w:rPr>
        <w:t>0.84万元。</w:t>
      </w:r>
    </w:p>
    <w:p>
      <w:pPr>
        <w:spacing w:line="600" w:lineRule="exact"/>
        <w:ind w:firstLine="643" w:firstLineChars="200"/>
        <w:rPr>
          <w:rStyle w:val="15"/>
          <w:rFonts w:ascii="仿宋" w:eastAsia="仿宋"/>
          <w:bCs/>
          <w:color w:val="000000"/>
          <w:sz w:val="32"/>
          <w:szCs w:val="32"/>
          <w:lang w:val="en-US" w:eastAsia="zh-CN"/>
        </w:rPr>
      </w:pPr>
      <w:bookmarkStart w:id="40" w:name="_Toc15396608"/>
      <w:bookmarkStart w:id="41" w:name="_Toc15377214"/>
      <w:r>
        <w:rPr>
          <w:rStyle w:val="15"/>
          <w:rFonts w:hint="eastAsia" w:ascii="仿宋" w:eastAsia="仿宋"/>
          <w:bCs/>
          <w:color w:val="000000"/>
          <w:sz w:val="32"/>
          <w:szCs w:val="32"/>
          <w:lang w:val="en-US" w:eastAsia="zh-CN"/>
        </w:rPr>
        <w:t>6.住房保障221（类）住房改革支出02（款）住房公积金01（项）：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5.12</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0"/>
      <w:bookmarkEnd w:id="41"/>
      <w:r>
        <w:rPr>
          <w:rStyle w:val="18"/>
          <w:rFonts w:ascii="黑体" w:eastAsia="黑体"/>
          <w:b w:val="0"/>
        </w:rPr>
        <w:tab/>
      </w:r>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81.69</w:t>
      </w:r>
      <w:r>
        <w:rPr>
          <w:rFonts w:hint="eastAsia" w:ascii="仿宋" w:eastAsia="仿宋"/>
          <w:color w:val="000000"/>
          <w:sz w:val="32"/>
          <w:szCs w:val="32"/>
        </w:rPr>
        <w:t>万元，其中：人员经费</w:t>
      </w:r>
      <w:r>
        <w:rPr>
          <w:rFonts w:hint="eastAsia" w:ascii="仿宋" w:eastAsia="仿宋"/>
          <w:color w:val="000000"/>
          <w:sz w:val="32"/>
          <w:szCs w:val="32"/>
          <w:lang w:val="en-US" w:eastAsia="zh-CN"/>
        </w:rPr>
        <w:t>65.1</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14.47万元</w:t>
      </w:r>
      <w:r>
        <w:rPr>
          <w:rFonts w:hint="eastAsia" w:ascii="仿宋" w:eastAsia="仿宋"/>
          <w:color w:val="000000"/>
          <w:sz w:val="32"/>
          <w:szCs w:val="32"/>
        </w:rPr>
        <w:t>、津贴补贴</w:t>
      </w:r>
      <w:r>
        <w:rPr>
          <w:rFonts w:hint="eastAsia" w:ascii="仿宋" w:eastAsia="仿宋"/>
          <w:color w:val="000000"/>
          <w:sz w:val="32"/>
          <w:szCs w:val="32"/>
          <w:lang w:val="en-US" w:eastAsia="zh-CN"/>
        </w:rPr>
        <w:t>5.70万元</w:t>
      </w:r>
      <w:r>
        <w:rPr>
          <w:rFonts w:hint="eastAsia" w:ascii="仿宋" w:eastAsia="仿宋"/>
          <w:color w:val="000000"/>
          <w:sz w:val="32"/>
          <w:szCs w:val="32"/>
        </w:rPr>
        <w:t>、奖金</w:t>
      </w:r>
      <w:r>
        <w:rPr>
          <w:rFonts w:hint="eastAsia" w:ascii="仿宋" w:eastAsia="仿宋"/>
          <w:color w:val="000000"/>
          <w:sz w:val="32"/>
          <w:szCs w:val="32"/>
          <w:lang w:val="en-US" w:eastAsia="zh-CN"/>
        </w:rPr>
        <w:t>1.07万元</w:t>
      </w:r>
      <w:r>
        <w:rPr>
          <w:rFonts w:hint="eastAsia" w:ascii="仿宋" w:eastAsia="仿宋"/>
          <w:color w:val="000000"/>
          <w:sz w:val="32"/>
          <w:szCs w:val="32"/>
        </w:rPr>
        <w:t>、</w:t>
      </w:r>
      <w:r>
        <w:rPr>
          <w:rFonts w:hint="eastAsia" w:ascii="仿宋" w:eastAsia="仿宋"/>
          <w:color w:val="000000"/>
          <w:sz w:val="32"/>
          <w:szCs w:val="32"/>
          <w:lang w:eastAsia="zh-CN"/>
        </w:rPr>
        <w:t>绩效工资</w:t>
      </w:r>
      <w:r>
        <w:rPr>
          <w:rFonts w:hint="eastAsia" w:ascii="仿宋" w:eastAsia="仿宋"/>
          <w:color w:val="000000"/>
          <w:sz w:val="32"/>
          <w:szCs w:val="32"/>
          <w:lang w:val="en-US" w:eastAsia="zh-CN"/>
        </w:rPr>
        <w:t>11.44万元、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5.01万元</w:t>
      </w:r>
      <w:r>
        <w:rPr>
          <w:rFonts w:hint="eastAsia" w:ascii="仿宋" w:eastAsia="仿宋"/>
          <w:color w:val="000000"/>
          <w:sz w:val="32"/>
          <w:szCs w:val="32"/>
        </w:rPr>
        <w:t>、职业年金缴费</w:t>
      </w:r>
      <w:r>
        <w:rPr>
          <w:rFonts w:hint="eastAsia" w:ascii="仿宋" w:eastAsia="仿宋"/>
          <w:color w:val="000000"/>
          <w:sz w:val="32"/>
          <w:szCs w:val="32"/>
          <w:lang w:val="en-US" w:eastAsia="zh-CN"/>
        </w:rPr>
        <w:t>2.51万元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职工基本医疗保险缴费2.21万元、公务员医疗补助缴费0.84万元、</w:t>
      </w:r>
      <w:r>
        <w:rPr>
          <w:rFonts w:hint="eastAsia" w:ascii="仿宋" w:eastAsia="仿宋"/>
          <w:color w:val="000000"/>
          <w:sz w:val="32"/>
          <w:szCs w:val="32"/>
        </w:rPr>
        <w:t>其他社会保障缴费</w:t>
      </w:r>
      <w:r>
        <w:rPr>
          <w:rFonts w:hint="eastAsia" w:ascii="仿宋" w:eastAsia="仿宋"/>
          <w:color w:val="000000"/>
          <w:sz w:val="32"/>
          <w:szCs w:val="32"/>
          <w:lang w:val="en-US" w:eastAsia="zh-CN"/>
        </w:rPr>
        <w:t>0.57万元</w:t>
      </w:r>
      <w:r>
        <w:rPr>
          <w:rFonts w:hint="eastAsia" w:ascii="仿宋" w:eastAsia="仿宋"/>
          <w:color w:val="000000"/>
          <w:sz w:val="32"/>
          <w:szCs w:val="32"/>
        </w:rPr>
        <w:t>、住房公积金</w:t>
      </w:r>
      <w:r>
        <w:rPr>
          <w:rFonts w:hint="eastAsia" w:ascii="仿宋" w:eastAsia="仿宋"/>
          <w:color w:val="000000"/>
          <w:sz w:val="32"/>
          <w:szCs w:val="32"/>
          <w:lang w:val="en-US" w:eastAsia="zh-CN"/>
        </w:rPr>
        <w:t>5.12万元</w:t>
      </w:r>
      <w:r>
        <w:rPr>
          <w:rFonts w:hint="eastAsia" w:ascii="仿宋" w:eastAsia="仿宋"/>
          <w:color w:val="000000"/>
          <w:sz w:val="32"/>
          <w:szCs w:val="32"/>
        </w:rPr>
        <w:t>、</w:t>
      </w:r>
      <w:r>
        <w:rPr>
          <w:rFonts w:hint="eastAsia" w:ascii="仿宋" w:eastAsia="仿宋"/>
          <w:color w:val="000000"/>
          <w:sz w:val="32"/>
          <w:szCs w:val="32"/>
          <w:lang w:eastAsia="zh-CN"/>
        </w:rPr>
        <w:t>退休职工生活补助</w:t>
      </w:r>
      <w:r>
        <w:rPr>
          <w:rFonts w:hint="eastAsia" w:ascii="仿宋" w:eastAsia="仿宋"/>
          <w:color w:val="000000"/>
          <w:sz w:val="32"/>
          <w:szCs w:val="32"/>
          <w:lang w:val="en-US" w:eastAsia="zh-CN"/>
        </w:rPr>
        <w:t>5.28万元、奖励金10.88万元</w:t>
      </w:r>
      <w:r>
        <w:rPr>
          <w:rFonts w:hint="eastAsia" w:ascii="仿宋" w:eastAsia="仿宋"/>
          <w:color w:val="000000"/>
          <w:sz w:val="32"/>
          <w:szCs w:val="32"/>
        </w:rPr>
        <w:t>。</w:t>
      </w:r>
    </w:p>
    <w:p>
      <w:pPr>
        <w:spacing w:line="600" w:lineRule="exact"/>
        <w:ind w:firstLine="645"/>
        <w:rPr>
          <w:rFonts w:ascii="仿宋" w:eastAsia="仿宋"/>
          <w:color w:val="000000"/>
          <w:sz w:val="32"/>
          <w:szCs w:val="32"/>
        </w:rPr>
      </w:pPr>
      <w:r>
        <w:rPr>
          <w:rFonts w:hint="eastAsia" w:ascii="仿宋" w:eastAsia="仿宋"/>
          <w:color w:val="000000"/>
          <w:sz w:val="32"/>
          <w:szCs w:val="32"/>
        </w:rPr>
        <w:t>公用经费</w:t>
      </w:r>
      <w:r>
        <w:rPr>
          <w:rFonts w:hint="eastAsia" w:ascii="仿宋" w:eastAsia="仿宋"/>
          <w:color w:val="000000"/>
          <w:sz w:val="32"/>
          <w:szCs w:val="32"/>
          <w:lang w:val="en-US" w:eastAsia="zh-CN"/>
        </w:rPr>
        <w:t>16.59</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2.19万元</w:t>
      </w:r>
      <w:r>
        <w:rPr>
          <w:rFonts w:hint="eastAsia" w:ascii="仿宋" w:eastAsia="仿宋"/>
          <w:color w:val="000000"/>
          <w:sz w:val="32"/>
          <w:szCs w:val="32"/>
        </w:rPr>
        <w:t>、</w:t>
      </w:r>
      <w:r>
        <w:rPr>
          <w:rFonts w:hint="eastAsia" w:ascii="仿宋" w:eastAsia="仿宋"/>
          <w:color w:val="000000"/>
          <w:sz w:val="32"/>
          <w:szCs w:val="32"/>
          <w:lang w:eastAsia="zh-CN"/>
        </w:rPr>
        <w:t>印刷费</w:t>
      </w:r>
      <w:r>
        <w:rPr>
          <w:rFonts w:hint="eastAsia" w:ascii="仿宋" w:eastAsia="仿宋"/>
          <w:color w:val="000000"/>
          <w:sz w:val="32"/>
          <w:szCs w:val="32"/>
          <w:lang w:val="en-US" w:eastAsia="zh-CN"/>
        </w:rPr>
        <w:t>1万元</w:t>
      </w:r>
      <w:r>
        <w:rPr>
          <w:rFonts w:hint="eastAsia" w:ascii="仿宋" w:eastAsia="仿宋"/>
          <w:color w:val="000000"/>
          <w:sz w:val="32"/>
          <w:szCs w:val="32"/>
        </w:rPr>
        <w:t>、邮电费</w:t>
      </w:r>
      <w:r>
        <w:rPr>
          <w:rFonts w:hint="eastAsia" w:ascii="仿宋" w:eastAsia="仿宋"/>
          <w:color w:val="000000"/>
          <w:sz w:val="32"/>
          <w:szCs w:val="32"/>
          <w:lang w:val="en-US" w:eastAsia="zh-CN"/>
        </w:rPr>
        <w:t>0.9万元</w:t>
      </w:r>
      <w:r>
        <w:rPr>
          <w:rFonts w:hint="eastAsia" w:ascii="仿宋" w:eastAsia="仿宋"/>
          <w:color w:val="000000"/>
          <w:sz w:val="32"/>
          <w:szCs w:val="32"/>
        </w:rPr>
        <w:t>、差旅费</w:t>
      </w:r>
      <w:r>
        <w:rPr>
          <w:rFonts w:hint="eastAsia" w:ascii="仿宋" w:eastAsia="仿宋"/>
          <w:color w:val="000000"/>
          <w:sz w:val="32"/>
          <w:szCs w:val="32"/>
          <w:lang w:val="en-US" w:eastAsia="zh-CN"/>
        </w:rPr>
        <w:t>2万元</w:t>
      </w:r>
      <w:r>
        <w:rPr>
          <w:rFonts w:hint="eastAsia" w:ascii="仿宋" w:eastAsia="仿宋"/>
          <w:color w:val="000000"/>
          <w:sz w:val="32"/>
          <w:szCs w:val="32"/>
        </w:rPr>
        <w:t>、</w:t>
      </w:r>
      <w:r>
        <w:rPr>
          <w:rFonts w:hint="eastAsia" w:ascii="仿宋" w:eastAsia="仿宋"/>
          <w:color w:val="000000"/>
          <w:sz w:val="32"/>
          <w:szCs w:val="32"/>
          <w:lang w:eastAsia="zh-CN"/>
        </w:rPr>
        <w:t>建党百年系列文艺活动经</w:t>
      </w:r>
      <w:r>
        <w:rPr>
          <w:rFonts w:hint="eastAsia" w:ascii="仿宋" w:eastAsia="仿宋"/>
          <w:color w:val="000000"/>
          <w:sz w:val="32"/>
          <w:szCs w:val="32"/>
        </w:rPr>
        <w:t>费</w:t>
      </w:r>
      <w:r>
        <w:rPr>
          <w:rFonts w:hint="eastAsia" w:ascii="仿宋" w:eastAsia="仿宋"/>
          <w:color w:val="000000"/>
          <w:sz w:val="32"/>
          <w:szCs w:val="32"/>
          <w:lang w:eastAsia="zh-CN"/>
        </w:rPr>
        <w:t>（项目）</w:t>
      </w:r>
      <w:r>
        <w:rPr>
          <w:rFonts w:hint="eastAsia" w:ascii="仿宋" w:eastAsia="仿宋"/>
          <w:color w:val="000000"/>
          <w:sz w:val="32"/>
          <w:szCs w:val="32"/>
          <w:lang w:val="en-US" w:eastAsia="zh-CN"/>
        </w:rPr>
        <w:t>8万元</w:t>
      </w:r>
      <w:r>
        <w:rPr>
          <w:rFonts w:hint="eastAsia" w:ascii="仿宋" w:eastAsia="仿宋"/>
          <w:color w:val="000000"/>
          <w:sz w:val="32"/>
          <w:szCs w:val="32"/>
        </w:rPr>
        <w:t>、</w:t>
      </w:r>
      <w:r>
        <w:rPr>
          <w:rFonts w:hint="eastAsia" w:ascii="仿宋" w:eastAsia="仿宋"/>
          <w:color w:val="000000"/>
          <w:sz w:val="32"/>
          <w:szCs w:val="32"/>
          <w:lang w:val="en-US" w:eastAsia="zh-CN"/>
        </w:rPr>
        <w:t>劳务费0.5万元、其他交通费用2万元</w:t>
      </w:r>
      <w:r>
        <w:rPr>
          <w:rFonts w:hint="eastAsia" w:ascii="仿宋" w:eastAsia="仿宋"/>
          <w:color w:val="000000"/>
          <w:sz w:val="32"/>
          <w:szCs w:val="32"/>
        </w:rPr>
        <w:t>。</w:t>
      </w:r>
    </w:p>
    <w:p>
      <w:pPr>
        <w:spacing w:line="600" w:lineRule="exact"/>
        <w:ind w:firstLine="640" w:firstLineChars="200"/>
        <w:outlineLvl w:val="1"/>
        <w:rPr>
          <w:rStyle w:val="18"/>
          <w:rFonts w:ascii="黑体" w:eastAsia="黑体"/>
          <w:b w:val="0"/>
        </w:rPr>
      </w:pPr>
      <w:bookmarkStart w:id="42" w:name="_Toc15396609"/>
      <w:bookmarkStart w:id="43" w:name="_Toc15377215"/>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年“三公”经费财政拨款支出决算</w:t>
      </w:r>
      <w:r>
        <w:rPr>
          <w:rFonts w:hint="eastAsia" w:ascii="仿宋" w:eastAsia="仿宋"/>
          <w:color w:val="000000"/>
          <w:sz w:val="32"/>
          <w:szCs w:val="32"/>
          <w:lang w:eastAsia="zh-CN"/>
        </w:rPr>
        <w:t>中，无因公出国（境）费支出；无公务用车购置及运行维护费支出</w:t>
      </w:r>
      <w:r>
        <w:rPr>
          <w:rFonts w:hint="eastAsia" w:ascii="仿宋" w:eastAsia="仿宋"/>
          <w:color w:val="000000"/>
          <w:sz w:val="32"/>
          <w:szCs w:val="32"/>
          <w:lang w:val="en-US" w:eastAsia="zh-CN"/>
        </w:rPr>
        <w:t>；无公务接待费支出</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0万元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val="en-US" w:eastAsia="zh-CN"/>
        </w:rPr>
        <w:t>0</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val="en-US" w:eastAsia="zh-CN"/>
        </w:rPr>
        <w:t>0</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万元。具体情况如下：</w:t>
      </w:r>
    </w:p>
    <w:p>
      <w:pPr>
        <w:numPr>
          <w:ilvl w:val="0"/>
          <w:numId w:val="1"/>
        </w:numPr>
        <w:spacing w:line="600" w:lineRule="exact"/>
        <w:ind w:left="-10" w:leftChars="0" w:firstLine="640" w:firstLineChars="0"/>
        <w:rPr>
          <w:rFonts w:hint="eastAsia" w:ascii="仿宋_GB2312" w:eastAsia="仿宋_GB2312" w:cs="仿宋"/>
          <w:color w:val="000000"/>
          <w:sz w:val="32"/>
          <w:szCs w:val="32"/>
          <w:lang w:val="en-US" w:eastAsia="zh-CN"/>
        </w:rPr>
      </w:pPr>
      <w:r>
        <w:rPr>
          <w:rFonts w:hint="eastAsia" w:ascii="仿宋_GB2312" w:eastAsia="仿宋_GB2312"/>
          <w:b/>
          <w:color w:val="000000"/>
          <w:sz w:val="32"/>
          <w:szCs w:val="32"/>
        </w:rPr>
        <w:t>因公出国（境）经费支出</w:t>
      </w:r>
    </w:p>
    <w:p>
      <w:pPr>
        <w:pStyle w:val="2"/>
        <w:numPr>
          <w:ilvl w:val="0"/>
          <w:numId w:val="0"/>
        </w:numPr>
        <w:ind w:firstLine="960" w:firstLineChars="300"/>
        <w:rPr>
          <w:rFonts w:hint="eastAsia" w:eastAsia="仿宋"/>
          <w:lang w:eastAsia="zh-CN"/>
        </w:rPr>
      </w:pPr>
      <w:r>
        <w:rPr>
          <w:rFonts w:hint="eastAsia" w:ascii="仿宋" w:eastAsia="仿宋"/>
          <w:color w:val="000000"/>
          <w:sz w:val="32"/>
          <w:szCs w:val="32"/>
          <w:lang w:val="en-US" w:eastAsia="zh-CN"/>
        </w:rPr>
        <w:t>2021无</w:t>
      </w:r>
      <w:r>
        <w:rPr>
          <w:rFonts w:hint="eastAsia" w:ascii="仿宋" w:eastAsia="仿宋"/>
          <w:color w:val="000000"/>
          <w:sz w:val="32"/>
          <w:szCs w:val="32"/>
        </w:rPr>
        <w:t>因公出国（境）费支出</w:t>
      </w:r>
      <w:r>
        <w:rPr>
          <w:rFonts w:hint="eastAsia" w:ascii="仿宋" w:eastAsia="仿宋"/>
          <w:color w:val="000000"/>
          <w:sz w:val="32"/>
          <w:szCs w:val="32"/>
          <w:lang w:eastAsia="zh-CN"/>
        </w:rPr>
        <w:t>。</w:t>
      </w:r>
    </w:p>
    <w:p>
      <w:pPr>
        <w:numPr>
          <w:ilvl w:val="0"/>
          <w:numId w:val="1"/>
        </w:numPr>
        <w:spacing w:line="600" w:lineRule="exact"/>
        <w:ind w:left="-10" w:leftChars="0" w:firstLine="640" w:firstLineChars="0"/>
        <w:rPr>
          <w:rFonts w:hint="eastAsia" w:ascii="仿宋_GB2312" w:eastAsia="仿宋_GB2312"/>
          <w:b/>
          <w:color w:val="000000"/>
          <w:sz w:val="32"/>
          <w:szCs w:val="32"/>
        </w:rPr>
      </w:pP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shd w:val="clear" w:color="auto" w:fill="auto"/>
        </w:rPr>
        <w:t>购置</w:t>
      </w:r>
      <w:r>
        <w:rPr>
          <w:rFonts w:hint="eastAsia" w:ascii="仿宋_GB2312" w:eastAsia="仿宋_GB2312"/>
          <w:b/>
          <w:color w:val="000000"/>
          <w:sz w:val="32"/>
          <w:szCs w:val="32"/>
        </w:rPr>
        <w:t>及运行维护费支出</w:t>
      </w:r>
    </w:p>
    <w:p>
      <w:pPr>
        <w:pStyle w:val="2"/>
        <w:numPr>
          <w:ilvl w:val="0"/>
          <w:numId w:val="0"/>
        </w:numPr>
        <w:ind w:firstLine="960" w:firstLineChars="300"/>
        <w:rPr>
          <w:rFonts w:hint="default" w:ascii="仿宋" w:eastAsia="仿宋" w:cs="Times New Roman"/>
          <w:color w:val="000000"/>
          <w:sz w:val="32"/>
          <w:szCs w:val="32"/>
          <w:lang w:val="en-US" w:eastAsia="zh-CN"/>
        </w:rPr>
      </w:pPr>
      <w:r>
        <w:rPr>
          <w:rFonts w:hint="eastAsia" w:ascii="仿宋" w:eastAsia="仿宋" w:cs="Times New Roman"/>
          <w:color w:val="000000"/>
          <w:sz w:val="32"/>
          <w:szCs w:val="32"/>
          <w:lang w:val="en-US" w:eastAsia="zh-CN"/>
        </w:rPr>
        <w:t>2021无公务用车购置及运行维护费支出。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b/>
          <w:color w:val="000000"/>
          <w:sz w:val="32"/>
          <w:szCs w:val="32"/>
        </w:rPr>
        <w:t>公务用车运行维护费支出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numPr>
          <w:ilvl w:val="0"/>
          <w:numId w:val="1"/>
        </w:numPr>
        <w:spacing w:line="600" w:lineRule="exact"/>
        <w:ind w:left="-10" w:leftChars="0" w:firstLine="640" w:firstLineChars="0"/>
        <w:rPr>
          <w:rFonts w:hint="eastAsia" w:ascii="仿宋_GB2312" w:eastAsia="仿宋_GB2312"/>
          <w:b/>
          <w:color w:val="000000"/>
          <w:sz w:val="32"/>
          <w:szCs w:val="32"/>
        </w:rPr>
      </w:pPr>
      <w:r>
        <w:rPr>
          <w:rFonts w:hint="eastAsia" w:ascii="仿宋_GB2312" w:eastAsia="仿宋_GB2312"/>
          <w:b/>
          <w:color w:val="000000"/>
          <w:sz w:val="32"/>
          <w:szCs w:val="32"/>
        </w:rPr>
        <w:t>公务接待费支出</w:t>
      </w:r>
    </w:p>
    <w:p>
      <w:pPr>
        <w:pStyle w:val="2"/>
        <w:rPr>
          <w:rFonts w:hint="eastAsia" w:ascii="仿宋" w:hAnsi="仿宋" w:eastAsia="仿宋" w:cs="仿宋"/>
          <w:b w:val="0"/>
          <w:bCs w:val="0"/>
          <w:sz w:val="32"/>
          <w:szCs w:val="32"/>
          <w:lang w:val="en-US" w:eastAsia="zh-CN"/>
        </w:rPr>
      </w:pPr>
      <w:r>
        <w:rPr>
          <w:rFonts w:hint="eastAsia"/>
          <w:b w:val="0"/>
          <w:bCs/>
          <w:lang w:val="en-US" w:eastAsia="zh-CN"/>
        </w:rPr>
        <w:t xml:space="preserve">     </w:t>
      </w:r>
      <w:r>
        <w:rPr>
          <w:rFonts w:hint="eastAsia" w:ascii="仿宋" w:hAnsi="仿宋" w:eastAsia="仿宋" w:cs="仿宋"/>
          <w:b w:val="0"/>
          <w:bCs w:val="0"/>
          <w:sz w:val="32"/>
          <w:szCs w:val="32"/>
          <w:lang w:val="en-US" w:eastAsia="zh-CN"/>
        </w:rPr>
        <w:t xml:space="preserve"> 2021年公务接待费0万元。</w:t>
      </w:r>
    </w:p>
    <w:p>
      <w:pPr>
        <w:spacing w:line="600" w:lineRule="exact"/>
        <w:ind w:firstLine="640"/>
        <w:outlineLvl w:val="1"/>
        <w:rPr>
          <w:rStyle w:val="18"/>
          <w:rFonts w:ascii="黑体" w:eastAsia="黑体"/>
        </w:rPr>
      </w:pPr>
      <w:bookmarkStart w:id="46" w:name="_Toc15396610"/>
      <w:bookmarkStart w:id="47" w:name="_Toc15377218"/>
      <w:r>
        <w:rPr>
          <w:rFonts w:hint="eastAsia" w:ascii="黑体" w:eastAsia="黑体"/>
          <w:color w:val="000000"/>
          <w:sz w:val="32"/>
          <w:szCs w:val="32"/>
        </w:rPr>
        <w:t>八、</w:t>
      </w:r>
      <w:r>
        <w:rPr>
          <w:rStyle w:val="18"/>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left="0" w:firstLine="640"/>
        <w:outlineLvl w:val="1"/>
        <w:rPr>
          <w:rStyle w:val="18"/>
          <w:rFonts w:ascii="黑体" w:eastAsia="黑体"/>
          <w:b w:val="0"/>
        </w:rPr>
      </w:pPr>
      <w:bookmarkStart w:id="48" w:name="_Toc15377219"/>
      <w:bookmarkStart w:id="49" w:name="_Toc15396611"/>
      <w:r>
        <w:rPr>
          <w:rStyle w:val="18"/>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3"/>
        <w:numPr>
          <w:ilvl w:val="0"/>
          <w:numId w:val="0"/>
        </w:numPr>
        <w:spacing w:line="580" w:lineRule="exact"/>
        <w:ind w:firstLine="640" w:firstLineChars="200"/>
        <w:rPr>
          <w:rStyle w:val="18"/>
          <w:rFonts w:ascii="黑体" w:eastAsia="黑体"/>
          <w:b w:val="0"/>
        </w:rPr>
      </w:pPr>
      <w:r>
        <w:rPr>
          <w:rStyle w:val="18"/>
          <w:rFonts w:hint="eastAsia" w:ascii="黑体" w:eastAsia="黑体"/>
          <w:b w:val="0"/>
        </w:rPr>
        <w:t>十、预算绩效情况说明</w:t>
      </w:r>
    </w:p>
    <w:p>
      <w:pPr>
        <w:spacing w:line="600" w:lineRule="atLeast"/>
        <w:ind w:firstLine="643" w:firstLineChars="200"/>
        <w:rPr>
          <w:rFonts w:hint="eastAsia" w:ascii="仿宋" w:eastAsia="仿宋" w:cs="楷体_GB2312"/>
          <w:b/>
          <w:bCs/>
          <w:sz w:val="32"/>
          <w:szCs w:val="32"/>
        </w:rPr>
      </w:pPr>
      <w:r>
        <w:rPr>
          <w:rFonts w:hint="eastAsia" w:ascii="仿宋" w:eastAsia="仿宋" w:cs="楷体_GB2312"/>
          <w:b/>
          <w:bCs/>
          <w:sz w:val="32"/>
          <w:szCs w:val="32"/>
          <w:lang w:eastAsia="zh-CN"/>
        </w:rPr>
        <w:t>（一）</w:t>
      </w:r>
      <w:r>
        <w:rPr>
          <w:rFonts w:hint="eastAsia" w:ascii="仿宋" w:eastAsia="仿宋" w:cs="楷体_GB2312"/>
          <w:b/>
          <w:bCs/>
          <w:sz w:val="32"/>
          <w:szCs w:val="32"/>
        </w:rPr>
        <w:t>预算绩效管理工作开展情况。</w:t>
      </w:r>
    </w:p>
    <w:p>
      <w:pPr>
        <w:spacing w:line="600" w:lineRule="atLeas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按照预算绩效管理要求，本部门对202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年一般公共预算项目支出开展了绩效目标管理，共编制绩效目标1个，涉及财政资金</w:t>
      </w:r>
      <w:r>
        <w:rPr>
          <w:rFonts w:hint="eastAsia" w:ascii="仿宋_GB2312" w:eastAsia="仿宋_GB2312"/>
          <w:color w:val="000000"/>
          <w:sz w:val="32"/>
          <w:szCs w:val="32"/>
          <w:lang w:val="en-US" w:eastAsia="zh-CN"/>
        </w:rPr>
        <w:t>81.69</w:t>
      </w:r>
      <w:r>
        <w:rPr>
          <w:rFonts w:hint="eastAsia" w:ascii="仿宋_GB2312" w:eastAsia="仿宋_GB2312"/>
          <w:color w:val="000000"/>
          <w:sz w:val="32"/>
          <w:szCs w:val="32"/>
        </w:rPr>
        <w:t>万元，覆盖率达到100%。</w:t>
      </w:r>
    </w:p>
    <w:p>
      <w:pPr>
        <w:autoSpaceDE w:val="0"/>
        <w:autoSpaceDN w:val="0"/>
        <w:adjustRightInd w:val="0"/>
        <w:spacing w:line="600" w:lineRule="exact"/>
        <w:ind w:firstLine="643" w:firstLineChars="200"/>
        <w:jc w:val="left"/>
        <w:rPr>
          <w:rFonts w:hint="eastAsia" w:ascii="仿宋_GB2312" w:eastAsia="仿宋_GB2312"/>
          <w:b/>
          <w:color w:val="000000"/>
          <w:sz w:val="32"/>
          <w:szCs w:val="32"/>
        </w:rPr>
      </w:pPr>
      <w:r>
        <w:rPr>
          <w:rFonts w:hint="eastAsia" w:ascii="仿宋_GB2312" w:eastAsia="仿宋_GB2312"/>
          <w:b/>
          <w:color w:val="000000"/>
          <w:sz w:val="32"/>
          <w:szCs w:val="32"/>
        </w:rPr>
        <w:t>（</w:t>
      </w:r>
      <w:r>
        <w:rPr>
          <w:rFonts w:hint="eastAsia" w:ascii="仿宋_GB2312" w:eastAsia="仿宋_GB2312"/>
          <w:b/>
          <w:color w:val="000000"/>
          <w:sz w:val="32"/>
          <w:szCs w:val="32"/>
          <w:lang w:eastAsia="zh-CN"/>
        </w:rPr>
        <w:t>二</w:t>
      </w:r>
      <w:r>
        <w:rPr>
          <w:rFonts w:hint="eastAsia" w:ascii="仿宋_GB2312" w:eastAsia="仿宋_GB2312"/>
          <w:b/>
          <w:color w:val="000000"/>
          <w:sz w:val="32"/>
          <w:szCs w:val="32"/>
        </w:rPr>
        <w:t>）预算绩效</w:t>
      </w:r>
      <w:r>
        <w:rPr>
          <w:rFonts w:hint="eastAsia" w:ascii="仿宋_GB2312" w:eastAsia="仿宋_GB2312"/>
          <w:b/>
          <w:color w:val="000000"/>
          <w:sz w:val="32"/>
          <w:szCs w:val="32"/>
          <w:lang w:eastAsia="zh-CN"/>
        </w:rPr>
        <w:t>完成</w:t>
      </w:r>
      <w:r>
        <w:rPr>
          <w:rFonts w:hint="eastAsia" w:ascii="仿宋_GB2312" w:eastAsia="仿宋_GB2312"/>
          <w:b/>
          <w:color w:val="000000"/>
          <w:sz w:val="32"/>
          <w:szCs w:val="32"/>
        </w:rPr>
        <w:t>情况</w:t>
      </w:r>
    </w:p>
    <w:p>
      <w:pPr>
        <w:spacing w:line="600" w:lineRule="atLeast"/>
        <w:ind w:firstLine="640" w:firstLineChars="200"/>
        <w:rPr>
          <w:rFonts w:hint="eastAsia" w:ascii="仿宋_GB2312" w:hAnsi="仿宋_GB2312" w:eastAsia="仿宋_GB2312" w:cs="仿宋_GB2312"/>
          <w:sz w:val="32"/>
          <w:szCs w:val="32"/>
        </w:rPr>
      </w:pPr>
      <w:r>
        <w:rPr>
          <w:rFonts w:hint="eastAsia" w:ascii="仿宋_GB2312" w:eastAsia="仿宋_GB2312"/>
          <w:color w:val="000000"/>
          <w:sz w:val="32"/>
          <w:szCs w:val="32"/>
        </w:rPr>
        <w:t>按照预算绩效管理要求，本部门对202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年整体支出开展绩效自评，自评得分</w:t>
      </w:r>
      <w:r>
        <w:rPr>
          <w:rFonts w:hint="eastAsia" w:ascii="仿宋_GB2312" w:eastAsia="仿宋_GB2312"/>
          <w:color w:val="000000"/>
          <w:sz w:val="32"/>
          <w:szCs w:val="32"/>
          <w:lang w:val="en-US" w:eastAsia="zh-CN"/>
        </w:rPr>
        <w:t>76</w:t>
      </w:r>
      <w:r>
        <w:rPr>
          <w:rFonts w:hint="eastAsia" w:ascii="仿宋_GB2312" w:eastAsia="仿宋_GB2312"/>
          <w:color w:val="000000"/>
          <w:sz w:val="32"/>
          <w:szCs w:val="32"/>
        </w:rPr>
        <w:t>分，存在的问题：</w:t>
      </w:r>
      <w:r>
        <w:rPr>
          <w:rFonts w:hint="eastAsia" w:ascii="仿宋_GB2312" w:hAnsi="仿宋_GB2312" w:eastAsia="仿宋_GB2312" w:cs="仿宋_GB2312"/>
          <w:sz w:val="32"/>
          <w:szCs w:val="32"/>
          <w:lang w:eastAsia="zh-CN"/>
        </w:rPr>
        <w:t>资</w:t>
      </w:r>
      <w:r>
        <w:rPr>
          <w:rFonts w:hint="eastAsia" w:ascii="仿宋_GB2312" w:hAnsi="仿宋_GB2312" w:eastAsia="仿宋_GB2312" w:cs="仿宋_GB2312"/>
          <w:sz w:val="32"/>
          <w:szCs w:val="32"/>
        </w:rPr>
        <w:t>金拨付进度不够及时、效率有待提高。下一步改进措施：一是加快完善部门财务规章制度建设；二是加强会计核算和财务管理能力。</w:t>
      </w:r>
    </w:p>
    <w:p>
      <w:pPr>
        <w:numPr>
          <w:ilvl w:val="0"/>
          <w:numId w:val="0"/>
        </w:numPr>
        <w:tabs>
          <w:tab w:val="left" w:pos="0"/>
        </w:tabs>
        <w:spacing w:line="580" w:lineRule="exact"/>
        <w:ind w:leftChars="200" w:firstLine="321" w:firstLineChars="100"/>
        <w:rPr>
          <w:rFonts w:ascii="仿宋" w:eastAsia="仿宋" w:cs="仿宋_GB2312"/>
          <w:sz w:val="32"/>
          <w:szCs w:val="32"/>
        </w:rPr>
      </w:pPr>
      <w:r>
        <w:rPr>
          <w:rFonts w:hint="eastAsia" w:ascii="仿宋" w:eastAsia="仿宋" w:cs="楷体_GB2312"/>
          <w:b/>
          <w:bCs/>
          <w:sz w:val="32"/>
          <w:szCs w:val="32"/>
          <w:lang w:val="en-US" w:eastAsia="zh-CN"/>
        </w:rPr>
        <w:t xml:space="preserve">(三） </w:t>
      </w: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w:t>
      </w:r>
      <w:r>
        <w:rPr>
          <w:rFonts w:hint="eastAsia" w:ascii="仿宋_GB2312" w:eastAsia="仿宋_GB2312"/>
          <w:sz w:val="32"/>
          <w:szCs w:val="32"/>
          <w:lang w:eastAsia="zh-CN"/>
        </w:rPr>
        <w:t>金川县文学艺术界联合会</w:t>
      </w:r>
      <w:r>
        <w:rPr>
          <w:rFonts w:hint="eastAsia" w:ascii="仿宋_GB2312" w:eastAsia="仿宋_GB2312"/>
          <w:sz w:val="32"/>
          <w:szCs w:val="32"/>
          <w:lang w:val="en-US" w:eastAsia="zh-CN"/>
        </w:rPr>
        <w:t>2021</w:t>
      </w:r>
      <w:r>
        <w:rPr>
          <w:rFonts w:hint="eastAsia" w:ascii="仿宋_GB2312" w:eastAsia="仿宋_GB2312"/>
          <w:sz w:val="32"/>
          <w:szCs w:val="32"/>
        </w:rPr>
        <w:t>年部门</w:t>
      </w:r>
      <w:r>
        <w:rPr>
          <w:rFonts w:hint="eastAsia" w:ascii="仿宋_GB2312" w:eastAsia="仿宋_GB2312"/>
          <w:sz w:val="32"/>
          <w:szCs w:val="32"/>
          <w:lang w:eastAsia="zh-CN"/>
        </w:rPr>
        <w:t>预算</w:t>
      </w:r>
      <w:r>
        <w:rPr>
          <w:rFonts w:hint="eastAsia" w:ascii="仿宋_GB2312" w:eastAsia="仿宋_GB2312"/>
          <w:sz w:val="32"/>
          <w:szCs w:val="32"/>
          <w:lang w:val="en-US" w:eastAsia="zh-CN"/>
        </w:rPr>
        <w:t>整体</w:t>
      </w:r>
      <w:r>
        <w:rPr>
          <w:rFonts w:hint="eastAsia" w:ascii="仿宋_GB2312" w:eastAsia="仿宋_GB2312"/>
          <w:sz w:val="32"/>
          <w:szCs w:val="32"/>
        </w:rPr>
        <w:t>支出绩效</w:t>
      </w:r>
      <w:r>
        <w:rPr>
          <w:rFonts w:hint="eastAsia" w:ascii="仿宋_GB2312" w:eastAsia="仿宋_GB2312"/>
          <w:sz w:val="32"/>
          <w:szCs w:val="32"/>
          <w:lang w:val="en-US" w:eastAsia="zh-CN"/>
        </w:rPr>
        <w:t>评价</w:t>
      </w:r>
      <w:r>
        <w:rPr>
          <w:rFonts w:hint="eastAsia" w:ascii="仿宋_GB2312" w:eastAsia="仿宋_GB2312"/>
          <w:sz w:val="32"/>
          <w:szCs w:val="32"/>
        </w:rPr>
        <w:t>报告》</w:t>
      </w:r>
      <w:r>
        <w:rPr>
          <w:rFonts w:hint="eastAsia" w:ascii="仿宋_GB2312" w:eastAsia="仿宋_GB2312" w:cs="仿宋_GB2312"/>
          <w:sz w:val="32"/>
          <w:szCs w:val="32"/>
        </w:rPr>
        <w:t>见附件。</w:t>
      </w:r>
    </w:p>
    <w:p>
      <w:pPr>
        <w:spacing w:line="600" w:lineRule="exact"/>
        <w:ind w:firstLine="640" w:firstLineChars="200"/>
        <w:outlineLvl w:val="1"/>
        <w:rPr>
          <w:rStyle w:val="18"/>
          <w:rFonts w:ascii="黑体" w:eastAsia="黑体"/>
        </w:rPr>
      </w:pPr>
      <w:bookmarkStart w:id="50" w:name="_Toc15377221"/>
      <w:bookmarkStart w:id="51" w:name="_Toc15396612"/>
      <w:r>
        <w:rPr>
          <w:rFonts w:hint="eastAsia" w:ascii="黑体" w:eastAsia="黑体"/>
          <w:color w:val="000000"/>
          <w:sz w:val="32"/>
          <w:szCs w:val="32"/>
        </w:rPr>
        <w:t>十</w:t>
      </w:r>
      <w:r>
        <w:rPr>
          <w:rFonts w:hint="eastAsia" w:ascii="黑体" w:eastAsia="黑体"/>
          <w:color w:val="000000"/>
          <w:sz w:val="32"/>
          <w:szCs w:val="32"/>
          <w:lang w:eastAsia="zh-CN"/>
        </w:rPr>
        <w:t>一</w:t>
      </w:r>
      <w:r>
        <w:rPr>
          <w:rStyle w:val="18"/>
          <w:rFonts w:hint="eastAsia" w:ascii="黑体" w:eastAsia="黑体"/>
        </w:rPr>
        <w:t>、</w:t>
      </w:r>
      <w:r>
        <w:rPr>
          <w:rStyle w:val="18"/>
          <w:rFonts w:hint="eastAsia" w:ascii="黑体" w:eastAsia="黑体"/>
          <w:b w:val="0"/>
        </w:rPr>
        <w:t>其他重要事项的情况说明</w:t>
      </w:r>
      <w:bookmarkEnd w:id="50"/>
      <w:bookmarkEnd w:id="51"/>
    </w:p>
    <w:p>
      <w:pPr>
        <w:spacing w:line="60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rPr>
        <w:t>（一）机关运行经费支出情况</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年度，事业运行经费支出</w:t>
      </w:r>
      <w:r>
        <w:rPr>
          <w:rFonts w:hint="eastAsia" w:ascii="仿宋_GB2312" w:eastAsia="仿宋_GB2312"/>
          <w:color w:val="000000"/>
          <w:sz w:val="32"/>
          <w:szCs w:val="32"/>
          <w:lang w:val="en-US" w:eastAsia="zh-CN"/>
        </w:rPr>
        <w:t>81.69</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（二）政府采购支出情况</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年度，采购支出0万元。</w:t>
      </w:r>
    </w:p>
    <w:p>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（三）国有资产占有使用情况</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年12月31日，我</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有公有车辆0辆；单价50万元以上通用设备0套，无单价100万元以上专用设备。</w:t>
      </w:r>
    </w:p>
    <w:p>
      <w:pPr>
        <w:widowControl/>
        <w:ind w:firstLine="643" w:firstLineChars="200"/>
        <w:jc w:val="left"/>
        <w:rPr>
          <w:rFonts w:ascii="仿宋_GB2312" w:eastAsia="仿宋_GB2312"/>
          <w:b/>
          <w:color w:val="000000"/>
          <w:sz w:val="32"/>
          <w:szCs w:val="32"/>
          <w:lang w:val="en-US" w:eastAsia="zh-CN"/>
        </w:rPr>
      </w:pPr>
    </w:p>
    <w:p>
      <w:pPr>
        <w:numPr>
          <w:ilvl w:val="0"/>
          <w:numId w:val="3"/>
        </w:numPr>
        <w:spacing w:line="600" w:lineRule="exact"/>
        <w:ind w:left="0" w:firstLine="663" w:firstLineChars="150"/>
        <w:jc w:val="center"/>
        <w:outlineLvl w:val="0"/>
        <w:rPr>
          <w:rStyle w:val="17"/>
          <w:rFonts w:ascii="黑体" w:eastAsia="黑体"/>
          <w:b w:val="0"/>
        </w:rPr>
      </w:pPr>
      <w:bookmarkStart w:id="52" w:name="_Toc15396613"/>
      <w:bookmarkStart w:id="53" w:name="_Toc15377225"/>
      <w:r>
        <w:rPr>
          <w:rFonts w:hint="eastAsia" w:ascii="黑体" w:eastAsia="黑体"/>
          <w:b/>
          <w:color w:val="000000"/>
          <w:sz w:val="44"/>
          <w:szCs w:val="44"/>
        </w:rPr>
        <w:t>名</w:t>
      </w:r>
      <w:r>
        <w:rPr>
          <w:rStyle w:val="17"/>
          <w:rFonts w:hint="eastAsia" w:ascii="黑体" w:eastAsia="黑体"/>
          <w:b w:val="0"/>
        </w:rPr>
        <w:t>词解释</w:t>
      </w:r>
      <w:bookmarkEnd w:id="52"/>
      <w:bookmarkEnd w:id="53"/>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1.财政拨款收入：指州级财政当年拨付的资金。 </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2. </w:t>
      </w:r>
      <w:r>
        <w:rPr>
          <w:rStyle w:val="15"/>
          <w:rFonts w:hint="eastAsia" w:ascii="仿宋_GB2312" w:eastAsia="仿宋_GB2312"/>
          <w:b w:val="0"/>
          <w:bCs w:val="0"/>
          <w:sz w:val="32"/>
          <w:szCs w:val="32"/>
        </w:rPr>
        <w:t>文化体育与传媒支出207</w:t>
      </w:r>
      <w:r>
        <w:rPr>
          <w:rFonts w:hint="eastAsia" w:ascii="仿宋_GB2312" w:eastAsia="仿宋_GB2312"/>
          <w:color w:val="000000"/>
          <w:sz w:val="32"/>
          <w:szCs w:val="32"/>
        </w:rPr>
        <w:t>（类）</w:t>
      </w:r>
      <w:r>
        <w:rPr>
          <w:rStyle w:val="15"/>
          <w:rFonts w:hint="eastAsia" w:ascii="仿宋_GB2312" w:eastAsia="仿宋_GB2312"/>
          <w:b w:val="0"/>
          <w:bCs w:val="0"/>
          <w:sz w:val="32"/>
          <w:szCs w:val="32"/>
        </w:rPr>
        <w:t>文化01</w:t>
      </w:r>
      <w:r>
        <w:rPr>
          <w:rFonts w:hint="eastAsia" w:ascii="仿宋_GB2312" w:eastAsia="仿宋_GB2312"/>
          <w:color w:val="000000"/>
          <w:sz w:val="32"/>
          <w:szCs w:val="32"/>
        </w:rPr>
        <w:t>（款）</w:t>
      </w:r>
      <w:r>
        <w:rPr>
          <w:rStyle w:val="15"/>
          <w:rFonts w:hint="eastAsia" w:ascii="仿宋_GB2312" w:eastAsia="仿宋_GB2312"/>
          <w:b w:val="0"/>
          <w:bCs w:val="0"/>
          <w:sz w:val="32"/>
          <w:szCs w:val="32"/>
        </w:rPr>
        <w:t>其他文化支出</w:t>
      </w:r>
      <w:r>
        <w:rPr>
          <w:rFonts w:hint="eastAsia" w:ascii="仿宋_GB2312" w:eastAsia="仿宋_GB2312"/>
          <w:color w:val="000000"/>
          <w:sz w:val="32"/>
          <w:szCs w:val="32"/>
        </w:rPr>
        <w:t>（项）</w:t>
      </w:r>
      <w:r>
        <w:rPr>
          <w:rStyle w:val="15"/>
          <w:rFonts w:hint="eastAsia" w:ascii="仿宋_GB2312" w:eastAsia="仿宋_GB2312"/>
          <w:b w:val="0"/>
          <w:bCs w:val="0"/>
          <w:sz w:val="32"/>
          <w:szCs w:val="32"/>
        </w:rPr>
        <w:t>99：指其它用于文化方面的支出。</w:t>
      </w:r>
    </w:p>
    <w:p>
      <w:pPr>
        <w:spacing w:line="600" w:lineRule="exact"/>
        <w:ind w:firstLine="640" w:firstLineChars="200"/>
        <w:rPr>
          <w:rStyle w:val="15"/>
          <w:rFonts w:hint="eastAsia" w:ascii="仿宋_GB2312" w:eastAsia="仿宋_GB2312"/>
          <w:b w:val="0"/>
          <w:bCs w:val="0"/>
          <w:sz w:val="32"/>
          <w:szCs w:val="32"/>
        </w:rPr>
      </w:pPr>
      <w:r>
        <w:rPr>
          <w:rFonts w:hint="eastAsia" w:ascii="仿宋_GB2312" w:eastAsia="仿宋_GB2312"/>
          <w:color w:val="000000"/>
          <w:sz w:val="32"/>
          <w:szCs w:val="32"/>
        </w:rPr>
        <w:t>3.社会保障和就业208（类）行政事业单位离退休05（款）机关事业单位基本养老保险缴费支出（项）05：指机关事业单位实施养老保险制度由单位缴纳的基本养老保险费支出。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4.社会保障和就业208（类）行政事业单位离退休05（款）机关事业单位职业年金缴费支出（项）06：指机关事业单位实施养老保险制度由单位缴纳的职业年金支出。</w:t>
      </w:r>
    </w:p>
    <w:p>
      <w:pPr>
        <w:numPr>
          <w:ilvl w:val="0"/>
          <w:numId w:val="0"/>
        </w:num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行政事业单位医疗11</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事业单位医疗02</w:t>
      </w:r>
      <w:r>
        <w:rPr>
          <w:rFonts w:hint="eastAsia" w:ascii="仿宋_GB2312" w:eastAsia="仿宋_GB2312"/>
          <w:color w:val="000000"/>
          <w:sz w:val="32"/>
          <w:szCs w:val="32"/>
        </w:rPr>
        <w:t>（项）：指反映财政部门集中安排的事业单位基本医疗保险缴费经费。</w:t>
      </w:r>
    </w:p>
    <w:p>
      <w:pPr>
        <w:pStyle w:val="2"/>
        <w:numPr>
          <w:ilvl w:val="0"/>
          <w:numId w:val="0"/>
        </w:numPr>
        <w:ind w:firstLine="640" w:firstLineChars="200"/>
        <w:rPr>
          <w:rFonts w:hint="eastAsia"/>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行政事业单位医疗11</w:t>
      </w:r>
      <w:r>
        <w:rPr>
          <w:rFonts w:hint="eastAsia" w:ascii="仿宋_GB2312" w:eastAsia="仿宋_GB2312"/>
          <w:color w:val="000000"/>
          <w:sz w:val="32"/>
          <w:szCs w:val="32"/>
        </w:rPr>
        <w:t>（款）</w:t>
      </w:r>
      <w:r>
        <w:rPr>
          <w:rFonts w:hint="eastAsia" w:ascii="仿宋_GB2312" w:eastAsia="仿宋_GB2312"/>
          <w:sz w:val="32"/>
          <w:szCs w:val="32"/>
          <w:lang w:eastAsia="zh-CN"/>
        </w:rPr>
        <w:t>其他行政事业单位医疗支出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：指反映财政部门集中安排的公务员医疗补助缴费。</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住房保障221（类）住房改革支出02（款）住房公积金01（项）</w:t>
      </w:r>
      <w:r>
        <w:rPr>
          <w:rFonts w:hint="eastAsia" w:ascii="仿宋_GB2312" w:eastAsia="仿宋_GB2312"/>
          <w:color w:val="000000"/>
          <w:sz w:val="32"/>
          <w:szCs w:val="32"/>
          <w:lang w:eastAsia="zh-CN"/>
        </w:rPr>
        <w:t>：</w:t>
      </w:r>
      <w:r>
        <w:rPr>
          <w:rFonts w:hint="eastAsia" w:ascii="仿宋_GB2312" w:eastAsia="仿宋_GB2312"/>
          <w:color w:val="000000"/>
          <w:sz w:val="32"/>
          <w:szCs w:val="32"/>
        </w:rPr>
        <w:t>指反映行政事业单位按人力资源和社会保障部、财政部规定的基本工资和津贴补贴以及规定比例为职工缴纳的住房公积金。</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.年末结转和结余：基本支出：指为保障机构正常运转、完成日常工作任务而发生的人员支出和公用支出。</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eastAsia="仿宋_GB2312"/>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4"/>
        <w:rPr>
          <w:rStyle w:val="25"/>
          <w:rFonts w:hint="eastAsia" w:ascii="仿宋" w:eastAsia="仿宋"/>
          <w:b w:val="0"/>
          <w:bCs w:val="0"/>
          <w:sz w:val="32"/>
          <w:szCs w:val="32"/>
        </w:rPr>
      </w:pPr>
      <w:bookmarkStart w:id="54" w:name="_Toc15396615"/>
    </w:p>
    <w:p>
      <w:pPr>
        <w:pStyle w:val="4"/>
        <w:rPr>
          <w:rStyle w:val="25"/>
          <w:rFonts w:hint="eastAsia" w:ascii="仿宋" w:eastAsia="仿宋"/>
          <w:b w:val="0"/>
          <w:bCs w:val="0"/>
          <w:sz w:val="32"/>
          <w:szCs w:val="32"/>
        </w:rPr>
      </w:pPr>
    </w:p>
    <w:p>
      <w:pPr>
        <w:pStyle w:val="4"/>
        <w:rPr>
          <w:rStyle w:val="25"/>
          <w:rFonts w:hint="eastAsia" w:ascii="仿宋" w:eastAsia="仿宋"/>
          <w:b w:val="0"/>
          <w:bCs w:val="0"/>
          <w:sz w:val="32"/>
          <w:szCs w:val="32"/>
        </w:rPr>
      </w:pPr>
    </w:p>
    <w:p>
      <w:pPr>
        <w:pStyle w:val="4"/>
        <w:rPr>
          <w:rStyle w:val="25"/>
          <w:rFonts w:hint="eastAsia" w:ascii="仿宋" w:eastAsia="仿宋"/>
          <w:b w:val="0"/>
          <w:bCs w:val="0"/>
          <w:sz w:val="32"/>
          <w:szCs w:val="32"/>
        </w:rPr>
      </w:pPr>
    </w:p>
    <w:p>
      <w:pPr>
        <w:rPr>
          <w:rStyle w:val="25"/>
          <w:rFonts w:hint="eastAsia" w:ascii="仿宋" w:eastAsia="仿宋"/>
          <w:b w:val="0"/>
          <w:bCs w:val="0"/>
          <w:sz w:val="32"/>
          <w:szCs w:val="32"/>
        </w:rPr>
      </w:pPr>
    </w:p>
    <w:p>
      <w:pPr>
        <w:pStyle w:val="4"/>
        <w:rPr>
          <w:rStyle w:val="25"/>
          <w:rFonts w:ascii="仿宋" w:eastAsia="仿宋"/>
          <w:b w:val="0"/>
          <w:bCs w:val="0"/>
          <w:sz w:val="32"/>
          <w:szCs w:val="32"/>
        </w:rPr>
      </w:pPr>
      <w:r>
        <w:rPr>
          <w:rStyle w:val="25"/>
          <w:rFonts w:hint="eastAsia" w:ascii="仿宋" w:eastAsia="仿宋"/>
          <w:b w:val="0"/>
          <w:bCs w:val="0"/>
          <w:sz w:val="32"/>
          <w:szCs w:val="32"/>
        </w:rPr>
        <w:t>附件1</w:t>
      </w:r>
      <w:bookmarkEnd w:id="54"/>
    </w:p>
    <w:p>
      <w:pPr>
        <w:numPr>
          <w:ilvl w:val="0"/>
          <w:numId w:val="3"/>
        </w:numPr>
        <w:spacing w:line="600" w:lineRule="exact"/>
        <w:ind w:firstLine="660" w:firstLineChars="150"/>
        <w:jc w:val="center"/>
        <w:outlineLvl w:val="0"/>
        <w:rPr>
          <w:rStyle w:val="25"/>
          <w:rFonts w:ascii="黑体" w:eastAsia="黑体"/>
          <w:b w:val="0"/>
        </w:rPr>
      </w:pPr>
      <w:r>
        <w:rPr>
          <w:rStyle w:val="25"/>
          <w:rFonts w:hint="eastAsia" w:ascii="黑体" w:eastAsia="黑体"/>
          <w:b w:val="0"/>
        </w:rPr>
        <w:t>附件</w:t>
      </w:r>
    </w:p>
    <w:p>
      <w:pPr>
        <w:outlineLvl w:val="0"/>
        <w:rPr>
          <w:rStyle w:val="25"/>
          <w:rFonts w:ascii="黑体" w:eastAsia="黑体"/>
          <w:b w:val="0"/>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金川县</w:t>
      </w:r>
      <w:r>
        <w:rPr>
          <w:rFonts w:hint="eastAsia" w:ascii="方正小标宋简体" w:eastAsia="方正小标宋简体"/>
          <w:sz w:val="44"/>
          <w:szCs w:val="44"/>
          <w:lang w:eastAsia="zh-CN"/>
        </w:rPr>
        <w:t>文学艺术界联合</w:t>
      </w:r>
      <w:r>
        <w:rPr>
          <w:rFonts w:hint="eastAsia" w:ascii="方正小标宋简体" w:eastAsia="方正小标宋简体"/>
          <w:sz w:val="44"/>
          <w:szCs w:val="44"/>
        </w:rPr>
        <w:t>会</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2021年部门整体支出绩效评价报告</w:t>
      </w: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r>
        <w:rPr>
          <w:rFonts w:hint="eastAsia" w:ascii="仿宋_GB2312" w:eastAsia="仿宋_GB2312"/>
          <w:sz w:val="32"/>
          <w:szCs w:val="32"/>
        </w:rPr>
        <w:t>根据（金财监绩〔2022〕21号）文件精神，县</w:t>
      </w:r>
      <w:r>
        <w:rPr>
          <w:rFonts w:hint="eastAsia" w:ascii="仿宋_GB2312" w:eastAsia="仿宋_GB2312"/>
          <w:sz w:val="32"/>
          <w:szCs w:val="32"/>
          <w:lang w:eastAsia="zh-CN"/>
        </w:rPr>
        <w:t>文联</w:t>
      </w:r>
      <w:r>
        <w:rPr>
          <w:rFonts w:hint="eastAsia" w:ascii="仿宋_GB2312" w:eastAsia="仿宋_GB2312"/>
          <w:sz w:val="32"/>
          <w:szCs w:val="32"/>
        </w:rPr>
        <w:t>对2021年全年和2022年1-6月部门整体支出绩效进行了全面综合评价。经全面综合评价，我单位部门预算支出绩效自评扣除我单位不存在的评价指标分值,总分为</w:t>
      </w:r>
      <w:r>
        <w:rPr>
          <w:rFonts w:hint="eastAsia" w:ascii="仿宋_GB2312" w:eastAsia="仿宋_GB2312"/>
          <w:sz w:val="32"/>
          <w:szCs w:val="32"/>
          <w:lang w:val="en-US" w:eastAsia="zh-CN"/>
        </w:rPr>
        <w:t>83</w:t>
      </w:r>
      <w:r>
        <w:rPr>
          <w:rFonts w:hint="eastAsia" w:ascii="仿宋_GB2312" w:eastAsia="仿宋_GB2312"/>
          <w:sz w:val="32"/>
          <w:szCs w:val="32"/>
        </w:rPr>
        <w:t>分。现将有关情况报告如下：</w:t>
      </w:r>
    </w:p>
    <w:p>
      <w:pPr>
        <w:ind w:firstLine="640" w:firstLineChars="200"/>
        <w:rPr>
          <w:rFonts w:ascii="黑体" w:eastAsia="黑体"/>
          <w:sz w:val="32"/>
          <w:szCs w:val="32"/>
        </w:rPr>
      </w:pPr>
      <w:r>
        <w:rPr>
          <w:rFonts w:hint="eastAsia" w:ascii="黑体" w:eastAsia="黑体"/>
          <w:sz w:val="32"/>
          <w:szCs w:val="32"/>
        </w:rPr>
        <w:t>一、部门概况</w:t>
      </w:r>
    </w:p>
    <w:p>
      <w:pPr>
        <w:ind w:firstLine="643" w:firstLineChars="200"/>
        <w:rPr>
          <w:rFonts w:ascii="楷体_GB2312" w:eastAsia="楷体_GB2312"/>
          <w:b/>
          <w:sz w:val="32"/>
          <w:szCs w:val="32"/>
        </w:rPr>
      </w:pPr>
      <w:r>
        <w:rPr>
          <w:rFonts w:hint="eastAsia" w:ascii="楷体_GB2312" w:eastAsia="楷体_GB2312"/>
          <w:b/>
          <w:sz w:val="32"/>
          <w:szCs w:val="32"/>
        </w:rPr>
        <w:t>（一）机构组成。</w:t>
      </w:r>
      <w:r>
        <w:rPr>
          <w:rFonts w:hint="eastAsia" w:ascii="仿宋_GB2312" w:eastAsia="仿宋_GB2312"/>
          <w:sz w:val="32"/>
          <w:szCs w:val="32"/>
        </w:rPr>
        <w:t>县</w:t>
      </w:r>
      <w:r>
        <w:rPr>
          <w:rFonts w:hint="eastAsia" w:ascii="仿宋_GB2312" w:eastAsia="仿宋_GB2312"/>
          <w:sz w:val="32"/>
          <w:szCs w:val="32"/>
          <w:lang w:eastAsia="zh-CN"/>
        </w:rPr>
        <w:t>文联</w:t>
      </w:r>
      <w:r>
        <w:rPr>
          <w:rFonts w:hint="eastAsia" w:ascii="仿宋_GB2312" w:eastAsia="仿宋_GB2312"/>
          <w:sz w:val="32"/>
          <w:szCs w:val="32"/>
        </w:rPr>
        <w:t>为县本级一级预算单位，</w:t>
      </w:r>
      <w:r>
        <w:rPr>
          <w:rFonts w:hint="eastAsia" w:ascii="仿宋_GB2312" w:eastAsia="仿宋_GB2312"/>
          <w:sz w:val="32"/>
          <w:szCs w:val="32"/>
          <w:lang w:eastAsia="zh-CN"/>
        </w:rPr>
        <w:t>是一个</w:t>
      </w:r>
      <w:r>
        <w:rPr>
          <w:rFonts w:hint="eastAsia" w:ascii="仿宋_GB2312" w:eastAsia="仿宋_GB2312"/>
          <w:sz w:val="32"/>
          <w:szCs w:val="32"/>
        </w:rPr>
        <w:t>独立核算机构</w:t>
      </w:r>
      <w:r>
        <w:rPr>
          <w:rFonts w:hint="eastAsia" w:ascii="仿宋_GB2312" w:eastAsia="仿宋_GB2312"/>
          <w:sz w:val="32"/>
          <w:szCs w:val="32"/>
          <w:lang w:eastAsia="zh-CN"/>
        </w:rPr>
        <w:t>的事业单位</w:t>
      </w:r>
      <w:r>
        <w:rPr>
          <w:rFonts w:hint="eastAsia" w:ascii="仿宋_GB2312" w:eastAsia="仿宋_GB2312"/>
          <w:sz w:val="32"/>
          <w:szCs w:val="32"/>
        </w:rPr>
        <w:t>。</w:t>
      </w:r>
    </w:p>
    <w:p>
      <w:pPr>
        <w:widowControl/>
        <w:ind w:firstLine="643" w:firstLineChars="200"/>
        <w:jc w:val="left"/>
        <w:rPr>
          <w:rFonts w:hint="eastAsia" w:ascii="仿宋_GB2312" w:hAnsi="仿宋_GB2312"/>
          <w:szCs w:val="32"/>
        </w:rPr>
      </w:pPr>
      <w:r>
        <w:rPr>
          <w:rFonts w:hint="eastAsia" w:ascii="楷体_GB2312" w:eastAsia="楷体_GB2312"/>
          <w:b/>
          <w:sz w:val="32"/>
          <w:szCs w:val="32"/>
        </w:rPr>
        <w:t>（二）机构职能。</w:t>
      </w:r>
      <w:r>
        <w:rPr>
          <w:rFonts w:hint="eastAsia" w:ascii="仿宋_GB2312" w:eastAsia="仿宋_GB2312"/>
          <w:b/>
          <w:bCs/>
          <w:color w:val="000000"/>
          <w:sz w:val="32"/>
          <w:szCs w:val="32"/>
        </w:rPr>
        <w:t>一是</w:t>
      </w:r>
      <w:r>
        <w:rPr>
          <w:rFonts w:hint="eastAsia" w:ascii="仿宋_GB2312" w:eastAsia="仿宋_GB2312"/>
          <w:color w:val="000000"/>
          <w:sz w:val="32"/>
          <w:szCs w:val="32"/>
        </w:rPr>
        <w:t>团结带领全县广大文艺家和文艺工作者，高举社会主义伟大旗，坚持文艺“为人民服务、为社会主义服务”的方向和“百花齐放、百家争鸣”的方针，坚持文艺“贴近实际、贴近生活、贴近群众”的原则，践行社会主义核心价值观，为发展和繁荣社会主义文艺事业、建设文化强县、全面建成小康社会、实现金川的路发展和长治久安努力斗。</w:t>
      </w:r>
      <w:r>
        <w:rPr>
          <w:rFonts w:hint="eastAsia" w:ascii="仿宋_GB2312" w:eastAsia="仿宋_GB2312"/>
          <w:b/>
          <w:bCs/>
          <w:color w:val="000000"/>
          <w:sz w:val="32"/>
          <w:szCs w:val="32"/>
          <w:lang w:eastAsia="zh-CN"/>
        </w:rPr>
        <w:t>二是</w:t>
      </w:r>
      <w:r>
        <w:rPr>
          <w:rFonts w:hint="eastAsia" w:ascii="仿宋_GB2312" w:eastAsia="仿宋_GB2312"/>
          <w:color w:val="000000"/>
          <w:sz w:val="32"/>
          <w:szCs w:val="32"/>
        </w:rPr>
        <w:t>组织带领全县广大文艺家和文艺工作者深入生活、扎根人民，加强艺术实践，抓好文艺作，唱主旋律、传播正能量，用科学的理论武装人，用正确的论引导人，用高尚的精神塑造人，用优秀的作品鼓舞人。</w:t>
      </w:r>
      <w:r>
        <w:rPr>
          <w:rFonts w:hint="eastAsia" w:ascii="仿宋_GB2312" w:eastAsia="仿宋_GB2312"/>
          <w:b/>
          <w:bCs/>
          <w:color w:val="000000"/>
          <w:sz w:val="32"/>
          <w:szCs w:val="32"/>
          <w:lang w:eastAsia="zh-CN"/>
        </w:rPr>
        <w:t>三是</w:t>
      </w:r>
      <w:r>
        <w:rPr>
          <w:rFonts w:hint="eastAsia" w:ascii="仿宋_GB2312" w:eastAsia="仿宋_GB2312"/>
          <w:color w:val="000000"/>
          <w:sz w:val="32"/>
          <w:szCs w:val="32"/>
        </w:rPr>
        <w:t>负责对有关的文学艺术社团进行监督管理，发</w:t>
      </w:r>
      <w:r>
        <w:rPr>
          <w:rFonts w:hint="eastAsia" w:ascii="仿宋_GB2312" w:eastAsia="仿宋_GB2312"/>
          <w:b w:val="0"/>
          <w:bCs w:val="0"/>
          <w:color w:val="000000"/>
          <w:sz w:val="32"/>
          <w:szCs w:val="32"/>
        </w:rPr>
        <w:t>挥人オ和专业</w:t>
      </w:r>
      <w:r>
        <w:rPr>
          <w:rFonts w:hint="eastAsia" w:ascii="仿宋_GB2312" w:eastAsia="仿宋_GB2312"/>
          <w:color w:val="000000"/>
          <w:sz w:val="32"/>
          <w:szCs w:val="32"/>
        </w:rPr>
        <w:t>优势，通过发展会员、组织文艺创作、学术研究、刊物出版、文艺评奖，开展备种文艺活动，繁荣和发展金川县的文艺事业。</w:t>
      </w:r>
      <w:r>
        <w:rPr>
          <w:rFonts w:hint="eastAsia" w:ascii="仿宋_GB2312" w:eastAsia="仿宋_GB2312"/>
          <w:b/>
          <w:bCs/>
          <w:color w:val="000000"/>
          <w:sz w:val="32"/>
          <w:szCs w:val="32"/>
          <w:lang w:eastAsia="zh-CN"/>
        </w:rPr>
        <w:t>四是</w:t>
      </w:r>
      <w:r>
        <w:rPr>
          <w:rFonts w:hint="eastAsia" w:ascii="仿宋_GB2312" w:eastAsia="仿宋_GB2312"/>
          <w:color w:val="000000"/>
          <w:sz w:val="32"/>
          <w:szCs w:val="32"/>
        </w:rPr>
        <w:t>尊重各民族文艺传统，采取各种措施，积极发现、培养和扶持文艺人</w:t>
      </w:r>
      <w:r>
        <w:rPr>
          <w:rFonts w:hint="eastAsia" w:ascii="仿宋_GB2312" w:eastAsia="仿宋_GB2312"/>
          <w:b w:val="0"/>
          <w:bCs w:val="0"/>
          <w:color w:val="000000"/>
          <w:sz w:val="32"/>
          <w:szCs w:val="32"/>
        </w:rPr>
        <w:t>オ</w:t>
      </w:r>
      <w:r>
        <w:rPr>
          <w:rFonts w:hint="eastAsia" w:ascii="仿宋_GB2312" w:eastAsia="仿宋_GB2312"/>
          <w:color w:val="000000"/>
          <w:sz w:val="32"/>
          <w:szCs w:val="32"/>
        </w:rPr>
        <w:t>，尤其是少数民族青年文艺人オ，促进各民族文学艺术事业共同发展。</w:t>
      </w:r>
      <w:r>
        <w:rPr>
          <w:rFonts w:hint="eastAsia" w:ascii="仿宋_GB2312" w:eastAsia="仿宋_GB2312"/>
          <w:b/>
          <w:bCs/>
          <w:color w:val="000000"/>
          <w:sz w:val="32"/>
          <w:szCs w:val="32"/>
          <w:lang w:eastAsia="zh-CN"/>
        </w:rPr>
        <w:t>五是</w:t>
      </w:r>
      <w:r>
        <w:rPr>
          <w:rFonts w:hint="eastAsia" w:ascii="仿宋_GB2312" w:eastAsia="仿宋_GB2312"/>
          <w:color w:val="000000"/>
          <w:sz w:val="32"/>
          <w:szCs w:val="32"/>
        </w:rPr>
        <w:t>积极促进全县各民族文家和文艺工作者的团结，加强各地区文联系统之间的联，积极开展文艺交流活动，树立金川文艺新形象，提高金川文艺影响力。</w:t>
      </w:r>
      <w:r>
        <w:rPr>
          <w:rFonts w:hint="eastAsia" w:ascii="仿宋_GB2312" w:eastAsia="仿宋_GB2312"/>
          <w:b/>
          <w:bCs/>
          <w:color w:val="000000"/>
          <w:sz w:val="32"/>
          <w:szCs w:val="32"/>
          <w:lang w:eastAsia="zh-CN"/>
        </w:rPr>
        <w:t>六是</w:t>
      </w:r>
      <w:r>
        <w:rPr>
          <w:rFonts w:hint="eastAsia" w:ascii="仿宋_GB2312" w:eastAsia="仿宋_GB2312"/>
          <w:color w:val="000000"/>
          <w:sz w:val="32"/>
          <w:szCs w:val="32"/>
        </w:rPr>
        <w:t>倡导“爱国、为民、崇德、尚艺”文艺界核心价值观，培养良好的职业精神和职业道德;从真反映文艺界的意见、建议和要求，积极开展本县文艺领域自律维权工作维护团体会员和文学艺术家及文艺工作者的知识产权等合法权益。</w:t>
      </w:r>
      <w:r>
        <w:rPr>
          <w:rFonts w:hint="eastAsia" w:ascii="仿宋_GB2312" w:eastAsia="仿宋_GB2312"/>
          <w:b/>
          <w:bCs/>
          <w:color w:val="000000"/>
          <w:sz w:val="32"/>
          <w:szCs w:val="32"/>
          <w:lang w:eastAsia="zh-CN"/>
        </w:rPr>
        <w:t>七是</w:t>
      </w:r>
      <w:r>
        <w:rPr>
          <w:rFonts w:hint="eastAsia" w:ascii="仿宋_GB2312" w:eastAsia="仿宋_GB2312"/>
          <w:color w:val="000000"/>
          <w:sz w:val="32"/>
          <w:szCs w:val="32"/>
        </w:rPr>
        <w:t>积极开展文艺传播和文艺惠民活动，丰富和提高全县各族人民的文艺生，弘扬民族文精神，发展民族文学艺术事业。</w:t>
      </w:r>
      <w:r>
        <w:rPr>
          <w:rFonts w:hint="eastAsia" w:ascii="仿宋_GB2312" w:eastAsia="仿宋_GB2312"/>
          <w:b/>
          <w:bCs/>
          <w:color w:val="000000"/>
          <w:sz w:val="32"/>
          <w:szCs w:val="32"/>
          <w:lang w:eastAsia="zh-CN"/>
        </w:rPr>
        <w:t>八是</w:t>
      </w:r>
      <w:r>
        <w:rPr>
          <w:rFonts w:hint="eastAsia" w:ascii="仿宋_GB2312" w:eastAsia="仿宋_GB2312"/>
          <w:color w:val="000000"/>
          <w:sz w:val="32"/>
          <w:szCs w:val="32"/>
        </w:rPr>
        <w:t>组织召开金川县文联代表大会、委员会、主席团会议和全县性文学艺术会代表大会及全县性文联系统的工作会议。</w:t>
      </w:r>
      <w:r>
        <w:rPr>
          <w:rFonts w:hint="eastAsia" w:ascii="仿宋_GB2312" w:eastAsia="仿宋_GB2312"/>
          <w:b/>
          <w:bCs/>
          <w:color w:val="000000"/>
          <w:sz w:val="32"/>
          <w:szCs w:val="32"/>
          <w:lang w:eastAsia="zh-CN"/>
        </w:rPr>
        <w:t>九是</w:t>
      </w:r>
      <w:r>
        <w:rPr>
          <w:rFonts w:hint="eastAsia" w:ascii="仿宋_GB2312" w:eastAsia="仿宋_GB2312"/>
          <w:b w:val="0"/>
          <w:bCs/>
          <w:color w:val="000000"/>
          <w:sz w:val="32"/>
          <w:szCs w:val="32"/>
          <w:lang w:val="en-US" w:eastAsia="zh-CN"/>
        </w:rPr>
        <w:t>承办县委、县政府和上级有关部门交办的其它事项。</w:t>
      </w:r>
    </w:p>
    <w:p>
      <w:pPr>
        <w:ind w:firstLine="643" w:firstLineChars="200"/>
        <w:rPr>
          <w:rFonts w:ascii="楷体_GB2312" w:eastAsia="楷体_GB2312"/>
          <w:b/>
          <w:sz w:val="32"/>
          <w:szCs w:val="32"/>
        </w:rPr>
      </w:pPr>
      <w:r>
        <w:rPr>
          <w:rFonts w:hint="eastAsia" w:ascii="楷体_GB2312" w:eastAsia="楷体_GB2312"/>
          <w:b/>
          <w:sz w:val="32"/>
          <w:szCs w:val="32"/>
        </w:rPr>
        <w:t>（三）人员概况</w:t>
      </w:r>
      <w:r>
        <w:rPr>
          <w:rFonts w:hint="eastAsia" w:ascii="楷体_GB2312" w:eastAsia="楷体_GB2312"/>
          <w:b/>
          <w:sz w:val="32"/>
          <w:szCs w:val="32"/>
          <w:lang w:eastAsia="zh-CN"/>
        </w:rPr>
        <w:t>　</w:t>
      </w:r>
      <w:r>
        <w:rPr>
          <w:rFonts w:hint="eastAsia" w:ascii="仿宋_GB2312" w:eastAsia="仿宋_GB2312"/>
          <w:sz w:val="32"/>
          <w:szCs w:val="32"/>
          <w:lang w:eastAsia="zh-CN"/>
        </w:rPr>
        <w:t>文联</w:t>
      </w:r>
      <w:r>
        <w:rPr>
          <w:rFonts w:hint="eastAsia" w:ascii="仿宋_GB2312" w:eastAsia="仿宋_GB2312"/>
          <w:sz w:val="32"/>
          <w:szCs w:val="32"/>
        </w:rPr>
        <w:t>总编制</w:t>
      </w:r>
      <w:r>
        <w:rPr>
          <w:rFonts w:hint="eastAsia" w:ascii="仿宋_GB2312" w:eastAsia="仿宋_GB2312"/>
          <w:sz w:val="32"/>
          <w:szCs w:val="32"/>
          <w:lang w:val="en-US" w:eastAsia="zh-CN"/>
        </w:rPr>
        <w:t>4</w:t>
      </w:r>
      <w:r>
        <w:rPr>
          <w:rFonts w:hint="eastAsia" w:ascii="仿宋_GB2312" w:eastAsia="仿宋_GB2312"/>
          <w:sz w:val="32"/>
          <w:szCs w:val="32"/>
        </w:rPr>
        <w:t>个,核定事业编制</w:t>
      </w:r>
      <w:r>
        <w:rPr>
          <w:rFonts w:hint="eastAsia" w:ascii="仿宋_GB2312" w:eastAsia="仿宋_GB2312"/>
          <w:sz w:val="32"/>
          <w:szCs w:val="32"/>
          <w:lang w:val="en-US" w:eastAsia="zh-CN"/>
        </w:rPr>
        <w:t>4</w:t>
      </w:r>
      <w:r>
        <w:rPr>
          <w:rFonts w:hint="eastAsia" w:ascii="仿宋_GB2312" w:eastAsia="仿宋_GB2312"/>
          <w:sz w:val="32"/>
          <w:szCs w:val="32"/>
        </w:rPr>
        <w:t>名</w:t>
      </w:r>
      <w:r>
        <w:rPr>
          <w:rFonts w:hint="eastAsia" w:ascii="仿宋_GB2312" w:eastAsia="仿宋_GB2312"/>
          <w:sz w:val="32"/>
          <w:szCs w:val="32"/>
          <w:lang w:eastAsia="zh-CN"/>
        </w:rPr>
        <w:t>，</w:t>
      </w:r>
      <w:r>
        <w:rPr>
          <w:rFonts w:hint="eastAsia" w:ascii="仿宋_GB2312" w:eastAsia="仿宋_GB2312"/>
          <w:sz w:val="32"/>
          <w:szCs w:val="32"/>
        </w:rPr>
        <w:t>2021年年末在职人数</w:t>
      </w:r>
      <w:r>
        <w:rPr>
          <w:rFonts w:hint="eastAsia" w:ascii="仿宋_GB2312" w:eastAsia="仿宋_GB2312"/>
          <w:sz w:val="32"/>
          <w:szCs w:val="32"/>
          <w:lang w:val="en-US" w:eastAsia="zh-CN"/>
        </w:rPr>
        <w:t>3</w:t>
      </w:r>
      <w:r>
        <w:rPr>
          <w:rFonts w:hint="eastAsia" w:ascii="仿宋_GB2312" w:eastAsia="仿宋_GB2312"/>
          <w:sz w:val="32"/>
          <w:szCs w:val="32"/>
        </w:rPr>
        <w:t>人</w:t>
      </w:r>
      <w:r>
        <w:rPr>
          <w:rFonts w:hint="eastAsia" w:ascii="仿宋_GB2312" w:eastAsia="仿宋_GB2312"/>
          <w:sz w:val="32"/>
          <w:szCs w:val="32"/>
          <w:lang w:eastAsia="zh-CN"/>
        </w:rPr>
        <w:t>。</w:t>
      </w:r>
      <w:r>
        <w:rPr>
          <w:rFonts w:hint="eastAsia" w:ascii="仿宋_GB2312" w:eastAsia="仿宋_GB2312"/>
          <w:sz w:val="32"/>
          <w:szCs w:val="32"/>
        </w:rPr>
        <w:t>2022年6月在职人员总数</w:t>
      </w:r>
      <w:r>
        <w:rPr>
          <w:rFonts w:hint="eastAsia" w:ascii="仿宋_GB2312" w:eastAsia="仿宋_GB2312"/>
          <w:sz w:val="32"/>
          <w:szCs w:val="32"/>
          <w:lang w:val="en-US" w:eastAsia="zh-CN"/>
        </w:rPr>
        <w:t>3</w:t>
      </w:r>
      <w:r>
        <w:rPr>
          <w:rFonts w:hint="eastAsia" w:ascii="仿宋_GB2312" w:eastAsia="仿宋_GB2312"/>
          <w:sz w:val="32"/>
          <w:szCs w:val="32"/>
        </w:rPr>
        <w:t>人，事业人员3名。</w:t>
      </w:r>
    </w:p>
    <w:p>
      <w:pPr>
        <w:ind w:firstLine="640" w:firstLineChars="200"/>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二、2021年及2022年1-6月财政资金当年收支情况</w:t>
      </w:r>
    </w:p>
    <w:p>
      <w:pPr>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（一）收入情况</w:t>
      </w:r>
    </w:p>
    <w:p>
      <w:pPr>
        <w:snapToGrid w:val="0"/>
        <w:spacing w:line="520" w:lineRule="exact"/>
        <w:ind w:firstLine="640" w:firstLineChars="200"/>
        <w:rPr>
          <w:rFonts w:ascii="仿宋_GB2312" w:eastAsia="仿宋_GB2312"/>
          <w:color w:val="000000"/>
          <w:spacing w:val="-2"/>
          <w:kern w:val="2"/>
          <w:sz w:val="32"/>
          <w:szCs w:val="32"/>
          <w:lang w:val="en-US" w:eastAsia="zh-CN" w:bidi="ar-SA"/>
        </w:rPr>
      </w:pPr>
      <w:r>
        <w:rPr>
          <w:rFonts w:hint="eastAsia" w:ascii="仿宋_GB2312" w:eastAsia="仿宋_GB2312"/>
          <w:sz w:val="32"/>
          <w:szCs w:val="32"/>
        </w:rPr>
        <w:t>2021年财政拨款收入</w:t>
      </w:r>
      <w:r>
        <w:rPr>
          <w:rFonts w:hint="eastAsia" w:ascii="仿宋_GB2312" w:eastAsia="仿宋_GB2312"/>
          <w:sz w:val="32"/>
          <w:szCs w:val="32"/>
          <w:lang w:val="en-US" w:eastAsia="zh-CN"/>
        </w:rPr>
        <w:t>81.69</w:t>
      </w:r>
      <w:r>
        <w:rPr>
          <w:rFonts w:hint="eastAsia" w:ascii="仿宋_GB2312" w:eastAsia="仿宋_GB2312"/>
          <w:sz w:val="32"/>
          <w:szCs w:val="32"/>
        </w:rPr>
        <w:t>万元，</w:t>
      </w:r>
      <w:r>
        <w:rPr>
          <w:rFonts w:hint="eastAsia" w:ascii="仿宋_GB2312" w:eastAsia="仿宋_GB2312"/>
          <w:color w:val="000000"/>
          <w:spacing w:val="-2"/>
          <w:kern w:val="2"/>
          <w:sz w:val="32"/>
          <w:szCs w:val="32"/>
          <w:lang w:val="en-US" w:eastAsia="zh-CN" w:bidi="ar-SA"/>
        </w:rPr>
        <w:t>较上年收入增加20.53万元，增加25%。增加的主要原因是</w:t>
      </w:r>
      <w:r>
        <w:rPr>
          <w:rFonts w:hint="eastAsia" w:ascii="仿宋" w:hAnsi="仿宋" w:eastAsia="仿宋" w:cs="仿宋_GB2312"/>
          <w:color w:val="000000"/>
          <w:kern w:val="0"/>
          <w:sz w:val="32"/>
          <w:szCs w:val="32"/>
          <w:lang w:val="zh-CN"/>
        </w:rPr>
        <w:t>增加了公务经费及调资的</w:t>
      </w:r>
      <w:r>
        <w:rPr>
          <w:rFonts w:hint="eastAsia" w:ascii="仿宋" w:hAnsi="仿宋" w:eastAsia="仿宋" w:cs="仿宋_GB2312"/>
          <w:color w:val="000000"/>
          <w:kern w:val="0"/>
          <w:sz w:val="32"/>
          <w:szCs w:val="32"/>
          <w:lang w:val="zh-CN" w:eastAsia="zh-CN"/>
        </w:rPr>
        <w:t>收入</w:t>
      </w:r>
      <w:r>
        <w:rPr>
          <w:rFonts w:hint="eastAsia" w:ascii="仿宋" w:hAnsi="仿宋" w:eastAsia="仿宋" w:cs="仿宋_GB2312"/>
          <w:color w:val="000000"/>
          <w:kern w:val="0"/>
          <w:sz w:val="32"/>
          <w:szCs w:val="32"/>
          <w:lang w:val="zh-CN"/>
        </w:rPr>
        <w:t>数</w:t>
      </w:r>
      <w:r>
        <w:rPr>
          <w:rFonts w:hint="eastAsia" w:ascii="仿宋_GB2312" w:eastAsia="仿宋_GB2312"/>
          <w:color w:val="000000"/>
          <w:spacing w:val="-2"/>
          <w:kern w:val="2"/>
          <w:sz w:val="32"/>
          <w:szCs w:val="32"/>
          <w:lang w:val="en-US" w:eastAsia="zh-CN" w:bidi="ar-SA"/>
        </w:rPr>
        <w:t>。</w:t>
      </w:r>
    </w:p>
    <w:p>
      <w:pPr>
        <w:widowControl/>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2022年1-6月部门预算下达资金为</w:t>
      </w:r>
      <w:r>
        <w:rPr>
          <w:rFonts w:hint="eastAsia" w:ascii="仿宋_GB2312" w:eastAsia="仿宋_GB2312"/>
          <w:sz w:val="32"/>
          <w:szCs w:val="32"/>
          <w:lang w:val="en-US" w:eastAsia="zh-CN"/>
        </w:rPr>
        <w:t>33.05</w:t>
      </w:r>
      <w:r>
        <w:rPr>
          <w:rFonts w:hint="eastAsia" w:ascii="仿宋_GB2312" w:eastAsia="仿宋_GB2312"/>
          <w:sz w:val="32"/>
          <w:szCs w:val="32"/>
        </w:rPr>
        <w:t>万元（其中：基本支出资金</w:t>
      </w:r>
      <w:r>
        <w:rPr>
          <w:rFonts w:hint="eastAsia" w:ascii="仿宋_GB2312" w:eastAsia="仿宋_GB2312"/>
          <w:sz w:val="32"/>
          <w:szCs w:val="32"/>
          <w:lang w:val="en-US" w:eastAsia="zh-CN"/>
        </w:rPr>
        <w:t>33.05</w:t>
      </w:r>
      <w:r>
        <w:rPr>
          <w:rFonts w:hint="eastAsia" w:ascii="仿宋_GB2312" w:eastAsia="仿宋_GB2312"/>
          <w:sz w:val="32"/>
          <w:szCs w:val="32"/>
        </w:rPr>
        <w:t>万元，专项资金0万元)。</w:t>
      </w:r>
    </w:p>
    <w:p>
      <w:pPr>
        <w:ind w:firstLine="643" w:firstLineChars="200"/>
        <w:rPr>
          <w:rFonts w:ascii="楷体_GB2312" w:eastAsia="楷体_GB2312"/>
          <w:b/>
          <w:sz w:val="32"/>
          <w:szCs w:val="32"/>
        </w:rPr>
      </w:pPr>
      <w:r>
        <w:rPr>
          <w:rFonts w:hint="eastAsia" w:ascii="楷体_GB2312" w:eastAsia="楷体_GB2312"/>
          <w:b/>
          <w:sz w:val="32"/>
          <w:szCs w:val="32"/>
        </w:rPr>
        <w:t>（二）支出情况</w:t>
      </w:r>
    </w:p>
    <w:p>
      <w:pPr>
        <w:snapToGrid w:val="0"/>
        <w:spacing w:line="520" w:lineRule="exact"/>
        <w:ind w:firstLine="640" w:firstLineChars="200"/>
        <w:rPr>
          <w:rFonts w:hint="eastAsia" w:ascii="仿宋_GB2312" w:eastAsia="仿宋_GB2312"/>
          <w:color w:val="auto"/>
          <w:spacing w:val="-2"/>
          <w:kern w:val="2"/>
          <w:sz w:val="32"/>
          <w:szCs w:val="32"/>
          <w:lang w:val="en-US" w:eastAsia="zh-CN" w:bidi="ar-SA"/>
        </w:rPr>
      </w:pPr>
      <w:r>
        <w:rPr>
          <w:rFonts w:hint="eastAsia" w:ascii="仿宋_GB2312" w:eastAsia="仿宋_GB2312"/>
          <w:sz w:val="32"/>
          <w:szCs w:val="32"/>
        </w:rPr>
        <w:t>2021年财政拨款支出</w:t>
      </w:r>
      <w:r>
        <w:rPr>
          <w:rFonts w:hint="eastAsia" w:ascii="仿宋_GB2312" w:eastAsia="仿宋_GB2312"/>
          <w:spacing w:val="-2"/>
          <w:sz w:val="32"/>
          <w:szCs w:val="32"/>
          <w:lang w:val="en-US" w:eastAsia="zh-CN"/>
        </w:rPr>
        <w:t>81.69</w:t>
      </w:r>
      <w:r>
        <w:rPr>
          <w:rFonts w:hint="eastAsia" w:ascii="仿宋_GB2312" w:eastAsia="仿宋_GB2312"/>
          <w:sz w:val="32"/>
          <w:szCs w:val="32"/>
        </w:rPr>
        <w:t>万元，</w:t>
      </w:r>
      <w:r>
        <w:rPr>
          <w:rFonts w:hint="eastAsia" w:ascii="仿宋_GB2312" w:eastAsia="仿宋_GB2312"/>
          <w:color w:val="auto"/>
          <w:spacing w:val="-2"/>
          <w:kern w:val="2"/>
          <w:sz w:val="32"/>
          <w:szCs w:val="32"/>
          <w:lang w:val="en-US" w:eastAsia="zh-CN" w:bidi="ar-SA"/>
        </w:rPr>
        <w:t>较上年支出增加20.53万元，增加25%。主要原因是2021年增加了公务经费和人员经费支出。</w:t>
      </w:r>
    </w:p>
    <w:p>
      <w:pPr>
        <w:spacing w:line="560" w:lineRule="exact"/>
        <w:ind w:firstLine="632" w:firstLineChars="200"/>
        <w:rPr>
          <w:rFonts w:ascii="仿宋_GB2312" w:eastAsia="仿宋_GB2312"/>
          <w:color w:val="000000" w:themeColor="text1"/>
          <w:spacing w:val="-2"/>
          <w:sz w:val="32"/>
          <w:szCs w:val="32"/>
          <w14:textFill>
            <w14:solidFill>
              <w14:schemeClr w14:val="tx1"/>
            </w14:solidFill>
          </w14:textFill>
        </w:rPr>
      </w:pPr>
      <w:r>
        <w:rPr>
          <w:rFonts w:hint="eastAsia" w:ascii="仿宋_GB2312" w:eastAsia="仿宋_GB2312"/>
          <w:color w:val="000000" w:themeColor="text1"/>
          <w:spacing w:val="-2"/>
          <w:sz w:val="32"/>
          <w:szCs w:val="32"/>
          <w14:textFill>
            <w14:solidFill>
              <w14:schemeClr w14:val="tx1"/>
            </w14:solidFill>
          </w14:textFill>
        </w:rPr>
        <w:t>2021年1-6月支出当年部门预算资金</w:t>
      </w:r>
      <w:r>
        <w:rPr>
          <w:rFonts w:hint="eastAsia" w:ascii="仿宋_GB2312" w:eastAsia="仿宋_GB2312"/>
          <w:color w:val="000000" w:themeColor="text1"/>
          <w:spacing w:val="-2"/>
          <w:sz w:val="32"/>
          <w:szCs w:val="32"/>
          <w:lang w:val="en-US" w:eastAsia="zh-CN"/>
          <w14:textFill>
            <w14:solidFill>
              <w14:schemeClr w14:val="tx1"/>
            </w14:solidFill>
          </w14:textFill>
        </w:rPr>
        <w:t>33.05</w:t>
      </w:r>
      <w:r>
        <w:rPr>
          <w:rFonts w:hint="eastAsia" w:ascii="仿宋_GB2312" w:eastAsia="仿宋_GB2312"/>
          <w:color w:val="000000" w:themeColor="text1"/>
          <w:spacing w:val="-2"/>
          <w:sz w:val="32"/>
          <w:szCs w:val="32"/>
          <w14:textFill>
            <w14:solidFill>
              <w14:schemeClr w14:val="tx1"/>
            </w14:solidFill>
          </w14:textFill>
        </w:rPr>
        <w:t>万元（其中：基本支出资金</w:t>
      </w:r>
      <w:r>
        <w:rPr>
          <w:rFonts w:hint="eastAsia" w:ascii="仿宋_GB2312" w:eastAsia="仿宋_GB2312"/>
          <w:color w:val="000000" w:themeColor="text1"/>
          <w:spacing w:val="-2"/>
          <w:sz w:val="32"/>
          <w:szCs w:val="32"/>
          <w:lang w:val="en-US" w:eastAsia="zh-CN"/>
          <w14:textFill>
            <w14:solidFill>
              <w14:schemeClr w14:val="tx1"/>
            </w14:solidFill>
          </w14:textFill>
        </w:rPr>
        <w:t>33.05</w:t>
      </w:r>
      <w:r>
        <w:rPr>
          <w:rFonts w:hint="eastAsia" w:ascii="仿宋_GB2312" w:eastAsia="仿宋_GB2312"/>
          <w:color w:val="000000" w:themeColor="text1"/>
          <w:spacing w:val="-2"/>
          <w:sz w:val="32"/>
          <w:szCs w:val="32"/>
          <w14:textFill>
            <w14:solidFill>
              <w14:schemeClr w14:val="tx1"/>
            </w14:solidFill>
          </w14:textFill>
        </w:rPr>
        <w:t>万元,专项资金0万元）。</w:t>
      </w:r>
    </w:p>
    <w:p>
      <w:pPr>
        <w:numPr>
          <w:ilvl w:val="0"/>
          <w:numId w:val="4"/>
        </w:numPr>
        <w:ind w:firstLine="640" w:firstLineChars="200"/>
        <w:rPr>
          <w:rFonts w:ascii="黑体" w:eastAsia="黑体"/>
          <w:sz w:val="32"/>
          <w:szCs w:val="32"/>
        </w:rPr>
      </w:pPr>
      <w:r>
        <w:rPr>
          <w:rFonts w:hint="eastAsia" w:ascii="黑体" w:eastAsia="黑体"/>
          <w:sz w:val="32"/>
          <w:szCs w:val="32"/>
        </w:rPr>
        <w:t>2021年及2022年1-6月年财政支出管理情况</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（一）预算编制情况</w:t>
      </w:r>
    </w:p>
    <w:p>
      <w:pPr>
        <w:ind w:firstLine="604"/>
        <w:rPr>
          <w:rFonts w:ascii="仿宋" w:eastAsia="仿宋" w:cs="仿宋"/>
          <w:sz w:val="32"/>
          <w:szCs w:val="32"/>
        </w:rPr>
      </w:pPr>
      <w:r>
        <w:rPr>
          <w:rFonts w:hint="eastAsia" w:ascii="仿宋" w:eastAsia="仿宋" w:cs="仿宋"/>
          <w:sz w:val="32"/>
          <w:szCs w:val="32"/>
        </w:rPr>
        <w:t>我单位严格按照县级部门预算编制通知和有关要求，按时完成基础库、项目库报送工作，按时完成2021、2022年预算编制工作，并及时提交部门预算草案。</w:t>
      </w:r>
    </w:p>
    <w:p>
      <w:pPr>
        <w:spacing w:line="600" w:lineRule="exact"/>
        <w:ind w:firstLine="472" w:firstLineChars="147"/>
        <w:rPr>
          <w:rFonts w:ascii="仿宋_GB2312" w:eastAsia="仿宋_GB2312" w:cs="仿宋"/>
          <w:color w:val="000000"/>
          <w:sz w:val="32"/>
          <w:szCs w:val="32"/>
        </w:rPr>
      </w:pPr>
      <w:r>
        <w:rPr>
          <w:rFonts w:hint="eastAsia" w:ascii="楷体_GB2312" w:eastAsia="楷体_GB2312"/>
          <w:b/>
          <w:sz w:val="32"/>
          <w:szCs w:val="32"/>
          <w:lang w:val="zh-CN"/>
        </w:rPr>
        <w:t>（二）执行管理情况</w:t>
      </w:r>
    </w:p>
    <w:p>
      <w:pPr>
        <w:ind w:firstLine="640" w:firstLineChars="200"/>
        <w:rPr>
          <w:rFonts w:ascii="仿宋_GB2312" w:eastAsia="仿宋_GB2312"/>
          <w:color w:val="FF0000"/>
          <w:sz w:val="32"/>
          <w:szCs w:val="32"/>
        </w:rPr>
      </w:pPr>
      <w:r>
        <w:rPr>
          <w:rFonts w:hint="eastAsia" w:ascii="仿宋_GB2312" w:eastAsia="仿宋_GB2312" w:cs="仿宋"/>
          <w:sz w:val="32"/>
          <w:szCs w:val="32"/>
        </w:rPr>
        <w:t>2021年“三公”经费支出决算数为0万元</w:t>
      </w:r>
      <w:r>
        <w:rPr>
          <w:rFonts w:hint="eastAsia" w:ascii="仿宋_GB2312" w:eastAsia="仿宋_GB2312" w:cs="仿宋"/>
          <w:color w:val="000000"/>
          <w:sz w:val="32"/>
          <w:szCs w:val="32"/>
        </w:rPr>
        <w:t>。</w:t>
      </w:r>
    </w:p>
    <w:p>
      <w:pPr>
        <w:ind w:firstLine="640" w:firstLineChars="200"/>
        <w:rPr>
          <w:rFonts w:ascii="仿宋" w:eastAsia="仿宋" w:cs="仿宋"/>
          <w:sz w:val="32"/>
          <w:szCs w:val="32"/>
        </w:rPr>
      </w:pPr>
      <w:r>
        <w:rPr>
          <w:rFonts w:hint="eastAsia" w:ascii="仿宋" w:eastAsia="仿宋" w:cs="仿宋"/>
          <w:sz w:val="32"/>
          <w:szCs w:val="32"/>
        </w:rPr>
        <w:t>2022年1-6月“三公”经费公务用车运行费支出</w:t>
      </w:r>
      <w:r>
        <w:rPr>
          <w:rFonts w:hint="eastAsia" w:ascii="仿宋" w:eastAsia="仿宋" w:cs="仿宋"/>
          <w:sz w:val="32"/>
          <w:szCs w:val="32"/>
          <w:lang w:val="en-US" w:eastAsia="zh-CN"/>
        </w:rPr>
        <w:t>0</w:t>
      </w:r>
      <w:r>
        <w:rPr>
          <w:rFonts w:hint="eastAsia" w:ascii="仿宋" w:eastAsia="仿宋" w:cs="仿宋"/>
          <w:sz w:val="32"/>
          <w:szCs w:val="32"/>
        </w:rPr>
        <w:t>万元。</w:t>
      </w:r>
    </w:p>
    <w:p>
      <w:pPr>
        <w:ind w:firstLine="607"/>
        <w:rPr>
          <w:rFonts w:ascii="楷体_GB2312" w:eastAsia="楷体_GB2312"/>
          <w:b/>
          <w:sz w:val="32"/>
          <w:szCs w:val="32"/>
          <w:lang w:val="zh-CN"/>
        </w:rPr>
      </w:pPr>
      <w:r>
        <w:rPr>
          <w:rFonts w:hint="eastAsia" w:ascii="楷体_GB2312" w:eastAsia="楷体_GB2312"/>
          <w:b/>
          <w:sz w:val="32"/>
          <w:szCs w:val="32"/>
          <w:lang w:val="zh-CN"/>
        </w:rPr>
        <w:t>（三）综合管理情况</w:t>
      </w:r>
    </w:p>
    <w:p>
      <w:pPr>
        <w:rPr>
          <w:rFonts w:ascii="楷体_GB2312" w:eastAsia="楷体_GB2312"/>
          <w:b/>
          <w:sz w:val="32"/>
          <w:szCs w:val="32"/>
          <w:lang w:val="zh-CN"/>
        </w:rPr>
      </w:pPr>
      <w:r>
        <w:rPr>
          <w:rFonts w:hint="eastAsia" w:ascii="仿宋" w:eastAsia="仿宋" w:cs="仿宋"/>
          <w:sz w:val="32"/>
          <w:szCs w:val="32"/>
        </w:rPr>
        <w:t xml:space="preserve">    我单位认真贯彻落实中央、省委省政府、州委州政府和县委县政府相关规定，</w:t>
      </w:r>
      <w:r>
        <w:rPr>
          <w:rFonts w:hint="eastAsia" w:ascii="仿宋_GB2312" w:eastAsia="仿宋_GB2312"/>
          <w:sz w:val="32"/>
          <w:szCs w:val="32"/>
        </w:rPr>
        <w:t>财务管理制度健全，执行制度严格合规，会计核算符合相关规定，资金专款专用，资金支付依据和开支标准合法合规，严格执行政府采购，并依法接受财政监督。</w:t>
      </w:r>
    </w:p>
    <w:p>
      <w:pPr>
        <w:ind w:firstLine="604"/>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四</w:t>
      </w:r>
      <w:r>
        <w:rPr>
          <w:rFonts w:hint="eastAsia" w:ascii="楷体_GB2312" w:eastAsia="楷体_GB2312"/>
          <w:b/>
          <w:sz w:val="32"/>
          <w:szCs w:val="32"/>
          <w:lang w:val="zh-CN"/>
        </w:rPr>
        <w:t>）整体绩效</w:t>
      </w:r>
    </w:p>
    <w:p>
      <w:pPr>
        <w:ind w:firstLine="640"/>
        <w:rPr>
          <w:rFonts w:ascii="仿宋_GB2312" w:eastAsia="仿宋_GB2312"/>
          <w:sz w:val="32"/>
          <w:szCs w:val="32"/>
        </w:rPr>
      </w:pPr>
      <w:r>
        <w:rPr>
          <w:rFonts w:hint="eastAsia" w:ascii="仿宋_GB2312" w:eastAsia="仿宋_GB2312"/>
          <w:sz w:val="32"/>
          <w:szCs w:val="32"/>
        </w:rPr>
        <w:t>深入贯彻落实“全面实施绩效管理”的要求，努力提升本单位绩效预算管理业务水平。加大资金使用效率，提升单位管理水平,及时加快部门预算及项目支出进度。截至目前，我单位项目支出进度过慢，主要原因为专项资金上半年均处于项目申报过程中，资金尚未</w:t>
      </w:r>
      <w:r>
        <w:rPr>
          <w:rFonts w:hint="eastAsia" w:ascii="仿宋_GB2312" w:eastAsia="仿宋_GB2312"/>
          <w:sz w:val="32"/>
          <w:szCs w:val="32"/>
          <w:lang w:eastAsia="zh-CN"/>
        </w:rPr>
        <w:t>完成</w:t>
      </w:r>
      <w:r>
        <w:rPr>
          <w:rFonts w:hint="eastAsia" w:ascii="仿宋_GB2312" w:eastAsia="仿宋_GB2312"/>
          <w:sz w:val="32"/>
          <w:szCs w:val="32"/>
        </w:rPr>
        <w:t>支付。</w:t>
      </w:r>
    </w:p>
    <w:p>
      <w:pPr>
        <w:numPr>
          <w:ilvl w:val="0"/>
          <w:numId w:val="4"/>
        </w:numPr>
        <w:ind w:firstLine="640" w:firstLineChars="200"/>
        <w:rPr>
          <w:rFonts w:ascii="黑体" w:eastAsia="黑体"/>
          <w:sz w:val="32"/>
          <w:szCs w:val="32"/>
        </w:rPr>
      </w:pPr>
      <w:r>
        <w:rPr>
          <w:rFonts w:hint="eastAsia" w:ascii="黑体" w:eastAsia="黑体"/>
          <w:sz w:val="32"/>
          <w:szCs w:val="32"/>
        </w:rPr>
        <w:t>评价结论及建议</w:t>
      </w:r>
    </w:p>
    <w:p>
      <w:pPr>
        <w:numPr>
          <w:ilvl w:val="0"/>
          <w:numId w:val="5"/>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评价结论</w:t>
      </w:r>
    </w:p>
    <w:p>
      <w:pPr>
        <w:ind w:firstLine="640" w:firstLineChars="200"/>
        <w:rPr>
          <w:rFonts w:ascii="仿宋" w:eastAsia="仿宋" w:cs="仿宋"/>
          <w:sz w:val="32"/>
          <w:szCs w:val="32"/>
          <w:lang w:val="zh-CN"/>
        </w:rPr>
      </w:pPr>
      <w:r>
        <w:rPr>
          <w:rFonts w:hint="eastAsia" w:ascii="仿宋" w:eastAsia="仿宋" w:cs="仿宋"/>
          <w:sz w:val="32"/>
          <w:szCs w:val="32"/>
          <w:lang w:val="zh-CN"/>
        </w:rPr>
        <w:t>综上所诉，</w:t>
      </w:r>
      <w:r>
        <w:rPr>
          <w:rFonts w:hint="eastAsia" w:ascii="仿宋" w:eastAsia="仿宋" w:cs="仿宋"/>
          <w:sz w:val="32"/>
          <w:szCs w:val="32"/>
        </w:rPr>
        <w:t>我单位部门预算支出绩效自评得分</w:t>
      </w:r>
      <w:r>
        <w:rPr>
          <w:rFonts w:hint="eastAsia" w:ascii="仿宋" w:eastAsia="仿宋" w:cs="仿宋"/>
          <w:sz w:val="32"/>
          <w:szCs w:val="32"/>
          <w:lang w:val="en-US" w:eastAsia="zh-CN"/>
        </w:rPr>
        <w:t>83</w:t>
      </w:r>
      <w:r>
        <w:rPr>
          <w:rFonts w:hint="eastAsia" w:ascii="仿宋" w:eastAsia="仿宋" w:cs="仿宋"/>
          <w:sz w:val="32"/>
          <w:szCs w:val="32"/>
        </w:rPr>
        <w:t>分。</w:t>
      </w:r>
    </w:p>
    <w:p>
      <w:pPr>
        <w:numPr>
          <w:ilvl w:val="0"/>
          <w:numId w:val="5"/>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存在的问题</w:t>
      </w:r>
    </w:p>
    <w:p>
      <w:pPr>
        <w:ind w:firstLine="640" w:firstLineChars="200"/>
        <w:rPr>
          <w:rFonts w:ascii="仿宋_GB2312" w:eastAsia="仿宋_GB2312"/>
          <w:sz w:val="32"/>
          <w:szCs w:val="32"/>
        </w:rPr>
      </w:pPr>
      <w:r>
        <w:rPr>
          <w:rFonts w:hint="eastAsia" w:ascii="仿宋_GB2312" w:eastAsia="仿宋_GB2312"/>
          <w:sz w:val="32"/>
          <w:szCs w:val="32"/>
        </w:rPr>
        <w:t>今年上半年，由于上半年重点在实现人员经费支出、日常经费正常支付、项目组织实施等方面，项目都还处于实施阶段，资金尚未</w:t>
      </w:r>
      <w:r>
        <w:rPr>
          <w:rFonts w:hint="eastAsia" w:ascii="仿宋_GB2312" w:eastAsia="仿宋_GB2312"/>
          <w:sz w:val="32"/>
          <w:szCs w:val="32"/>
          <w:lang w:eastAsia="zh-CN"/>
        </w:rPr>
        <w:t>完成</w:t>
      </w:r>
      <w:r>
        <w:rPr>
          <w:rFonts w:hint="eastAsia" w:ascii="仿宋_GB2312" w:eastAsia="仿宋_GB2312"/>
          <w:sz w:val="32"/>
          <w:szCs w:val="32"/>
        </w:rPr>
        <w:t>支付，造成财政资金支出进度过慢。</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（三）改进建议</w:t>
      </w:r>
    </w:p>
    <w:p>
      <w:pPr>
        <w:ind w:firstLine="640" w:firstLineChars="200"/>
        <w:rPr>
          <w:rFonts w:hint="eastAsia" w:ascii="仿宋_GB2312" w:eastAsia="仿宋_GB2312"/>
          <w:sz w:val="32"/>
          <w:szCs w:val="32"/>
        </w:rPr>
      </w:pPr>
      <w:r>
        <w:rPr>
          <w:rFonts w:hint="eastAsia" w:ascii="仿宋_GB2312" w:eastAsia="仿宋_GB2312"/>
          <w:sz w:val="32"/>
          <w:szCs w:val="32"/>
        </w:rPr>
        <w:t>在今后的工作中，我单位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继续加大项目实施力度，加快支出进度。</w:t>
      </w:r>
      <w:bookmarkStart w:id="55" w:name="_Toc15396618"/>
      <w:bookmarkStart w:id="56" w:name="_Toc15396619"/>
    </w:p>
    <w:p>
      <w:pPr>
        <w:spacing w:line="600" w:lineRule="exact"/>
        <w:jc w:val="center"/>
        <w:outlineLvl w:val="0"/>
        <w:rPr>
          <w:rStyle w:val="25"/>
          <w:rFonts w:ascii="黑体" w:eastAsia="黑体"/>
          <w:b w:val="0"/>
        </w:rPr>
      </w:pPr>
      <w:r>
        <w:rPr>
          <w:rFonts w:hint="eastAsia" w:ascii="黑体" w:eastAsia="黑体"/>
          <w:color w:val="000000"/>
          <w:sz w:val="44"/>
          <w:szCs w:val="44"/>
        </w:rPr>
        <w:t>第</w:t>
      </w:r>
      <w:r>
        <w:rPr>
          <w:rStyle w:val="25"/>
          <w:rFonts w:hint="eastAsia" w:ascii="黑体" w:eastAsia="黑体"/>
          <w:b w:val="0"/>
        </w:rPr>
        <w:t>五部分 附表</w:t>
      </w:r>
      <w:bookmarkEnd w:id="55"/>
    </w:p>
    <w:p>
      <w:pPr>
        <w:pStyle w:val="4"/>
        <w:rPr>
          <w:rFonts w:ascii="仿宋" w:eastAsia="仿宋"/>
          <w:color w:val="000000"/>
        </w:rPr>
      </w:pPr>
      <w:r>
        <w:rPr>
          <w:rFonts w:hint="eastAsia" w:ascii="仿宋" w:eastAsia="仿宋"/>
          <w:b w:val="0"/>
          <w:color w:val="000000"/>
        </w:rPr>
        <w:t>一、收</w:t>
      </w:r>
      <w:r>
        <w:rPr>
          <w:rStyle w:val="26"/>
          <w:rFonts w:hint="eastAsia" w:ascii="仿宋" w:eastAsia="仿宋"/>
          <w:b w:val="0"/>
          <w:bCs w:val="0"/>
        </w:rPr>
        <w:t>入支出决算总表</w:t>
      </w:r>
      <w:bookmarkEnd w:id="56"/>
    </w:p>
    <w:p>
      <w:pPr>
        <w:pStyle w:val="4"/>
        <w:rPr>
          <w:rFonts w:ascii="仿宋" w:eastAsia="仿宋"/>
          <w:color w:val="000000"/>
        </w:rPr>
      </w:pPr>
      <w:bookmarkStart w:id="57" w:name="_Toc15396620"/>
      <w:r>
        <w:rPr>
          <w:rFonts w:hint="eastAsia" w:ascii="仿宋" w:eastAsia="仿宋"/>
          <w:b w:val="0"/>
          <w:color w:val="000000"/>
        </w:rPr>
        <w:t>二、收</w:t>
      </w:r>
      <w:r>
        <w:rPr>
          <w:rStyle w:val="26"/>
          <w:rFonts w:hint="eastAsia" w:ascii="仿宋" w:eastAsia="仿宋"/>
          <w:b w:val="0"/>
          <w:bCs w:val="0"/>
        </w:rPr>
        <w:t>入决算表</w:t>
      </w:r>
      <w:bookmarkEnd w:id="57"/>
    </w:p>
    <w:p>
      <w:pPr>
        <w:pStyle w:val="4"/>
        <w:rPr>
          <w:rFonts w:ascii="仿宋" w:eastAsia="仿宋"/>
          <w:color w:val="000000"/>
        </w:rPr>
      </w:pPr>
      <w:bookmarkStart w:id="58" w:name="_Toc15396621"/>
      <w:r>
        <w:rPr>
          <w:rStyle w:val="26"/>
          <w:rFonts w:hint="eastAsia" w:ascii="仿宋" w:eastAsia="仿宋"/>
          <w:b w:val="0"/>
          <w:bCs w:val="0"/>
        </w:rPr>
        <w:t>三、</w:t>
      </w:r>
      <w:r>
        <w:rPr>
          <w:rFonts w:hint="eastAsia" w:ascii="仿宋" w:eastAsia="仿宋"/>
          <w:b w:val="0"/>
          <w:color w:val="000000"/>
        </w:rPr>
        <w:t>支</w:t>
      </w:r>
      <w:r>
        <w:rPr>
          <w:rStyle w:val="26"/>
          <w:rFonts w:hint="eastAsia" w:ascii="仿宋" w:eastAsia="仿宋"/>
          <w:b w:val="0"/>
          <w:bCs w:val="0"/>
        </w:rPr>
        <w:t>出决算表</w:t>
      </w:r>
      <w:bookmarkEnd w:id="58"/>
    </w:p>
    <w:p>
      <w:pPr>
        <w:pStyle w:val="4"/>
        <w:rPr>
          <w:rFonts w:ascii="仿宋" w:eastAsia="仿宋"/>
          <w:b w:val="0"/>
          <w:color w:val="000000"/>
        </w:rPr>
      </w:pPr>
      <w:bookmarkStart w:id="59" w:name="_Toc15396622"/>
      <w:r>
        <w:rPr>
          <w:rStyle w:val="26"/>
          <w:rFonts w:hint="eastAsia" w:ascii="仿宋" w:eastAsia="仿宋"/>
          <w:b w:val="0"/>
          <w:bCs w:val="0"/>
        </w:rPr>
        <w:t>四、</w:t>
      </w:r>
      <w:r>
        <w:rPr>
          <w:rFonts w:hint="eastAsia" w:ascii="仿宋" w:eastAsia="仿宋"/>
          <w:b w:val="0"/>
          <w:color w:val="000000"/>
        </w:rPr>
        <w:t>财</w:t>
      </w:r>
      <w:r>
        <w:rPr>
          <w:rStyle w:val="26"/>
          <w:rFonts w:hint="eastAsia" w:ascii="仿宋" w:eastAsia="仿宋"/>
          <w:b w:val="0"/>
          <w:bCs w:val="0"/>
        </w:rPr>
        <w:t>政拨款收入支出决算总表</w:t>
      </w:r>
      <w:bookmarkEnd w:id="59"/>
    </w:p>
    <w:p>
      <w:pPr>
        <w:pStyle w:val="4"/>
        <w:rPr>
          <w:rFonts w:ascii="仿宋" w:eastAsia="仿宋"/>
          <w:color w:val="000000"/>
        </w:rPr>
      </w:pPr>
      <w:bookmarkStart w:id="60" w:name="_Toc15396623"/>
      <w:r>
        <w:rPr>
          <w:rStyle w:val="26"/>
          <w:rFonts w:hint="eastAsia" w:ascii="仿宋" w:eastAsia="仿宋"/>
          <w:b w:val="0"/>
          <w:bCs w:val="0"/>
        </w:rPr>
        <w:t>五、</w:t>
      </w:r>
      <w:r>
        <w:rPr>
          <w:rFonts w:hint="eastAsia" w:ascii="仿宋" w:eastAsia="仿宋"/>
          <w:b w:val="0"/>
          <w:color w:val="000000"/>
        </w:rPr>
        <w:t>财</w:t>
      </w:r>
      <w:r>
        <w:rPr>
          <w:rStyle w:val="26"/>
          <w:rFonts w:hint="eastAsia" w:ascii="仿宋" w:eastAsia="仿宋"/>
          <w:b w:val="0"/>
          <w:bCs w:val="0"/>
        </w:rPr>
        <w:t>政拨款支出决算明细表（政府经济分类科目）</w:t>
      </w:r>
      <w:bookmarkEnd w:id="60"/>
    </w:p>
    <w:p>
      <w:pPr>
        <w:pStyle w:val="4"/>
        <w:rPr>
          <w:rFonts w:ascii="仿宋" w:eastAsia="仿宋"/>
          <w:color w:val="000000"/>
        </w:rPr>
      </w:pPr>
      <w:bookmarkStart w:id="61" w:name="_Toc15396624"/>
      <w:r>
        <w:rPr>
          <w:rStyle w:val="26"/>
          <w:rFonts w:hint="eastAsia" w:ascii="仿宋" w:eastAsia="仿宋"/>
          <w:b w:val="0"/>
          <w:bCs w:val="0"/>
        </w:rPr>
        <w:t>六、</w:t>
      </w:r>
      <w:r>
        <w:rPr>
          <w:rFonts w:hint="eastAsia" w:ascii="仿宋" w:eastAsia="仿宋"/>
          <w:b w:val="0"/>
          <w:color w:val="000000"/>
        </w:rPr>
        <w:t>一</w:t>
      </w:r>
      <w:r>
        <w:rPr>
          <w:rStyle w:val="26"/>
          <w:rFonts w:hint="eastAsia" w:ascii="仿宋" w:eastAsia="仿宋"/>
          <w:b w:val="0"/>
          <w:bCs w:val="0"/>
        </w:rPr>
        <w:t>般公共预算财政拨款支出决算表</w:t>
      </w:r>
      <w:bookmarkEnd w:id="61"/>
    </w:p>
    <w:p>
      <w:pPr>
        <w:pStyle w:val="4"/>
        <w:rPr>
          <w:rFonts w:ascii="仿宋" w:eastAsia="仿宋"/>
          <w:color w:val="000000"/>
        </w:rPr>
      </w:pPr>
      <w:bookmarkStart w:id="62" w:name="_Toc15396625"/>
      <w:r>
        <w:rPr>
          <w:rStyle w:val="26"/>
          <w:rFonts w:hint="eastAsia" w:ascii="仿宋" w:eastAsia="仿宋"/>
          <w:b w:val="0"/>
          <w:bCs w:val="0"/>
        </w:rPr>
        <w:t>七、</w:t>
      </w:r>
      <w:r>
        <w:rPr>
          <w:rFonts w:hint="eastAsia" w:ascii="仿宋" w:eastAsia="仿宋"/>
          <w:b w:val="0"/>
          <w:color w:val="000000"/>
        </w:rPr>
        <w:t>一</w:t>
      </w:r>
      <w:r>
        <w:rPr>
          <w:rStyle w:val="26"/>
          <w:rFonts w:hint="eastAsia" w:ascii="仿宋" w:eastAsia="仿宋"/>
          <w:b w:val="0"/>
          <w:bCs w:val="0"/>
        </w:rPr>
        <w:t>般公共预算财政拨款支出决算明细表</w:t>
      </w:r>
      <w:bookmarkEnd w:id="62"/>
    </w:p>
    <w:p>
      <w:pPr>
        <w:pStyle w:val="4"/>
        <w:rPr>
          <w:rFonts w:ascii="仿宋" w:eastAsia="仿宋"/>
          <w:color w:val="000000"/>
        </w:rPr>
      </w:pPr>
      <w:bookmarkStart w:id="63" w:name="_Toc15396626"/>
      <w:r>
        <w:rPr>
          <w:rStyle w:val="26"/>
          <w:rFonts w:hint="eastAsia" w:ascii="仿宋" w:eastAsia="仿宋"/>
          <w:b w:val="0"/>
          <w:bCs w:val="0"/>
        </w:rPr>
        <w:t>八、</w:t>
      </w:r>
      <w:r>
        <w:rPr>
          <w:rFonts w:hint="eastAsia" w:ascii="仿宋" w:eastAsia="仿宋"/>
          <w:b w:val="0"/>
          <w:color w:val="000000"/>
        </w:rPr>
        <w:t>一</w:t>
      </w:r>
      <w:r>
        <w:rPr>
          <w:rStyle w:val="26"/>
          <w:rFonts w:hint="eastAsia" w:ascii="仿宋" w:eastAsia="仿宋"/>
          <w:b w:val="0"/>
          <w:bCs w:val="0"/>
        </w:rPr>
        <w:t>般公共预算财政拨款基本支出决算表</w:t>
      </w:r>
      <w:bookmarkEnd w:id="63"/>
    </w:p>
    <w:p>
      <w:pPr>
        <w:pStyle w:val="4"/>
        <w:rPr>
          <w:rFonts w:ascii="仿宋" w:eastAsia="仿宋"/>
          <w:color w:val="000000"/>
        </w:rPr>
      </w:pPr>
      <w:bookmarkStart w:id="64" w:name="_Toc15396627"/>
      <w:r>
        <w:rPr>
          <w:rStyle w:val="26"/>
          <w:rFonts w:hint="eastAsia" w:ascii="仿宋" w:eastAsia="仿宋"/>
          <w:b w:val="0"/>
          <w:bCs w:val="0"/>
        </w:rPr>
        <w:t>九、</w:t>
      </w:r>
      <w:r>
        <w:rPr>
          <w:rFonts w:hint="eastAsia" w:ascii="仿宋" w:eastAsia="仿宋"/>
          <w:b w:val="0"/>
          <w:color w:val="000000"/>
        </w:rPr>
        <w:t>一</w:t>
      </w:r>
      <w:r>
        <w:rPr>
          <w:rStyle w:val="26"/>
          <w:rFonts w:hint="eastAsia" w:ascii="仿宋" w:eastAsia="仿宋"/>
          <w:b w:val="0"/>
          <w:bCs w:val="0"/>
        </w:rPr>
        <w:t>般公共预算财政拨款项目支出决算表</w:t>
      </w:r>
      <w:bookmarkEnd w:id="64"/>
    </w:p>
    <w:p>
      <w:pPr>
        <w:pStyle w:val="4"/>
        <w:rPr>
          <w:rFonts w:ascii="仿宋" w:eastAsia="仿宋"/>
          <w:color w:val="000000"/>
        </w:rPr>
      </w:pPr>
      <w:bookmarkStart w:id="65" w:name="_Toc15396628"/>
      <w:r>
        <w:rPr>
          <w:rStyle w:val="26"/>
          <w:rFonts w:hint="eastAsia" w:ascii="仿宋" w:eastAsia="仿宋"/>
          <w:b w:val="0"/>
          <w:bCs w:val="0"/>
        </w:rPr>
        <w:t>十、</w:t>
      </w:r>
      <w:r>
        <w:rPr>
          <w:rFonts w:hint="eastAsia" w:ascii="仿宋" w:eastAsia="仿宋"/>
          <w:b w:val="0"/>
          <w:color w:val="000000"/>
        </w:rPr>
        <w:t>一</w:t>
      </w:r>
      <w:r>
        <w:rPr>
          <w:rStyle w:val="26"/>
          <w:rFonts w:hint="eastAsia" w:ascii="仿宋" w:eastAsia="仿宋"/>
          <w:b w:val="0"/>
          <w:bCs w:val="0"/>
        </w:rPr>
        <w:t>般公共预算财政拨款“三公”经费支出决算表</w:t>
      </w:r>
      <w:bookmarkEnd w:id="65"/>
    </w:p>
    <w:p>
      <w:pPr>
        <w:pStyle w:val="4"/>
        <w:rPr>
          <w:rFonts w:ascii="仿宋" w:eastAsia="仿宋"/>
          <w:color w:val="000000"/>
        </w:rPr>
      </w:pPr>
      <w:bookmarkStart w:id="66" w:name="_Toc15396629"/>
      <w:r>
        <w:rPr>
          <w:rStyle w:val="26"/>
          <w:rFonts w:hint="eastAsia" w:ascii="仿宋" w:eastAsia="仿宋"/>
          <w:b w:val="0"/>
          <w:bCs w:val="0"/>
        </w:rPr>
        <w:t>十一、</w:t>
      </w:r>
      <w:r>
        <w:rPr>
          <w:rFonts w:hint="eastAsia" w:ascii="仿宋" w:eastAsia="仿宋"/>
          <w:b w:val="0"/>
          <w:color w:val="000000"/>
        </w:rPr>
        <w:t>政</w:t>
      </w:r>
      <w:r>
        <w:rPr>
          <w:rStyle w:val="26"/>
          <w:rFonts w:hint="eastAsia" w:ascii="仿宋" w:eastAsia="仿宋"/>
          <w:b w:val="0"/>
          <w:bCs w:val="0"/>
        </w:rPr>
        <w:t>府性基金预算财政拨款收入支出决算表</w:t>
      </w:r>
      <w:bookmarkEnd w:id="66"/>
    </w:p>
    <w:p>
      <w:pPr>
        <w:pStyle w:val="4"/>
        <w:rPr>
          <w:rFonts w:ascii="仿宋" w:eastAsia="仿宋"/>
          <w:color w:val="000000"/>
        </w:rPr>
      </w:pPr>
      <w:bookmarkStart w:id="67" w:name="_Toc15396630"/>
      <w:r>
        <w:rPr>
          <w:rStyle w:val="26"/>
          <w:rFonts w:hint="eastAsia" w:ascii="仿宋" w:eastAsia="仿宋"/>
          <w:b w:val="0"/>
          <w:bCs w:val="0"/>
        </w:rPr>
        <w:t>十二、</w:t>
      </w:r>
      <w:r>
        <w:rPr>
          <w:rFonts w:hint="eastAsia" w:ascii="仿宋" w:eastAsia="仿宋"/>
          <w:b w:val="0"/>
          <w:color w:val="000000"/>
        </w:rPr>
        <w:t>政</w:t>
      </w:r>
      <w:r>
        <w:rPr>
          <w:rStyle w:val="26"/>
          <w:rFonts w:hint="eastAsia" w:ascii="仿宋" w:eastAsia="仿宋"/>
          <w:b w:val="0"/>
          <w:bCs w:val="0"/>
        </w:rPr>
        <w:t>府性基金预算财政拨款“三公”经费支出决算表</w:t>
      </w:r>
      <w:bookmarkEnd w:id="67"/>
    </w:p>
    <w:p>
      <w:pPr>
        <w:pStyle w:val="4"/>
        <w:rPr>
          <w:rStyle w:val="26"/>
          <w:rFonts w:hint="eastAsia" w:ascii="仿宋" w:eastAsia="仿宋"/>
          <w:b w:val="0"/>
          <w:bCs w:val="0"/>
        </w:rPr>
      </w:pPr>
      <w:bookmarkStart w:id="68" w:name="_Toc15396631"/>
      <w:r>
        <w:rPr>
          <w:rStyle w:val="26"/>
          <w:rFonts w:hint="eastAsia" w:ascii="仿宋" w:eastAsia="仿宋"/>
          <w:b w:val="0"/>
          <w:bCs w:val="0"/>
        </w:rPr>
        <w:t>十三、</w:t>
      </w:r>
      <w:r>
        <w:rPr>
          <w:rFonts w:hint="eastAsia" w:ascii="仿宋" w:eastAsia="仿宋"/>
          <w:b w:val="0"/>
          <w:color w:val="000000"/>
        </w:rPr>
        <w:t>国</w:t>
      </w:r>
      <w:r>
        <w:rPr>
          <w:rStyle w:val="26"/>
          <w:rFonts w:hint="eastAsia" w:ascii="仿宋" w:eastAsia="仿宋"/>
          <w:b w:val="0"/>
          <w:bCs w:val="0"/>
        </w:rPr>
        <w:t>有资本经营预算财拨款收入支出决算表</w:t>
      </w:r>
      <w:bookmarkEnd w:id="68"/>
    </w:p>
    <w:p>
      <w:r>
        <w:rPr>
          <w:rStyle w:val="26"/>
          <w:rFonts w:hint="eastAsia" w:ascii="仿宋" w:eastAsia="仿宋"/>
          <w:b w:val="0"/>
          <w:bCs w:val="0"/>
        </w:rPr>
        <w:t>十四、</w:t>
      </w:r>
      <w:r>
        <w:rPr>
          <w:rFonts w:hint="eastAsia" w:ascii="仿宋" w:hAnsi="Cambria" w:eastAsia="仿宋" w:cs="Times New Roman"/>
          <w:b w:val="0"/>
          <w:bCs/>
          <w:color w:val="000000"/>
          <w:kern w:val="2"/>
          <w:sz w:val="32"/>
          <w:szCs w:val="32"/>
          <w:lang w:val="en-US" w:eastAsia="zh-CN" w:bidi="ar-SA"/>
        </w:rPr>
        <w:t>国有</w:t>
      </w:r>
      <w:r>
        <w:rPr>
          <w:rStyle w:val="26"/>
          <w:rFonts w:hint="eastAsia" w:ascii="仿宋" w:eastAsia="仿宋"/>
          <w:b w:val="0"/>
          <w:bCs w:val="0"/>
        </w:rPr>
        <w:t>资本经营预算财政拨款支出决算表</w:t>
      </w:r>
    </w:p>
    <w:p>
      <w:pPr>
        <w:pStyle w:val="2"/>
        <w:rPr>
          <w:rFonts w:hint="eastAsia" w:ascii="黑体" w:eastAsia="黑体"/>
          <w:color w:val="000000"/>
          <w:sz w:val="44"/>
          <w:szCs w:val="44"/>
          <w:lang w:val="en-US" w:eastAsia="zh-CN"/>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pPr>
          <w:pStyle w:val="9"/>
          <w:jc w:val="center"/>
        </w:pPr>
        <w:r>
          <w:fldChar w:fldCharType="begin"/>
        </w:r>
        <w:r>
          <w:instrText xml:space="preserve">PAGE   \* MERGEFORMAT</w:instrText>
        </w:r>
        <w:r>
          <w:fldChar w:fldCharType="separate"/>
        </w:r>
        <w:r>
          <w:rPr>
            <w:lang w:val="zh-CN"/>
          </w:rPr>
          <w:t>10</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01FD797A"/>
    <w:multiLevelType w:val="singleLevel"/>
    <w:tmpl w:val="01FD797A"/>
    <w:lvl w:ilvl="0" w:tentative="0">
      <w:start w:val="1"/>
      <w:numFmt w:val="chineseCounting"/>
      <w:suff w:val="nothing"/>
      <w:lvlText w:val="（%1）"/>
      <w:lvlJc w:val="left"/>
      <w:pPr>
        <w:tabs>
          <w:tab w:val="left" w:pos="0"/>
        </w:tabs>
        <w:ind w:left="0" w:firstLine="0"/>
      </w:pPr>
      <w:rPr>
        <w:rFonts w:hint="eastAsia"/>
      </w:rPr>
    </w:lvl>
  </w:abstractNum>
  <w:abstractNum w:abstractNumId="3">
    <w:nsid w:val="20FCBE24"/>
    <w:multiLevelType w:val="singleLevel"/>
    <w:tmpl w:val="20FCBE24"/>
    <w:lvl w:ilvl="0" w:tentative="0">
      <w:start w:val="1"/>
      <w:numFmt w:val="decimal"/>
      <w:lvlText w:val="%1."/>
      <w:lvlJc w:val="left"/>
      <w:pPr>
        <w:tabs>
          <w:tab w:val="left" w:pos="312"/>
        </w:tabs>
        <w:ind w:left="-10"/>
      </w:pPr>
    </w:lvl>
  </w:abstractNum>
  <w:abstractNum w:abstractNumId="4">
    <w:nsid w:val="5930D3C7"/>
    <w:multiLevelType w:val="singleLevel"/>
    <w:tmpl w:val="5930D3C7"/>
    <w:lvl w:ilvl="0" w:tentative="0">
      <w:start w:val="3"/>
      <w:numFmt w:val="chineseCounting"/>
      <w:suff w:val="nothing"/>
      <w:lvlText w:val="%1、"/>
      <w:lvlJc w:val="left"/>
      <w:pPr>
        <w:tabs>
          <w:tab w:val="left" w:pos="0"/>
        </w:tabs>
        <w:ind w:left="0" w:firstLine="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mJhZjlhNzlhOTRiOGJhN2ViNTJmNjIxMWMzZTM2YmEifQ=="/>
  </w:docVars>
  <w:rsids>
    <w:rsidRoot w:val="00000000"/>
    <w:rsid w:val="01B9259B"/>
    <w:rsid w:val="02246CE2"/>
    <w:rsid w:val="0375224D"/>
    <w:rsid w:val="05EB3CB9"/>
    <w:rsid w:val="06E26193"/>
    <w:rsid w:val="08DF5C89"/>
    <w:rsid w:val="095B2CBE"/>
    <w:rsid w:val="09BA4874"/>
    <w:rsid w:val="0A6F40E4"/>
    <w:rsid w:val="0ADA341F"/>
    <w:rsid w:val="0BFF77FC"/>
    <w:rsid w:val="0C270613"/>
    <w:rsid w:val="0C604A54"/>
    <w:rsid w:val="0E1908D5"/>
    <w:rsid w:val="104600CB"/>
    <w:rsid w:val="108D525B"/>
    <w:rsid w:val="127D3DAE"/>
    <w:rsid w:val="13584567"/>
    <w:rsid w:val="13DE5AA5"/>
    <w:rsid w:val="14FA7106"/>
    <w:rsid w:val="150F12FC"/>
    <w:rsid w:val="16315EBE"/>
    <w:rsid w:val="17DD5498"/>
    <w:rsid w:val="19E31B98"/>
    <w:rsid w:val="1B8C48E5"/>
    <w:rsid w:val="1B962A29"/>
    <w:rsid w:val="1C7C6FA3"/>
    <w:rsid w:val="1D183933"/>
    <w:rsid w:val="1FDC5485"/>
    <w:rsid w:val="20C52024"/>
    <w:rsid w:val="22762A61"/>
    <w:rsid w:val="229145D0"/>
    <w:rsid w:val="23A7118D"/>
    <w:rsid w:val="276458D2"/>
    <w:rsid w:val="27994F12"/>
    <w:rsid w:val="290613F6"/>
    <w:rsid w:val="29127DD1"/>
    <w:rsid w:val="2A392EDD"/>
    <w:rsid w:val="2C780AE2"/>
    <w:rsid w:val="2CB50678"/>
    <w:rsid w:val="2D0A233E"/>
    <w:rsid w:val="2D627B6D"/>
    <w:rsid w:val="2EA971AE"/>
    <w:rsid w:val="2FB52ECB"/>
    <w:rsid w:val="30EE1FDD"/>
    <w:rsid w:val="314C14B7"/>
    <w:rsid w:val="33043361"/>
    <w:rsid w:val="3433444C"/>
    <w:rsid w:val="378105FB"/>
    <w:rsid w:val="3834250B"/>
    <w:rsid w:val="38902074"/>
    <w:rsid w:val="39086144"/>
    <w:rsid w:val="391F0D1C"/>
    <w:rsid w:val="39463B7D"/>
    <w:rsid w:val="3A4A561C"/>
    <w:rsid w:val="3C3A6713"/>
    <w:rsid w:val="3DF37D79"/>
    <w:rsid w:val="3ED670FF"/>
    <w:rsid w:val="3FD5132C"/>
    <w:rsid w:val="401E4065"/>
    <w:rsid w:val="4064335C"/>
    <w:rsid w:val="42CE5FAA"/>
    <w:rsid w:val="47401668"/>
    <w:rsid w:val="496B2F4E"/>
    <w:rsid w:val="4D6D5B2C"/>
    <w:rsid w:val="4E520118"/>
    <w:rsid w:val="5071562B"/>
    <w:rsid w:val="520A32EB"/>
    <w:rsid w:val="52AE3874"/>
    <w:rsid w:val="530E4E22"/>
    <w:rsid w:val="534E1882"/>
    <w:rsid w:val="544B183A"/>
    <w:rsid w:val="54E24B68"/>
    <w:rsid w:val="554271C4"/>
    <w:rsid w:val="55FB3CA8"/>
    <w:rsid w:val="57971327"/>
    <w:rsid w:val="58241220"/>
    <w:rsid w:val="58FE34E5"/>
    <w:rsid w:val="590E4FC0"/>
    <w:rsid w:val="59BB5ADD"/>
    <w:rsid w:val="5CFC2F9C"/>
    <w:rsid w:val="5D4A0942"/>
    <w:rsid w:val="5DEE0B64"/>
    <w:rsid w:val="60704A11"/>
    <w:rsid w:val="60FE3F3B"/>
    <w:rsid w:val="643A2AC6"/>
    <w:rsid w:val="652C579B"/>
    <w:rsid w:val="676D5447"/>
    <w:rsid w:val="678B5528"/>
    <w:rsid w:val="67AC15EF"/>
    <w:rsid w:val="67B32FE5"/>
    <w:rsid w:val="6A9F4DD9"/>
    <w:rsid w:val="6E1717CA"/>
    <w:rsid w:val="6F046E40"/>
    <w:rsid w:val="6FE33454"/>
    <w:rsid w:val="700E7C77"/>
    <w:rsid w:val="72600832"/>
    <w:rsid w:val="72B4213B"/>
    <w:rsid w:val="73373632"/>
    <w:rsid w:val="73DC1A63"/>
    <w:rsid w:val="7670632D"/>
    <w:rsid w:val="769F2AE5"/>
    <w:rsid w:val="77166BCC"/>
    <w:rsid w:val="78833A1F"/>
    <w:rsid w:val="797437B8"/>
    <w:rsid w:val="79825834"/>
    <w:rsid w:val="79EE0668"/>
    <w:rsid w:val="7A36222E"/>
    <w:rsid w:val="7A820541"/>
    <w:rsid w:val="7B3F2236"/>
    <w:rsid w:val="7F3D22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6"/>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heading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4"/>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character" w:customStyle="1" w:styleId="25">
    <w:name w:val="标题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26">
    <w:name w:val="标题 2 Char"/>
    <w:basedOn w:val="14"/>
    <w:link w:val="4"/>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收、支决算结构图</a:t>
            </a:r>
          </a:p>
        </c:rich>
      </c:tx>
      <c:layout/>
      <c:overlay val="0"/>
      <c:spPr>
        <a:noFill/>
        <a:ln>
          <a:noFill/>
        </a:ln>
        <a:effectLst/>
      </c:spPr>
    </c:title>
    <c:autoTitleDeleted val="0"/>
    <c:plotArea>
      <c:layout>
        <c:manualLayout>
          <c:layoutTarget val="inner"/>
          <c:xMode val="edge"/>
          <c:yMode val="edge"/>
          <c:x val="0.0680765839389276"/>
          <c:y val="0.210733583745072"/>
          <c:w val="0.9283727"/>
          <c:h val="0.63030434"/>
        </c:manualLayout>
      </c:layout>
      <c:barChart>
        <c:barDir val="col"/>
        <c:grouping val="clustered"/>
        <c:varyColors val="0"/>
        <c:ser>
          <c:idx val="0"/>
          <c:order val="0"/>
          <c:tx>
            <c:strRef>
              <c:f>Sheet1!$B$1</c:f>
              <c:strCache>
                <c:ptCount val="1"/>
                <c:pt idx="0">
                  <c:v>总收入</c:v>
                </c:pt>
              </c:strCache>
            </c:strRef>
          </c:tx>
          <c:spPr>
            <a:solidFill>
              <a:schemeClr val="accent1"/>
            </a:solidFill>
            <a:ln>
              <a:noFill/>
            </a:ln>
            <a:effectLst/>
          </c:spPr>
          <c:invertIfNegative val="0"/>
          <c:dPt>
            <c:idx val="0"/>
            <c:invertIfNegative val="0"/>
            <c:bubble3D val="0"/>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2021年 </c:v>
                </c:pt>
                <c:pt idx="1">
                  <c:v>2020年</c:v>
                </c:pt>
              </c:strCache>
            </c:strRef>
          </c:cat>
          <c:val>
            <c:numRef>
              <c:f>Sheet1!$B$2:$B$3</c:f>
              <c:numCache>
                <c:formatCode>General</c:formatCode>
                <c:ptCount val="2"/>
                <c:pt idx="0">
                  <c:v>81.69</c:v>
                </c:pt>
                <c:pt idx="1">
                  <c:v>61.16</c:v>
                </c:pt>
              </c:numCache>
            </c:numRef>
          </c:val>
        </c:ser>
        <c:ser>
          <c:idx val="1"/>
          <c:order val="1"/>
          <c:tx>
            <c:strRef>
              <c:f>Sheet1!$C$1</c:f>
              <c:strCache>
                <c:ptCount val="1"/>
                <c:pt idx="0">
                  <c:v>总支出</c:v>
                </c:pt>
              </c:strCache>
            </c:strRef>
          </c:tx>
          <c:spPr>
            <a:solidFill>
              <a:schemeClr val="accent2"/>
            </a:solidFill>
            <a:ln>
              <a:noFill/>
            </a:ln>
            <a:effectLst/>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2021年 </c:v>
                </c:pt>
                <c:pt idx="1">
                  <c:v>2020年</c:v>
                </c:pt>
              </c:strCache>
            </c:strRef>
          </c:cat>
          <c:val>
            <c:numRef>
              <c:f>Sheet1!$C$2:$C$3</c:f>
              <c:numCache>
                <c:formatCode>General</c:formatCode>
                <c:ptCount val="2"/>
                <c:pt idx="0">
                  <c:v>81.69</c:v>
                </c:pt>
                <c:pt idx="1">
                  <c:v>61.16</c:v>
                </c:pt>
              </c:numCache>
            </c:numRef>
          </c:val>
        </c:ser>
        <c:dLbls>
          <c:showLegendKey val="0"/>
          <c:showVal val="0"/>
          <c:showCatName val="0"/>
          <c:showSerName val="0"/>
          <c:showPercent val="0"/>
          <c:showBubbleSize val="0"/>
        </c:dLbls>
        <c:gapWidth val="296"/>
        <c:overlap val="-22"/>
        <c:axId val="0"/>
        <c:axId val="1"/>
      </c:barChart>
      <c:catAx>
        <c:axId val="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
        <c:crosses val="autoZero"/>
        <c:auto val="1"/>
        <c:lblAlgn val="ctr"/>
        <c:lblOffset val="100"/>
        <c:noMultiLvlLbl val="0"/>
      </c:catAx>
      <c:valAx>
        <c:axId val="1"/>
        <c:scaling>
          <c:orientation val="minMax"/>
          <c:max val="90"/>
          <c:min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0"/>
        <c:crossesAt val="1"/>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0"/>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cap="none" spc="20" baseline="0">
                <a:solidFill>
                  <a:schemeClr val="tx1">
                    <a:lumMod val="50000"/>
                    <a:lumOff val="50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 (2)'!$B$1</c:f>
              <c:strCache>
                <c:ptCount val="1"/>
                <c:pt idx="0">
                  <c:v>收入决算结构图</c:v>
                </c:pt>
              </c:strCache>
            </c:strRef>
          </c:tx>
          <c:spPr>
            <a:ln w="12700" cap="flat" cmpd="sng" algn="ctr">
              <a:solidFill>
                <a:schemeClr val="accent1">
                  <a:shade val="95000"/>
                </a:schemeClr>
              </a:solidFill>
              <a:prstDash val="solid"/>
              <a:round/>
            </a:ln>
            <a:sp3d contourW="12700"/>
          </c:spPr>
          <c:explosion val="0"/>
          <c:dPt>
            <c:idx val="0"/>
            <c:bubble3D val="0"/>
            <c:explosion val="0"/>
            <c:spPr>
              <a:solidFill>
                <a:schemeClr val="tx2">
                  <a:lumMod val="60000"/>
                  <a:lumOff val="40000"/>
                </a:schemeClr>
              </a:solidFill>
              <a:ln w="12700" cap="flat" cmpd="sng" algn="ctr">
                <a:solidFill>
                  <a:schemeClr val="accent1">
                    <a:shade val="95000"/>
                  </a:schemeClr>
                </a:solidFill>
                <a:prstDash val="solid"/>
                <a:round/>
              </a:ln>
              <a:effectLst>
                <a:outerShdw blurRad="40000" dist="20000" dir="5400000" rotWithShape="0">
                  <a:srgbClr val="000000">
                    <a:alpha val="38000"/>
                  </a:srgbClr>
                </a:outerShdw>
              </a:effectLst>
              <a:sp3d contourW="12700"/>
            </c:spPr>
          </c:dPt>
          <c:dPt>
            <c:idx val="1"/>
            <c:bubble3D val="0"/>
            <c:spPr>
              <a:solidFill>
                <a:srgbClr val="C00000"/>
              </a:solidFill>
              <a:ln w="12700" cap="flat" cmpd="sng" algn="ctr">
                <a:noFill/>
                <a:prstDash val="solid"/>
                <a:round/>
              </a:ln>
              <a:effectLst>
                <a:outerShdw blurRad="40000" dist="20000" dir="5400000" rotWithShape="0">
                  <a:srgbClr val="000000">
                    <a:alpha val="38000"/>
                  </a:srgbClr>
                </a:outerShdw>
              </a:effectLst>
              <a:sp3d contourW="12700"/>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81.69</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cap="none" spc="20" baseline="0">
                <a:solidFill>
                  <a:schemeClr val="tx1">
                    <a:lumMod val="50000"/>
                    <a:lumOff val="50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 (3)'!$B$1</c:f>
              <c:strCache>
                <c:ptCount val="1"/>
                <c:pt idx="0">
                  <c:v>支出决算结构图</c:v>
                </c:pt>
              </c:strCache>
            </c:strRef>
          </c:tx>
          <c:spPr>
            <a:solidFill>
              <a:schemeClr val="tx2">
                <a:lumMod val="60000"/>
                <a:lumOff val="40000"/>
              </a:schemeClr>
            </a:solidFill>
          </c:spPr>
          <c:explosion val="0"/>
          <c:dPt>
            <c:idx val="0"/>
            <c:bubble3D val="0"/>
            <c:spPr>
              <a:solidFill>
                <a:schemeClr val="tx2">
                  <a:lumMod val="60000"/>
                  <a:lumOff val="40000"/>
                </a:schemeClr>
              </a:solidFill>
              <a:ln w="9525" cap="flat" cmpd="sng" algn="ctr">
                <a:solidFill>
                  <a:schemeClr val="accent1">
                    <a:shade val="95000"/>
                  </a:schemeClr>
                </a:solidFill>
                <a:round/>
              </a:ln>
              <a:effectLst>
                <a:outerShdw blurRad="40000" dist="20000" dir="5400000" rotWithShape="0">
                  <a:srgbClr val="000000">
                    <a:alpha val="38000"/>
                  </a:srgbClr>
                </a:outerShdw>
              </a:effectLst>
            </c:spPr>
          </c:dPt>
          <c:dPt>
            <c:idx val="1"/>
            <c:bubble3D val="0"/>
            <c:spPr>
              <a:solidFill>
                <a:srgbClr val="C00000"/>
              </a:solidFill>
              <a:ln w="9525" cap="flat" cmpd="sng" algn="ctr">
                <a:solidFill>
                  <a:schemeClr val="accent2">
                    <a:shade val="95000"/>
                  </a:schemeClr>
                </a:solidFill>
                <a:round/>
              </a:ln>
              <a:effectLst>
                <a:outerShdw blurRad="40000" dist="20000" dir="5400000" rotWithShape="0">
                  <a:srgbClr val="000000">
                    <a:alpha val="38000"/>
                  </a:srgbClr>
                </a:outerShdw>
              </a:effectLst>
            </c:spPr>
          </c:dPt>
          <c:dLbls>
            <c:dLbl>
              <c:idx val="0"/>
              <c:layout>
                <c:manualLayout>
                  <c:x val="-0.031990968"/>
                  <c:y val="-0.18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 (3)'!$A$2:$A$3</c:f>
              <c:strCache>
                <c:ptCount val="2"/>
                <c:pt idx="0">
                  <c:v>基本支出</c:v>
                </c:pt>
                <c:pt idx="1">
                  <c:v>项目支出</c:v>
                </c:pt>
              </c:strCache>
            </c:strRef>
          </c:cat>
          <c:val>
            <c:numRef>
              <c:f>'Sheet1 (3)'!$B$2:$B$3</c:f>
              <c:numCache>
                <c:formatCode>General</c:formatCode>
                <c:ptCount val="2"/>
                <c:pt idx="0">
                  <c:v>73.69</c:v>
                </c:pt>
                <c:pt idx="1">
                  <c:v>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2020年 </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61.16</c:v>
                </c:pt>
                <c:pt idx="1">
                  <c:v>61.16</c:v>
                </c:pt>
              </c:numCache>
            </c:numRef>
          </c:val>
        </c:ser>
        <c:ser>
          <c:idx val="1"/>
          <c:order val="1"/>
          <c:tx>
            <c:strRef>
              <c:f>'Sheet1 (4)'!$A$3</c:f>
              <c:strCache>
                <c:ptCount val="1"/>
                <c:pt idx="0">
                  <c:v>2021年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81.69</c:v>
                </c:pt>
                <c:pt idx="1">
                  <c:v>81.69</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90"/>
          <c:min val="1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2020年</c:v>
                </c:pt>
                <c:pt idx="1">
                  <c:v>2021年</c:v>
                </c:pt>
              </c:strCache>
            </c:strRef>
          </c:cat>
          <c:val>
            <c:numRef>
              <c:f>'Sheet1 (5)'!$B$2:$B$3</c:f>
              <c:numCache>
                <c:formatCode>General</c:formatCode>
                <c:ptCount val="2"/>
                <c:pt idx="0">
                  <c:v>61.16</c:v>
                </c:pt>
                <c:pt idx="1">
                  <c:v>81.69</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90"/>
          <c:min val="1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1"/>
              <c:layout>
                <c:manualLayout>
                  <c:x val="-0.020973645"/>
                  <c:y val="0.0441908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文化体育与传媒</c:v>
                </c:pt>
                <c:pt idx="1">
                  <c:v>社会保障和就业</c:v>
                </c:pt>
                <c:pt idx="2">
                  <c:v>医疗卫生支出</c:v>
                </c:pt>
                <c:pt idx="3">
                  <c:v>住房保障支出</c:v>
                </c:pt>
              </c:strCache>
            </c:strRef>
          </c:cat>
          <c:val>
            <c:numRef>
              <c:f>'Sheet1 (6)'!$B$2:$B$5</c:f>
              <c:numCache>
                <c:formatCode>General</c:formatCode>
                <c:ptCount val="4"/>
                <c:pt idx="0">
                  <c:v>66</c:v>
                </c:pt>
                <c:pt idx="1">
                  <c:v>7.52</c:v>
                </c:pt>
                <c:pt idx="2">
                  <c:v>3.05</c:v>
                </c:pt>
                <c:pt idx="3">
                  <c:v>5.12</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20</Pages>
  <Words>6464</Words>
  <Characters>7021</Characters>
  <Lines>950</Lines>
  <Paragraphs>413</Paragraphs>
  <TotalTime>2</TotalTime>
  <ScaleCrop>false</ScaleCrop>
  <LinksUpToDate>false</LinksUpToDate>
  <CharactersWithSpaces>7312</CharactersWithSpaces>
  <Application>WPS Office_11.1.0.9021_F1E327BC-269C-435d-A152-05C5408002CA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2022-08-18T07:45:00Z</cp:lastPrinted>
  <dcterms:modified xsi:type="dcterms:W3CDTF">2022-08-18T08:20:08Z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7446358C982B43FBBF5486ACE152A102</vt:lpwstr>
  </property>
</Properties>
</file>