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77193"/>
      <w:bookmarkStart w:id="3" w:name="_Toc15396475"/>
      <w:bookmarkStart w:id="4" w:name="_Toc15396597"/>
      <w:bookmarkStart w:id="5" w:name="_Toc15378441"/>
      <w:r>
        <w:rPr>
          <w:rFonts w:ascii="黑体" w:eastAsia="黑体"/>
          <w:color w:val="000000"/>
          <w:sz w:val="72"/>
          <w:szCs w:val="72"/>
        </w:rPr>
        <w:t>20</w:t>
      </w:r>
      <w:r>
        <w:rPr>
          <w:rFonts w:hint="eastAsia" w:ascii="黑体" w:eastAsia="黑体"/>
          <w:color w:val="000000"/>
          <w:sz w:val="72"/>
          <w:szCs w:val="72"/>
          <w:lang w:val="en-US" w:eastAsia="zh-CN"/>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06268"/>
      <w:bookmarkStart w:id="8" w:name="_Toc15396598"/>
      <w:bookmarkStart w:id="9" w:name="_Toc15377194"/>
      <w:bookmarkStart w:id="10" w:name="_Toc15396476"/>
      <w:bookmarkStart w:id="11" w:name="_Toc15377426"/>
      <w:r>
        <w:rPr>
          <w:rFonts w:hint="eastAsia" w:ascii="方正小标宋简体" w:eastAsia="方正小标宋简体"/>
          <w:color w:val="000000"/>
          <w:sz w:val="72"/>
          <w:szCs w:val="72"/>
          <w:lang w:eastAsia="zh-CN"/>
        </w:rPr>
        <w:t>金川县文学艺术界联合会</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s="Arial"/>
          <w:sz w:val="28"/>
          <w:szCs w:val="28"/>
        </w:rPr>
      </w:pPr>
      <w:r>
        <w:rPr>
          <w:rFonts w:ascii="方正小标宋简体" w:eastAsia="方正小标宋简体"/>
          <w:color w:val="000000"/>
          <w:sz w:val="36"/>
          <w:szCs w:val="36"/>
        </w:rPr>
        <w:br w:type="page"/>
      </w:r>
      <w:r>
        <w:rPr>
          <w:rFonts w:hint="eastAsia" w:ascii="黑体" w:eastAsia="黑体"/>
          <w:color w:val="000000"/>
          <w:sz w:val="48"/>
          <w:szCs w:val="48"/>
        </w:rPr>
        <w:t>目录</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3</w:t>
      </w:r>
      <w:r>
        <w:rPr>
          <w:rFonts w:hint="eastAsia"/>
        </w:rPr>
        <w:fldChar w:fldCharType="end"/>
      </w:r>
    </w:p>
    <w:p>
      <w:pPr>
        <w:pStyle w:val="12"/>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3</w:t>
      </w:r>
      <w:r>
        <w:rPr>
          <w:rFonts w:hint="eastAsia"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fldChar w:fldCharType="end"/>
      </w:r>
    </w:p>
    <w:p>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9</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0</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2"/>
        <w:rPr>
          <w:rFonts w:hint="eastAsia"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2"/>
        <w:rPr>
          <w:rFonts w:hint="default" w:ascii="仿宋" w:eastAsia="仿宋"/>
          <w:sz w:val="28"/>
          <w:szCs w:val="28"/>
          <w:lang w:val="en-US"/>
        </w:rPr>
      </w:pPr>
      <w:r>
        <w:rPr>
          <w:rStyle w:val="16"/>
          <w:rFonts w:hint="eastAsia" w:ascii="仿宋" w:eastAsia="仿宋" w:cs="Times New Roman"/>
          <w:bCs/>
          <w:kern w:val="2"/>
          <w:sz w:val="28"/>
          <w:szCs w:val="28"/>
          <w:lang w:val="en-US" w:eastAsia="zh-CN" w:bidi="ar-SA"/>
        </w:rPr>
        <w:t>十、预算绩效情况说明............................. .....11</w:t>
      </w:r>
    </w:p>
    <w:p>
      <w:pPr>
        <w:rPr>
          <w:lang w:val="en-US" w:eastAsia="zh-CN"/>
        </w:rPr>
      </w:pP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1"/>
        <w:rPr>
          <w:rFonts w:ascii="仿宋" w:eastAsia="仿宋"/>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lang w:val="en-US" w:eastAsia="zh-CN"/>
        </w:rPr>
        <w:t>12</w:t>
      </w:r>
      <w:r>
        <w:rPr>
          <w:rFonts w:ascii="仿宋" w:eastAsia="仿宋"/>
          <w:color w:val="000000"/>
          <w:sz w:val="24"/>
        </w:rPr>
        <w:fldChar w:fldCharType="end"/>
      </w:r>
    </w:p>
    <w:p>
      <w:pPr>
        <w:pStyle w:val="11"/>
        <w:rPr>
          <w:rFonts w:hint="eastAsia"/>
          <w:lang w:val="en-US" w:eastAsia="zh-CN"/>
        </w:rPr>
      </w:pPr>
      <w:bookmarkStart w:id="12" w:name="_Toc15396599"/>
      <w:bookmarkStart w:id="13" w:name="_Toc15377196"/>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8</w:t>
      </w:r>
    </w:p>
    <w:p>
      <w:pPr>
        <w:pStyle w:val="11"/>
        <w:rPr>
          <w:rFonts w:ascii="黑体" w:eastAsia="黑体"/>
          <w:bCs/>
          <w:kern w:val="44"/>
          <w:sz w:val="44"/>
          <w:szCs w:val="44"/>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8</w:t>
      </w:r>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38" w:leftChars="304" w:firstLine="0" w:firstLineChars="0"/>
        <w:textAlignment w:val="auto"/>
        <w:rPr>
          <w:rStyle w:val="18"/>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5"/>
        <w:bidi w:val="0"/>
        <w:ind w:firstLine="643" w:firstLineChars="200"/>
        <w:rPr>
          <w:rFonts w:hint="eastAsia"/>
        </w:rPr>
      </w:pPr>
      <w:r>
        <w:rPr>
          <w:rFonts w:hint="eastAsia"/>
        </w:rPr>
        <w:t>（一）主要职能</w:t>
      </w:r>
      <w:bookmarkEnd w:id="16"/>
      <w:bookmarkEnd w:id="17"/>
      <w:bookmarkStart w:id="18" w:name="_Toc15377199"/>
      <w:bookmarkStart w:id="19" w:name="_Toc15378446"/>
    </w:p>
    <w:p>
      <w:pPr>
        <w:widowControl/>
        <w:ind w:firstLine="640" w:firstLineChars="200"/>
        <w:jc w:val="left"/>
        <w:rPr>
          <w:rFonts w:hint="eastAsia" w:ascii="仿宋_GB2312" w:eastAsia="仿宋_GB2312"/>
          <w:color w:val="000000"/>
          <w:sz w:val="32"/>
          <w:szCs w:val="32"/>
        </w:rPr>
      </w:pPr>
      <w:r>
        <w:rPr>
          <w:rFonts w:hint="eastAsia" w:ascii="仿宋_GB2312" w:eastAsia="仿宋_GB2312"/>
          <w:b w:val="0"/>
          <w:bCs/>
          <w:color w:val="000000"/>
          <w:sz w:val="32"/>
          <w:szCs w:val="32"/>
          <w:lang w:val="en-US" w:eastAsia="zh-CN"/>
        </w:rPr>
        <w:t>金川县文学艺术界联合会是由各文艺家协会组成的人民团体，是党和政府联系文艺界的纽带，其主要职能如下：</w:t>
      </w:r>
      <w:r>
        <w:rPr>
          <w:rFonts w:hint="eastAsia" w:ascii="仿宋_GB2312" w:eastAsia="仿宋_GB2312"/>
          <w:b/>
          <w:bCs/>
          <w:color w:val="000000"/>
          <w:sz w:val="32"/>
          <w:szCs w:val="32"/>
        </w:rPr>
        <w:t>一是</w:t>
      </w:r>
      <w:r>
        <w:rPr>
          <w:rFonts w:hint="eastAsia" w:ascii="仿宋_GB2312" w:eastAsia="仿宋_GB2312"/>
          <w:color w:val="000000"/>
          <w:sz w:val="32"/>
          <w:szCs w:val="32"/>
        </w:rPr>
        <w:t>团结带领全县广大文艺家和文艺工作者，高举社会主义伟大旗，坚持文艺“为人民服务、为社会主义服务”的方向和“百花齐放、百家争鸣”的方针，坚持文艺“贴近实际、贴近生活、贴近群众”的原则，践行社会主义核心价值观，为发展和繁荣社会主义文艺事业、建设文化强县、全面建成小康社会、实现金川的路发展和长治久安努力斗。</w:t>
      </w:r>
      <w:r>
        <w:rPr>
          <w:rFonts w:hint="eastAsia" w:ascii="仿宋_GB2312" w:eastAsia="仿宋_GB2312"/>
          <w:b/>
          <w:bCs/>
          <w:color w:val="000000"/>
          <w:sz w:val="32"/>
          <w:szCs w:val="32"/>
          <w:lang w:eastAsia="zh-CN"/>
        </w:rPr>
        <w:t>二是</w:t>
      </w:r>
      <w:r>
        <w:rPr>
          <w:rFonts w:hint="eastAsia" w:ascii="仿宋_GB2312" w:eastAsia="仿宋_GB2312"/>
          <w:color w:val="000000"/>
          <w:sz w:val="32"/>
          <w:szCs w:val="32"/>
        </w:rPr>
        <w:t>组织带领全县广大文艺家和文艺工作者深入生活、扎根人民，加强艺术实践，抓好文艺作，唱主旋律、传播正能量，用科学的理论武装人，用正确的</w:t>
      </w:r>
      <w:r>
        <w:rPr>
          <w:rFonts w:hint="eastAsia" w:ascii="仿宋_GB2312" w:eastAsia="仿宋_GB2312"/>
          <w:color w:val="000000"/>
          <w:sz w:val="32"/>
          <w:szCs w:val="32"/>
          <w:lang w:eastAsia="zh-CN"/>
        </w:rPr>
        <w:t>舆论</w:t>
      </w:r>
      <w:r>
        <w:rPr>
          <w:rFonts w:hint="eastAsia" w:ascii="仿宋_GB2312" w:eastAsia="仿宋_GB2312"/>
          <w:color w:val="000000"/>
          <w:sz w:val="32"/>
          <w:szCs w:val="32"/>
        </w:rPr>
        <w:t>引导人，用高尚的精神塑造人，用优秀的作品鼓舞人。</w:t>
      </w:r>
      <w:r>
        <w:rPr>
          <w:rFonts w:hint="eastAsia" w:ascii="仿宋_GB2312" w:eastAsia="仿宋_GB2312"/>
          <w:b/>
          <w:bCs/>
          <w:color w:val="000000"/>
          <w:sz w:val="32"/>
          <w:szCs w:val="32"/>
          <w:lang w:eastAsia="zh-CN"/>
        </w:rPr>
        <w:t>三是</w:t>
      </w:r>
      <w:r>
        <w:rPr>
          <w:rFonts w:hint="eastAsia" w:ascii="仿宋_GB2312" w:eastAsia="仿宋_GB2312"/>
          <w:color w:val="000000"/>
          <w:sz w:val="32"/>
          <w:szCs w:val="32"/>
        </w:rPr>
        <w:t>负责对有关的文学艺术社团进行监督管理，发</w:t>
      </w:r>
      <w:r>
        <w:rPr>
          <w:rFonts w:hint="eastAsia" w:ascii="仿宋_GB2312" w:eastAsia="仿宋_GB2312"/>
          <w:b w:val="0"/>
          <w:bCs w:val="0"/>
          <w:color w:val="000000"/>
          <w:sz w:val="32"/>
          <w:szCs w:val="32"/>
        </w:rPr>
        <w:t>挥人オ和专业</w:t>
      </w:r>
      <w:r>
        <w:rPr>
          <w:rFonts w:hint="eastAsia" w:ascii="仿宋_GB2312" w:eastAsia="仿宋_GB2312"/>
          <w:color w:val="000000"/>
          <w:sz w:val="32"/>
          <w:szCs w:val="32"/>
        </w:rPr>
        <w:t>优势，通过发展会员、组织文艺创作、学术研究、刊物出版、文艺评奖，开展</w:t>
      </w:r>
      <w:r>
        <w:rPr>
          <w:rFonts w:hint="eastAsia" w:ascii="仿宋_GB2312" w:eastAsia="仿宋_GB2312"/>
          <w:color w:val="000000"/>
          <w:sz w:val="32"/>
          <w:szCs w:val="32"/>
          <w:lang w:eastAsia="zh-CN"/>
        </w:rPr>
        <w:t>各种</w:t>
      </w:r>
      <w:r>
        <w:rPr>
          <w:rFonts w:hint="eastAsia" w:ascii="仿宋_GB2312" w:eastAsia="仿宋_GB2312"/>
          <w:color w:val="000000"/>
          <w:sz w:val="32"/>
          <w:szCs w:val="32"/>
        </w:rPr>
        <w:t>文艺活动，繁荣和发展金川县的文艺事业。</w:t>
      </w:r>
      <w:r>
        <w:rPr>
          <w:rFonts w:hint="eastAsia" w:ascii="仿宋_GB2312" w:eastAsia="仿宋_GB2312"/>
          <w:b/>
          <w:bCs/>
          <w:color w:val="000000"/>
          <w:sz w:val="32"/>
          <w:szCs w:val="32"/>
          <w:lang w:eastAsia="zh-CN"/>
        </w:rPr>
        <w:t>四是</w:t>
      </w:r>
      <w:r>
        <w:rPr>
          <w:rFonts w:hint="eastAsia" w:ascii="仿宋_GB2312" w:eastAsia="仿宋_GB2312"/>
          <w:color w:val="000000"/>
          <w:sz w:val="32"/>
          <w:szCs w:val="32"/>
        </w:rPr>
        <w:t>尊重各民族文艺传统，采取各种措施，积极发现、培养和扶持文艺人</w:t>
      </w:r>
      <w:r>
        <w:rPr>
          <w:rFonts w:hint="eastAsia" w:ascii="仿宋_GB2312" w:eastAsia="仿宋_GB2312"/>
          <w:b w:val="0"/>
          <w:bCs w:val="0"/>
          <w:color w:val="000000"/>
          <w:sz w:val="32"/>
          <w:szCs w:val="32"/>
        </w:rPr>
        <w:t>オ</w:t>
      </w:r>
      <w:r>
        <w:rPr>
          <w:rFonts w:hint="eastAsia" w:ascii="仿宋_GB2312" w:eastAsia="仿宋_GB2312"/>
          <w:color w:val="000000"/>
          <w:sz w:val="32"/>
          <w:szCs w:val="32"/>
        </w:rPr>
        <w:t>，尤其是少数民族青年文艺人オ，促进各民族文学艺术事业共同发展。</w:t>
      </w:r>
    </w:p>
    <w:p>
      <w:pPr>
        <w:widowControl/>
        <w:jc w:val="left"/>
        <w:rPr>
          <w:rFonts w:hint="eastAsia" w:ascii="仿宋_GB2312" w:hAnsi="仿宋_GB2312"/>
          <w:szCs w:val="32"/>
        </w:rPr>
      </w:pPr>
      <w:r>
        <w:rPr>
          <w:rFonts w:hint="eastAsia" w:ascii="仿宋_GB2312" w:eastAsia="仿宋_GB2312"/>
          <w:b/>
          <w:bCs/>
          <w:color w:val="000000"/>
          <w:sz w:val="32"/>
          <w:szCs w:val="32"/>
          <w:lang w:eastAsia="zh-CN"/>
        </w:rPr>
        <w:t>五是</w:t>
      </w:r>
      <w:r>
        <w:rPr>
          <w:rFonts w:hint="eastAsia" w:ascii="仿宋_GB2312" w:eastAsia="仿宋_GB2312"/>
          <w:color w:val="000000"/>
          <w:sz w:val="32"/>
          <w:szCs w:val="32"/>
        </w:rPr>
        <w:t>积极促进全县各民族文家和文艺工作者的团结，加强各地区文联系统之间的联，积极开展文艺交流活动，树立金川文艺新形象，提高金川文艺影响力。</w:t>
      </w:r>
      <w:r>
        <w:rPr>
          <w:rFonts w:hint="eastAsia" w:ascii="仿宋_GB2312" w:eastAsia="仿宋_GB2312"/>
          <w:b/>
          <w:bCs/>
          <w:color w:val="000000"/>
          <w:sz w:val="32"/>
          <w:szCs w:val="32"/>
          <w:lang w:eastAsia="zh-CN"/>
        </w:rPr>
        <w:t>六是</w:t>
      </w:r>
      <w:r>
        <w:rPr>
          <w:rFonts w:hint="eastAsia" w:ascii="仿宋_GB2312" w:eastAsia="仿宋_GB2312"/>
          <w:color w:val="000000"/>
          <w:sz w:val="32"/>
          <w:szCs w:val="32"/>
        </w:rPr>
        <w:t>倡导“爱国、为民、崇德、尚艺”文艺界核心价值观，培养良好的职业精神和职业道德;从真反映文艺界的意见、建议和要求，积极开展本县文艺领域自律维权工作维护团体会员和文学艺术家及文艺工作者的知识产权等合法权益。</w:t>
      </w:r>
      <w:r>
        <w:rPr>
          <w:rFonts w:hint="eastAsia" w:ascii="仿宋_GB2312" w:eastAsia="仿宋_GB2312"/>
          <w:b/>
          <w:bCs/>
          <w:color w:val="000000"/>
          <w:sz w:val="32"/>
          <w:szCs w:val="32"/>
          <w:lang w:eastAsia="zh-CN"/>
        </w:rPr>
        <w:t>七是</w:t>
      </w:r>
      <w:r>
        <w:rPr>
          <w:rFonts w:hint="eastAsia" w:ascii="仿宋_GB2312" w:eastAsia="仿宋_GB2312"/>
          <w:color w:val="000000"/>
          <w:sz w:val="32"/>
          <w:szCs w:val="32"/>
        </w:rPr>
        <w:t>积极开展文艺传播和文艺惠民活动，丰富和提高全县各族人民的文艺生，弘扬民族</w:t>
      </w:r>
      <w:r>
        <w:rPr>
          <w:rFonts w:hint="eastAsia" w:ascii="仿宋_GB2312" w:eastAsia="仿宋_GB2312"/>
          <w:color w:val="000000"/>
          <w:sz w:val="32"/>
          <w:szCs w:val="32"/>
          <w:lang w:eastAsia="zh-CN"/>
        </w:rPr>
        <w:t>文化</w:t>
      </w:r>
      <w:r>
        <w:rPr>
          <w:rFonts w:hint="eastAsia" w:ascii="仿宋_GB2312" w:eastAsia="仿宋_GB2312"/>
          <w:color w:val="000000"/>
          <w:sz w:val="32"/>
          <w:szCs w:val="32"/>
        </w:rPr>
        <w:t>精神，发展民族文学艺术事业。</w:t>
      </w:r>
      <w:r>
        <w:rPr>
          <w:rFonts w:hint="eastAsia" w:ascii="仿宋_GB2312" w:eastAsia="仿宋_GB2312"/>
          <w:b/>
          <w:bCs/>
          <w:color w:val="000000"/>
          <w:sz w:val="32"/>
          <w:szCs w:val="32"/>
          <w:lang w:eastAsia="zh-CN"/>
        </w:rPr>
        <w:t>八是</w:t>
      </w:r>
      <w:r>
        <w:rPr>
          <w:rFonts w:hint="eastAsia" w:ascii="仿宋_GB2312" w:eastAsia="仿宋_GB2312"/>
          <w:color w:val="000000"/>
          <w:sz w:val="32"/>
          <w:szCs w:val="32"/>
        </w:rPr>
        <w:t>组织召开金川县文联代表大会、委员会、主席团会议和全县性文学艺术会代表大会及全县性文联系统的工作会议。</w:t>
      </w:r>
      <w:r>
        <w:rPr>
          <w:rFonts w:hint="eastAsia" w:ascii="仿宋_GB2312" w:eastAsia="仿宋_GB2312"/>
          <w:b/>
          <w:bCs/>
          <w:color w:val="000000"/>
          <w:sz w:val="32"/>
          <w:szCs w:val="32"/>
          <w:lang w:eastAsia="zh-CN"/>
        </w:rPr>
        <w:t>九是</w:t>
      </w:r>
      <w:r>
        <w:rPr>
          <w:rFonts w:hint="eastAsia" w:ascii="仿宋_GB2312" w:eastAsia="仿宋_GB2312"/>
          <w:b w:val="0"/>
          <w:bCs/>
          <w:color w:val="000000"/>
          <w:sz w:val="32"/>
          <w:szCs w:val="32"/>
          <w:lang w:val="en-US" w:eastAsia="zh-CN"/>
        </w:rPr>
        <w:t>承办县委、县政府和上级有关部门交办的其他事项。</w:t>
      </w:r>
    </w:p>
    <w:p>
      <w:pPr>
        <w:pStyle w:val="4"/>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20</w:t>
      </w:r>
      <w:r>
        <w:rPr>
          <w:rFonts w:hint="eastAsia" w:ascii="楷体" w:eastAsia="楷体" w:cs="楷体"/>
          <w:bCs/>
          <w:color w:val="000000"/>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color w:val="2B2B2B"/>
          <w:kern w:val="0"/>
          <w:sz w:val="32"/>
          <w:szCs w:val="32"/>
          <w:lang w:val="en-US" w:eastAsia="zh-CN"/>
        </w:rPr>
      </w:pPr>
      <w:bookmarkStart w:id="20" w:name="_Toc15396601"/>
      <w:bookmarkStart w:id="21" w:name="_Toc15377200"/>
      <w:r>
        <w:rPr>
          <w:rFonts w:hint="eastAsia" w:ascii="黑体" w:hAnsi="黑体" w:eastAsia="黑体" w:cs="黑体"/>
          <w:b w:val="0"/>
          <w:bCs/>
          <w:color w:val="2B2B2B"/>
          <w:kern w:val="0"/>
          <w:sz w:val="32"/>
          <w:szCs w:val="32"/>
          <w:lang w:val="en-US" w:eastAsia="zh-CN"/>
        </w:rPr>
        <w:t>1、学以致用，锻造过硬本领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采取集中学习、自学、交流座谈会等多种形式，组织各协会及文联干部职工认真学习党的十九</w:t>
      </w:r>
      <w:r>
        <w:rPr>
          <w:rFonts w:hint="eastAsia" w:ascii="仿宋_GB2312" w:hAnsi="仿宋_GB2312" w:eastAsia="仿宋_GB2312" w:cs="仿宋_GB2312"/>
          <w:sz w:val="32"/>
          <w:szCs w:val="32"/>
          <w:lang w:val="en-US" w:eastAsia="zh-CN"/>
        </w:rPr>
        <w:t>届五中</w:t>
      </w:r>
      <w:r>
        <w:rPr>
          <w:rFonts w:hint="eastAsia" w:ascii="仿宋_GB2312" w:hAnsi="仿宋_GB2312" w:eastAsia="仿宋_GB2312" w:cs="仿宋_GB2312"/>
          <w:sz w:val="32"/>
          <w:szCs w:val="32"/>
        </w:rPr>
        <w:t>全会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中央第七次西藏工作会等会议精神，提高思想认识，紧跟时代步伐，找准工作方向，提升自我。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color w:val="2B2B2B"/>
          <w:kern w:val="0"/>
          <w:sz w:val="32"/>
          <w:szCs w:val="32"/>
          <w:lang w:val="en-US" w:eastAsia="zh-CN"/>
        </w:rPr>
      </w:pPr>
      <w:r>
        <w:rPr>
          <w:rFonts w:hint="eastAsia" w:ascii="黑体" w:hAnsi="黑体" w:eastAsia="黑体" w:cs="黑体"/>
          <w:b w:val="0"/>
          <w:bCs/>
          <w:color w:val="2B2B2B"/>
          <w:kern w:val="0"/>
          <w:sz w:val="32"/>
          <w:szCs w:val="32"/>
          <w:lang w:val="en-US" w:eastAsia="zh-CN"/>
        </w:rPr>
        <w:t>2、奋勇争先，开展多彩活动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2B2B2B"/>
          <w:kern w:val="0"/>
          <w:sz w:val="32"/>
          <w:szCs w:val="32"/>
          <w:lang w:val="en-US" w:eastAsia="zh-CN"/>
        </w:rPr>
        <w:t>按照县委县政府的安排部署，紧扣发展、民生、稳定三条主线，充分发挥桥梁纽带作用，引导广大文艺工作者积极开展脱贫攻坚、乡村振兴、生态建设、基层治理等方面的创作活动。</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rPr>
          <w:rFonts w:hint="default" w:ascii="黑体" w:hAnsi="黑体" w:eastAsia="黑体" w:cs="黑体"/>
          <w:b w:val="0"/>
          <w:bCs w:val="0"/>
          <w:sz w:val="32"/>
          <w:szCs w:val="32"/>
          <w:lang w:val="en-US"/>
        </w:rPr>
      </w:pPr>
      <w:r>
        <w:rPr>
          <w:rFonts w:hint="eastAsia" w:ascii="黑体" w:hAnsi="黑体" w:eastAsia="黑体" w:cs="黑体"/>
          <w:b w:val="0"/>
          <w:bCs w:val="0"/>
          <w:sz w:val="32"/>
          <w:szCs w:val="32"/>
          <w:lang w:val="en-US" w:eastAsia="zh-CN"/>
        </w:rPr>
        <w:t>3、拓展渠道，宣传推介金川</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以转化运用“多民族作家金川行”文学实践活动成果，在国家、省级宣传媒介、学习强国平台和作家自己的微信、微博平台发布，以文学的形式、梨花的名义，全面推挤大美金川。其中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民族文学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2020第一期整版刊登18篇金川创作的文章；《人民日报》2020年3月21日第八版专版刊登《金川的花季》。“东女文艺”微信公众平台在</w:t>
      </w:r>
      <w:r>
        <w:rPr>
          <w:rFonts w:hint="eastAsia" w:ascii="仿宋_GB2312" w:hAnsi="仿宋_GB2312" w:eastAsia="仿宋_GB2312" w:cs="仿宋_GB2312"/>
          <w:sz w:val="32"/>
          <w:szCs w:val="32"/>
        </w:rPr>
        <w:t>文学类专栏《品读》《荐读》《新人风采》《声动金川》《民俗》专栏</w:t>
      </w:r>
      <w:r>
        <w:rPr>
          <w:rFonts w:hint="eastAsia" w:ascii="仿宋_GB2312" w:hAnsi="仿宋_GB2312" w:eastAsia="仿宋_GB2312" w:cs="仿宋_GB2312"/>
          <w:sz w:val="32"/>
          <w:szCs w:val="32"/>
          <w:lang w:val="en-US" w:eastAsia="zh-CN"/>
        </w:rPr>
        <w:t>中，推出各类名家创作的金川主题文章30余篇，本土文艺作品52余篇。</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4、严格要求，加强自身建设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认真贯彻落实</w:t>
      </w:r>
      <w:r>
        <w:rPr>
          <w:rFonts w:hint="eastAsia" w:ascii="Times New Roman" w:hAnsi="Times New Roman" w:eastAsia="仿宋_GB2312" w:cs="Times New Roman"/>
          <w:spacing w:val="0"/>
          <w:w w:val="100"/>
          <w:kern w:val="21"/>
          <w:sz w:val="32"/>
          <w:szCs w:val="32"/>
          <w:lang w:val="en-US" w:eastAsia="zh-CN"/>
        </w:rPr>
        <w:t>《中共金川县委关于深入开展“三大行动”持续深化“两联一进”群众工作全覆盖的实施意见》（金委发〔2020〕10号），</w:t>
      </w:r>
      <w:r>
        <w:rPr>
          <w:rFonts w:hint="eastAsia" w:eastAsia="仿宋_GB2312" w:cs="Times New Roman"/>
          <w:spacing w:val="0"/>
          <w:w w:val="100"/>
          <w:kern w:val="21"/>
          <w:sz w:val="32"/>
          <w:szCs w:val="32"/>
          <w:lang w:val="en-US" w:eastAsia="zh-CN"/>
        </w:rPr>
        <w:t>不断强化自身建设。</w:t>
      </w:r>
    </w:p>
    <w:p>
      <w:pPr>
        <w:spacing w:line="578" w:lineRule="exact"/>
        <w:ind w:left="0" w:firstLine="640" w:firstLineChars="200"/>
        <w:rPr>
          <w:rStyle w:val="18"/>
          <w:b w:val="0"/>
          <w:bCs w:val="0"/>
        </w:rPr>
      </w:pPr>
      <w:r>
        <w:rPr>
          <w:rStyle w:val="18"/>
          <w:rFonts w:hint="eastAsia" w:ascii="黑体" w:eastAsia="黑体"/>
          <w:b w:val="0"/>
          <w:bCs w:val="0"/>
        </w:rPr>
        <w:t>二、机构设置</w:t>
      </w:r>
      <w:bookmarkEnd w:id="20"/>
      <w:bookmarkEnd w:id="21"/>
    </w:p>
    <w:p>
      <w:pPr>
        <w:widowControl/>
        <w:ind w:firstLine="640" w:firstLineChars="200"/>
        <w:jc w:val="left"/>
        <w:rPr>
          <w:rFonts w:hint="eastAsia" w:ascii="仿宋" w:hAnsi="仿宋" w:eastAsia="仿宋_GB2312"/>
          <w:color w:val="000000"/>
          <w:kern w:val="0"/>
          <w:sz w:val="32"/>
          <w:szCs w:val="32"/>
          <w:lang w:eastAsia="zh-CN"/>
        </w:rPr>
      </w:pPr>
      <w:r>
        <w:rPr>
          <w:rFonts w:hint="eastAsia" w:ascii="仿宋_GB2312" w:eastAsia="仿宋_GB2312"/>
          <w:color w:val="000000"/>
          <w:sz w:val="32"/>
          <w:szCs w:val="32"/>
          <w:lang w:eastAsia="zh-CN"/>
        </w:rPr>
        <w:t>文联为正科级事业单位，一个行政核算机构，经费形式为全额拨款。内设机构</w:t>
      </w:r>
      <w:r>
        <w:rPr>
          <w:rFonts w:hint="eastAsia" w:ascii="仿宋_GB2312" w:eastAsia="仿宋_GB2312"/>
          <w:color w:val="000000"/>
          <w:sz w:val="32"/>
          <w:szCs w:val="32"/>
          <w:lang w:val="en-US" w:eastAsia="zh-CN"/>
        </w:rPr>
        <w:t>1个（办公室），</w:t>
      </w:r>
      <w:r>
        <w:rPr>
          <w:rFonts w:hint="eastAsia" w:ascii="仿宋_GB2312" w:eastAsia="仿宋_GB2312"/>
          <w:color w:val="000000"/>
          <w:sz w:val="32"/>
          <w:szCs w:val="32"/>
          <w:lang w:eastAsia="zh-CN"/>
        </w:rPr>
        <w:t>核定事业编制</w:t>
      </w:r>
      <w:r>
        <w:rPr>
          <w:rFonts w:hint="eastAsia" w:ascii="仿宋_GB2312" w:eastAsia="仿宋_GB2312"/>
          <w:color w:val="000000"/>
          <w:sz w:val="32"/>
          <w:szCs w:val="32"/>
          <w:lang w:val="en-US" w:eastAsia="zh-CN"/>
        </w:rPr>
        <w:t>4名，实有事业管理人员3人。</w:t>
      </w:r>
    </w:p>
    <w:p>
      <w:pPr>
        <w:pStyle w:val="3"/>
        <w:ind w:right="440"/>
        <w:jc w:val="right"/>
      </w:pPr>
      <w:bookmarkStart w:id="22" w:name="_Toc15396602"/>
      <w:bookmarkStart w:id="23" w:name="_Toc15377204"/>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w:t>
      </w:r>
      <w:r>
        <w:rPr>
          <w:rStyle w:val="17"/>
          <w:rFonts w:hint="eastAsia" w:ascii="黑体" w:eastAsia="黑体"/>
          <w:b w:val="0"/>
          <w:bCs w:val="0"/>
          <w:lang w:val="en-US"/>
        </w:rPr>
        <w:t>20</w:t>
      </w:r>
      <w:r>
        <w:rPr>
          <w:rStyle w:val="17"/>
          <w:rFonts w:hint="eastAsia" w:ascii="黑体" w:eastAsia="黑体"/>
          <w:b w:val="0"/>
          <w:bCs w:val="0"/>
        </w:rPr>
        <w:t>年度部门决算情况说明</w:t>
      </w:r>
      <w:bookmarkEnd w:id="22"/>
      <w:bookmarkEnd w:id="23"/>
    </w:p>
    <w:p>
      <w:pPr>
        <w:pStyle w:val="23"/>
        <w:numPr>
          <w:ilvl w:val="0"/>
          <w:numId w:val="0"/>
        </w:numPr>
        <w:spacing w:line="240" w:lineRule="auto"/>
        <w:ind w:leftChars="0" w:firstLine="640" w:firstLineChars="200"/>
        <w:outlineLvl w:val="1"/>
        <w:rPr>
          <w:rStyle w:val="18"/>
          <w:rFonts w:ascii="黑体" w:eastAsia="黑体"/>
          <w:b w:val="0"/>
        </w:rPr>
      </w:pPr>
      <w:bookmarkStart w:id="24" w:name="_Toc15377205"/>
      <w:bookmarkStart w:id="25" w:name="_Toc15396603"/>
      <w:r>
        <w:rPr>
          <w:rFonts w:hint="eastAsia" w:ascii="黑体" w:eastAsia="黑体"/>
          <w:color w:val="000000"/>
          <w:sz w:val="32"/>
          <w:szCs w:val="32"/>
          <w:lang w:eastAsia="zh-CN"/>
        </w:rPr>
        <w:t>一、</w:t>
      </w:r>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2020年度总收入61.16万元，较上年收入增加7.58万元，增加14%。增加的主要原因是</w:t>
      </w:r>
      <w:r>
        <w:rPr>
          <w:rFonts w:hint="eastAsia" w:ascii="仿宋" w:hAnsi="仿宋" w:eastAsia="仿宋" w:cs="仿宋_GB2312"/>
          <w:color w:val="000000"/>
          <w:kern w:val="0"/>
          <w:sz w:val="32"/>
          <w:szCs w:val="32"/>
          <w:lang w:val="zh-CN"/>
        </w:rPr>
        <w:t>增加了公务经费及调资的</w:t>
      </w:r>
      <w:r>
        <w:rPr>
          <w:rFonts w:hint="eastAsia" w:ascii="仿宋" w:hAnsi="仿宋" w:eastAsia="仿宋" w:cs="仿宋_GB2312"/>
          <w:color w:val="000000"/>
          <w:kern w:val="0"/>
          <w:sz w:val="32"/>
          <w:szCs w:val="32"/>
          <w:lang w:val="zh-CN" w:eastAsia="zh-CN"/>
        </w:rPr>
        <w:t>收入</w:t>
      </w:r>
      <w:r>
        <w:rPr>
          <w:rFonts w:hint="eastAsia" w:ascii="仿宋" w:hAnsi="仿宋" w:eastAsia="仿宋" w:cs="仿宋_GB2312"/>
          <w:color w:val="000000"/>
          <w:kern w:val="0"/>
          <w:sz w:val="32"/>
          <w:szCs w:val="32"/>
          <w:lang w:val="zh-CN"/>
        </w:rPr>
        <w:t>数</w:t>
      </w:r>
      <w:r>
        <w:rPr>
          <w:rFonts w:hint="eastAsia" w:ascii="仿宋_GB2312" w:eastAsia="仿宋_GB2312"/>
          <w:color w:val="000000"/>
          <w:spacing w:val="-2"/>
          <w:kern w:val="2"/>
          <w:sz w:val="32"/>
          <w:szCs w:val="32"/>
          <w:lang w:val="en-US" w:eastAsia="zh-CN" w:bidi="ar-SA"/>
        </w:rPr>
        <w:t>。</w:t>
      </w:r>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r>
        <w:rPr>
          <w:rFonts w:hint="eastAsia" w:ascii="仿宋_GB2312" w:eastAsia="仿宋_GB2312"/>
          <w:color w:val="auto"/>
          <w:spacing w:val="-2"/>
          <w:kern w:val="2"/>
          <w:sz w:val="32"/>
          <w:szCs w:val="32"/>
          <w:lang w:val="en-US" w:eastAsia="zh-CN" w:bidi="ar-SA"/>
        </w:rPr>
        <w:t>2020年总支出61.16万元，较上年支出减少1.32万元，减少2%。主要原因是2020年无财返支出。</w:t>
      </w:r>
    </w:p>
    <w:p>
      <w:pPr>
        <w:pStyle w:val="2"/>
        <w:rPr>
          <w:rStyle w:val="18"/>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-196850</wp:posOffset>
            </wp:positionH>
            <wp:positionV relativeFrom="paragraph">
              <wp:posOffset>247650</wp:posOffset>
            </wp:positionV>
            <wp:extent cx="5080000" cy="2582545"/>
            <wp:effectExtent l="4445" t="4445" r="20955" b="2286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eastAsia="黑体" w:cs="Times New Roman"/>
          <w:color w:val="000000"/>
          <w:kern w:val="2"/>
          <w:sz w:val="32"/>
          <w:szCs w:val="32"/>
          <w:lang w:val="en-US" w:eastAsia="zh-CN" w:bidi="ar-SA"/>
        </w:rPr>
        <w:t xml:space="preserve">    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61.16</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61.16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bookmarkStart w:id="28" w:name="_Toc15396605"/>
      <w:bookmarkStart w:id="29" w:name="_Toc15377207"/>
      <w:r>
        <w:rPr>
          <w:rFonts w:hint="eastAsia" w:ascii="黑体" w:eastAsia="黑体" w:cs="Times New Roman"/>
          <w:color w:val="000000"/>
          <w:kern w:val="2"/>
          <w:sz w:val="32"/>
          <w:szCs w:val="32"/>
          <w:lang w:val="en-US" w:eastAsia="zh-CN" w:bidi="ar-SA"/>
        </w:rPr>
        <w:drawing>
          <wp:anchor distT="0" distB="0" distL="114300" distR="114300" simplePos="0" relativeHeight="251660288" behindDoc="0" locked="0" layoutInCell="1" allowOverlap="1">
            <wp:simplePos x="0" y="0"/>
            <wp:positionH relativeFrom="column">
              <wp:posOffset>71755</wp:posOffset>
            </wp:positionH>
            <wp:positionV relativeFrom="paragraph">
              <wp:posOffset>201295</wp:posOffset>
            </wp:positionV>
            <wp:extent cx="4971415" cy="2109470"/>
            <wp:effectExtent l="5080" t="4445" r="14605" b="19685"/>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Style w:val="18"/>
          <w:rFonts w:ascii="黑体" w:eastAsia="黑体"/>
          <w:b w:val="0"/>
        </w:rPr>
      </w:pPr>
      <w:r>
        <w:rPr>
          <w:rFonts w:hint="eastAsia" w:ascii="黑体" w:eastAsia="黑体" w:cs="Times New Roman"/>
          <w:color w:val="000000"/>
          <w:kern w:val="2"/>
          <w:sz w:val="32"/>
          <w:szCs w:val="32"/>
          <w:lang w:val="en-US" w:eastAsia="zh-CN" w:bidi="ar-SA"/>
        </w:rPr>
        <w:t>三、支出决</w:t>
      </w:r>
      <w:r>
        <w:rPr>
          <w:rStyle w:val="18"/>
          <w:rFonts w:hint="eastAsia" w:ascii="黑体" w:eastAsia="黑体"/>
          <w:b w:val="0"/>
        </w:rPr>
        <w:t>算情况说明</w:t>
      </w:r>
      <w:bookmarkEnd w:id="28"/>
      <w:bookmarkEnd w:id="29"/>
    </w:p>
    <w:p>
      <w:pPr>
        <w:spacing w:line="600" w:lineRule="exact"/>
        <w:ind w:firstLine="640" w:firstLineChars="200"/>
        <w:rPr>
          <w:rFonts w:hint="default" w:ascii="仿宋" w:eastAsia="仿宋"/>
          <w:color w:val="000000"/>
          <w:sz w:val="32"/>
          <w:szCs w:val="32"/>
          <w:shd w:val="pct10" w:color="auto" w:fill="FFFFFF"/>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61.16</w:t>
      </w:r>
      <w:r>
        <w:rPr>
          <w:rFonts w:hint="eastAsia" w:ascii="仿宋" w:eastAsia="仿宋"/>
          <w:color w:val="000000"/>
          <w:sz w:val="32"/>
          <w:szCs w:val="32"/>
        </w:rPr>
        <w:t>万元，其中：</w:t>
      </w:r>
      <w:r>
        <w:rPr>
          <w:rFonts w:hint="eastAsia" w:ascii="仿宋" w:eastAsia="仿宋"/>
          <w:color w:val="000000"/>
          <w:sz w:val="32"/>
          <w:szCs w:val="32"/>
          <w:lang w:eastAsia="zh-CN"/>
        </w:rPr>
        <w:t>文化旅游体育与传媒支出为</w:t>
      </w:r>
      <w:r>
        <w:rPr>
          <w:rFonts w:hint="eastAsia" w:ascii="仿宋" w:eastAsia="仿宋"/>
          <w:color w:val="000000"/>
          <w:sz w:val="32"/>
          <w:szCs w:val="32"/>
          <w:lang w:val="en-US" w:eastAsia="zh-CN"/>
        </w:rPr>
        <w:t>47.01万元，占比76.86%；社会保障和就业支出为6.42万元，占比10.50%；卫生健康支出2.60万元，占比4.25%；住房保障支出5.13万元，占比8.39%。</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54610</wp:posOffset>
            </wp:positionH>
            <wp:positionV relativeFrom="paragraph">
              <wp:posOffset>147320</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77208"/>
      <w:bookmarkStart w:id="31"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209550</wp:posOffset>
            </wp:positionH>
            <wp:positionV relativeFrom="paragraph">
              <wp:posOffset>1162050</wp:posOffset>
            </wp:positionV>
            <wp:extent cx="5090160" cy="2837180"/>
            <wp:effectExtent l="4445" t="4445" r="10795" b="15875"/>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lang w:val="en-US" w:eastAsia="zh-CN"/>
        </w:rPr>
        <w:t>2020年财政拨款收入61.16万元。与2019年相比，一般公共预算财政拨款收入较上年减少1.32万元，减少2%。减少的主要原因是</w:t>
      </w:r>
      <w:r>
        <w:rPr>
          <w:rFonts w:hint="eastAsia" w:ascii="仿宋_GB2312" w:eastAsia="仿宋_GB2312"/>
          <w:color w:val="auto"/>
          <w:spacing w:val="-2"/>
          <w:kern w:val="2"/>
          <w:sz w:val="32"/>
          <w:szCs w:val="32"/>
          <w:lang w:val="en-US" w:eastAsia="zh-CN" w:bidi="ar-SA"/>
        </w:rPr>
        <w:t>2020年无财返支出。</w:t>
      </w:r>
      <w:bookmarkStart w:id="32" w:name="_Toc15377209"/>
      <w:bookmarkStart w:id="33" w:name="_Toc15396607"/>
    </w:p>
    <w:p>
      <w:pPr>
        <w:snapToGrid w:val="0"/>
        <w:spacing w:line="520" w:lineRule="exact"/>
        <w:ind w:firstLine="640" w:firstLineChars="200"/>
        <w:rPr>
          <w:rStyle w:val="18"/>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eastAsia="仿宋_GB2312"/>
          <w:color w:val="FF0000"/>
          <w:spacing w:val="-2"/>
          <w:kern w:val="2"/>
          <w:sz w:val="32"/>
          <w:szCs w:val="32"/>
          <w:lang w:val="en-US" w:eastAsia="zh-CN" w:bidi="ar-SA"/>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一般公共预算财政拨款支出61.16万元，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支出减少1.32万元，减少2%。</w:t>
      </w:r>
      <w:r>
        <w:rPr>
          <w:rFonts w:hint="eastAsia" w:ascii="仿宋_GB2312" w:eastAsia="仿宋_GB2312"/>
          <w:color w:val="auto"/>
          <w:spacing w:val="-2"/>
          <w:kern w:val="2"/>
          <w:sz w:val="32"/>
          <w:szCs w:val="32"/>
          <w:lang w:val="en-US" w:eastAsia="zh-CN" w:bidi="ar-SA"/>
        </w:rPr>
        <w:t>主要原因是2020年无财返支出。</w:t>
      </w: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551815</wp:posOffset>
            </wp:positionH>
            <wp:positionV relativeFrom="paragraph">
              <wp:posOffset>1623060</wp:posOffset>
            </wp:positionV>
            <wp:extent cx="4572000" cy="2108200"/>
            <wp:effectExtent l="4445" t="4445" r="14605" b="20955"/>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61.16</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lang w:eastAsia="zh-CN"/>
        </w:rPr>
        <w:t>文化体育与传媒</w:t>
      </w:r>
      <w:r>
        <w:rPr>
          <w:rFonts w:hint="eastAsia" w:ascii="仿宋" w:eastAsia="仿宋"/>
          <w:color w:val="000000"/>
          <w:sz w:val="32"/>
          <w:szCs w:val="32"/>
        </w:rPr>
        <w:t>支出</w:t>
      </w:r>
      <w:r>
        <w:rPr>
          <w:rFonts w:hint="eastAsia" w:ascii="仿宋" w:eastAsia="仿宋"/>
          <w:color w:val="000000"/>
          <w:sz w:val="32"/>
          <w:szCs w:val="32"/>
          <w:lang w:val="en-US" w:eastAsia="zh-CN"/>
        </w:rPr>
        <w:t>47.01</w:t>
      </w:r>
      <w:r>
        <w:rPr>
          <w:rFonts w:hint="eastAsia" w:ascii="仿宋" w:eastAsia="仿宋"/>
          <w:color w:val="000000"/>
          <w:sz w:val="32"/>
          <w:szCs w:val="32"/>
        </w:rPr>
        <w:t>万元，占</w:t>
      </w:r>
      <w:r>
        <w:rPr>
          <w:rFonts w:hint="eastAsia" w:ascii="仿宋" w:eastAsia="仿宋"/>
          <w:color w:val="000000"/>
          <w:sz w:val="32"/>
          <w:szCs w:val="32"/>
          <w:lang w:val="en-US" w:eastAsia="zh-CN"/>
        </w:rPr>
        <w:t>76.86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w:t>
      </w:r>
      <w:r>
        <w:rPr>
          <w:rFonts w:hint="eastAsia" w:ascii="仿宋" w:eastAsia="仿宋"/>
          <w:color w:val="000000"/>
          <w:sz w:val="32"/>
          <w:szCs w:val="32"/>
          <w:lang w:val="en-US" w:eastAsia="zh-CN"/>
        </w:rPr>
        <w:t>6.42</w:t>
      </w:r>
      <w:r>
        <w:rPr>
          <w:rFonts w:hint="eastAsia" w:ascii="仿宋" w:eastAsia="仿宋"/>
          <w:color w:val="000000"/>
          <w:sz w:val="32"/>
          <w:szCs w:val="32"/>
        </w:rPr>
        <w:t>万元，占</w:t>
      </w:r>
      <w:r>
        <w:rPr>
          <w:rFonts w:hint="eastAsia" w:ascii="仿宋" w:eastAsia="仿宋"/>
          <w:color w:val="000000"/>
          <w:sz w:val="32"/>
          <w:szCs w:val="32"/>
          <w:lang w:val="en-US" w:eastAsia="zh-CN"/>
        </w:rPr>
        <w:t>10.5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2.6</w:t>
      </w:r>
      <w:r>
        <w:rPr>
          <w:rFonts w:hint="eastAsia" w:ascii="仿宋" w:eastAsia="仿宋"/>
          <w:color w:val="000000"/>
          <w:sz w:val="32"/>
          <w:szCs w:val="32"/>
        </w:rPr>
        <w:t>万元，占</w:t>
      </w:r>
      <w:r>
        <w:rPr>
          <w:rFonts w:hint="eastAsia" w:ascii="仿宋" w:eastAsia="仿宋"/>
          <w:color w:val="000000"/>
          <w:sz w:val="32"/>
          <w:szCs w:val="32"/>
          <w:lang w:val="en-US" w:eastAsia="zh-CN"/>
        </w:rPr>
        <w:t>4.25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5.13</w:t>
      </w:r>
      <w:r>
        <w:rPr>
          <w:rFonts w:hint="eastAsia" w:ascii="仿宋" w:eastAsia="仿宋"/>
          <w:color w:val="000000"/>
          <w:sz w:val="32"/>
          <w:szCs w:val="32"/>
        </w:rPr>
        <w:t>万元，占</w:t>
      </w:r>
      <w:r>
        <w:rPr>
          <w:rFonts w:hint="eastAsia" w:ascii="仿宋" w:eastAsia="仿宋"/>
          <w:color w:val="000000"/>
          <w:sz w:val="32"/>
          <w:szCs w:val="32"/>
          <w:lang w:val="en-US" w:eastAsia="zh-CN"/>
        </w:rPr>
        <w:t>8.39</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3" w:firstLineChars="200"/>
        <w:outlineLvl w:val="2"/>
        <w:rPr>
          <w:rFonts w:hint="eastAsia" w:ascii="仿宋" w:eastAsia="仿宋"/>
          <w:b/>
          <w:color w:val="000000"/>
          <w:sz w:val="32"/>
          <w:szCs w:val="32"/>
          <w:lang w:val="en-US" w:eastAsia="zh-CN"/>
        </w:rPr>
      </w:pPr>
      <w:bookmarkStart w:id="36" w:name="_Toc15377212"/>
      <w:bookmarkStart w:id="37" w:name="_Toc15378460"/>
      <w:bookmarkStart w:id="38" w:name="_Toc15377213"/>
      <w:bookmarkStart w:id="39" w:name="_Toc15377444"/>
      <w:r>
        <w:rPr>
          <w:rFonts w:hint="eastAsia" w:ascii="仿宋" w:eastAsia="仿宋"/>
          <w:b/>
          <w:color w:val="000000"/>
          <w:sz w:val="32"/>
          <w:szCs w:val="32"/>
        </w:rPr>
        <w:t>（三）一般公共预算财政拨款支出决算具体情况</w:t>
      </w:r>
      <w:bookmarkEnd w:id="36"/>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数为61.16万元，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61.16万元</w:t>
      </w:r>
      <w:r>
        <w:rPr>
          <w:rFonts w:hint="eastAsia" w:ascii="仿宋" w:eastAsia="仿宋"/>
          <w:b w:val="0"/>
          <w:bCs/>
          <w:color w:val="000000"/>
          <w:sz w:val="32"/>
          <w:szCs w:val="32"/>
        </w:rPr>
        <w:t>，完</w:t>
      </w:r>
      <w:r>
        <w:rPr>
          <w:rStyle w:val="15"/>
          <w:rFonts w:hint="eastAsia" w:ascii="仿宋" w:eastAsia="仿宋"/>
          <w:b w:val="0"/>
          <w:bCs/>
          <w:color w:val="000000"/>
          <w:sz w:val="32"/>
          <w:szCs w:val="32"/>
        </w:rPr>
        <w:t>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7"/>
      <w:bookmarkEnd w:id="38"/>
      <w:bookmarkEnd w:id="39"/>
    </w:p>
    <w:p>
      <w:pPr>
        <w:spacing w:line="600" w:lineRule="exact"/>
        <w:ind w:left="0"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lang w:eastAsia="zh-CN"/>
        </w:rPr>
        <w:t>文化体育与传媒</w:t>
      </w:r>
      <w:r>
        <w:rPr>
          <w:rStyle w:val="15"/>
          <w:rFonts w:hint="eastAsia" w:ascii="仿宋" w:eastAsia="仿宋"/>
          <w:bCs/>
          <w:color w:val="000000"/>
          <w:sz w:val="32"/>
          <w:szCs w:val="32"/>
          <w:lang w:val="en-US" w:eastAsia="zh-CN"/>
        </w:rPr>
        <w:t>207</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文化01（款）其他文化支出99</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47.01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ascii="仿宋" w:eastAsia="仿宋"/>
          <w:bCs/>
          <w:color w:val="000000"/>
          <w:sz w:val="32"/>
          <w:szCs w:val="32"/>
        </w:rPr>
        <w:t>2.</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208</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行政事业单位离退休05</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机关事业单位基本养老保险缴费支出05</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4.28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3.</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208</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行政事业单位离退休05</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机关事业单位基本职业年金缴费支出06</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2.14</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lang w:val="en-US" w:eastAsia="zh-CN"/>
        </w:rPr>
        <w:t>4.</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lang w:val="en-US" w:eastAsia="zh-CN"/>
        </w:rPr>
        <w:t>210</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行政事业单位医疗11</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事业单位医疗02</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1.9</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hint="eastAsia" w:ascii="仿宋" w:eastAsia="仿宋"/>
          <w:b w:val="0"/>
          <w:bCs/>
          <w:color w:val="auto"/>
          <w:sz w:val="32"/>
          <w:szCs w:val="32"/>
        </w:rPr>
      </w:pPr>
      <w:r>
        <w:rPr>
          <w:rStyle w:val="15"/>
          <w:rFonts w:hint="eastAsia" w:ascii="仿宋" w:eastAsia="仿宋"/>
          <w:bCs/>
          <w:color w:val="auto"/>
          <w:sz w:val="32"/>
          <w:szCs w:val="32"/>
          <w:lang w:val="en-US" w:eastAsia="zh-CN"/>
        </w:rPr>
        <w:t>5.</w:t>
      </w:r>
      <w:r>
        <w:rPr>
          <w:rStyle w:val="15"/>
          <w:rFonts w:hint="eastAsia" w:ascii="仿宋" w:eastAsia="仿宋"/>
          <w:bCs/>
          <w:color w:val="auto"/>
          <w:sz w:val="32"/>
          <w:szCs w:val="32"/>
          <w:lang w:eastAsia="zh-CN"/>
        </w:rPr>
        <w:t>卫生健康支出</w:t>
      </w:r>
      <w:r>
        <w:rPr>
          <w:rStyle w:val="15"/>
          <w:rFonts w:hint="eastAsia" w:ascii="仿宋" w:eastAsia="仿宋"/>
          <w:bCs/>
          <w:color w:val="auto"/>
          <w:sz w:val="32"/>
          <w:szCs w:val="32"/>
          <w:lang w:val="en-US" w:eastAsia="zh-CN"/>
        </w:rPr>
        <w:t>210</w:t>
      </w:r>
      <w:r>
        <w:rPr>
          <w:rStyle w:val="15"/>
          <w:rFonts w:hint="eastAsia" w:ascii="仿宋" w:eastAsia="仿宋"/>
          <w:bCs/>
          <w:color w:val="auto"/>
          <w:sz w:val="32"/>
          <w:szCs w:val="32"/>
        </w:rPr>
        <w:t>（类）</w:t>
      </w:r>
      <w:r>
        <w:rPr>
          <w:rStyle w:val="15"/>
          <w:rFonts w:hint="eastAsia" w:ascii="仿宋" w:eastAsia="仿宋"/>
          <w:bCs/>
          <w:color w:val="auto"/>
          <w:sz w:val="32"/>
          <w:szCs w:val="32"/>
          <w:lang w:val="en-US" w:eastAsia="zh-CN"/>
        </w:rPr>
        <w:t>行政事业单位医疗11</w:t>
      </w:r>
      <w:r>
        <w:rPr>
          <w:rStyle w:val="15"/>
          <w:rFonts w:hint="eastAsia" w:ascii="仿宋" w:eastAsia="仿宋"/>
          <w:bCs/>
          <w:color w:val="auto"/>
          <w:sz w:val="32"/>
          <w:szCs w:val="32"/>
        </w:rPr>
        <w:t>（款）</w:t>
      </w:r>
      <w:r>
        <w:rPr>
          <w:rStyle w:val="15"/>
          <w:rFonts w:hint="eastAsia" w:ascii="仿宋" w:eastAsia="仿宋"/>
          <w:bCs/>
          <w:color w:val="auto"/>
          <w:sz w:val="32"/>
          <w:szCs w:val="32"/>
          <w:lang w:val="en-US" w:eastAsia="zh-CN"/>
        </w:rPr>
        <w:t>公务员医疗补助</w:t>
      </w:r>
      <w:r>
        <w:rPr>
          <w:rStyle w:val="15"/>
          <w:rFonts w:hint="eastAsia" w:ascii="仿宋" w:eastAsia="仿宋"/>
          <w:bCs/>
          <w:color w:val="auto"/>
          <w:sz w:val="32"/>
          <w:szCs w:val="32"/>
        </w:rPr>
        <w:t>（项）</w:t>
      </w:r>
      <w:r>
        <w:rPr>
          <w:rStyle w:val="15"/>
          <w:rFonts w:ascii="仿宋" w:eastAsia="仿宋"/>
          <w:bCs/>
          <w:color w:val="auto"/>
          <w:sz w:val="32"/>
          <w:szCs w:val="32"/>
        </w:rPr>
        <w:t>:</w:t>
      </w:r>
      <w:r>
        <w:rPr>
          <w:rStyle w:val="15"/>
          <w:rFonts w:hint="eastAsia" w:ascii="仿宋" w:eastAsia="仿宋"/>
          <w:b w:val="0"/>
          <w:bCs/>
          <w:color w:val="auto"/>
          <w:sz w:val="32"/>
          <w:szCs w:val="32"/>
        </w:rPr>
        <w:t>支出决算为</w:t>
      </w:r>
      <w:r>
        <w:rPr>
          <w:rStyle w:val="15"/>
          <w:rFonts w:hint="eastAsia" w:ascii="仿宋" w:eastAsia="仿宋"/>
          <w:b w:val="0"/>
          <w:bCs/>
          <w:color w:val="auto"/>
          <w:sz w:val="32"/>
          <w:szCs w:val="32"/>
          <w:lang w:val="en-US" w:eastAsia="zh-CN"/>
        </w:rPr>
        <w:t>0.57</w:t>
      </w:r>
      <w:r>
        <w:rPr>
          <w:rStyle w:val="15"/>
          <w:rFonts w:hint="eastAsia" w:ascii="仿宋" w:eastAsia="仿宋"/>
          <w:b w:val="0"/>
          <w:bCs/>
          <w:color w:val="auto"/>
          <w:sz w:val="32"/>
          <w:szCs w:val="32"/>
        </w:rPr>
        <w:t>万元，完成预算</w:t>
      </w:r>
      <w:r>
        <w:rPr>
          <w:rStyle w:val="15"/>
          <w:rFonts w:hint="eastAsia" w:ascii="仿宋" w:eastAsia="仿宋"/>
          <w:b w:val="0"/>
          <w:bCs/>
          <w:color w:val="auto"/>
          <w:sz w:val="32"/>
          <w:szCs w:val="32"/>
          <w:lang w:val="en-US" w:eastAsia="zh-CN"/>
        </w:rPr>
        <w:t>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pStyle w:val="2"/>
        <w:ind w:firstLine="643" w:firstLineChars="200"/>
        <w:rPr>
          <w:rFonts w:hint="eastAsia" w:eastAsia="仿宋"/>
          <w:lang w:eastAsia="zh-CN"/>
        </w:rPr>
      </w:pPr>
      <w:r>
        <w:rPr>
          <w:rStyle w:val="15"/>
          <w:rFonts w:hint="eastAsia" w:ascii="仿宋" w:eastAsia="仿宋"/>
          <w:bCs/>
          <w:color w:val="000000"/>
          <w:sz w:val="32"/>
          <w:szCs w:val="32"/>
          <w:lang w:val="en-US" w:eastAsia="zh-CN"/>
        </w:rPr>
        <w:t>6.</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lang w:val="en-US" w:eastAsia="zh-CN"/>
        </w:rPr>
        <w:t>210</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公共卫生04</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突发公共卫生事件应急处理10</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0.16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lang w:eastAsia="zh-CN"/>
        </w:rPr>
        <w:t>。</w:t>
      </w:r>
    </w:p>
    <w:p>
      <w:pPr>
        <w:spacing w:line="600" w:lineRule="exact"/>
        <w:ind w:firstLine="643" w:firstLineChars="200"/>
        <w:rPr>
          <w:rStyle w:val="15"/>
          <w:rFonts w:ascii="仿宋" w:eastAsia="仿宋"/>
          <w:bCs/>
          <w:color w:val="000000"/>
          <w:sz w:val="32"/>
          <w:szCs w:val="32"/>
          <w:lang w:val="en-US" w:eastAsia="zh-CN"/>
        </w:rPr>
      </w:pPr>
      <w:bookmarkStart w:id="40" w:name="_Toc15377214"/>
      <w:bookmarkStart w:id="41" w:name="_Toc15396608"/>
      <w:r>
        <w:rPr>
          <w:rStyle w:val="15"/>
          <w:rFonts w:hint="eastAsia" w:ascii="仿宋" w:eastAsia="仿宋"/>
          <w:bCs/>
          <w:color w:val="000000"/>
          <w:sz w:val="32"/>
          <w:szCs w:val="32"/>
          <w:lang w:val="en-US" w:eastAsia="zh-CN"/>
        </w:rPr>
        <w:t>7.住房保障221（类）住房改革支出02（款）住房公积金01（项）：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5.13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61</w:t>
      </w:r>
      <w:r>
        <w:rPr>
          <w:rFonts w:hint="eastAsia" w:ascii="仿宋" w:eastAsia="仿宋"/>
          <w:color w:val="000000"/>
          <w:sz w:val="32"/>
          <w:szCs w:val="32"/>
        </w:rPr>
        <w:t>万元，其中：人员经费</w:t>
      </w:r>
      <w:r>
        <w:rPr>
          <w:rFonts w:hint="eastAsia" w:ascii="仿宋" w:eastAsia="仿宋"/>
          <w:color w:val="000000"/>
          <w:sz w:val="32"/>
          <w:szCs w:val="32"/>
          <w:lang w:val="en-US" w:eastAsia="zh-CN"/>
        </w:rPr>
        <w:t>49.53</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11.1万元</w:t>
      </w:r>
      <w:r>
        <w:rPr>
          <w:rFonts w:hint="eastAsia" w:ascii="仿宋" w:eastAsia="仿宋"/>
          <w:color w:val="000000"/>
          <w:sz w:val="32"/>
          <w:szCs w:val="32"/>
        </w:rPr>
        <w:t>、津贴补贴</w:t>
      </w:r>
      <w:r>
        <w:rPr>
          <w:rFonts w:hint="eastAsia" w:ascii="仿宋" w:eastAsia="仿宋"/>
          <w:color w:val="000000"/>
          <w:sz w:val="32"/>
          <w:szCs w:val="32"/>
          <w:lang w:val="en-US" w:eastAsia="zh-CN"/>
        </w:rPr>
        <w:t>4.78万元</w:t>
      </w:r>
      <w:r>
        <w:rPr>
          <w:rFonts w:hint="eastAsia" w:ascii="仿宋" w:eastAsia="仿宋"/>
          <w:color w:val="000000"/>
          <w:sz w:val="32"/>
          <w:szCs w:val="32"/>
        </w:rPr>
        <w:t>、奖金</w:t>
      </w:r>
      <w:r>
        <w:rPr>
          <w:rFonts w:hint="eastAsia" w:ascii="仿宋" w:eastAsia="仿宋"/>
          <w:color w:val="000000"/>
          <w:sz w:val="32"/>
          <w:szCs w:val="32"/>
          <w:lang w:val="en-US" w:eastAsia="zh-CN"/>
        </w:rPr>
        <w:t>1.35万元</w:t>
      </w:r>
      <w:r>
        <w:rPr>
          <w:rFonts w:hint="eastAsia" w:ascii="仿宋" w:eastAsia="仿宋"/>
          <w:color w:val="000000"/>
          <w:sz w:val="32"/>
          <w:szCs w:val="32"/>
        </w:rPr>
        <w:t>、</w:t>
      </w:r>
      <w:r>
        <w:rPr>
          <w:rFonts w:hint="eastAsia" w:ascii="仿宋" w:eastAsia="仿宋"/>
          <w:color w:val="000000"/>
          <w:sz w:val="32"/>
          <w:szCs w:val="32"/>
          <w:lang w:eastAsia="zh-CN"/>
        </w:rPr>
        <w:t>绩效工资</w:t>
      </w:r>
      <w:r>
        <w:rPr>
          <w:rFonts w:hint="eastAsia" w:ascii="仿宋" w:eastAsia="仿宋"/>
          <w:color w:val="000000"/>
          <w:sz w:val="32"/>
          <w:szCs w:val="32"/>
          <w:lang w:val="en-US" w:eastAsia="zh-CN"/>
        </w:rPr>
        <w:t>9.87万元、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4.28万元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2.14万元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职工基本医疗保险缴费1.87万元、公务员医疗补助缴费0.57万元、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0.53万元</w:t>
      </w:r>
      <w:r>
        <w:rPr>
          <w:rFonts w:hint="eastAsia" w:ascii="仿宋" w:eastAsia="仿宋"/>
          <w:color w:val="000000"/>
          <w:sz w:val="32"/>
          <w:szCs w:val="32"/>
        </w:rPr>
        <w:t>、住房公积金</w:t>
      </w:r>
      <w:r>
        <w:rPr>
          <w:rFonts w:hint="eastAsia" w:ascii="仿宋" w:eastAsia="仿宋"/>
          <w:color w:val="000000"/>
          <w:sz w:val="32"/>
          <w:szCs w:val="32"/>
          <w:lang w:val="en-US" w:eastAsia="zh-CN"/>
        </w:rPr>
        <w:t>4.1万元</w:t>
      </w:r>
      <w:r>
        <w:rPr>
          <w:rFonts w:hint="eastAsia" w:ascii="仿宋" w:eastAsia="仿宋"/>
          <w:color w:val="000000"/>
          <w:sz w:val="32"/>
          <w:szCs w:val="32"/>
        </w:rPr>
        <w:t>、</w:t>
      </w:r>
      <w:r>
        <w:rPr>
          <w:rFonts w:hint="eastAsia" w:ascii="仿宋" w:eastAsia="仿宋"/>
          <w:color w:val="000000"/>
          <w:sz w:val="32"/>
          <w:szCs w:val="32"/>
          <w:lang w:eastAsia="zh-CN"/>
        </w:rPr>
        <w:t>购房补贴退休费</w:t>
      </w:r>
      <w:r>
        <w:rPr>
          <w:rFonts w:hint="eastAsia" w:ascii="仿宋" w:eastAsia="仿宋"/>
          <w:color w:val="000000"/>
          <w:sz w:val="32"/>
          <w:szCs w:val="32"/>
        </w:rPr>
        <w:t>支出</w:t>
      </w:r>
      <w:r>
        <w:rPr>
          <w:rFonts w:hint="eastAsia" w:ascii="仿宋" w:eastAsia="仿宋"/>
          <w:color w:val="000000"/>
          <w:sz w:val="32"/>
          <w:szCs w:val="32"/>
          <w:lang w:val="en-US" w:eastAsia="zh-CN"/>
        </w:rPr>
        <w:t>1.03万元、奖励金7.75万元</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11.63</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2.23万元</w:t>
      </w:r>
      <w:r>
        <w:rPr>
          <w:rFonts w:hint="eastAsia" w:ascii="仿宋" w:eastAsia="仿宋"/>
          <w:color w:val="000000"/>
          <w:sz w:val="32"/>
          <w:szCs w:val="32"/>
        </w:rPr>
        <w:t>、</w:t>
      </w:r>
      <w:r>
        <w:rPr>
          <w:rFonts w:hint="eastAsia" w:ascii="仿宋" w:eastAsia="仿宋"/>
          <w:color w:val="000000"/>
          <w:sz w:val="32"/>
          <w:szCs w:val="32"/>
          <w:lang w:eastAsia="zh-CN"/>
        </w:rPr>
        <w:t>印刷费</w:t>
      </w:r>
      <w:r>
        <w:rPr>
          <w:rFonts w:hint="eastAsia" w:ascii="仿宋" w:eastAsia="仿宋"/>
          <w:color w:val="000000"/>
          <w:sz w:val="32"/>
          <w:szCs w:val="32"/>
          <w:lang w:val="en-US" w:eastAsia="zh-CN"/>
        </w:rPr>
        <w:t>1万元</w:t>
      </w:r>
      <w:r>
        <w:rPr>
          <w:rFonts w:hint="eastAsia" w:ascii="仿宋" w:eastAsia="仿宋"/>
          <w:color w:val="000000"/>
          <w:sz w:val="32"/>
          <w:szCs w:val="32"/>
        </w:rPr>
        <w:t>、邮电费</w:t>
      </w:r>
      <w:r>
        <w:rPr>
          <w:rFonts w:hint="eastAsia" w:ascii="仿宋" w:eastAsia="仿宋"/>
          <w:color w:val="000000"/>
          <w:sz w:val="32"/>
          <w:szCs w:val="32"/>
          <w:lang w:val="en-US" w:eastAsia="zh-CN"/>
        </w:rPr>
        <w:t>0.9万元</w:t>
      </w:r>
      <w:r>
        <w:rPr>
          <w:rFonts w:hint="eastAsia" w:ascii="仿宋" w:eastAsia="仿宋"/>
          <w:color w:val="000000"/>
          <w:sz w:val="32"/>
          <w:szCs w:val="32"/>
        </w:rPr>
        <w:t>、差旅费</w:t>
      </w:r>
      <w:r>
        <w:rPr>
          <w:rFonts w:hint="eastAsia" w:ascii="仿宋" w:eastAsia="仿宋"/>
          <w:color w:val="000000"/>
          <w:sz w:val="32"/>
          <w:szCs w:val="32"/>
          <w:lang w:val="en-US" w:eastAsia="zh-CN"/>
        </w:rPr>
        <w:t>2万元</w:t>
      </w:r>
      <w:r>
        <w:rPr>
          <w:rFonts w:hint="eastAsia" w:ascii="仿宋" w:eastAsia="仿宋"/>
          <w:color w:val="000000"/>
          <w:sz w:val="32"/>
          <w:szCs w:val="32"/>
        </w:rPr>
        <w:t>、会议费</w:t>
      </w:r>
      <w:r>
        <w:rPr>
          <w:rFonts w:hint="eastAsia" w:ascii="仿宋" w:eastAsia="仿宋"/>
          <w:color w:val="000000"/>
          <w:sz w:val="32"/>
          <w:szCs w:val="32"/>
          <w:lang w:val="en-US" w:eastAsia="zh-CN"/>
        </w:rPr>
        <w:t>3万元</w:t>
      </w:r>
      <w:r>
        <w:rPr>
          <w:rFonts w:hint="eastAsia" w:ascii="仿宋" w:eastAsia="仿宋"/>
          <w:color w:val="000000"/>
          <w:sz w:val="32"/>
          <w:szCs w:val="32"/>
        </w:rPr>
        <w:t>、</w:t>
      </w:r>
      <w:r>
        <w:rPr>
          <w:rFonts w:hint="eastAsia" w:ascii="仿宋" w:eastAsia="仿宋"/>
          <w:color w:val="000000"/>
          <w:sz w:val="32"/>
          <w:szCs w:val="32"/>
          <w:lang w:val="en-US" w:eastAsia="zh-CN"/>
        </w:rPr>
        <w:t>劳务费0.5万元、其他交通费用2万元</w:t>
      </w:r>
      <w:r>
        <w:rPr>
          <w:rFonts w:hint="eastAsia" w:ascii="仿宋" w:eastAsia="仿宋"/>
          <w:color w:val="000000"/>
          <w:sz w:val="32"/>
          <w:szCs w:val="32"/>
        </w:rPr>
        <w:t>。</w:t>
      </w:r>
    </w:p>
    <w:p>
      <w:pPr>
        <w:spacing w:line="600" w:lineRule="exact"/>
        <w:ind w:firstLine="640" w:firstLineChars="200"/>
        <w:outlineLvl w:val="1"/>
        <w:rPr>
          <w:rStyle w:val="18"/>
          <w:rFonts w:ascii="黑体" w:eastAsia="黑体"/>
          <w:b w:val="0"/>
        </w:rPr>
      </w:pPr>
      <w:bookmarkStart w:id="42" w:name="_Toc15377215"/>
      <w:bookmarkStart w:id="43"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中，无因公出国（境）费支出；无公务用车购置及运行维护费支出</w:t>
      </w:r>
      <w:r>
        <w:rPr>
          <w:rFonts w:hint="eastAsia" w:ascii="仿宋" w:eastAsia="仿宋"/>
          <w:color w:val="000000"/>
          <w:sz w:val="32"/>
          <w:szCs w:val="32"/>
          <w:lang w:val="en-US" w:eastAsia="zh-CN"/>
        </w:rPr>
        <w:t>；无公务接待费支出</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0</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p>
    <w:p>
      <w:pPr>
        <w:numPr>
          <w:ilvl w:val="0"/>
          <w:numId w:val="1"/>
        </w:numPr>
        <w:spacing w:line="600" w:lineRule="exact"/>
        <w:ind w:left="-10" w:leftChars="0" w:firstLine="640" w:firstLineChars="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因公出国（境）经费支出</w:t>
      </w:r>
    </w:p>
    <w:p>
      <w:pPr>
        <w:pStyle w:val="2"/>
        <w:numPr>
          <w:ilvl w:val="0"/>
          <w:numId w:val="0"/>
        </w:numPr>
        <w:ind w:firstLine="960" w:firstLineChars="300"/>
        <w:rPr>
          <w:rFonts w:hint="eastAsia" w:eastAsia="仿宋"/>
          <w:lang w:eastAsia="zh-CN"/>
        </w:rPr>
      </w:pPr>
      <w:r>
        <w:rPr>
          <w:rFonts w:hint="eastAsia" w:ascii="仿宋" w:eastAsia="仿宋"/>
          <w:color w:val="000000"/>
          <w:sz w:val="32"/>
          <w:szCs w:val="32"/>
          <w:lang w:val="en-US" w:eastAsia="zh-CN"/>
        </w:rPr>
        <w:t>2020无</w:t>
      </w:r>
      <w:r>
        <w:rPr>
          <w:rFonts w:hint="eastAsia" w:ascii="仿宋" w:eastAsia="仿宋"/>
          <w:color w:val="000000"/>
          <w:sz w:val="32"/>
          <w:szCs w:val="32"/>
        </w:rPr>
        <w:t>因公出国（境）费支出</w:t>
      </w:r>
      <w:r>
        <w:rPr>
          <w:rFonts w:hint="eastAsia" w:ascii="仿宋" w:eastAsia="仿宋"/>
          <w:color w:val="000000"/>
          <w:sz w:val="32"/>
          <w:szCs w:val="32"/>
          <w:lang w:eastAsia="zh-CN"/>
        </w:rPr>
        <w:t>。</w:t>
      </w:r>
    </w:p>
    <w:p>
      <w:pPr>
        <w:numPr>
          <w:ilvl w:val="0"/>
          <w:numId w:val="1"/>
        </w:numPr>
        <w:spacing w:line="600" w:lineRule="exact"/>
        <w:ind w:left="-10" w:leftChars="0" w:firstLine="640" w:firstLineChars="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p>
    <w:p>
      <w:pPr>
        <w:pStyle w:val="2"/>
        <w:numPr>
          <w:ilvl w:val="0"/>
          <w:numId w:val="0"/>
        </w:numPr>
        <w:ind w:firstLine="960" w:firstLineChars="300"/>
        <w:rPr>
          <w:rFonts w:hint="default" w:ascii="仿宋" w:eastAsia="仿宋" w:cs="Times New Roman"/>
          <w:color w:val="000000"/>
          <w:sz w:val="32"/>
          <w:szCs w:val="32"/>
          <w:lang w:val="en-US" w:eastAsia="zh-CN"/>
        </w:rPr>
      </w:pPr>
      <w:r>
        <w:rPr>
          <w:rFonts w:hint="eastAsia" w:ascii="仿宋" w:eastAsia="仿宋" w:cs="Times New Roman"/>
          <w:color w:val="000000"/>
          <w:sz w:val="32"/>
          <w:szCs w:val="32"/>
          <w:lang w:val="en-US" w:eastAsia="zh-CN"/>
        </w:rPr>
        <w:t>2020无公务用车购置及运行维护费支出。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numPr>
          <w:ilvl w:val="0"/>
          <w:numId w:val="1"/>
        </w:numPr>
        <w:spacing w:line="600" w:lineRule="exact"/>
        <w:ind w:left="-10" w:leftChars="0" w:firstLine="640" w:firstLineChars="0"/>
        <w:rPr>
          <w:rFonts w:hint="eastAsia" w:ascii="仿宋_GB2312" w:eastAsia="仿宋_GB2312"/>
          <w:b/>
          <w:color w:val="000000"/>
          <w:sz w:val="32"/>
          <w:szCs w:val="32"/>
        </w:rPr>
      </w:pPr>
      <w:r>
        <w:rPr>
          <w:rFonts w:hint="eastAsia" w:ascii="仿宋_GB2312" w:eastAsia="仿宋_GB2312"/>
          <w:b/>
          <w:color w:val="000000"/>
          <w:sz w:val="32"/>
          <w:szCs w:val="32"/>
        </w:rPr>
        <w:t>公务接待费支出</w:t>
      </w:r>
    </w:p>
    <w:p>
      <w:pPr>
        <w:pStyle w:val="2"/>
        <w:rPr>
          <w:rFonts w:hint="eastAsia" w:ascii="仿宋" w:hAnsi="仿宋" w:eastAsia="仿宋" w:cs="仿宋"/>
          <w:b w:val="0"/>
          <w:bCs w:val="0"/>
          <w:sz w:val="32"/>
          <w:szCs w:val="32"/>
          <w:lang w:val="en-US" w:eastAsia="zh-CN"/>
        </w:rPr>
      </w:pPr>
      <w:r>
        <w:rPr>
          <w:rFonts w:hint="eastAsia"/>
          <w:b w:val="0"/>
          <w:bCs/>
          <w:lang w:val="en-US" w:eastAsia="zh-CN"/>
        </w:rPr>
        <w:t xml:space="preserve">     </w:t>
      </w:r>
      <w:r>
        <w:rPr>
          <w:rFonts w:hint="eastAsia" w:ascii="仿宋" w:hAnsi="仿宋" w:eastAsia="仿宋" w:cs="仿宋"/>
          <w:b w:val="0"/>
          <w:bCs w:val="0"/>
          <w:sz w:val="32"/>
          <w:szCs w:val="32"/>
          <w:lang w:val="en-US" w:eastAsia="zh-CN"/>
        </w:rPr>
        <w:t xml:space="preserve"> 2020年公务接待费0万元。</w:t>
      </w:r>
    </w:p>
    <w:p>
      <w:pPr>
        <w:spacing w:line="600" w:lineRule="exact"/>
        <w:ind w:firstLine="640"/>
        <w:outlineLvl w:val="1"/>
        <w:rPr>
          <w:rStyle w:val="18"/>
          <w:rFonts w:ascii="黑体" w:eastAsia="黑体"/>
        </w:rPr>
      </w:pPr>
      <w:bookmarkStart w:id="46" w:name="_Toc15396610"/>
      <w:bookmarkStart w:id="47" w:name="_Toc15377218"/>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0"/>
        </w:numPr>
        <w:spacing w:line="580" w:lineRule="exact"/>
        <w:ind w:firstLine="640" w:firstLineChars="200"/>
        <w:rPr>
          <w:rStyle w:val="18"/>
          <w:rFonts w:ascii="黑体" w:eastAsia="黑体"/>
          <w:b w:val="0"/>
        </w:rPr>
      </w:pPr>
      <w:r>
        <w:rPr>
          <w:rStyle w:val="18"/>
          <w:rFonts w:hint="eastAsia" w:ascii="黑体" w:eastAsia="黑体"/>
          <w:b w:val="0"/>
        </w:rPr>
        <w:t>十、预算绩效情况说明</w:t>
      </w:r>
    </w:p>
    <w:p>
      <w:pPr>
        <w:spacing w:line="600" w:lineRule="atLeast"/>
        <w:ind w:firstLine="643" w:firstLineChars="200"/>
        <w:rPr>
          <w:rFonts w:hint="eastAsia" w:ascii="仿宋" w:eastAsia="仿宋" w:cs="楷体_GB2312"/>
          <w:b/>
          <w:bCs/>
          <w:sz w:val="32"/>
          <w:szCs w:val="32"/>
        </w:rPr>
      </w:pPr>
      <w:r>
        <w:rPr>
          <w:rFonts w:hint="eastAsia" w:ascii="仿宋" w:eastAsia="仿宋" w:cs="楷体_GB2312"/>
          <w:b/>
          <w:bCs/>
          <w:sz w:val="32"/>
          <w:szCs w:val="32"/>
          <w:lang w:eastAsia="zh-CN"/>
        </w:rPr>
        <w:t>（一）</w:t>
      </w:r>
      <w:r>
        <w:rPr>
          <w:rFonts w:hint="eastAsia" w:ascii="仿宋" w:eastAsia="仿宋" w:cs="楷体_GB2312"/>
          <w:b/>
          <w:bCs/>
          <w:sz w:val="32"/>
          <w:szCs w:val="32"/>
        </w:rPr>
        <w:t>预算绩效管理工作开展情况。</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按照预算绩效管理要求，本部门对2020年一般公共预算项目支出开展了绩效目标管理，共编制绩效目标1个，涉及财政资金61.16万元，覆盖率达到100%。</w:t>
      </w:r>
    </w:p>
    <w:p>
      <w:pPr>
        <w:autoSpaceDE w:val="0"/>
        <w:autoSpaceDN w:val="0"/>
        <w:adjustRightInd w:val="0"/>
        <w:spacing w:line="600" w:lineRule="exact"/>
        <w:ind w:firstLine="643" w:firstLineChars="200"/>
        <w:jc w:val="left"/>
        <w:rPr>
          <w:rFonts w:hint="eastAsia" w:ascii="仿宋_GB2312" w:eastAsia="仿宋_GB2312"/>
          <w:b/>
          <w:color w:val="000000"/>
          <w:sz w:val="32"/>
          <w:szCs w:val="32"/>
        </w:rPr>
      </w:pPr>
      <w:r>
        <w:rPr>
          <w:rFonts w:hint="eastAsia" w:ascii="仿宋_GB2312" w:eastAsia="仿宋_GB2312"/>
          <w:b/>
          <w:color w:val="000000"/>
          <w:sz w:val="32"/>
          <w:szCs w:val="32"/>
        </w:rPr>
        <w:t>（</w:t>
      </w:r>
      <w:r>
        <w:rPr>
          <w:rFonts w:hint="eastAsia" w:ascii="仿宋_GB2312" w:eastAsia="仿宋_GB2312"/>
          <w:b/>
          <w:color w:val="000000"/>
          <w:sz w:val="32"/>
          <w:szCs w:val="32"/>
          <w:lang w:eastAsia="zh-CN"/>
        </w:rPr>
        <w:t>二</w:t>
      </w:r>
      <w:r>
        <w:rPr>
          <w:rFonts w:hint="eastAsia" w:ascii="仿宋_GB2312" w:eastAsia="仿宋_GB2312"/>
          <w:b/>
          <w:color w:val="000000"/>
          <w:sz w:val="32"/>
          <w:szCs w:val="32"/>
        </w:rPr>
        <w:t>）预算绩效</w:t>
      </w:r>
      <w:r>
        <w:rPr>
          <w:rFonts w:hint="eastAsia" w:ascii="仿宋_GB2312" w:eastAsia="仿宋_GB2312"/>
          <w:b/>
          <w:color w:val="000000"/>
          <w:sz w:val="32"/>
          <w:szCs w:val="32"/>
          <w:lang w:eastAsia="zh-CN"/>
        </w:rPr>
        <w:t>完成</w:t>
      </w:r>
      <w:r>
        <w:rPr>
          <w:rFonts w:hint="eastAsia" w:ascii="仿宋_GB2312" w:eastAsia="仿宋_GB2312"/>
          <w:b/>
          <w:color w:val="000000"/>
          <w:sz w:val="32"/>
          <w:szCs w:val="32"/>
        </w:rPr>
        <w:t>情况</w:t>
      </w:r>
    </w:p>
    <w:p>
      <w:pPr>
        <w:spacing w:line="600" w:lineRule="atLeast"/>
        <w:ind w:firstLine="640" w:firstLineChars="200"/>
        <w:rPr>
          <w:rFonts w:hint="eastAsia" w:ascii="仿宋_GB2312" w:hAnsi="仿宋_GB2312" w:eastAsia="仿宋_GB2312" w:cs="仿宋_GB2312"/>
          <w:sz w:val="32"/>
          <w:szCs w:val="32"/>
        </w:rPr>
      </w:pPr>
      <w:r>
        <w:rPr>
          <w:rFonts w:hint="eastAsia" w:ascii="仿宋_GB2312" w:eastAsia="仿宋_GB2312"/>
          <w:color w:val="000000"/>
          <w:sz w:val="32"/>
          <w:szCs w:val="32"/>
        </w:rPr>
        <w:t>按照预算绩效管理要求，本部门对2020年整体支出开展绩效自评，自评得分9</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分，存在的问题：</w:t>
      </w:r>
      <w:r>
        <w:rPr>
          <w:rFonts w:hint="eastAsia" w:ascii="仿宋_GB2312" w:hAnsi="仿宋_GB2312" w:eastAsia="仿宋_GB2312" w:cs="仿宋_GB2312"/>
          <w:sz w:val="32"/>
          <w:szCs w:val="32"/>
        </w:rPr>
        <w:t>奖金拨付进度不够及时、效率有待提高。下一步改进措施：一是加快完善部门财务规章制度建设；二是加强会计核算和财务管理能力。</w:t>
      </w:r>
    </w:p>
    <w:p>
      <w:pPr>
        <w:numPr>
          <w:ilvl w:val="0"/>
          <w:numId w:val="0"/>
        </w:numPr>
        <w:tabs>
          <w:tab w:val="left" w:pos="0"/>
        </w:tabs>
        <w:spacing w:line="580" w:lineRule="exact"/>
        <w:ind w:leftChars="200" w:firstLine="321" w:firstLineChars="100"/>
        <w:rPr>
          <w:rFonts w:ascii="仿宋" w:eastAsia="仿宋" w:cs="仿宋_GB2312"/>
          <w:sz w:val="32"/>
          <w:szCs w:val="32"/>
        </w:rPr>
      </w:pPr>
      <w:r>
        <w:rPr>
          <w:rFonts w:hint="eastAsia" w:ascii="仿宋" w:eastAsia="仿宋" w:cs="楷体_GB2312"/>
          <w:b/>
          <w:bCs/>
          <w:sz w:val="32"/>
          <w:szCs w:val="32"/>
          <w:lang w:val="en-US" w:eastAsia="zh-CN"/>
        </w:rPr>
        <w:t xml:space="preserve">(三） </w:t>
      </w: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金川县文学艺术界联合会</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atLeast"/>
        <w:ind w:firstLine="640" w:firstLineChars="200"/>
        <w:rPr>
          <w:rFonts w:hint="eastAsia" w:ascii="仿宋_GB2312" w:hAnsi="仿宋_GB2312" w:eastAsia="仿宋_GB2312" w:cs="仿宋_GB2312"/>
          <w:sz w:val="32"/>
          <w:szCs w:val="32"/>
          <w:lang w:val="en-US" w:eastAsia="zh-CN"/>
        </w:rPr>
      </w:pPr>
    </w:p>
    <w:p>
      <w:pPr>
        <w:spacing w:line="600" w:lineRule="exact"/>
        <w:ind w:firstLine="640" w:firstLineChars="200"/>
        <w:outlineLvl w:val="1"/>
        <w:rPr>
          <w:rStyle w:val="18"/>
          <w:rFonts w:ascii="黑体" w:eastAsia="黑体"/>
        </w:rPr>
      </w:pPr>
      <w:bookmarkStart w:id="50" w:name="_Toc15377221"/>
      <w:bookmarkStart w:id="51" w:name="_Toc15396612"/>
      <w:r>
        <w:rPr>
          <w:rFonts w:hint="eastAsia" w:ascii="黑体" w:eastAsia="黑体"/>
          <w:color w:val="000000"/>
          <w:sz w:val="32"/>
          <w:szCs w:val="32"/>
        </w:rPr>
        <w:t>十</w:t>
      </w:r>
      <w:r>
        <w:rPr>
          <w:rFonts w:hint="eastAsia" w:ascii="黑体" w:eastAsia="黑体"/>
          <w:color w:val="000000"/>
          <w:sz w:val="32"/>
          <w:szCs w:val="32"/>
          <w:lang w:eastAsia="zh-CN"/>
        </w:rPr>
        <w:t>一</w:t>
      </w:r>
      <w:r>
        <w:rPr>
          <w:rStyle w:val="18"/>
          <w:rFonts w:hint="eastAsia" w:ascii="黑体" w:eastAsia="黑体"/>
        </w:rPr>
        <w:t>、</w:t>
      </w:r>
      <w:r>
        <w:rPr>
          <w:rStyle w:val="18"/>
          <w:rFonts w:hint="eastAsia" w:ascii="黑体" w:eastAsia="黑体"/>
          <w:b w:val="0"/>
        </w:rPr>
        <w:t>其他重要事项的情况说明</w:t>
      </w:r>
      <w:bookmarkEnd w:id="50"/>
      <w:bookmarkEnd w:id="51"/>
    </w:p>
    <w:p>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（一）机关运行经费支出情况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2020年度，事业运行经费支出61.16万元。</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（二）政府采购支出情况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2020年度，采购支出0万元。</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（三）国有资产占有使用情况</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截至2020年12月31日，我台有公有车辆0辆；单价50万元以上通用设备0套，无单价100万元以上专用设备。</w:t>
      </w:r>
    </w:p>
    <w:p>
      <w:pPr>
        <w:widowControl/>
        <w:ind w:firstLine="643" w:firstLineChars="200"/>
        <w:jc w:val="left"/>
        <w:rPr>
          <w:rFonts w:ascii="仿宋_GB2312" w:eastAsia="仿宋_GB2312"/>
          <w:b/>
          <w:color w:val="000000"/>
          <w:sz w:val="32"/>
          <w:szCs w:val="32"/>
          <w:lang w:val="en-US" w:eastAsia="zh-CN"/>
        </w:rPr>
      </w:pPr>
    </w:p>
    <w:p>
      <w:pPr>
        <w:numPr>
          <w:ilvl w:val="0"/>
          <w:numId w:val="3"/>
        </w:numPr>
        <w:spacing w:line="600" w:lineRule="exact"/>
        <w:ind w:left="0" w:firstLine="663" w:firstLineChars="150"/>
        <w:jc w:val="center"/>
        <w:outlineLvl w:val="0"/>
        <w:rPr>
          <w:rStyle w:val="17"/>
          <w:rFonts w:ascii="黑体" w:eastAsia="黑体"/>
          <w:b w:val="0"/>
        </w:rPr>
      </w:pPr>
      <w:bookmarkStart w:id="52" w:name="_Toc15377225"/>
      <w:bookmarkStart w:id="53" w:name="_Toc15396613"/>
      <w:r>
        <w:rPr>
          <w:rFonts w:hint="eastAsia" w:ascii="黑体" w:eastAsia="黑体"/>
          <w:b/>
          <w:color w:val="000000"/>
          <w:sz w:val="44"/>
          <w:szCs w:val="44"/>
        </w:rPr>
        <w:t>名</w:t>
      </w:r>
      <w:r>
        <w:rPr>
          <w:rStyle w:val="17"/>
          <w:rFonts w:hint="eastAsia" w:ascii="黑体" w:eastAsia="黑体"/>
          <w:b w:val="0"/>
        </w:rPr>
        <w:t>词解释</w:t>
      </w:r>
      <w:bookmarkEnd w:id="52"/>
      <w:bookmarkEnd w:id="53"/>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 </w:t>
      </w:r>
      <w:r>
        <w:rPr>
          <w:rStyle w:val="15"/>
          <w:rFonts w:hint="eastAsia" w:ascii="仿宋_GB2312" w:eastAsia="仿宋_GB2312"/>
          <w:b w:val="0"/>
          <w:bCs w:val="0"/>
          <w:sz w:val="32"/>
          <w:szCs w:val="32"/>
        </w:rPr>
        <w:t>文化体育与传媒支出207</w:t>
      </w:r>
      <w:r>
        <w:rPr>
          <w:rFonts w:hint="eastAsia" w:ascii="仿宋_GB2312" w:eastAsia="仿宋_GB2312"/>
          <w:color w:val="000000"/>
          <w:sz w:val="32"/>
          <w:szCs w:val="32"/>
        </w:rPr>
        <w:t>（类）</w:t>
      </w:r>
      <w:r>
        <w:rPr>
          <w:rStyle w:val="15"/>
          <w:rFonts w:hint="eastAsia" w:ascii="仿宋_GB2312" w:eastAsia="仿宋_GB2312"/>
          <w:b w:val="0"/>
          <w:bCs w:val="0"/>
          <w:sz w:val="32"/>
          <w:szCs w:val="32"/>
        </w:rPr>
        <w:t>文化01</w:t>
      </w:r>
      <w:r>
        <w:rPr>
          <w:rFonts w:hint="eastAsia" w:ascii="仿宋_GB2312" w:eastAsia="仿宋_GB2312"/>
          <w:color w:val="000000"/>
          <w:sz w:val="32"/>
          <w:szCs w:val="32"/>
        </w:rPr>
        <w:t>（款）</w:t>
      </w:r>
      <w:r>
        <w:rPr>
          <w:rStyle w:val="15"/>
          <w:rFonts w:hint="eastAsia" w:ascii="仿宋_GB2312" w:eastAsia="仿宋_GB2312"/>
          <w:b w:val="0"/>
          <w:bCs w:val="0"/>
          <w:sz w:val="32"/>
          <w:szCs w:val="32"/>
        </w:rPr>
        <w:t>其他文化支出</w:t>
      </w:r>
      <w:r>
        <w:rPr>
          <w:rFonts w:hint="eastAsia" w:ascii="仿宋_GB2312" w:eastAsia="仿宋_GB2312"/>
          <w:color w:val="000000"/>
          <w:sz w:val="32"/>
          <w:szCs w:val="32"/>
        </w:rPr>
        <w:t>（项）</w:t>
      </w:r>
      <w:r>
        <w:rPr>
          <w:rStyle w:val="15"/>
          <w:rFonts w:hint="eastAsia" w:ascii="仿宋_GB2312" w:eastAsia="仿宋_GB2312"/>
          <w:b w:val="0"/>
          <w:bCs w:val="0"/>
          <w:sz w:val="32"/>
          <w:szCs w:val="32"/>
        </w:rPr>
        <w:t>99：指</w:t>
      </w:r>
      <w:r>
        <w:rPr>
          <w:rStyle w:val="15"/>
          <w:rFonts w:hint="eastAsia" w:ascii="仿宋_GB2312" w:eastAsia="仿宋_GB2312"/>
          <w:b w:val="0"/>
          <w:bCs w:val="0"/>
          <w:sz w:val="32"/>
          <w:szCs w:val="32"/>
          <w:lang w:eastAsia="zh-CN"/>
        </w:rPr>
        <w:t>其他</w:t>
      </w:r>
      <w:r>
        <w:rPr>
          <w:rStyle w:val="15"/>
          <w:rFonts w:hint="eastAsia" w:ascii="仿宋_GB2312" w:eastAsia="仿宋_GB2312"/>
          <w:b w:val="0"/>
          <w:bCs w:val="0"/>
          <w:sz w:val="32"/>
          <w:szCs w:val="32"/>
        </w:rPr>
        <w:t>用于文化方面的支出。</w:t>
      </w:r>
    </w:p>
    <w:p>
      <w:pPr>
        <w:spacing w:line="600" w:lineRule="exact"/>
        <w:ind w:firstLine="640" w:firstLineChars="200"/>
        <w:rPr>
          <w:rStyle w:val="15"/>
          <w:rFonts w:hint="eastAsia" w:ascii="仿宋_GB2312" w:eastAsia="仿宋_GB2312"/>
          <w:b w:val="0"/>
          <w:bCs w:val="0"/>
          <w:sz w:val="32"/>
          <w:szCs w:val="32"/>
        </w:rPr>
      </w:pPr>
      <w:r>
        <w:rPr>
          <w:rFonts w:hint="eastAsia" w:ascii="仿宋_GB2312" w:eastAsia="仿宋_GB2312"/>
          <w:color w:val="000000"/>
          <w:sz w:val="32"/>
          <w:szCs w:val="32"/>
        </w:rPr>
        <w:t>3.社会保障和就业208（类）行政事业单位离退休05（款）机关事业单位基本养老保险缴费支出（项）05：指机关事业单位实施养老保险制度由单位缴纳的基本养老保险费支出。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4.社会保障和就业208（类）行政事业单位离退休05（款）机关事业单位职业年金缴费支出（项）06：指机关事业单位实施养老保险制度由单位缴纳的职业年金支出。</w:t>
      </w:r>
    </w:p>
    <w:p>
      <w:pPr>
        <w:numPr>
          <w:ilvl w:val="0"/>
          <w:numId w:val="0"/>
        </w:num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行政事业单位医疗11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事业单位医疗02</w:t>
      </w:r>
      <w:r>
        <w:rPr>
          <w:rFonts w:hint="eastAsia" w:ascii="仿宋_GB2312" w:eastAsia="仿宋_GB2312"/>
          <w:color w:val="000000"/>
          <w:sz w:val="32"/>
          <w:szCs w:val="32"/>
        </w:rPr>
        <w:t>（项）：指反映财政部门集中安排的事业单位基本医疗保险缴费经费。</w:t>
      </w:r>
    </w:p>
    <w:p>
      <w:pPr>
        <w:pStyle w:val="2"/>
        <w:numPr>
          <w:ilvl w:val="0"/>
          <w:numId w:val="0"/>
        </w:numPr>
        <w:ind w:firstLine="640" w:firstLineChars="200"/>
        <w:rPr>
          <w:rFonts w:hint="eastAsia"/>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行政事业单位医疗11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公务员医疗补助03</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：指反映财政部门集中安排的公务员医疗补助缴费。</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公共卫生04</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突发公共卫生事件应急处理10</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指反映突发公共卫生事件衣急处理费用。</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8.</w:t>
      </w:r>
      <w:r>
        <w:rPr>
          <w:rFonts w:hint="eastAsia" w:ascii="仿宋_GB2312" w:eastAsia="仿宋_GB2312"/>
          <w:color w:val="000000"/>
          <w:sz w:val="32"/>
          <w:szCs w:val="32"/>
          <w:lang w:val="en-US" w:eastAsia="zh-CN"/>
        </w:rPr>
        <w:t>住房保障221（类）住房改革支出02（款）住房公积金01（项）</w:t>
      </w:r>
      <w:r>
        <w:rPr>
          <w:rFonts w:hint="eastAsia" w:ascii="仿宋_GB2312" w:eastAsia="仿宋_GB2312"/>
          <w:color w:val="000000"/>
          <w:sz w:val="32"/>
          <w:szCs w:val="32"/>
          <w:lang w:eastAsia="zh-CN"/>
        </w:rPr>
        <w:t>：</w:t>
      </w:r>
      <w:r>
        <w:rPr>
          <w:rFonts w:hint="eastAsia" w:ascii="仿宋_GB2312" w:eastAsia="仿宋_GB2312"/>
          <w:color w:val="000000"/>
          <w:sz w:val="32"/>
          <w:szCs w:val="32"/>
        </w:rPr>
        <w:t>指反映行政事业单位按人力资源和社会保障部、财政部规定的基本工资和津贴补贴以及规定比例为职工缴纳的住房公积金。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9.年末结转和结余：基本支出：指为保障机构正常运转、完成日常工作任务而发生的人员支出和公用支出。</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10.</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jc w:val="center"/>
        <w:outlineLvl w:val="0"/>
        <w:rPr>
          <w:rFonts w:hint="eastAsia" w:ascii="黑体" w:eastAsia="黑体"/>
          <w:color w:val="000000"/>
          <w:sz w:val="44"/>
          <w:szCs w:val="44"/>
        </w:rPr>
      </w:pPr>
    </w:p>
    <w:p>
      <w:pPr>
        <w:pStyle w:val="2"/>
        <w:rPr>
          <w:rFonts w:hint="eastAsia" w:ascii="黑体" w:eastAsia="黑体"/>
          <w:color w:val="000000"/>
          <w:sz w:val="44"/>
          <w:szCs w:val="44"/>
        </w:rPr>
      </w:pPr>
    </w:p>
    <w:p>
      <w:pPr>
        <w:pStyle w:val="2"/>
        <w:rPr>
          <w:rFonts w:hint="eastAsia" w:ascii="黑体" w:eastAsia="黑体"/>
          <w:color w:val="000000"/>
          <w:sz w:val="44"/>
          <w:szCs w:val="44"/>
        </w:rPr>
      </w:pPr>
    </w:p>
    <w:p>
      <w:pPr>
        <w:pStyle w:val="4"/>
        <w:rPr>
          <w:rStyle w:val="17"/>
          <w:rFonts w:ascii="仿宋" w:eastAsia="仿宋"/>
          <w:b w:val="0"/>
          <w:bCs w:val="0"/>
          <w:sz w:val="32"/>
          <w:szCs w:val="32"/>
        </w:rPr>
      </w:pPr>
      <w:bookmarkStart w:id="54" w:name="_Toc15396615"/>
      <w:r>
        <w:rPr>
          <w:rStyle w:val="17"/>
          <w:rFonts w:hint="eastAsia" w:ascii="仿宋" w:eastAsia="仿宋"/>
          <w:b w:val="0"/>
          <w:bCs w:val="0"/>
          <w:sz w:val="32"/>
          <w:szCs w:val="32"/>
        </w:rPr>
        <w:t>附件1</w:t>
      </w:r>
      <w:bookmarkEnd w:id="54"/>
    </w:p>
    <w:p>
      <w:pPr>
        <w:numPr>
          <w:ilvl w:val="0"/>
          <w:numId w:val="3"/>
        </w:numPr>
        <w:spacing w:line="600" w:lineRule="exact"/>
        <w:ind w:left="0" w:firstLine="660" w:firstLineChars="150"/>
        <w:jc w:val="center"/>
        <w:outlineLvl w:val="0"/>
        <w:rPr>
          <w:rStyle w:val="17"/>
          <w:rFonts w:hint="eastAsia" w:ascii="黑体" w:eastAsia="黑体"/>
          <w:b w:val="0"/>
        </w:rPr>
      </w:pPr>
      <w:r>
        <w:rPr>
          <w:rStyle w:val="17"/>
          <w:rFonts w:hint="eastAsia" w:ascii="黑体" w:eastAsia="黑体"/>
          <w:b w:val="0"/>
        </w:rPr>
        <w:t>附件</w:t>
      </w:r>
    </w:p>
    <w:p>
      <w:pPr>
        <w:widowControl/>
        <w:spacing w:line="580" w:lineRule="exact"/>
        <w:contextualSpacing/>
        <w:jc w:val="center"/>
        <w:rPr>
          <w:rFonts w:ascii="宋体" w:hAnsi="宋体" w:eastAsia="宋体"/>
          <w:b/>
          <w:sz w:val="44"/>
          <w:szCs w:val="44"/>
          <w:shd w:val="clear" w:color="auto" w:fill="FFFFFF"/>
        </w:rPr>
      </w:pPr>
      <w:r>
        <w:rPr>
          <w:rFonts w:ascii="宋体" w:hAnsi="宋体" w:eastAsia="宋体"/>
          <w:b/>
          <w:sz w:val="44"/>
          <w:szCs w:val="44"/>
          <w:shd w:val="clear" w:color="auto" w:fill="FFFFFF"/>
        </w:rPr>
        <w:t>2021</w:t>
      </w:r>
      <w:r>
        <w:rPr>
          <w:rFonts w:hint="eastAsia" w:ascii="宋体" w:hAnsi="宋体" w:eastAsia="宋体"/>
          <w:b/>
          <w:sz w:val="44"/>
          <w:szCs w:val="44"/>
          <w:shd w:val="clear" w:color="auto" w:fill="FFFFFF"/>
        </w:rPr>
        <w:t>年金川县</w:t>
      </w:r>
      <w:r>
        <w:rPr>
          <w:rFonts w:hint="eastAsia" w:ascii="宋体" w:hAnsi="宋体" w:eastAsia="宋体"/>
          <w:b/>
          <w:sz w:val="44"/>
          <w:szCs w:val="44"/>
          <w:shd w:val="clear" w:color="auto" w:fill="FFFFFF"/>
          <w:lang w:eastAsia="zh-CN"/>
        </w:rPr>
        <w:t>文学艺术界联合</w:t>
      </w:r>
      <w:r>
        <w:rPr>
          <w:rFonts w:hint="eastAsia" w:ascii="宋体" w:hAnsi="宋体" w:eastAsia="宋体"/>
          <w:b/>
          <w:sz w:val="44"/>
          <w:szCs w:val="44"/>
          <w:shd w:val="clear" w:color="auto" w:fill="FFFFFF"/>
        </w:rPr>
        <w:t>会</w:t>
      </w:r>
    </w:p>
    <w:p>
      <w:pPr>
        <w:widowControl/>
        <w:spacing w:line="580" w:lineRule="exact"/>
        <w:contextualSpacing/>
        <w:jc w:val="center"/>
        <w:rPr>
          <w:rFonts w:ascii="宋体" w:hAnsi="宋体" w:eastAsia="宋体"/>
          <w:b/>
          <w:sz w:val="44"/>
          <w:szCs w:val="44"/>
          <w:shd w:val="clear" w:color="auto" w:fill="FFFFFF"/>
        </w:rPr>
      </w:pPr>
      <w:r>
        <w:rPr>
          <w:rFonts w:hint="eastAsia" w:ascii="宋体" w:hAnsi="宋体" w:eastAsia="宋体"/>
          <w:b/>
          <w:sz w:val="44"/>
          <w:szCs w:val="44"/>
          <w:shd w:val="clear" w:color="auto" w:fill="FFFFFF"/>
        </w:rPr>
        <w:t>整体支出绩效评价报告</w:t>
      </w:r>
    </w:p>
    <w:p>
      <w:pPr>
        <w:pStyle w:val="2"/>
        <w:numPr>
          <w:ilvl w:val="0"/>
          <w:numId w:val="0"/>
        </w:numPr>
        <w:ind w:firstLine="883" w:firstLineChars="200"/>
        <w:rPr>
          <w:rFonts w:ascii="宋体" w:hAnsi="宋体" w:eastAsia="宋体"/>
          <w:b/>
          <w:sz w:val="44"/>
          <w:szCs w:val="44"/>
          <w:shd w:val="clear" w:color="auto" w:fill="FFFFFF"/>
        </w:rPr>
      </w:pPr>
    </w:p>
    <w:p>
      <w:pPr>
        <w:pStyle w:val="2"/>
        <w:numPr>
          <w:ilvl w:val="0"/>
          <w:numId w:val="0"/>
        </w:numPr>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en-US" w:eastAsia="zh-CN"/>
        </w:rPr>
        <w:t>一、</w:t>
      </w:r>
      <w:r>
        <w:rPr>
          <w:rFonts w:hint="eastAsia" w:ascii="仿宋_GB2312" w:eastAsia="仿宋_GB2312"/>
          <w:color w:val="000000"/>
          <w:sz w:val="32"/>
          <w:szCs w:val="32"/>
          <w:lang w:val="zh-CN" w:eastAsia="zh-CN"/>
        </w:rPr>
        <w:t>部门（单位）概况</w:t>
      </w:r>
    </w:p>
    <w:p>
      <w:pPr>
        <w:pStyle w:val="2"/>
        <w:numPr>
          <w:ilvl w:val="0"/>
          <w:numId w:val="0"/>
        </w:numPr>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（一）机构组成。</w:t>
      </w:r>
      <w:r>
        <w:rPr>
          <w:rFonts w:hint="eastAsia" w:ascii="仿宋_GB2312" w:eastAsia="仿宋_GB2312"/>
          <w:color w:val="000000"/>
          <w:sz w:val="32"/>
          <w:szCs w:val="32"/>
          <w:lang w:val="en-US" w:eastAsia="zh-CN"/>
        </w:rPr>
        <w:t>县文联是1个独立核算机构的事业单位。</w:t>
      </w:r>
    </w:p>
    <w:p>
      <w:pPr>
        <w:pStyle w:val="2"/>
        <w:numPr>
          <w:ilvl w:val="0"/>
          <w:numId w:val="0"/>
        </w:numPr>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（二）机构职能。</w:t>
      </w:r>
      <w:r>
        <w:rPr>
          <w:rFonts w:hint="eastAsia" w:ascii="仿宋_GB2312" w:eastAsia="仿宋_GB2312"/>
          <w:color w:val="000000"/>
          <w:sz w:val="32"/>
          <w:szCs w:val="32"/>
          <w:lang w:val="en-US" w:eastAsia="zh-CN"/>
        </w:rPr>
        <w:t>县文联是中共金川县委领导的，由全县文学艺术家协会组成的人民团体，是中共金川县委、县人民政府联系文艺界的桥梁和纽带，是繁荣社会主义文艺、发展先进文化的重要力量。其主要职责是：一是团结带领全县广大文艺家和文艺工作者，高举社会主义伟大旗帜，坚持文艺“为人民服务、为社会主义服务”的方向和“百花齐放、百家争鸣”的方针，为发展和繁荣社会主义文艺事业、建设文化强县、全面建成小康社会、实现金川的跨越发展和长治久安努力奋斗。二是组织带领全县广大文艺家和文艺工作者深入生活、扎根人民，加强艺术实践，抓好文艺创作，用科学的理念武装人，用正确的舆论引导人，用高尚的精神塑造人，用优秀的作品鼓舞人。三是负责对有关的文学艺术社团进行监督管理，发挥人才和专业优势。四是尊重各民族文艺传统，积极发现、培养和扶持文艺人才。五是积极促进全县各民族文艺家和文艺工作者的团结，加强各地区文联系统之间的联系，积极开展文艺交流活动，树立金川文艺新形象，提高金川文艺影响力。六是积极开展文艺传播和文艺惠民活动，丰富和提高全县各族人民的文艺生活，弘扬民族文化精神，发展民族文学艺术事业。</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eastAsia="zh-CN"/>
        </w:rPr>
        <w:t>（三）人员概况。</w:t>
      </w:r>
      <w:r>
        <w:rPr>
          <w:rFonts w:hint="eastAsia" w:ascii="仿宋_GB2312" w:eastAsia="仿宋_GB2312"/>
          <w:color w:val="000000"/>
          <w:sz w:val="32"/>
          <w:szCs w:val="32"/>
          <w:lang w:val="en-US" w:eastAsia="zh-CN"/>
        </w:rPr>
        <w:t>2020年度，县文联决算汇编范围的独立核算单位共1个，无增减变动。截止</w:t>
      </w:r>
      <w:bookmarkStart w:id="55" w:name="_GoBack"/>
      <w:bookmarkEnd w:id="55"/>
      <w:r>
        <w:rPr>
          <w:rFonts w:hint="eastAsia" w:ascii="仿宋_GB2312" w:eastAsia="仿宋_GB2312"/>
          <w:color w:val="000000"/>
          <w:sz w:val="32"/>
          <w:szCs w:val="32"/>
          <w:lang w:val="en-US" w:eastAsia="zh-CN"/>
        </w:rPr>
        <w:t>2020年末，单位实有人数3人，属事业管理人员，退休1人（工资由社保部门发放）。</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二、部门财政资金收支情况</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eastAsia="zh-CN"/>
        </w:rPr>
        <w:t>（一）部门财政资金收入情况。</w:t>
      </w:r>
      <w:r>
        <w:rPr>
          <w:rFonts w:hint="eastAsia" w:ascii="仿宋_GB2312" w:eastAsia="仿宋_GB2312"/>
          <w:color w:val="000000"/>
          <w:sz w:val="32"/>
          <w:szCs w:val="32"/>
          <w:lang w:val="en-US" w:eastAsia="zh-CN"/>
        </w:rPr>
        <w:t>2020年县文联本年收入合计61.16万元，其中：财政拨款收入61.16万元。包括人员经费是49.37万元，公务经费是11.63万元，突发公共卫生事件应急处理0.16万元。</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eastAsia="zh-CN"/>
        </w:rPr>
        <w:t>（二）部门财政资金支出情况。</w:t>
      </w:r>
      <w:r>
        <w:rPr>
          <w:rFonts w:hint="eastAsia" w:ascii="仿宋_GB2312" w:eastAsia="仿宋_GB2312"/>
          <w:color w:val="000000"/>
          <w:sz w:val="32"/>
          <w:szCs w:val="32"/>
          <w:lang w:val="en-US" w:eastAsia="zh-CN"/>
        </w:rPr>
        <w:t xml:space="preserve">2020年县文联本年支出合计61.16万元，其中：基本支出61万元，占99.73%；突发公共卫生事件应急处理0.16万元，占0.27%。主要用于以下方面: </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基本支出61万元。包括了基本工资11.10万元，津贴补贴5.81万元，奖金1.35万元，绩效工资9.87万元，其他社会保障缴费1.09万元，办公费2.23万元，印刷费1万元，邮电费0.9万元，差旅费2万元，会议费3万元，劳务费0.5万，其他交通费用2万元，奖励金7.75万元，生活补助0.16万元。</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社会保障缴费支出6.42万元，占总支出的10.50%。包括了机关事业单位基本养老保险支出4.28万元，机关事业单位职业年金支出2.14万元。</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卫生健康支出1.87万元，占总支出的3%，包括职工基本医疗保险缴费。</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住房保障支出4.10万元，占总支出的6.72%，包括了住房公积金4.10万元。</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三、部门整体预算绩效管理情况</w:t>
      </w:r>
    </w:p>
    <w:p>
      <w:pPr>
        <w:pStyle w:val="2"/>
        <w:numPr>
          <w:ilvl w:val="0"/>
          <w:numId w:val="0"/>
        </w:numPr>
        <w:ind w:firstLine="640" w:firstLineChars="200"/>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（一）部门预算管理。</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县文联严格按照县级部门预算编制通知要求，按照本单位职能职责按时完成基础信息、预算编制等工作，并按时提交部门预算草案，不存在预算编制错误情况。县财政局根据预算编制草案，进行审核、批复。县文联2020年预算收入61.16万元，预算支出61.16万元。在职职工3人，人均公务经费7433元，合计2.3万元。2020年度按时完成了各项预算项目的执行进度，未出现部门算管理方面违规违纪问题发生。</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eastAsia="zh-CN"/>
        </w:rPr>
        <w:t>（二）结果应用情况。</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预算决算公开按财政局的要求在收到财政批复后20个工作日在金川县政府中心的信息网站进行公开。根据开展2021年部门、政策和项目支出绩效评价工作的通知（金财监绩［2021］26号）要求进行单位自评，按财政要求收支并接受财政的监督管理。</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四、评价结论及建议</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eastAsia="zh-CN"/>
        </w:rPr>
        <w:t>（一）评价结论。</w:t>
      </w:r>
      <w:r>
        <w:rPr>
          <w:rFonts w:hint="eastAsia" w:ascii="仿宋_GB2312" w:eastAsia="仿宋_GB2312"/>
          <w:color w:val="000000"/>
          <w:sz w:val="32"/>
          <w:szCs w:val="32"/>
          <w:lang w:val="en-US" w:eastAsia="zh-CN"/>
        </w:rPr>
        <w:t>根据金财监绩〔2021〕26号文件的附件1部门支出绩效评价指标体系进行单位自评，圆满完成绩效自评工作，圆满完成中央、省、州委和县的重要工作、目标任务。</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本单位整体支出绩效评价指标体系自评打分90分（见附件1－3）。</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eastAsia="zh-CN"/>
        </w:rPr>
        <w:t>（二）存在问题。</w:t>
      </w:r>
      <w:r>
        <w:rPr>
          <w:rFonts w:hint="eastAsia" w:ascii="仿宋_GB2312" w:eastAsia="仿宋_GB2312"/>
          <w:color w:val="000000"/>
          <w:sz w:val="32"/>
          <w:szCs w:val="32"/>
          <w:lang w:val="en-US" w:eastAsia="zh-CN"/>
        </w:rPr>
        <w:t>一是预算经费支出进度较缓；二是部门决算上报处理效率还需继续提升。</w:t>
      </w:r>
    </w:p>
    <w:p>
      <w:pPr>
        <w:pStyle w:val="2"/>
        <w:numPr>
          <w:ilvl w:val="0"/>
          <w:numId w:val="0"/>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zh-CN" w:eastAsia="zh-CN"/>
        </w:rPr>
        <w:t>（三）改进建议。</w:t>
      </w:r>
      <w:r>
        <w:rPr>
          <w:rFonts w:hint="eastAsia" w:ascii="仿宋_GB2312" w:eastAsia="仿宋_GB2312"/>
          <w:color w:val="000000"/>
          <w:sz w:val="32"/>
          <w:szCs w:val="32"/>
          <w:lang w:val="en-US" w:eastAsia="zh-CN"/>
        </w:rPr>
        <w:t>完善单位管理规章制度建设、加强会计核算和财务管理能力，提升财务工作效率。</w:t>
      </w:r>
    </w:p>
    <w:p>
      <w:pPr>
        <w:pStyle w:val="2"/>
        <w:numPr>
          <w:ilvl w:val="0"/>
          <w:numId w:val="0"/>
        </w:numPr>
        <w:ind w:firstLine="640" w:firstLineChars="200"/>
        <w:rPr>
          <w:rFonts w:hint="eastAsia" w:ascii="仿宋_GB2312" w:eastAsia="仿宋_GB2312"/>
          <w:color w:val="000000"/>
          <w:sz w:val="32"/>
          <w:szCs w:val="32"/>
          <w:lang w:val="en-US" w:eastAsia="zh-CN"/>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20FCBE24"/>
    <w:multiLevelType w:val="singleLevel"/>
    <w:tmpl w:val="20FCBE24"/>
    <w:lvl w:ilvl="0" w:tentative="0">
      <w:start w:val="1"/>
      <w:numFmt w:val="decimal"/>
      <w:lvlText w:val="%1."/>
      <w:lvlJc w:val="left"/>
      <w:pPr>
        <w:tabs>
          <w:tab w:val="left" w:pos="312"/>
        </w:tabs>
        <w:ind w:left="-1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B9259B"/>
    <w:rsid w:val="02246CE2"/>
    <w:rsid w:val="095B2CBE"/>
    <w:rsid w:val="0C270613"/>
    <w:rsid w:val="0E1908D5"/>
    <w:rsid w:val="108D525B"/>
    <w:rsid w:val="13DE5AA5"/>
    <w:rsid w:val="14FA7106"/>
    <w:rsid w:val="150F12FC"/>
    <w:rsid w:val="17DD5498"/>
    <w:rsid w:val="19E31B98"/>
    <w:rsid w:val="1C7C6FA3"/>
    <w:rsid w:val="22762A61"/>
    <w:rsid w:val="23A7118D"/>
    <w:rsid w:val="24336DBB"/>
    <w:rsid w:val="27994F12"/>
    <w:rsid w:val="290613F6"/>
    <w:rsid w:val="2CB50678"/>
    <w:rsid w:val="2D627B6D"/>
    <w:rsid w:val="2EA971AE"/>
    <w:rsid w:val="30EE1FDD"/>
    <w:rsid w:val="314C14B7"/>
    <w:rsid w:val="33043361"/>
    <w:rsid w:val="3834250B"/>
    <w:rsid w:val="38902074"/>
    <w:rsid w:val="391F0D1C"/>
    <w:rsid w:val="3C3A6713"/>
    <w:rsid w:val="3ED670FF"/>
    <w:rsid w:val="3FD5132C"/>
    <w:rsid w:val="401E4065"/>
    <w:rsid w:val="47401668"/>
    <w:rsid w:val="52AE3874"/>
    <w:rsid w:val="54E24B68"/>
    <w:rsid w:val="58241220"/>
    <w:rsid w:val="590E4FC0"/>
    <w:rsid w:val="59BB5ADD"/>
    <w:rsid w:val="5D4A0942"/>
    <w:rsid w:val="60FE3F3B"/>
    <w:rsid w:val="67AC15EF"/>
    <w:rsid w:val="67B32FE5"/>
    <w:rsid w:val="6A9F4DD9"/>
    <w:rsid w:val="72B4213B"/>
    <w:rsid w:val="73373632"/>
    <w:rsid w:val="73DC1A63"/>
    <w:rsid w:val="769F2AE5"/>
    <w:rsid w:val="77166BCC"/>
    <w:rsid w:val="79EE0668"/>
    <w:rsid w:val="7A36222E"/>
    <w:rsid w:val="7B3F2236"/>
    <w:rsid w:val="7F3D22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2019年 </c:v>
                </c:pt>
                <c:pt idx="1">
                  <c:v>2020年</c:v>
                </c:pt>
              </c:strCache>
            </c:strRef>
          </c:cat>
          <c:val>
            <c:numRef>
              <c:f>Sheet1!$B$2:$B$3</c:f>
              <c:numCache>
                <c:formatCode>General</c:formatCode>
                <c:ptCount val="2"/>
                <c:pt idx="0">
                  <c:v>53.58</c:v>
                </c:pt>
                <c:pt idx="1">
                  <c:v>61.16</c:v>
                </c:pt>
              </c:numCache>
            </c:numRef>
          </c:val>
        </c:ser>
        <c:ser>
          <c:idx val="1"/>
          <c:order val="1"/>
          <c:tx>
            <c:strRef>
              <c:f>Sheet1!$C$1</c:f>
              <c:strCache>
                <c:ptCount val="1"/>
                <c:pt idx="0">
                  <c:v>总支出</c:v>
                </c:pt>
              </c:strCache>
            </c:strRef>
          </c:tx>
          <c:spPr>
            <a:solidFill>
              <a:schemeClr val="accent2"/>
            </a:solidFill>
            <a:ln>
              <a:noFill/>
            </a:ln>
            <a:effectLst/>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2019年 </c:v>
                </c:pt>
                <c:pt idx="1">
                  <c:v>2020年</c:v>
                </c:pt>
              </c:strCache>
            </c:strRef>
          </c:cat>
          <c:val>
            <c:numRef>
              <c:f>Sheet1!$C$2:$C$3</c:f>
              <c:numCache>
                <c:formatCode>General</c:formatCode>
                <c:ptCount val="2"/>
                <c:pt idx="0">
                  <c:v>62.48</c:v>
                </c:pt>
                <c:pt idx="1">
                  <c:v>61.16</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
        <c:crosses val="autoZero"/>
        <c:auto val="1"/>
        <c:lblAlgn val="ctr"/>
        <c:lblOffset val="100"/>
        <c:noMultiLvlLbl val="0"/>
      </c:catAx>
      <c:valAx>
        <c:axId val="1"/>
        <c:scaling>
          <c:orientation val="minMax"/>
          <c:max val="7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0"/>
        <c:crossesAt val="1"/>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61.16</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61.16</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53.58</c:v>
                </c:pt>
                <c:pt idx="1">
                  <c:v>62.48</c:v>
                </c:pt>
              </c:numCache>
            </c:numRef>
          </c:val>
        </c:ser>
        <c:ser>
          <c:idx val="1"/>
          <c:order val="1"/>
          <c:tx>
            <c:strRef>
              <c:f>'Sheet1 (4)'!$A$3</c:f>
              <c:strCache>
                <c:ptCount val="1"/>
                <c:pt idx="0">
                  <c:v>2020年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61.16</c:v>
                </c:pt>
                <c:pt idx="1">
                  <c:v>61.16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70"/>
          <c:min val="1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62.48</c:v>
                </c:pt>
                <c:pt idx="1">
                  <c:v>61.16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70"/>
          <c:min val="1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文化体育与传媒</c:v>
                </c:pt>
                <c:pt idx="1">
                  <c:v>社会保障和就业</c:v>
                </c:pt>
                <c:pt idx="2">
                  <c:v>医疗卫生支出</c:v>
                </c:pt>
                <c:pt idx="3">
                  <c:v>住房保障支出</c:v>
                </c:pt>
              </c:strCache>
            </c:strRef>
          </c:cat>
          <c:val>
            <c:numRef>
              <c:f>'Sheet1 (6)'!$B$2:$B$5</c:f>
              <c:numCache>
                <c:formatCode>General</c:formatCode>
                <c:ptCount val="4"/>
                <c:pt idx="0">
                  <c:v>47.01</c:v>
                </c:pt>
                <c:pt idx="1">
                  <c:v>6.42</c:v>
                </c:pt>
                <c:pt idx="2">
                  <c:v>2.6</c:v>
                </c:pt>
                <c:pt idx="3">
                  <c:v>5.13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11379</Words>
  <Characters>12650</Characters>
  <Lines>950</Lines>
  <Paragraphs>413</Paragraphs>
  <TotalTime>6</TotalTime>
  <ScaleCrop>false</ScaleCrop>
  <LinksUpToDate>false</LinksUpToDate>
  <CharactersWithSpaces>12923</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2021-09-22T01:43:00Z</cp:lastPrinted>
  <dcterms:modified xsi:type="dcterms:W3CDTF">2021-09-30T03:25:38Z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