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8186A">
      <w:pPr>
        <w:spacing w:line="600" w:lineRule="exact"/>
        <w:jc w:val="center"/>
        <w:outlineLvl w:val="0"/>
        <w:rPr>
          <w:rFonts w:hint="eastAsia" w:ascii="仿宋_GB2312" w:eastAsia="仿宋_GB2312" w:cs="仿宋_GB2312"/>
          <w:color w:val="000000"/>
          <w:sz w:val="72"/>
          <w:szCs w:val="72"/>
        </w:rPr>
      </w:pPr>
      <w:bookmarkStart w:id="219" w:name="_GoBack"/>
      <w:bookmarkEnd w:id="219"/>
      <w:bookmarkStart w:id="0" w:name="_Toc15306267"/>
    </w:p>
    <w:p w14:paraId="5C638471">
      <w:pPr>
        <w:spacing w:line="600" w:lineRule="exact"/>
        <w:jc w:val="center"/>
        <w:outlineLvl w:val="0"/>
        <w:rPr>
          <w:rFonts w:hint="eastAsia" w:ascii="仿宋_GB2312" w:eastAsia="仿宋_GB2312" w:cs="仿宋_GB2312"/>
          <w:color w:val="000000"/>
          <w:sz w:val="72"/>
          <w:szCs w:val="72"/>
        </w:rPr>
      </w:pPr>
    </w:p>
    <w:p w14:paraId="67EA0E24">
      <w:pPr>
        <w:spacing w:line="600" w:lineRule="exact"/>
        <w:jc w:val="center"/>
        <w:outlineLvl w:val="0"/>
        <w:rPr>
          <w:rFonts w:hint="eastAsia" w:ascii="仿宋_GB2312" w:eastAsia="仿宋_GB2312" w:cs="仿宋_GB2312"/>
          <w:color w:val="000000"/>
          <w:sz w:val="72"/>
          <w:szCs w:val="72"/>
        </w:rPr>
      </w:pPr>
    </w:p>
    <w:p w14:paraId="756789AC">
      <w:pPr>
        <w:spacing w:line="600" w:lineRule="exact"/>
        <w:jc w:val="center"/>
        <w:outlineLvl w:val="0"/>
        <w:rPr>
          <w:rFonts w:hint="eastAsia" w:ascii="仿宋_GB2312" w:eastAsia="仿宋_GB2312" w:cs="仿宋_GB2312"/>
          <w:b/>
          <w:bCs/>
          <w:color w:val="000000"/>
          <w:sz w:val="72"/>
          <w:szCs w:val="72"/>
        </w:rPr>
      </w:pPr>
    </w:p>
    <w:p w14:paraId="774B8F73">
      <w:pPr>
        <w:adjustRightInd w:val="0"/>
        <w:snapToGrid w:val="0"/>
        <w:spacing w:line="360" w:lineRule="auto"/>
        <w:jc w:val="center"/>
        <w:outlineLvl w:val="0"/>
        <w:rPr>
          <w:rFonts w:hint="eastAsia" w:ascii="仿宋_GB2312" w:eastAsia="仿宋_GB2312" w:cs="仿宋_GB2312"/>
          <w:b/>
          <w:bCs/>
          <w:color w:val="000000"/>
          <w:sz w:val="72"/>
          <w:szCs w:val="72"/>
        </w:rPr>
      </w:pPr>
      <w:bookmarkStart w:id="1" w:name="_Toc2114"/>
      <w:bookmarkStart w:id="2" w:name="_Toc15377425"/>
      <w:bookmarkStart w:id="3" w:name="_Toc15396597"/>
      <w:bookmarkStart w:id="4" w:name="_Toc15377193"/>
      <w:bookmarkStart w:id="5" w:name="_Toc15396475"/>
      <w:bookmarkStart w:id="6" w:name="_Toc15378441"/>
      <w:r>
        <w:rPr>
          <w:rFonts w:hint="eastAsia" w:ascii="仿宋_GB2312" w:eastAsia="仿宋_GB2312" w:cs="仿宋_GB2312"/>
          <w:b/>
          <w:bCs/>
          <w:color w:val="000000"/>
          <w:sz w:val="72"/>
          <w:szCs w:val="72"/>
          <w:lang w:val="en-US" w:eastAsia="zh-CN"/>
        </w:rPr>
        <w:t>2024年</w:t>
      </w:r>
      <w:r>
        <w:rPr>
          <w:rFonts w:hint="eastAsia" w:ascii="仿宋_GB2312" w:eastAsia="仿宋_GB2312" w:cs="仿宋_GB2312"/>
          <w:b/>
          <w:bCs/>
          <w:color w:val="000000"/>
          <w:sz w:val="72"/>
          <w:szCs w:val="72"/>
        </w:rPr>
        <w:t>度</w:t>
      </w:r>
      <w:bookmarkEnd w:id="1"/>
      <w:bookmarkEnd w:id="2"/>
      <w:bookmarkEnd w:id="3"/>
      <w:bookmarkEnd w:id="4"/>
      <w:bookmarkEnd w:id="5"/>
      <w:bookmarkEnd w:id="6"/>
    </w:p>
    <w:bookmarkEnd w:id="0"/>
    <w:p w14:paraId="51CEFC8A">
      <w:pPr>
        <w:adjustRightInd w:val="0"/>
        <w:snapToGrid w:val="0"/>
        <w:spacing w:line="360" w:lineRule="auto"/>
        <w:jc w:val="center"/>
        <w:outlineLvl w:val="0"/>
        <w:rPr>
          <w:rFonts w:hint="eastAsia" w:ascii="仿宋_GB2312" w:eastAsia="仿宋_GB2312" w:cs="仿宋_GB2312"/>
          <w:b/>
          <w:bCs/>
          <w:color w:val="000000"/>
          <w:sz w:val="72"/>
          <w:szCs w:val="72"/>
          <w:lang w:val="en-US" w:eastAsia="zh-CN"/>
        </w:rPr>
      </w:pPr>
      <w:bookmarkStart w:id="7" w:name="_Toc15377194"/>
      <w:bookmarkStart w:id="8" w:name="_Toc15378442"/>
      <w:bookmarkStart w:id="9" w:name="_Toc15396476"/>
      <w:bookmarkStart w:id="10" w:name="_Toc15396598"/>
      <w:bookmarkStart w:id="11" w:name="_Toc15377426"/>
      <w:r>
        <w:rPr>
          <w:rFonts w:hint="eastAsia" w:ascii="仿宋_GB2312" w:eastAsia="仿宋_GB2312" w:cs="仿宋_GB2312"/>
          <w:b/>
          <w:bCs/>
          <w:color w:val="000000"/>
          <w:sz w:val="72"/>
          <w:szCs w:val="72"/>
          <w:lang w:val="en-US" w:eastAsia="zh-CN"/>
        </w:rPr>
        <w:t>四川省阿坝州</w:t>
      </w:r>
      <w:bookmarkStart w:id="12" w:name="_Toc15306268"/>
      <w:r>
        <w:rPr>
          <w:rFonts w:hint="eastAsia" w:ascii="仿宋_GB2312" w:eastAsia="仿宋_GB2312" w:cs="仿宋_GB2312"/>
          <w:b/>
          <w:bCs/>
          <w:color w:val="000000"/>
          <w:sz w:val="72"/>
          <w:szCs w:val="72"/>
          <w:lang w:val="en-US" w:eastAsia="zh-CN"/>
        </w:rPr>
        <w:t>中共金川县委机构编制委员会办公室决算</w:t>
      </w:r>
      <w:bookmarkEnd w:id="7"/>
      <w:bookmarkEnd w:id="8"/>
      <w:bookmarkEnd w:id="9"/>
      <w:bookmarkEnd w:id="10"/>
      <w:bookmarkEnd w:id="11"/>
      <w:bookmarkEnd w:id="12"/>
    </w:p>
    <w:p w14:paraId="779B901A">
      <w:pPr>
        <w:pStyle w:val="2"/>
        <w:jc w:val="center"/>
        <w:rPr>
          <w:rFonts w:hint="eastAsia" w:ascii="仿宋_GB2312" w:eastAsia="仿宋_GB2312" w:cs="仿宋_GB2312"/>
          <w:b/>
          <w:bCs/>
          <w:color w:val="000000"/>
          <w:kern w:val="2"/>
          <w:sz w:val="56"/>
          <w:szCs w:val="56"/>
          <w:lang w:val="en-US" w:eastAsia="zh-CN" w:bidi="ar-SA"/>
        </w:rPr>
      </w:pPr>
      <w:r>
        <w:rPr>
          <w:rFonts w:hint="eastAsia" w:ascii="仿宋_GB2312" w:eastAsia="仿宋_GB2312" w:cs="仿宋_GB2312"/>
          <w:b/>
          <w:bCs/>
          <w:color w:val="000000"/>
          <w:kern w:val="2"/>
          <w:sz w:val="56"/>
          <w:szCs w:val="56"/>
          <w:lang w:val="en-US" w:eastAsia="zh-CN" w:bidi="ar-SA"/>
        </w:rPr>
        <w:t>（部门公开）</w:t>
      </w:r>
    </w:p>
    <w:p w14:paraId="3B62E3A2">
      <w:pPr>
        <w:widowControl/>
        <w:jc w:val="center"/>
        <w:rPr>
          <w:rFonts w:hint="eastAsia" w:ascii="仿宋_GB2312" w:eastAsia="仿宋_GB2312" w:cs="仿宋_GB2312"/>
          <w:color w:val="000000"/>
          <w:sz w:val="36"/>
          <w:szCs w:val="36"/>
        </w:rPr>
      </w:pPr>
    </w:p>
    <w:p w14:paraId="6EFBF397">
      <w:pPr>
        <w:widowControl/>
        <w:jc w:val="center"/>
        <w:rPr>
          <w:rFonts w:hint="eastAsia" w:ascii="仿宋_GB2312" w:eastAsia="仿宋_GB2312" w:cs="仿宋_GB2312"/>
          <w:color w:val="000000"/>
          <w:sz w:val="36"/>
          <w:szCs w:val="36"/>
        </w:rPr>
      </w:pPr>
    </w:p>
    <w:p w14:paraId="5EE1B8F8">
      <w:pPr>
        <w:widowControl/>
        <w:jc w:val="center"/>
        <w:rPr>
          <w:rFonts w:hint="eastAsia" w:ascii="仿宋_GB2312" w:eastAsia="仿宋_GB2312" w:cs="仿宋_GB2312"/>
          <w:color w:val="000000"/>
          <w:sz w:val="36"/>
          <w:szCs w:val="36"/>
        </w:rPr>
      </w:pPr>
    </w:p>
    <w:p w14:paraId="5E7C3DA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14:paraId="5611323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14:paraId="4BD5B12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14:paraId="55B7CF0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14:paraId="3A8CF9A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14:paraId="6420604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color w:val="000000"/>
          <w:sz w:val="36"/>
          <w:szCs w:val="36"/>
        </w:rPr>
      </w:pPr>
    </w:p>
    <w:p w14:paraId="5191C823">
      <w:pPr>
        <w:keepNext w:val="0"/>
        <w:keepLines w:val="0"/>
        <w:pageBreakBefore w:val="0"/>
        <w:widowControl/>
        <w:kinsoku/>
        <w:wordWrap/>
        <w:overflowPunct/>
        <w:topLinePunct w:val="0"/>
        <w:autoSpaceDE/>
        <w:autoSpaceDN/>
        <w:adjustRightInd/>
        <w:snapToGrid/>
        <w:spacing w:line="380" w:lineRule="exact"/>
        <w:jc w:val="center"/>
        <w:rPr>
          <w:rFonts w:ascii="仿宋_GB2312" w:eastAsia="仿宋_GB2312" w:cs="仿宋_GB2312"/>
          <w:color w:val="000000"/>
          <w:sz w:val="32"/>
          <w:szCs w:val="32"/>
        </w:rPr>
      </w:pPr>
      <w:r>
        <w:rPr>
          <w:rFonts w:hint="eastAsia" w:ascii="仿宋_GB2312" w:eastAsia="仿宋_GB2312" w:cs="仿宋_GB2312"/>
          <w:color w:val="000000"/>
          <w:sz w:val="36"/>
          <w:szCs w:val="36"/>
        </w:rPr>
        <w:br w:type="page"/>
      </w:r>
    </w:p>
    <w:p w14:paraId="54A94679">
      <w:pPr>
        <w:keepNext w:val="0"/>
        <w:keepLines w:val="0"/>
        <w:pageBreakBefore w:val="0"/>
        <w:widowControl/>
        <w:kinsoku/>
        <w:wordWrap/>
        <w:overflowPunct/>
        <w:topLinePunct w:val="0"/>
        <w:autoSpaceDE/>
        <w:autoSpaceDN/>
        <w:adjustRightInd/>
        <w:snapToGrid/>
        <w:spacing w:line="380" w:lineRule="exact"/>
        <w:jc w:val="center"/>
        <w:rPr>
          <w:rFonts w:ascii="仿宋_GB2312" w:eastAsia="仿宋_GB2312" w:cs="仿宋_GB2312"/>
          <w:b/>
          <w:bCs/>
          <w:color w:val="000000"/>
          <w:sz w:val="28"/>
          <w:szCs w:val="28"/>
        </w:rPr>
      </w:pPr>
      <w:r>
        <w:rPr>
          <w:rFonts w:hint="eastAsia" w:ascii="仿宋_GB2312" w:eastAsia="仿宋_GB2312" w:cs="仿宋_GB2312"/>
          <w:b/>
          <w:bCs/>
          <w:color w:val="000000"/>
          <w:sz w:val="28"/>
          <w:szCs w:val="28"/>
        </w:rPr>
        <w:t>目</w:t>
      </w:r>
      <w:r>
        <w:rPr>
          <w:rFonts w:hint="eastAsia" w:ascii="仿宋_GB2312" w:eastAsia="仿宋_GB2312" w:cs="仿宋_GB2312"/>
          <w:b/>
          <w:bCs/>
          <w:color w:val="000000"/>
          <w:sz w:val="28"/>
          <w:szCs w:val="28"/>
          <w:lang w:eastAsia="zh-CN"/>
        </w:rPr>
        <w:t>　</w:t>
      </w:r>
      <w:r>
        <w:rPr>
          <w:rFonts w:hint="eastAsia" w:ascii="仿宋_GB2312" w:eastAsia="仿宋_GB2312" w:cs="仿宋_GB2312"/>
          <w:b/>
          <w:bCs/>
          <w:color w:val="000000"/>
          <w:sz w:val="28"/>
          <w:szCs w:val="28"/>
        </w:rPr>
        <w:t>录</w:t>
      </w:r>
    </w:p>
    <w:p w14:paraId="0F25A4E0">
      <w:pPr>
        <w:keepNext w:val="0"/>
        <w:keepLines w:val="0"/>
        <w:pageBreakBefore w:val="0"/>
        <w:widowControl/>
        <w:kinsoku/>
        <w:wordWrap/>
        <w:overflowPunct/>
        <w:topLinePunct w:val="0"/>
        <w:autoSpaceDE/>
        <w:autoSpaceDN/>
        <w:adjustRightInd/>
        <w:snapToGrid/>
        <w:spacing w:line="380" w:lineRule="exact"/>
        <w:jc w:val="center"/>
        <w:rPr>
          <w:rFonts w:ascii="仿宋_GB2312" w:eastAsia="仿宋_GB2312" w:cs="仿宋_GB2312"/>
          <w:color w:val="000000"/>
          <w:sz w:val="24"/>
        </w:rPr>
      </w:pPr>
      <w:r>
        <w:rPr>
          <w:rFonts w:ascii="仿宋_GB2312" w:eastAsia="仿宋_GB2312" w:cs="仿宋_GB2312"/>
          <w:color w:val="000000"/>
          <w:sz w:val="24"/>
        </w:rPr>
        <w:t>公开时间：2025年8月25日</w:t>
      </w:r>
    </w:p>
    <w:p w14:paraId="3071F746">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TOC \o "1-4" \f \h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_Toc32052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第一部分 部门概况</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_Toc32052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6A6CF95">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_Toc16321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一、基本职能及主要工作</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_Toc16321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E9BF6B9">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_Toc14620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_Toc14620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00E60DC">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_Toc13944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（二）</w:t>
      </w:r>
      <w:r>
        <w:rPr>
          <w:rFonts w:hint="eastAsia" w:ascii="仿宋_GB2312" w:eastAsia="仿宋_GB2312" w:cs="仿宋_GB2312"/>
          <w:sz w:val="28"/>
          <w:szCs w:val="28"/>
          <w:lang w:val="en-US" w:eastAsia="zh-CN"/>
        </w:rPr>
        <w:t>2024年</w:t>
      </w:r>
      <w:r>
        <w:rPr>
          <w:rFonts w:hint="eastAsia" w:ascii="仿宋_GB2312" w:eastAsia="仿宋_GB2312" w:cs="仿宋_GB2312"/>
          <w:sz w:val="28"/>
          <w:szCs w:val="28"/>
        </w:rPr>
        <w:t>重点工作完成情况</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_Toc13944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C8693B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_Toc15561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二、机构设置</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_Toc15561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C25BBAB">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_Toc16028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 xml:space="preserve">第二部分 </w:t>
      </w:r>
      <w:r>
        <w:rPr>
          <w:rFonts w:hint="eastAsia" w:ascii="仿宋_GB2312" w:eastAsia="仿宋_GB2312" w:cs="仿宋_GB2312"/>
          <w:bCs w:val="0"/>
          <w:sz w:val="28"/>
          <w:szCs w:val="28"/>
          <w:lang w:val="en-US" w:eastAsia="zh-CN"/>
        </w:rPr>
        <w:t>2024年</w:t>
      </w:r>
      <w:r>
        <w:rPr>
          <w:rFonts w:hint="eastAsia" w:ascii="仿宋_GB2312" w:eastAsia="仿宋_GB2312" w:cs="仿宋_GB2312"/>
          <w:bCs w:val="0"/>
          <w:sz w:val="28"/>
          <w:szCs w:val="28"/>
        </w:rPr>
        <w:t>度部门决算情况说明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_Toc16028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B4F0337">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_Toc2815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一、收入支出决算总体情况说明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_Toc2815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BF145DB">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_Toc16302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二、收入决算情况说明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_Toc16302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6EFF4F4">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_Toc12791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三、支出决算情况说明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_Toc12791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6</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D524D13">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_Toc12578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四、财政拨款收入支出决算总体情况说明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_Toc12578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6</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3E8F9C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_Toc12362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五、一般公共预算财政拨款支出决算情况说明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_Toc12362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6</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C20456B">
      <w:pPr>
        <w:pStyle w:val="14"/>
        <w:keepNext w:val="0"/>
        <w:keepLines w:val="0"/>
        <w:pageBreakBefore w:val="0"/>
        <w:widowControl w:val="0"/>
        <w:tabs>
          <w:tab w:val="right" w:pos="7600"/>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_Toc32220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六、一般公共预算财政拨款基本支出决算情况说明</w:t>
      </w:r>
      <w:r>
        <w:rPr>
          <w:rFonts w:hint="eastAsia" w:ascii="仿宋_GB2312" w:eastAsia="仿宋_GB2312" w:cs="仿宋_GB2312"/>
          <w:sz w:val="28"/>
          <w:szCs w:val="28"/>
          <w:lang w:val="en-US" w:eastAsia="zh-CN"/>
        </w:rPr>
        <w:tab/>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_Toc32220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9</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3D2CBBB">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_Toc6768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_Toc6768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10</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E09789B">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_Toc23109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_Toc23109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C0A68C8">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_Toc10695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_Toc10695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D27DAEA">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_Toc24370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十、预算绩效情况说明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_Toc24370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2B7A4B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ind w:left="0" w:leftChars="0" w:firstLine="0"/>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t xml:space="preserve">　 </w:t>
      </w: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_Toc8269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十一、其他重要事项的情况说明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_Toc8269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B3CF7B2">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_Toc4440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_Toc4440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A04A9EF">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_Toc22478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 xml:space="preserve">第四部分 </w:t>
      </w:r>
      <w:r>
        <w:rPr>
          <w:rFonts w:hint="eastAsia" w:ascii="仿宋_GB2312" w:eastAsia="仿宋_GB2312" w:cs="仿宋_GB2312"/>
          <w:bCs w:val="0"/>
          <w:sz w:val="28"/>
          <w:szCs w:val="28"/>
          <w:lang w:val="en-US"/>
        </w:rPr>
        <w:t>部门整体支出绩效报告</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_Toc22478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16</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BBA1763">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_Toc21400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第五部分　附表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_Toc21400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7370DC3">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_Toc24291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一、收</w:t>
      </w:r>
      <w:r>
        <w:rPr>
          <w:rFonts w:hint="eastAsia" w:ascii="仿宋_GB2312" w:eastAsia="仿宋_GB2312" w:cs="仿宋_GB2312"/>
          <w:bCs w:val="0"/>
          <w:sz w:val="28"/>
          <w:szCs w:val="28"/>
        </w:rPr>
        <w:t>入支出决算总表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_Toc24291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609F7AF">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_Toc15484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二、收</w:t>
      </w:r>
      <w:r>
        <w:rPr>
          <w:rFonts w:hint="eastAsia" w:ascii="仿宋_GB2312" w:eastAsia="仿宋_GB2312" w:cs="仿宋_GB2312"/>
          <w:bCs w:val="0"/>
          <w:sz w:val="28"/>
          <w:szCs w:val="28"/>
        </w:rPr>
        <w:t>入决算表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_Toc15484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5D12864">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_Toc29434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三、</w:t>
      </w:r>
      <w:r>
        <w:rPr>
          <w:rFonts w:hint="eastAsia" w:ascii="仿宋_GB2312" w:eastAsia="仿宋_GB2312" w:cs="仿宋_GB2312"/>
          <w:sz w:val="28"/>
          <w:szCs w:val="28"/>
        </w:rPr>
        <w:t>支</w:t>
      </w:r>
      <w:r>
        <w:rPr>
          <w:rFonts w:hint="eastAsia" w:ascii="仿宋_GB2312" w:eastAsia="仿宋_GB2312" w:cs="仿宋_GB2312"/>
          <w:bCs w:val="0"/>
          <w:sz w:val="28"/>
          <w:szCs w:val="28"/>
        </w:rPr>
        <w:t>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_Toc29434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7703C31">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_Toc14484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四、</w:t>
      </w:r>
      <w:r>
        <w:rPr>
          <w:rFonts w:hint="eastAsia" w:ascii="仿宋_GB2312" w:eastAsia="仿宋_GB2312" w:cs="仿宋_GB2312"/>
          <w:sz w:val="28"/>
          <w:szCs w:val="28"/>
        </w:rPr>
        <w:t>财</w:t>
      </w:r>
      <w:r>
        <w:rPr>
          <w:rFonts w:hint="eastAsia" w:ascii="仿宋_GB2312" w:eastAsia="仿宋_GB2312" w:cs="仿宋_GB2312"/>
          <w:bCs w:val="0"/>
          <w:sz w:val="28"/>
          <w:szCs w:val="28"/>
        </w:rPr>
        <w:t>政拨款收入支出决算总表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_Toc14484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500593C">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_Toc26550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五、</w:t>
      </w:r>
      <w:r>
        <w:rPr>
          <w:rFonts w:hint="eastAsia" w:ascii="仿宋_GB2312" w:eastAsia="仿宋_GB2312" w:cs="仿宋_GB2312"/>
          <w:sz w:val="28"/>
          <w:szCs w:val="28"/>
        </w:rPr>
        <w:t>财</w:t>
      </w:r>
      <w:r>
        <w:rPr>
          <w:rFonts w:hint="eastAsia" w:ascii="仿宋_GB2312" w:eastAsia="仿宋_GB2312" w:cs="仿宋_GB2312"/>
          <w:bCs w:val="0"/>
          <w:sz w:val="28"/>
          <w:szCs w:val="28"/>
        </w:rPr>
        <w:t>政拨款支出决算明细表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_Toc26550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3ED217A">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_Toc26861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六、</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_Toc26861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621311C">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_Toc20001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七、</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_Toc20001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A82112C">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_Toc26093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八、</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般公共预算财政拨款基本支出决算明细表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_Toc26093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E100444">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_Toc639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九、</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般公共预算财政拨款项目支出决算表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_Toc639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048B34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_Toc4696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w:t>
      </w:r>
      <w:r>
        <w:rPr>
          <w:rFonts w:hint="eastAsia" w:ascii="仿宋_GB2312" w:eastAsia="仿宋_GB2312" w:cs="仿宋_GB2312"/>
          <w:sz w:val="28"/>
          <w:szCs w:val="28"/>
        </w:rPr>
        <w:t>政</w:t>
      </w:r>
      <w:r>
        <w:rPr>
          <w:rFonts w:hint="eastAsia" w:ascii="仿宋_GB2312" w:eastAsia="仿宋_GB2312" w:cs="仿宋_GB2312"/>
          <w:bCs w:val="0"/>
          <w:sz w:val="28"/>
          <w:szCs w:val="28"/>
        </w:rPr>
        <w:t>府性基金预算财政拨款收入支出决算表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_Toc4696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D56B344">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_Toc15822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十一、</w:t>
      </w:r>
      <w:r>
        <w:rPr>
          <w:rFonts w:hint="eastAsia" w:ascii="仿宋_GB2312" w:eastAsia="仿宋_GB2312" w:cs="仿宋_GB2312"/>
          <w:sz w:val="28"/>
          <w:szCs w:val="28"/>
        </w:rPr>
        <w:t>国</w:t>
      </w:r>
      <w:r>
        <w:rPr>
          <w:rFonts w:hint="eastAsia" w:ascii="仿宋_GB2312" w:eastAsia="仿宋_GB2312" w:cs="仿宋_GB2312"/>
          <w:bCs w:val="0"/>
          <w:sz w:val="28"/>
          <w:szCs w:val="28"/>
        </w:rPr>
        <w:t>有资本经营预算财政拨款收入支出决算表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_Toc15822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843A30B">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_Toc18261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十二、</w:t>
      </w:r>
      <w:r>
        <w:rPr>
          <w:rFonts w:hint="eastAsia" w:ascii="仿宋_GB2312" w:eastAsia="仿宋_GB2312" w:cs="仿宋_GB2312"/>
          <w:sz w:val="28"/>
          <w:szCs w:val="28"/>
        </w:rPr>
        <w:t>国</w:t>
      </w:r>
      <w:r>
        <w:rPr>
          <w:rFonts w:hint="eastAsia" w:ascii="仿宋_GB2312" w:eastAsia="仿宋_GB2312" w:cs="仿宋_GB2312"/>
          <w:bCs w:val="0"/>
          <w:sz w:val="28"/>
          <w:szCs w:val="28"/>
        </w:rPr>
        <w:t>有资本经营预算财政拨款支出决算表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_Toc18261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E931535">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_Toc28727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十三、</w:t>
      </w:r>
      <w:r>
        <w:rPr>
          <w:rFonts w:hint="eastAsia" w:ascii="仿宋_GB2312" w:eastAsia="仿宋_GB2312" w:cs="仿宋_GB2312"/>
          <w:sz w:val="28"/>
          <w:szCs w:val="28"/>
          <w:lang w:val="en-US" w:eastAsia="zh-CN"/>
        </w:rPr>
        <w:t>财政拨款“三公”经费支出决算表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_Toc28727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3A18B16">
      <w:pPr>
        <w:pStyle w:val="13"/>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_GB2312" w:eastAsia="仿宋_GB2312" w:cs="仿宋_GB2312"/>
          <w:bCs/>
          <w:kern w:val="2"/>
          <w:szCs w:val="21"/>
          <w:lang w:val="en-US" w:eastAsia="zh-CN" w:bidi="ar-SA"/>
        </w:rPr>
      </w:pPr>
      <w:r>
        <w:rPr>
          <w:rFonts w:hint="eastAsia" w:ascii="仿宋_GB2312" w:eastAsia="仿宋_GB2312" w:cs="仿宋_GB2312"/>
          <w:sz w:val="28"/>
          <w:szCs w:val="28"/>
          <w:lang w:val="en-US" w:eastAsia="zh-CN"/>
        </w:rPr>
        <w:fldChar w:fldCharType="end"/>
      </w:r>
      <w:bookmarkStart w:id="13" w:name="_Toc23005"/>
      <w:bookmarkStart w:id="14" w:name="_Toc15377196"/>
      <w:bookmarkStart w:id="15" w:name="_Toc31727"/>
      <w:bookmarkStart w:id="16" w:name="_Toc15992"/>
      <w:bookmarkStart w:id="17" w:name="_Toc8167"/>
      <w:bookmarkStart w:id="18" w:name="_Toc15396599"/>
    </w:p>
    <w:p w14:paraId="2DB5A375">
      <w:pPr>
        <w:pStyle w:val="3"/>
        <w:jc w:val="center"/>
        <w:rPr>
          <w:rFonts w:hint="eastAsia" w:ascii="黑体" w:eastAsia="黑体"/>
          <w:b w:val="0"/>
        </w:rPr>
      </w:pPr>
      <w:bookmarkStart w:id="19" w:name="_Toc32052"/>
      <w:r>
        <w:rPr>
          <w:rFonts w:hint="eastAsia" w:ascii="黑体" w:eastAsia="黑体"/>
          <w:b w:val="0"/>
        </w:rPr>
        <w:t>第一部分 部门概况</w:t>
      </w:r>
      <w:bookmarkEnd w:id="13"/>
      <w:bookmarkEnd w:id="14"/>
      <w:bookmarkEnd w:id="15"/>
      <w:bookmarkEnd w:id="16"/>
      <w:bookmarkEnd w:id="17"/>
      <w:bookmarkEnd w:id="18"/>
      <w:bookmarkEnd w:id="19"/>
    </w:p>
    <w:p w14:paraId="4C5FF8F2">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22"/>
          <w:rFonts w:hint="eastAsia" w:ascii="仿宋_GB2312" w:eastAsia="仿宋_GB2312" w:cs="仿宋_GB2312"/>
          <w:b w:val="0"/>
          <w:bCs w:val="0"/>
        </w:rPr>
      </w:pPr>
      <w:bookmarkStart w:id="20" w:name="_Toc12207"/>
      <w:bookmarkStart w:id="21" w:name="_Toc4547"/>
      <w:bookmarkStart w:id="22" w:name="_Toc15377197"/>
      <w:bookmarkStart w:id="23" w:name="_Toc30841"/>
      <w:bookmarkStart w:id="24" w:name="_Toc2736"/>
      <w:bookmarkStart w:id="25" w:name="_Toc15396600"/>
      <w:r>
        <w:rPr>
          <w:rFonts w:hint="eastAsia" w:ascii="黑体" w:eastAsia="黑体"/>
          <w:b w:val="0"/>
          <w:color w:val="000000"/>
          <w:lang w:eastAsia="zh-CN"/>
        </w:rPr>
        <w:t>　　</w:t>
      </w:r>
      <w:bookmarkStart w:id="26" w:name="_Toc16321"/>
      <w:r>
        <w:rPr>
          <w:rFonts w:hint="eastAsia" w:ascii="黑体" w:eastAsia="黑体"/>
          <w:b w:val="0"/>
          <w:color w:val="000000"/>
        </w:rPr>
        <w:t>一、基本职能及主要工作</w:t>
      </w:r>
      <w:bookmarkEnd w:id="20"/>
      <w:bookmarkEnd w:id="21"/>
      <w:bookmarkEnd w:id="22"/>
      <w:bookmarkEnd w:id="23"/>
      <w:bookmarkEnd w:id="24"/>
      <w:bookmarkEnd w:id="25"/>
      <w:bookmarkEnd w:id="26"/>
      <w:bookmarkStart w:id="27" w:name="_Toc15378445"/>
      <w:bookmarkStart w:id="28" w:name="_Toc15377198"/>
    </w:p>
    <w:p w14:paraId="08E2D17D">
      <w:pPr>
        <w:pStyle w:val="4"/>
        <w:spacing w:before="0" w:after="0" w:line="240" w:lineRule="auto"/>
        <w:ind w:left="642" w:leftChars="153" w:hanging="321" w:hangingChars="100"/>
        <w:rPr>
          <w:rFonts w:hint="eastAsia" w:ascii="楷体" w:eastAsia="楷体" w:cs="楷体"/>
          <w:color w:val="000000"/>
        </w:rPr>
      </w:pPr>
      <w:bookmarkStart w:id="29" w:name="_Toc23053"/>
      <w:bookmarkStart w:id="30" w:name="_Toc1839"/>
      <w:bookmarkStart w:id="31" w:name="_Toc5977"/>
      <w:bookmarkStart w:id="32" w:name="_Toc1651"/>
      <w:r>
        <w:rPr>
          <w:rFonts w:hint="eastAsia" w:ascii="楷体" w:eastAsia="楷体" w:cs="楷体"/>
          <w:color w:val="000000"/>
          <w:lang w:eastAsia="zh-CN"/>
        </w:rPr>
        <w:t>　</w:t>
      </w:r>
      <w:bookmarkStart w:id="33" w:name="_Toc14620"/>
      <w:r>
        <w:rPr>
          <w:rFonts w:hint="eastAsia" w:ascii="楷体" w:eastAsia="楷体" w:cs="楷体"/>
          <w:color w:val="000000"/>
        </w:rPr>
        <w:t>（一）主要职能</w:t>
      </w:r>
      <w:bookmarkEnd w:id="27"/>
      <w:bookmarkEnd w:id="28"/>
      <w:bookmarkEnd w:id="29"/>
      <w:bookmarkEnd w:id="30"/>
      <w:bookmarkEnd w:id="31"/>
      <w:bookmarkEnd w:id="32"/>
      <w:bookmarkEnd w:id="33"/>
      <w:bookmarkStart w:id="34" w:name="_Toc15377199"/>
      <w:bookmarkStart w:id="35" w:name="_Toc15378446"/>
    </w:p>
    <w:p w14:paraId="18FD421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bookmarkStart w:id="36" w:name="_Toc28227"/>
      <w:bookmarkStart w:id="37" w:name="_Toc18962"/>
      <w:bookmarkStart w:id="38" w:name="_Toc9486"/>
      <w:bookmarkStart w:id="39" w:name="_Toc1908"/>
      <w:r>
        <w:rPr>
          <w:rFonts w:hint="eastAsia" w:ascii="仿宋_GB2312" w:eastAsia="仿宋_GB2312" w:cs="仿宋_GB2312"/>
          <w:sz w:val="32"/>
          <w:szCs w:val="32"/>
          <w:lang w:val="en-US" w:eastAsia="zh-CN"/>
        </w:rPr>
        <w:t>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14:paraId="4DB29F95">
      <w:pPr>
        <w:pStyle w:val="4"/>
        <w:spacing w:before="0" w:after="0" w:line="240" w:lineRule="auto"/>
        <w:ind w:left="642" w:leftChars="153" w:hanging="321" w:hangingChars="100"/>
        <w:rPr>
          <w:rFonts w:hint="eastAsia" w:ascii="楷体" w:eastAsia="楷体" w:cs="楷体"/>
          <w:color w:val="000000"/>
          <w:lang w:eastAsia="zh-CN"/>
        </w:rPr>
      </w:pPr>
      <w:r>
        <w:rPr>
          <w:rFonts w:hint="eastAsia" w:ascii="楷体" w:eastAsia="楷体" w:cs="楷体"/>
          <w:color w:val="000000"/>
          <w:lang w:eastAsia="zh-CN"/>
        </w:rPr>
        <w:t>　</w:t>
      </w:r>
      <w:bookmarkStart w:id="40" w:name="_Toc13944"/>
      <w:r>
        <w:rPr>
          <w:rFonts w:hint="eastAsia" w:ascii="楷体" w:eastAsia="楷体" w:cs="楷体"/>
          <w:color w:val="000000"/>
          <w:lang w:eastAsia="zh-CN"/>
        </w:rPr>
        <w:t>（二）</w:t>
      </w:r>
      <w:r>
        <w:rPr>
          <w:rFonts w:hint="eastAsia" w:ascii="楷体" w:eastAsia="楷体" w:cs="楷体"/>
          <w:color w:val="000000"/>
          <w:lang w:val="en-US" w:eastAsia="zh-CN"/>
        </w:rPr>
        <w:t>2024年</w:t>
      </w:r>
      <w:r>
        <w:rPr>
          <w:rFonts w:hint="eastAsia" w:ascii="楷体" w:eastAsia="楷体" w:cs="楷体"/>
          <w:color w:val="000000"/>
          <w:lang w:eastAsia="zh-CN"/>
        </w:rPr>
        <w:t>重点工作完成情况</w:t>
      </w:r>
      <w:bookmarkEnd w:id="34"/>
      <w:bookmarkEnd w:id="35"/>
      <w:bookmarkEnd w:id="36"/>
      <w:bookmarkEnd w:id="37"/>
      <w:bookmarkEnd w:id="38"/>
      <w:bookmarkEnd w:id="39"/>
      <w:bookmarkEnd w:id="40"/>
    </w:p>
    <w:p w14:paraId="42E6803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bookmarkStart w:id="41" w:name="_Toc28066"/>
      <w:bookmarkStart w:id="42" w:name="_Toc14136"/>
      <w:bookmarkStart w:id="43" w:name="_Toc6603"/>
      <w:bookmarkStart w:id="44" w:name="_Toc11460"/>
      <w:bookmarkStart w:id="45" w:name="_Toc15396601"/>
      <w:bookmarkStart w:id="46" w:name="_Toc15377200"/>
      <w:r>
        <w:rPr>
          <w:rFonts w:hint="eastAsia" w:ascii="仿宋_GB2312" w:eastAsia="仿宋_GB2312" w:cs="仿宋_GB2312"/>
          <w:sz w:val="32"/>
          <w:szCs w:val="32"/>
          <w:lang w:val="en-US" w:eastAsia="zh-CN"/>
        </w:rPr>
        <w:t xml:space="preserve"> 1.深入开展机关效能整治活动，激发干部职工创先争优的意识，努力创建廉洁、勤政、务实、高效的“服务型”机关，并以此为契机，认真履行机构编制管理职能，完善管理机制，创新管理方法。</w:t>
      </w:r>
    </w:p>
    <w:p w14:paraId="389DCD3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按照“严控编制总量、盘活存量、优化结构、增减平衡”的原则，严格控制机构编制的总量，完善动态调整机制，创新管理方式和手段，重点解决好促进经济发展方式转变、保障和改善民生、维护社会和谐稳定等方面的机构编制问题。严格控制机构编制和财政供养人员增长。</w:t>
      </w:r>
    </w:p>
    <w:p w14:paraId="3D4B4E2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加强机构编制日常管理，严肃机构编制纪律。积极研究机构编制宏观管理的方式、方法，逐步建立机构编制管理工作科学决策机制、综合协调机制、与财政预算管理相配套的约束机制，不断完善实现有效管理的制度、手段和措施。加大机构编制的监督检查力度。</w:t>
      </w:r>
    </w:p>
    <w:p w14:paraId="151FECE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4.做好统一社会信用代码的赋码、换证工作。加强事业单位法人登记、变更注销工作。</w:t>
      </w:r>
    </w:p>
    <w:p w14:paraId="0AE723A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5.认真完成县委县政府及上级机构编制部门安排的各项工作任务。</w:t>
      </w:r>
    </w:p>
    <w:p w14:paraId="16C9DACC">
      <w:pPr>
        <w:pStyle w:val="4"/>
        <w:keepNext/>
        <w:keepLines/>
        <w:pageBreakBefore w:val="0"/>
        <w:widowControl w:val="0"/>
        <w:kinsoku/>
        <w:wordWrap/>
        <w:overflowPunct/>
        <w:topLinePunct w:val="0"/>
        <w:autoSpaceDE/>
        <w:autoSpaceDN/>
        <w:bidi w:val="0"/>
        <w:adjustRightInd/>
        <w:snapToGrid/>
        <w:spacing w:before="0" w:after="0" w:line="240" w:lineRule="auto"/>
        <w:ind w:left="638" w:leftChars="304" w:firstLine="0"/>
        <w:textAlignment w:val="auto"/>
        <w:rPr>
          <w:rFonts w:hint="eastAsia" w:ascii="黑体" w:eastAsia="黑体"/>
          <w:b w:val="0"/>
          <w:color w:val="000000"/>
          <w:lang w:val="en-US" w:eastAsia="zh-CN"/>
        </w:rPr>
      </w:pPr>
      <w:bookmarkStart w:id="47" w:name="_Toc15561"/>
      <w:r>
        <w:rPr>
          <w:rFonts w:hint="eastAsia" w:ascii="黑体" w:eastAsia="黑体"/>
          <w:b w:val="0"/>
          <w:color w:val="000000"/>
          <w:lang w:val="en-US" w:eastAsia="zh-CN"/>
        </w:rPr>
        <w:t>二、机构设置</w:t>
      </w:r>
      <w:bookmarkEnd w:id="41"/>
      <w:bookmarkEnd w:id="42"/>
      <w:bookmarkEnd w:id="43"/>
      <w:bookmarkEnd w:id="44"/>
      <w:bookmarkEnd w:id="45"/>
      <w:bookmarkEnd w:id="46"/>
      <w:bookmarkStart w:id="48" w:name="_Toc15396602"/>
      <w:bookmarkStart w:id="49" w:name="_Toc15377204"/>
    </w:p>
    <w:bookmarkEnd w:id="47"/>
    <w:p w14:paraId="046A3D3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eastAsia="zh-CN"/>
        </w:rPr>
        <w:t>金川县委编办独立编制机构数</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个，独立核算机构数</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个，单位编制数</w:t>
      </w:r>
      <w:r>
        <w:rPr>
          <w:rFonts w:hint="eastAsia" w:ascii="仿宋_GB2312" w:eastAsia="仿宋_GB2312" w:cs="仿宋_GB2312"/>
          <w:sz w:val="32"/>
          <w:szCs w:val="32"/>
          <w:lang w:val="en-US" w:eastAsia="zh-CN"/>
        </w:rPr>
        <w:t>16</w:t>
      </w:r>
      <w:r>
        <w:rPr>
          <w:rFonts w:hint="eastAsia" w:ascii="仿宋_GB2312" w:eastAsia="仿宋_GB2312" w:cs="仿宋_GB2312"/>
          <w:sz w:val="32"/>
          <w:szCs w:val="32"/>
          <w:lang w:val="zh-CN" w:eastAsia="zh-CN"/>
        </w:rPr>
        <w:t>个，其中：行政编制</w:t>
      </w:r>
      <w:r>
        <w:rPr>
          <w:rFonts w:hint="eastAsia" w:ascii="仿宋_GB2312" w:eastAsia="仿宋_GB2312" w:cs="仿宋_GB2312"/>
          <w:sz w:val="32"/>
          <w:szCs w:val="32"/>
          <w:lang w:val="en-US" w:eastAsia="zh-CN"/>
        </w:rPr>
        <w:t>4个</w:t>
      </w:r>
      <w:r>
        <w:rPr>
          <w:rFonts w:hint="eastAsia" w:ascii="仿宋_GB2312" w:eastAsia="仿宋_GB2312" w:cs="仿宋_GB2312"/>
          <w:sz w:val="32"/>
          <w:szCs w:val="32"/>
          <w:lang w:val="zh-CN" w:eastAsia="zh-CN"/>
        </w:rPr>
        <w:t>、行政工勤编制1个、参公编制</w:t>
      </w:r>
      <w:r>
        <w:rPr>
          <w:rFonts w:hint="eastAsia" w:ascii="仿宋_GB2312" w:eastAsia="仿宋_GB2312" w:cs="仿宋_GB2312"/>
          <w:sz w:val="32"/>
          <w:szCs w:val="32"/>
          <w:lang w:val="en-US" w:eastAsia="zh-CN"/>
        </w:rPr>
        <w:t>8个、</w:t>
      </w:r>
      <w:r>
        <w:rPr>
          <w:rFonts w:hint="eastAsia" w:ascii="仿宋_GB2312" w:eastAsia="仿宋_GB2312" w:cs="仿宋_GB2312"/>
          <w:sz w:val="32"/>
          <w:szCs w:val="32"/>
          <w:lang w:val="zh-CN" w:eastAsia="zh-CN"/>
        </w:rPr>
        <w:t>事业编制</w:t>
      </w:r>
      <w:r>
        <w:rPr>
          <w:rFonts w:hint="eastAsia" w:ascii="仿宋_GB2312" w:eastAsia="仿宋_GB2312" w:cs="仿宋_GB2312"/>
          <w:sz w:val="32"/>
          <w:szCs w:val="32"/>
          <w:lang w:val="en-US" w:eastAsia="zh-CN"/>
        </w:rPr>
        <w:t>3个</w:t>
      </w:r>
      <w:r>
        <w:rPr>
          <w:rFonts w:hint="eastAsia" w:ascii="仿宋_GB2312" w:eastAsia="仿宋_GB2312" w:cs="仿宋_GB2312"/>
          <w:sz w:val="32"/>
          <w:szCs w:val="32"/>
          <w:lang w:val="zh-CN" w:eastAsia="zh-CN"/>
        </w:rPr>
        <w:t>。20</w:t>
      </w:r>
      <w:r>
        <w:rPr>
          <w:rFonts w:hint="eastAsia" w:ascii="仿宋_GB2312" w:eastAsia="仿宋_GB2312" w:cs="仿宋_GB2312"/>
          <w:sz w:val="32"/>
          <w:szCs w:val="32"/>
          <w:lang w:val="en-US" w:eastAsia="zh-CN"/>
        </w:rPr>
        <w:t>24</w:t>
      </w:r>
      <w:r>
        <w:rPr>
          <w:rFonts w:hint="eastAsia" w:ascii="仿宋_GB2312" w:eastAsia="仿宋_GB2312" w:cs="仿宋_GB2312"/>
          <w:sz w:val="32"/>
          <w:szCs w:val="32"/>
          <w:lang w:val="zh-CN" w:eastAsia="zh-CN"/>
        </w:rPr>
        <w:t>年末单位实有人数</w:t>
      </w:r>
      <w:r>
        <w:rPr>
          <w:rFonts w:hint="eastAsia" w:ascii="仿宋_GB2312" w:eastAsia="仿宋_GB2312" w:cs="仿宋_GB2312"/>
          <w:sz w:val="32"/>
          <w:szCs w:val="32"/>
          <w:lang w:val="en-US" w:eastAsia="zh-CN"/>
        </w:rPr>
        <w:t>14</w:t>
      </w:r>
      <w:r>
        <w:rPr>
          <w:rFonts w:hint="eastAsia" w:ascii="仿宋_GB2312" w:eastAsia="仿宋_GB2312" w:cs="仿宋_GB2312"/>
          <w:sz w:val="32"/>
          <w:szCs w:val="32"/>
          <w:lang w:val="zh-CN" w:eastAsia="zh-CN"/>
        </w:rPr>
        <w:t>人，</w:t>
      </w:r>
      <w:r>
        <w:rPr>
          <w:rFonts w:hint="eastAsia" w:ascii="仿宋_GB2312" w:eastAsia="仿宋_GB2312" w:cs="仿宋_GB2312"/>
          <w:sz w:val="32"/>
          <w:szCs w:val="32"/>
          <w:lang w:val="en-US" w:eastAsia="zh-CN"/>
        </w:rPr>
        <w:t>其中行政人员4人，参公人员7人，事业人员3人。</w:t>
      </w:r>
    </w:p>
    <w:p w14:paraId="167C2A4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p>
    <w:p w14:paraId="532282D9">
      <w:pPr>
        <w:snapToGrid w:val="0"/>
        <w:spacing w:line="360" w:lineRule="auto"/>
        <w:ind w:firstLine="604"/>
        <w:rPr>
          <w:rFonts w:hint="eastAsia" w:ascii="仿宋_GB2312" w:eastAsia="仿宋_GB2312" w:cs="仿宋_GB2312"/>
          <w:sz w:val="30"/>
          <w:szCs w:val="30"/>
        </w:rPr>
      </w:pPr>
    </w:p>
    <w:p w14:paraId="59919376">
      <w:pPr>
        <w:pStyle w:val="7"/>
        <w:rPr>
          <w:rFonts w:hint="eastAsia" w:ascii="仿宋_GB2312" w:eastAsia="仿宋_GB2312" w:cs="仿宋_GB2312"/>
          <w:sz w:val="30"/>
          <w:szCs w:val="30"/>
        </w:rPr>
      </w:pPr>
    </w:p>
    <w:p w14:paraId="39A6C01D">
      <w:pPr>
        <w:pStyle w:val="7"/>
        <w:rPr>
          <w:rFonts w:hint="eastAsia" w:ascii="仿宋_GB2312" w:eastAsia="仿宋_GB2312" w:cs="仿宋_GB2312"/>
          <w:sz w:val="30"/>
          <w:szCs w:val="30"/>
        </w:rPr>
      </w:pPr>
    </w:p>
    <w:p w14:paraId="389F872C">
      <w:pPr>
        <w:snapToGrid w:val="0"/>
        <w:spacing w:line="520" w:lineRule="exact"/>
        <w:ind w:firstLine="600" w:firstLineChars="200"/>
        <w:rPr>
          <w:rFonts w:hint="eastAsia" w:ascii="仿宋_GB2312" w:eastAsia="仿宋_GB2312" w:cs="仿宋_GB2312"/>
          <w:sz w:val="30"/>
          <w:szCs w:val="30"/>
        </w:rPr>
      </w:pPr>
    </w:p>
    <w:p w14:paraId="2D2495C9">
      <w:pPr>
        <w:pStyle w:val="6"/>
        <w:rPr>
          <w:rFonts w:hint="eastAsia" w:ascii="仿宋_GB2312" w:eastAsia="仿宋_GB2312" w:cs="仿宋_GB2312"/>
          <w:sz w:val="30"/>
          <w:szCs w:val="30"/>
        </w:rPr>
      </w:pPr>
    </w:p>
    <w:p w14:paraId="53F46CD6">
      <w:pPr>
        <w:rPr>
          <w:rFonts w:hint="eastAsia"/>
        </w:rPr>
      </w:pPr>
    </w:p>
    <w:p w14:paraId="5D94B1F8">
      <w:pPr>
        <w:pStyle w:val="3"/>
        <w:jc w:val="center"/>
        <w:rPr>
          <w:rFonts w:hint="eastAsia" w:ascii="黑体" w:eastAsia="黑体"/>
          <w:b w:val="0"/>
        </w:rPr>
      </w:pPr>
      <w:bookmarkStart w:id="50" w:name="_Toc16028"/>
      <w:bookmarkStart w:id="51" w:name="_Toc26137"/>
      <w:bookmarkStart w:id="52" w:name="_Toc29443"/>
      <w:bookmarkStart w:id="53" w:name="_Toc27838"/>
      <w:bookmarkStart w:id="54" w:name="_Toc1049"/>
      <w:r>
        <w:rPr>
          <w:rFonts w:hint="eastAsia" w:ascii="黑体" w:eastAsia="黑体"/>
          <w:b w:val="0"/>
        </w:rPr>
        <w:t xml:space="preserve">第二部分 </w:t>
      </w:r>
      <w:r>
        <w:rPr>
          <w:rFonts w:hint="eastAsia" w:ascii="黑体" w:eastAsia="黑体"/>
          <w:b w:val="0"/>
          <w:lang w:val="en-US"/>
        </w:rPr>
        <w:t>2024年</w:t>
      </w:r>
      <w:r>
        <w:rPr>
          <w:rFonts w:hint="eastAsia" w:ascii="黑体" w:eastAsia="黑体"/>
          <w:b w:val="0"/>
        </w:rPr>
        <w:t>度部门决算情况说明</w:t>
      </w:r>
      <w:bookmarkEnd w:id="48"/>
      <w:bookmarkEnd w:id="49"/>
      <w:bookmarkEnd w:id="50"/>
      <w:bookmarkEnd w:id="51"/>
      <w:bookmarkEnd w:id="52"/>
      <w:bookmarkEnd w:id="53"/>
      <w:bookmarkEnd w:id="54"/>
    </w:p>
    <w:p w14:paraId="42D66DE7">
      <w:pPr>
        <w:spacing w:line="578" w:lineRule="exact"/>
        <w:ind w:firstLine="640" w:firstLineChars="200"/>
        <w:rPr>
          <w:rFonts w:hint="eastAsia" w:ascii="黑体" w:eastAsia="黑体" w:cs="Times New Roman"/>
          <w:b w:val="0"/>
          <w:bCs/>
          <w:color w:val="000000"/>
          <w:kern w:val="2"/>
          <w:sz w:val="32"/>
          <w:szCs w:val="32"/>
          <w:lang w:val="en-US" w:eastAsia="zh-CN" w:bidi="ar-SA"/>
        </w:rPr>
      </w:pPr>
      <w:bookmarkStart w:id="55" w:name="_Toc30925"/>
      <w:bookmarkStart w:id="56" w:name="_Toc15396603"/>
      <w:bookmarkStart w:id="57" w:name="_Toc15377205"/>
      <w:bookmarkStart w:id="58" w:name="_Toc6550"/>
      <w:bookmarkStart w:id="59" w:name="_Toc23404"/>
      <w:bookmarkStart w:id="60" w:name="_Toc2815"/>
      <w:bookmarkStart w:id="61" w:name="_Toc6930"/>
      <w:r>
        <w:rPr>
          <w:rFonts w:hint="eastAsia" w:ascii="黑体" w:eastAsia="黑体" w:cs="Times New Roman"/>
          <w:b w:val="0"/>
          <w:bCs/>
          <w:color w:val="000000"/>
          <w:kern w:val="2"/>
          <w:sz w:val="32"/>
          <w:szCs w:val="32"/>
          <w:lang w:val="en-US" w:eastAsia="zh-CN" w:bidi="ar-SA"/>
        </w:rPr>
        <w:t>一、收入支出决算总体情况说明</w:t>
      </w:r>
      <w:bookmarkEnd w:id="55"/>
      <w:bookmarkEnd w:id="56"/>
      <w:bookmarkEnd w:id="57"/>
    </w:p>
    <w:bookmarkEnd w:id="58"/>
    <w:bookmarkEnd w:id="59"/>
    <w:bookmarkEnd w:id="60"/>
    <w:bookmarkEnd w:id="61"/>
    <w:p w14:paraId="4D63F9B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bookmarkStart w:id="62" w:name="_Toc15396604"/>
      <w:bookmarkStart w:id="63" w:name="_Toc15377206"/>
      <w:bookmarkStart w:id="64" w:name="_Toc10892"/>
      <w:bookmarkStart w:id="65" w:name="_Toc9817"/>
      <w:bookmarkStart w:id="66" w:name="_Toc22529"/>
      <w:r>
        <w:rPr>
          <w:rFonts w:hint="eastAsia" w:ascii="仿宋_GB2312" w:eastAsia="仿宋_GB2312" w:cs="仿宋_GB2312"/>
          <w:sz w:val="32"/>
          <w:szCs w:val="32"/>
          <w:lang w:val="en-US" w:eastAsia="zh-CN"/>
        </w:rPr>
        <w:t>2024年度总收入278.47万元，较上年收入增加25.9万元，增加10.25%。</w:t>
      </w:r>
    </w:p>
    <w:p w14:paraId="7A78BD8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bookmarkStart w:id="67" w:name="_Toc32710"/>
      <w:r>
        <w:rPr>
          <w:rFonts w:hint="eastAsia" w:ascii="仿宋_GB2312" w:eastAsia="仿宋_GB2312" w:cs="仿宋_GB2312"/>
          <w:sz w:val="32"/>
          <w:szCs w:val="32"/>
          <w:lang w:val="en-US" w:eastAsia="zh-CN"/>
        </w:rPr>
        <w:t>2024年度总支出278.47万元，较上年支出增加25.9万元，增加10.25%。</w:t>
      </w:r>
    </w:p>
    <w:p w14:paraId="72CCE47D">
      <w:pPr>
        <w:spacing w:line="600" w:lineRule="exact"/>
        <w:rPr>
          <w:rStyle w:val="22"/>
          <w:rFonts w:hint="eastAsia" w:ascii="仿宋_GB2312" w:eastAsia="仿宋_GB2312" w:cs="仿宋_GB2312"/>
          <w:b w:val="0"/>
          <w:lang w:val="en-US" w:eastAsia="zh-CN"/>
        </w:rPr>
      </w:pPr>
      <w:bookmarkStart w:id="68" w:name="_Toc21139"/>
      <w:bookmarkStart w:id="69" w:name="_Toc27085"/>
      <w:r>
        <w:drawing>
          <wp:anchor distT="0" distB="0" distL="114300" distR="114300" simplePos="0" relativeHeight="251659264" behindDoc="0" locked="0" layoutInCell="1" allowOverlap="1">
            <wp:simplePos x="0" y="0"/>
            <wp:positionH relativeFrom="column">
              <wp:posOffset>339725</wp:posOffset>
            </wp:positionH>
            <wp:positionV relativeFrom="paragraph">
              <wp:posOffset>90805</wp:posOffset>
            </wp:positionV>
            <wp:extent cx="4340860" cy="2271395"/>
            <wp:effectExtent l="0" t="0" r="0" b="0"/>
            <wp:wrapSquare wrapText="bothSides"/>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bookmarkEnd w:id="67"/>
    <w:bookmarkEnd w:id="68"/>
    <w:bookmarkEnd w:id="69"/>
    <w:p w14:paraId="0A935F3C">
      <w:pPr>
        <w:spacing w:line="600" w:lineRule="exact"/>
        <w:ind w:firstLine="640" w:firstLineChars="200"/>
        <w:rPr>
          <w:rStyle w:val="22"/>
          <w:rFonts w:hint="eastAsia" w:ascii="仿宋_GB2312" w:eastAsia="仿宋_GB2312" w:cs="仿宋_GB2312"/>
          <w:b w:val="0"/>
          <w:lang w:val="en-US" w:eastAsia="zh-CN"/>
        </w:rPr>
      </w:pPr>
    </w:p>
    <w:p w14:paraId="3A1CF528">
      <w:pPr>
        <w:spacing w:line="600" w:lineRule="exact"/>
        <w:ind w:firstLine="640" w:firstLineChars="200"/>
        <w:rPr>
          <w:rStyle w:val="22"/>
          <w:rFonts w:hint="eastAsia" w:ascii="仿宋_GB2312" w:eastAsia="仿宋_GB2312" w:cs="仿宋_GB2312"/>
          <w:b w:val="0"/>
          <w:lang w:val="en-US" w:eastAsia="zh-CN"/>
        </w:rPr>
      </w:pPr>
    </w:p>
    <w:p w14:paraId="03E3CE1F">
      <w:pPr>
        <w:spacing w:line="600" w:lineRule="exact"/>
        <w:ind w:firstLine="640" w:firstLineChars="200"/>
        <w:rPr>
          <w:rStyle w:val="22"/>
          <w:rFonts w:hint="eastAsia" w:ascii="仿宋_GB2312" w:eastAsia="仿宋_GB2312" w:cs="仿宋_GB2312"/>
          <w:b w:val="0"/>
          <w:lang w:val="en-US" w:eastAsia="zh-CN"/>
        </w:rPr>
      </w:pPr>
    </w:p>
    <w:p w14:paraId="482D8E9A">
      <w:pPr>
        <w:spacing w:line="600" w:lineRule="exact"/>
        <w:ind w:firstLine="640" w:firstLineChars="200"/>
        <w:rPr>
          <w:rStyle w:val="22"/>
          <w:rFonts w:hint="eastAsia" w:ascii="仿宋_GB2312" w:eastAsia="仿宋_GB2312" w:cs="仿宋_GB2312"/>
          <w:b w:val="0"/>
          <w:lang w:val="en-US" w:eastAsia="zh-CN"/>
        </w:rPr>
      </w:pPr>
    </w:p>
    <w:p w14:paraId="764AAF42">
      <w:pPr>
        <w:spacing w:line="600" w:lineRule="exact"/>
        <w:ind w:firstLine="640" w:firstLineChars="200"/>
        <w:rPr>
          <w:rStyle w:val="22"/>
          <w:rFonts w:hint="eastAsia" w:ascii="仿宋_GB2312" w:eastAsia="仿宋_GB2312" w:cs="仿宋_GB2312"/>
          <w:b w:val="0"/>
          <w:lang w:val="en-US" w:eastAsia="zh-CN"/>
        </w:rPr>
      </w:pPr>
    </w:p>
    <w:p w14:paraId="6093AE8E">
      <w:pPr>
        <w:spacing w:line="600" w:lineRule="exact"/>
        <w:rPr>
          <w:rStyle w:val="22"/>
          <w:rFonts w:hint="eastAsia" w:ascii="仿宋_GB2312" w:eastAsia="仿宋_GB2312" w:cs="仿宋_GB2312"/>
          <w:b w:val="0"/>
          <w:lang w:val="en-US" w:eastAsia="zh-CN"/>
        </w:rPr>
      </w:pPr>
    </w:p>
    <w:p w14:paraId="3EC95C0A">
      <w:pPr>
        <w:spacing w:line="578" w:lineRule="exact"/>
        <w:ind w:firstLine="640" w:firstLineChars="200"/>
        <w:rPr>
          <w:rFonts w:hint="eastAsia" w:ascii="黑体" w:eastAsia="黑体" w:cs="Times New Roman"/>
          <w:b w:val="0"/>
          <w:bCs/>
          <w:color w:val="000000"/>
          <w:kern w:val="2"/>
          <w:sz w:val="32"/>
          <w:szCs w:val="32"/>
          <w:lang w:val="en-US" w:eastAsia="zh-CN" w:bidi="ar-SA"/>
        </w:rPr>
      </w:pPr>
      <w:bookmarkStart w:id="70" w:name="_Toc16302"/>
      <w:bookmarkStart w:id="71" w:name="_Toc31756"/>
      <w:r>
        <w:rPr>
          <w:rFonts w:hint="eastAsia" w:ascii="黑体" w:eastAsia="黑体" w:cs="Times New Roman"/>
          <w:b w:val="0"/>
          <w:bCs/>
          <w:color w:val="000000"/>
          <w:kern w:val="2"/>
          <w:sz w:val="32"/>
          <w:szCs w:val="32"/>
          <w:lang w:val="en-US" w:eastAsia="zh-CN" w:bidi="ar-SA"/>
        </w:rPr>
        <w:t>二、收入决算情况说明</w:t>
      </w:r>
      <w:bookmarkEnd w:id="62"/>
      <w:bookmarkEnd w:id="63"/>
    </w:p>
    <w:bookmarkEnd w:id="64"/>
    <w:bookmarkEnd w:id="65"/>
    <w:bookmarkEnd w:id="66"/>
    <w:bookmarkEnd w:id="70"/>
    <w:bookmarkEnd w:id="71"/>
    <w:p w14:paraId="0C71A23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bookmarkStart w:id="72" w:name="_Toc21083"/>
      <w:bookmarkStart w:id="73" w:name="_Toc9610"/>
      <w:bookmarkStart w:id="74" w:name="_Toc3536"/>
      <w:bookmarkStart w:id="75" w:name="_Toc15396605"/>
      <w:bookmarkStart w:id="76" w:name="_Toc15377207"/>
      <w:bookmarkStart w:id="77" w:name="_Toc25926"/>
      <w:bookmarkStart w:id="78" w:name="_Toc30988"/>
      <w:bookmarkStart w:id="79" w:name="_Toc5227"/>
      <w:r>
        <w:rPr>
          <w:rFonts w:hint="eastAsia" w:ascii="仿宋_GB2312" w:eastAsia="仿宋_GB2312" w:cs="仿宋_GB2312"/>
          <w:sz w:val="32"/>
          <w:szCs w:val="32"/>
          <w:lang w:val="en-US" w:eastAsia="zh-CN"/>
        </w:rPr>
        <w:t>2024年总收入278.47万元，其中：一般公共预算财政拨款收入278.47万元，占100%；政府性基金预算财政拨款收入0万元，占0%；国有资本经营预算财政拨款收入0万元，占0%；事业收入0万元，占0%；经营收入0万元，占0%；附属单位上缴收入0万元，占0%；其他收入0万元，占0%。</w:t>
      </w:r>
      <w:bookmarkEnd w:id="72"/>
      <w:bookmarkEnd w:id="73"/>
      <w:bookmarkEnd w:id="74"/>
    </w:p>
    <w:p w14:paraId="3EF99549">
      <w:pPr>
        <w:spacing w:line="600" w:lineRule="exact"/>
        <w:ind w:firstLine="420" w:firstLineChars="200"/>
        <w:outlineLvl w:val="1"/>
        <w:rPr>
          <w:rStyle w:val="22"/>
          <w:rFonts w:hint="eastAsia" w:ascii="仿宋_GB2312" w:eastAsia="仿宋_GB2312" w:cs="仿宋_GB2312"/>
          <w:b w:val="0"/>
          <w:lang w:val="en-US" w:eastAsia="zh-CN"/>
        </w:rPr>
      </w:pPr>
      <w:bookmarkStart w:id="80" w:name="_Toc27544"/>
      <w:bookmarkStart w:id="81" w:name="_Toc15579"/>
      <w:r>
        <w:rPr>
          <w:rFonts w:hint="eastAsia" w:ascii="仿宋_GB2312" w:eastAsia="仿宋_GB2312" w:cs="仿宋_GB2312"/>
        </w:rPr>
        <w:drawing>
          <wp:anchor distT="0" distB="0" distL="114300" distR="114300" simplePos="0" relativeHeight="251659264" behindDoc="0" locked="0" layoutInCell="1" allowOverlap="1">
            <wp:simplePos x="0" y="0"/>
            <wp:positionH relativeFrom="column">
              <wp:posOffset>859155</wp:posOffset>
            </wp:positionH>
            <wp:positionV relativeFrom="paragraph">
              <wp:posOffset>25400</wp:posOffset>
            </wp:positionV>
            <wp:extent cx="3872865" cy="2303780"/>
            <wp:effectExtent l="0" t="0" r="0" b="0"/>
            <wp:wrapNone/>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7"/>
                    <a:stretch>
                      <a:fillRect/>
                    </a:stretch>
                  </pic:blipFill>
                  <pic:spPr>
                    <a:xfrm>
                      <a:off x="0" y="0"/>
                      <a:ext cx="3872865" cy="2303780"/>
                    </a:xfrm>
                    <a:prstGeom prst="rect">
                      <a:avLst/>
                    </a:prstGeom>
                    <a:noFill/>
                    <a:ln w="9525" cap="flat" cmpd="sng">
                      <a:noFill/>
                      <a:prstDash val="solid"/>
                      <a:round/>
                    </a:ln>
                  </pic:spPr>
                </pic:pic>
              </a:graphicData>
            </a:graphic>
          </wp:anchor>
        </w:drawing>
      </w:r>
    </w:p>
    <w:bookmarkEnd w:id="80"/>
    <w:bookmarkEnd w:id="81"/>
    <w:p w14:paraId="1FACC586">
      <w:pPr>
        <w:spacing w:line="600" w:lineRule="exact"/>
        <w:ind w:firstLine="640" w:firstLineChars="200"/>
        <w:outlineLvl w:val="1"/>
        <w:rPr>
          <w:rStyle w:val="22"/>
          <w:rFonts w:hint="eastAsia" w:ascii="仿宋_GB2312" w:eastAsia="仿宋_GB2312" w:cs="仿宋_GB2312"/>
          <w:b w:val="0"/>
          <w:lang w:val="en-US" w:eastAsia="zh-CN"/>
        </w:rPr>
      </w:pPr>
      <w:bookmarkStart w:id="82" w:name="_Toc26056"/>
      <w:bookmarkStart w:id="83" w:name="_Toc19987"/>
      <w:bookmarkStart w:id="84" w:name="_Toc7583"/>
    </w:p>
    <w:bookmarkEnd w:id="82"/>
    <w:bookmarkEnd w:id="83"/>
    <w:bookmarkEnd w:id="84"/>
    <w:p w14:paraId="2FF9ADA8">
      <w:pPr>
        <w:spacing w:line="600" w:lineRule="exact"/>
        <w:ind w:firstLine="640" w:firstLineChars="200"/>
        <w:outlineLvl w:val="1"/>
        <w:rPr>
          <w:rStyle w:val="22"/>
          <w:rFonts w:hint="eastAsia" w:ascii="仿宋_GB2312" w:eastAsia="仿宋_GB2312" w:cs="仿宋_GB2312"/>
          <w:b w:val="0"/>
          <w:lang w:val="en-US" w:eastAsia="zh-CN"/>
        </w:rPr>
      </w:pPr>
    </w:p>
    <w:p w14:paraId="5CA26EA9">
      <w:pPr>
        <w:spacing w:line="600" w:lineRule="exact"/>
        <w:ind w:firstLine="640" w:firstLineChars="200"/>
        <w:outlineLvl w:val="1"/>
        <w:rPr>
          <w:rStyle w:val="22"/>
          <w:rFonts w:hint="eastAsia" w:ascii="仿宋_GB2312" w:eastAsia="仿宋_GB2312" w:cs="仿宋_GB2312"/>
          <w:b w:val="0"/>
          <w:lang w:val="en-US" w:eastAsia="zh-CN"/>
        </w:rPr>
      </w:pPr>
      <w:bookmarkStart w:id="85" w:name="_Toc24478"/>
      <w:bookmarkStart w:id="86" w:name="_Toc12791"/>
    </w:p>
    <w:p w14:paraId="601C74C9">
      <w:pPr>
        <w:spacing w:line="578" w:lineRule="exact"/>
        <w:ind w:firstLine="640" w:firstLineChars="200"/>
        <w:rPr>
          <w:rFonts w:hint="eastAsia" w:ascii="黑体" w:eastAsia="黑体" w:cs="Times New Roman"/>
          <w:b w:val="0"/>
          <w:bCs/>
          <w:color w:val="000000"/>
          <w:kern w:val="2"/>
          <w:sz w:val="32"/>
          <w:szCs w:val="32"/>
          <w:lang w:val="en-US" w:eastAsia="zh-CN" w:bidi="ar-SA"/>
        </w:rPr>
      </w:pPr>
      <w:r>
        <w:rPr>
          <w:rFonts w:hint="eastAsia" w:ascii="黑体" w:eastAsia="黑体" w:cs="Times New Roman"/>
          <w:b w:val="0"/>
          <w:bCs/>
          <w:color w:val="000000"/>
          <w:kern w:val="2"/>
          <w:sz w:val="32"/>
          <w:szCs w:val="32"/>
          <w:lang w:val="en-US" w:eastAsia="zh-CN" w:bidi="ar-SA"/>
        </w:rPr>
        <w:t>三、支出决算情况说明</w:t>
      </w:r>
      <w:bookmarkEnd w:id="75"/>
      <w:bookmarkEnd w:id="76"/>
      <w:bookmarkEnd w:id="85"/>
    </w:p>
    <w:bookmarkEnd w:id="77"/>
    <w:bookmarkEnd w:id="78"/>
    <w:bookmarkEnd w:id="79"/>
    <w:bookmarkEnd w:id="86"/>
    <w:p w14:paraId="30C8332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2024年本年总支出278.47万元，其中：基本支出261.19万元，占93.79%；项目支出17.28万元，占6.21%；上缴上级支出0万元，占0%；经营支出0万元，占0%；对附属单位补助支出0万元，占0%。</w:t>
      </w:r>
    </w:p>
    <w:p w14:paraId="305B632C">
      <w:pPr>
        <w:spacing w:line="600" w:lineRule="exact"/>
        <w:rPr>
          <w:rFonts w:hint="eastAsia" w:ascii="仿宋_GB2312" w:eastAsia="仿宋_GB2312" w:cs="仿宋_GB2312"/>
          <w:color w:val="FF0000"/>
          <w:sz w:val="32"/>
          <w:szCs w:val="32"/>
          <w:lang w:eastAsia="zh-CN"/>
        </w:rPr>
      </w:pPr>
      <w:r>
        <w:drawing>
          <wp:anchor distT="0" distB="0" distL="114300" distR="114300" simplePos="0" relativeHeight="251659264" behindDoc="0" locked="0" layoutInCell="1" allowOverlap="1">
            <wp:simplePos x="0" y="0"/>
            <wp:positionH relativeFrom="column">
              <wp:posOffset>537845</wp:posOffset>
            </wp:positionH>
            <wp:positionV relativeFrom="paragraph">
              <wp:posOffset>12065</wp:posOffset>
            </wp:positionV>
            <wp:extent cx="4340860" cy="2926080"/>
            <wp:effectExtent l="0" t="0" r="0" b="0"/>
            <wp:wrapSquare wrapText="bothSides"/>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745AF44">
      <w:pPr>
        <w:spacing w:line="600" w:lineRule="exact"/>
        <w:ind w:firstLine="640" w:firstLineChars="200"/>
        <w:rPr>
          <w:rFonts w:hint="eastAsia" w:ascii="仿宋_GB2312" w:eastAsia="仿宋_GB2312" w:cs="仿宋_GB2312"/>
          <w:color w:val="FF0000"/>
          <w:sz w:val="32"/>
          <w:szCs w:val="32"/>
          <w:lang w:eastAsia="zh-CN"/>
        </w:rPr>
      </w:pPr>
    </w:p>
    <w:p w14:paraId="2EBB088A">
      <w:pPr>
        <w:spacing w:line="600" w:lineRule="exact"/>
        <w:ind w:firstLine="640" w:firstLineChars="200"/>
        <w:rPr>
          <w:rFonts w:hint="eastAsia" w:ascii="仿宋_GB2312" w:eastAsia="仿宋_GB2312" w:cs="仿宋_GB2312"/>
          <w:color w:val="FF0000"/>
          <w:sz w:val="32"/>
          <w:szCs w:val="32"/>
          <w:lang w:eastAsia="zh-CN"/>
        </w:rPr>
      </w:pPr>
    </w:p>
    <w:p w14:paraId="23DDB796">
      <w:pPr>
        <w:spacing w:line="600" w:lineRule="exact"/>
        <w:ind w:firstLine="640" w:firstLineChars="200"/>
        <w:rPr>
          <w:rFonts w:hint="eastAsia" w:ascii="仿宋_GB2312" w:eastAsia="仿宋_GB2312" w:cs="仿宋_GB2312"/>
          <w:color w:val="FF0000"/>
          <w:sz w:val="32"/>
          <w:szCs w:val="32"/>
          <w:lang w:eastAsia="zh-CN"/>
        </w:rPr>
      </w:pPr>
    </w:p>
    <w:p w14:paraId="2AF4B559">
      <w:pPr>
        <w:spacing w:line="600" w:lineRule="exact"/>
        <w:ind w:firstLine="640" w:firstLineChars="200"/>
        <w:rPr>
          <w:rFonts w:hint="eastAsia" w:ascii="仿宋_GB2312" w:eastAsia="仿宋_GB2312" w:cs="仿宋_GB2312"/>
          <w:color w:val="FF0000"/>
          <w:sz w:val="32"/>
          <w:szCs w:val="32"/>
          <w:lang w:eastAsia="zh-CN"/>
        </w:rPr>
      </w:pPr>
    </w:p>
    <w:p w14:paraId="4801DABA">
      <w:pPr>
        <w:spacing w:line="600" w:lineRule="exact"/>
        <w:outlineLvl w:val="1"/>
        <w:rPr>
          <w:rStyle w:val="22"/>
          <w:rFonts w:hint="eastAsia" w:ascii="仿宋_GB2312" w:eastAsia="仿宋_GB2312" w:cs="仿宋_GB2312"/>
          <w:b w:val="0"/>
        </w:rPr>
      </w:pPr>
      <w:bookmarkStart w:id="87" w:name="_Toc15377208"/>
      <w:bookmarkStart w:id="88" w:name="_Toc21662"/>
      <w:bookmarkStart w:id="89" w:name="_Toc15396606"/>
      <w:bookmarkStart w:id="90" w:name="_Toc5847"/>
      <w:bookmarkStart w:id="91" w:name="_Toc26287"/>
      <w:bookmarkStart w:id="92" w:name="_Toc10840"/>
    </w:p>
    <w:p w14:paraId="00FA366A">
      <w:pPr>
        <w:spacing w:line="600" w:lineRule="exact"/>
        <w:ind w:firstLine="640" w:firstLineChars="200"/>
        <w:outlineLvl w:val="1"/>
        <w:rPr>
          <w:rStyle w:val="22"/>
          <w:rFonts w:hint="eastAsia" w:ascii="仿宋_GB2312" w:eastAsia="仿宋_GB2312" w:cs="仿宋_GB2312"/>
          <w:b w:val="0"/>
        </w:rPr>
      </w:pPr>
    </w:p>
    <w:p w14:paraId="0785BA6D">
      <w:pPr>
        <w:spacing w:line="600" w:lineRule="exact"/>
        <w:ind w:firstLine="640" w:firstLineChars="200"/>
        <w:outlineLvl w:val="1"/>
        <w:rPr>
          <w:rStyle w:val="22"/>
          <w:rFonts w:hint="eastAsia" w:ascii="仿宋_GB2312" w:eastAsia="仿宋_GB2312" w:cs="仿宋_GB2312"/>
          <w:b w:val="0"/>
        </w:rPr>
      </w:pPr>
    </w:p>
    <w:p w14:paraId="3BD12970">
      <w:pPr>
        <w:spacing w:line="578" w:lineRule="exact"/>
        <w:ind w:firstLine="640" w:firstLineChars="200"/>
        <w:rPr>
          <w:rFonts w:hint="eastAsia" w:ascii="黑体" w:eastAsia="黑体" w:cs="Times New Roman"/>
          <w:b w:val="0"/>
          <w:bCs/>
          <w:color w:val="000000"/>
          <w:kern w:val="2"/>
          <w:sz w:val="32"/>
          <w:szCs w:val="32"/>
          <w:lang w:val="en-US" w:eastAsia="zh-CN" w:bidi="ar-SA"/>
        </w:rPr>
      </w:pPr>
      <w:bookmarkStart w:id="93" w:name="_Toc12578"/>
      <w:r>
        <w:rPr>
          <w:rFonts w:hint="eastAsia" w:ascii="黑体" w:eastAsia="黑体" w:cs="Times New Roman"/>
          <w:b w:val="0"/>
          <w:bCs/>
          <w:color w:val="000000"/>
          <w:kern w:val="2"/>
          <w:sz w:val="32"/>
          <w:szCs w:val="32"/>
          <w:lang w:val="en-US" w:eastAsia="zh-CN" w:bidi="ar-SA"/>
        </w:rPr>
        <w:t>四、财政拨款收入支出决算总体情况说明</w:t>
      </w:r>
      <w:bookmarkEnd w:id="87"/>
      <w:bookmarkEnd w:id="88"/>
      <w:bookmarkEnd w:id="89"/>
    </w:p>
    <w:bookmarkEnd w:id="90"/>
    <w:bookmarkEnd w:id="91"/>
    <w:bookmarkEnd w:id="92"/>
    <w:bookmarkEnd w:id="93"/>
    <w:p w14:paraId="0F3CFFD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2024年度总收入278.47万元，较上年收入增加25.9万元，增加10.25%。</w:t>
      </w:r>
    </w:p>
    <w:p w14:paraId="7C25A23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2024年财政拨款支出278.47万元，较上年收入增加25.9万元，增加10.25%。</w:t>
      </w:r>
      <w:bookmarkStart w:id="94" w:name="_Toc15377209"/>
      <w:bookmarkStart w:id="95" w:name="_Toc15396607"/>
      <w:bookmarkStart w:id="96" w:name="_Toc14980"/>
      <w:bookmarkStart w:id="97" w:name="_Toc29357"/>
      <w:bookmarkStart w:id="98" w:name="_Toc29867"/>
    </w:p>
    <w:p w14:paraId="188AE84A">
      <w:pPr>
        <w:spacing w:line="600" w:lineRule="exact"/>
        <w:ind w:firstLine="420" w:firstLineChars="200"/>
        <w:rPr>
          <w:rStyle w:val="22"/>
          <w:rFonts w:hint="eastAsia" w:ascii="仿宋_GB2312" w:eastAsia="仿宋_GB2312" w:cs="仿宋_GB2312"/>
          <w:b w:val="0"/>
        </w:rPr>
      </w:pPr>
      <w:bookmarkStart w:id="99" w:name="_Toc27376"/>
      <w:bookmarkStart w:id="100" w:name="_Toc7011"/>
      <w:bookmarkStart w:id="101" w:name="_Toc27654"/>
      <w:r>
        <w:drawing>
          <wp:anchor distT="0" distB="0" distL="114300" distR="114300" simplePos="0" relativeHeight="251659264" behindDoc="0" locked="0" layoutInCell="1" allowOverlap="1">
            <wp:simplePos x="0" y="0"/>
            <wp:positionH relativeFrom="column">
              <wp:posOffset>697865</wp:posOffset>
            </wp:positionH>
            <wp:positionV relativeFrom="paragraph">
              <wp:posOffset>45720</wp:posOffset>
            </wp:positionV>
            <wp:extent cx="4160520" cy="2926080"/>
            <wp:effectExtent l="0" t="0" r="0" b="0"/>
            <wp:wrapSquare wrapText="bothSides"/>
            <wp:docPr id="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bookmarkEnd w:id="99"/>
    <w:bookmarkEnd w:id="100"/>
    <w:bookmarkEnd w:id="101"/>
    <w:p w14:paraId="7DC54C33">
      <w:pPr>
        <w:spacing w:line="600" w:lineRule="exact"/>
        <w:ind w:firstLine="640" w:firstLineChars="200"/>
        <w:rPr>
          <w:rStyle w:val="22"/>
          <w:rFonts w:hint="eastAsia" w:ascii="仿宋_GB2312" w:eastAsia="仿宋_GB2312" w:cs="仿宋_GB2312"/>
          <w:b w:val="0"/>
        </w:rPr>
      </w:pPr>
    </w:p>
    <w:p w14:paraId="48AE309D">
      <w:pPr>
        <w:spacing w:line="600" w:lineRule="exact"/>
        <w:ind w:firstLine="640" w:firstLineChars="200"/>
        <w:rPr>
          <w:rStyle w:val="22"/>
          <w:rFonts w:hint="eastAsia" w:ascii="仿宋_GB2312" w:eastAsia="仿宋_GB2312" w:cs="仿宋_GB2312"/>
          <w:b w:val="0"/>
        </w:rPr>
      </w:pPr>
    </w:p>
    <w:p w14:paraId="1C2CA10C">
      <w:pPr>
        <w:spacing w:line="600" w:lineRule="exact"/>
        <w:ind w:firstLine="640" w:firstLineChars="200"/>
        <w:rPr>
          <w:rStyle w:val="22"/>
          <w:rFonts w:hint="eastAsia" w:ascii="仿宋_GB2312" w:eastAsia="仿宋_GB2312" w:cs="仿宋_GB2312"/>
          <w:b w:val="0"/>
        </w:rPr>
      </w:pPr>
    </w:p>
    <w:p w14:paraId="269C012D">
      <w:pPr>
        <w:spacing w:line="600" w:lineRule="exact"/>
        <w:rPr>
          <w:rStyle w:val="22"/>
          <w:rFonts w:hint="eastAsia" w:ascii="仿宋_GB2312" w:eastAsia="仿宋_GB2312" w:cs="仿宋_GB2312"/>
          <w:b w:val="0"/>
        </w:rPr>
      </w:pPr>
    </w:p>
    <w:p w14:paraId="643B173B">
      <w:pPr>
        <w:spacing w:line="600" w:lineRule="exact"/>
        <w:rPr>
          <w:rStyle w:val="22"/>
          <w:rFonts w:hint="eastAsia" w:ascii="仿宋_GB2312" w:eastAsia="仿宋_GB2312" w:cs="仿宋_GB2312"/>
          <w:b w:val="0"/>
          <w:lang w:val="en-US" w:eastAsia="zh-CN"/>
        </w:rPr>
      </w:pPr>
      <w:bookmarkStart w:id="102" w:name="_Toc1488"/>
      <w:r>
        <w:rPr>
          <w:rStyle w:val="22"/>
          <w:rFonts w:hint="eastAsia" w:ascii="仿宋_GB2312" w:eastAsia="仿宋_GB2312" w:cs="仿宋_GB2312"/>
          <w:b w:val="0"/>
          <w:lang w:val="en-US"/>
        </w:rPr>
        <w:t xml:space="preserve">  </w:t>
      </w:r>
      <w:r>
        <w:rPr>
          <w:rFonts w:hint="eastAsia" w:ascii="黑体" w:eastAsia="黑体" w:cs="Times New Roman"/>
          <w:b w:val="0"/>
          <w:bCs/>
          <w:color w:val="000000"/>
          <w:kern w:val="2"/>
          <w:sz w:val="32"/>
          <w:szCs w:val="32"/>
          <w:lang w:val="en-US" w:eastAsia="zh-CN" w:bidi="ar-SA"/>
        </w:rPr>
        <w:t xml:space="preserve">  </w:t>
      </w:r>
      <w:bookmarkStart w:id="103" w:name="_Toc12362"/>
      <w:r>
        <w:rPr>
          <w:rStyle w:val="22"/>
          <w:rFonts w:hint="eastAsia" w:ascii="仿宋_GB2312" w:eastAsia="仿宋_GB2312" w:cs="仿宋_GB2312"/>
          <w:b w:val="0"/>
          <w:lang w:val="en-US" w:eastAsia="zh-CN"/>
        </w:rPr>
        <w:t xml:space="preserve">  </w:t>
      </w:r>
    </w:p>
    <w:p w14:paraId="40D40BDF">
      <w:pPr>
        <w:spacing w:line="578" w:lineRule="exact"/>
        <w:ind w:firstLine="640" w:firstLineChars="200"/>
        <w:rPr>
          <w:rFonts w:hint="eastAsia" w:ascii="黑体" w:eastAsia="黑体" w:cs="Times New Roman"/>
          <w:b w:val="0"/>
          <w:bCs/>
          <w:color w:val="000000"/>
          <w:kern w:val="2"/>
          <w:sz w:val="32"/>
          <w:szCs w:val="32"/>
          <w:lang w:val="en-US" w:eastAsia="zh-CN" w:bidi="ar-SA"/>
        </w:rPr>
      </w:pPr>
      <w:r>
        <w:rPr>
          <w:rFonts w:hint="eastAsia" w:ascii="黑体" w:eastAsia="黑体" w:cs="Times New Roman"/>
          <w:b w:val="0"/>
          <w:bCs/>
          <w:color w:val="000000"/>
          <w:kern w:val="2"/>
          <w:sz w:val="32"/>
          <w:szCs w:val="32"/>
          <w:lang w:val="en-US" w:eastAsia="zh-CN" w:bidi="ar-SA"/>
        </w:rPr>
        <w:t>五、一般公共预算财政拨款支出决算情况说明</w:t>
      </w:r>
      <w:bookmarkEnd w:id="94"/>
      <w:bookmarkEnd w:id="95"/>
    </w:p>
    <w:bookmarkEnd w:id="96"/>
    <w:bookmarkEnd w:id="97"/>
    <w:bookmarkEnd w:id="98"/>
    <w:bookmarkEnd w:id="102"/>
    <w:bookmarkEnd w:id="103"/>
    <w:p w14:paraId="1D2AA59E">
      <w:pPr>
        <w:pStyle w:val="4"/>
        <w:spacing w:before="0" w:after="0" w:line="240" w:lineRule="auto"/>
        <w:ind w:left="642" w:leftChars="153" w:hanging="321" w:hangingChars="100"/>
        <w:rPr>
          <w:rFonts w:hint="eastAsia" w:ascii="楷体" w:eastAsia="楷体" w:cs="楷体"/>
          <w:color w:val="000000"/>
          <w:lang w:val="en-US" w:eastAsia="zh-CN"/>
        </w:rPr>
      </w:pPr>
      <w:bookmarkStart w:id="104" w:name="_Toc27391"/>
      <w:bookmarkStart w:id="105" w:name="_Toc15377210"/>
      <w:r>
        <w:rPr>
          <w:rFonts w:hint="eastAsia" w:ascii="楷体" w:eastAsia="楷体" w:cs="楷体"/>
          <w:color w:val="000000"/>
          <w:lang w:val="en-US" w:eastAsia="zh-CN"/>
        </w:rPr>
        <w:t>（一）一般公共预算财政拨款支出决算总体情况</w:t>
      </w:r>
      <w:bookmarkEnd w:id="104"/>
      <w:bookmarkEnd w:id="105"/>
    </w:p>
    <w:p w14:paraId="7D7F8D5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2024年一般公共预算财政拨款支出278.47万元，占本年总支出的100%。与2023年相比，较上年收入增加25.9万元，增加10.25%。</w:t>
      </w:r>
    </w:p>
    <w:p w14:paraId="67F84094">
      <w:pPr>
        <w:pStyle w:val="7"/>
        <w:rPr>
          <w:rFonts w:hint="eastAsia" w:ascii="仿宋_GB2312" w:eastAsia="仿宋_GB2312" w:cs="仿宋_GB2312"/>
          <w:spacing w:val="-2"/>
          <w:kern w:val="2"/>
          <w:sz w:val="32"/>
          <w:szCs w:val="32"/>
          <w:lang w:val="en-US" w:eastAsia="zh-CN" w:bidi="ar-SA"/>
        </w:rPr>
      </w:pPr>
      <w:r>
        <w:drawing>
          <wp:anchor distT="0" distB="0" distL="114300" distR="114300" simplePos="0" relativeHeight="251659264" behindDoc="0" locked="0" layoutInCell="1" allowOverlap="1">
            <wp:simplePos x="0" y="0"/>
            <wp:positionH relativeFrom="column">
              <wp:posOffset>377825</wp:posOffset>
            </wp:positionH>
            <wp:positionV relativeFrom="paragraph">
              <wp:posOffset>110490</wp:posOffset>
            </wp:positionV>
            <wp:extent cx="4091940" cy="2926080"/>
            <wp:effectExtent l="0" t="0" r="0" b="0"/>
            <wp:wrapSquare wrapText="bothSides"/>
            <wp:docPr id="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45553A3">
      <w:pPr>
        <w:pStyle w:val="7"/>
        <w:rPr>
          <w:rFonts w:hint="eastAsia" w:ascii="仿宋_GB2312" w:eastAsia="仿宋_GB2312" w:cs="仿宋_GB2312"/>
          <w:spacing w:val="-2"/>
          <w:kern w:val="2"/>
          <w:sz w:val="32"/>
          <w:szCs w:val="32"/>
          <w:lang w:val="en-US" w:eastAsia="zh-CN" w:bidi="ar-SA"/>
        </w:rPr>
      </w:pPr>
    </w:p>
    <w:p w14:paraId="6F5FD01C">
      <w:pPr>
        <w:spacing w:line="600" w:lineRule="exact"/>
        <w:ind w:firstLine="643" w:firstLineChars="200"/>
        <w:outlineLvl w:val="2"/>
        <w:rPr>
          <w:rFonts w:hint="eastAsia" w:ascii="楷体" w:eastAsia="楷体" w:cs="楷体"/>
          <w:b/>
          <w:bCs/>
          <w:color w:val="000000"/>
          <w:kern w:val="2"/>
          <w:sz w:val="32"/>
          <w:szCs w:val="32"/>
          <w:lang w:val="en-US" w:eastAsia="zh-CN" w:bidi="ar-SA"/>
        </w:rPr>
      </w:pPr>
      <w:bookmarkStart w:id="106" w:name="_Toc15377211"/>
      <w:r>
        <w:rPr>
          <w:rFonts w:hint="eastAsia" w:ascii="楷体" w:eastAsia="楷体" w:cs="楷体"/>
          <w:b/>
          <w:bCs/>
          <w:color w:val="000000"/>
          <w:kern w:val="2"/>
          <w:sz w:val="32"/>
          <w:szCs w:val="32"/>
          <w:lang w:val="en-US" w:eastAsia="zh-CN" w:bidi="ar-SA"/>
        </w:rPr>
        <w:t>（二）一般公共预算财政拨款支出决算结构情况</w:t>
      </w:r>
      <w:bookmarkEnd w:id="106"/>
    </w:p>
    <w:p w14:paraId="79CF40F3">
      <w:pPr>
        <w:spacing w:line="600" w:lineRule="exact"/>
        <w:ind w:firstLine="640"/>
        <w:rPr>
          <w:rFonts w:hint="eastAsia" w:ascii="仿宋_GB2312" w:eastAsia="仿宋_GB2312" w:cs="仿宋_GB2312"/>
          <w:sz w:val="32"/>
          <w:szCs w:val="32"/>
          <w:lang w:val="en-US" w:eastAsia="zh-CN"/>
        </w:rPr>
      </w:pPr>
      <w:bookmarkStart w:id="107" w:name="_Toc15377444"/>
      <w:bookmarkStart w:id="108" w:name="_Toc15377213"/>
      <w:bookmarkStart w:id="109" w:name="_Toc15378460"/>
      <w:r>
        <w:rPr>
          <w:rFonts w:hint="eastAsia" w:ascii="仿宋_GB2312" w:eastAsia="仿宋_GB2312" w:cs="仿宋_GB2312"/>
          <w:sz w:val="32"/>
          <w:szCs w:val="32"/>
          <w:lang w:val="en-US" w:eastAsia="zh-CN"/>
        </w:rPr>
        <w:t>2024年一般公共预算财政拨款支出278.47万元，主要用于以下方面:</w:t>
      </w:r>
      <w:r>
        <w:rPr>
          <w:rFonts w:hint="eastAsia" w:ascii="仿宋_GB2312" w:eastAsia="仿宋_GB2312" w:cs="仿宋_GB2312"/>
          <w:b/>
          <w:color w:val="000000"/>
          <w:sz w:val="32"/>
          <w:szCs w:val="32"/>
        </w:rPr>
        <w:t>一般公共服务（类）</w:t>
      </w:r>
      <w:r>
        <w:rPr>
          <w:rFonts w:hint="eastAsia" w:ascii="仿宋_GB2312" w:eastAsia="仿宋_GB2312" w:cs="仿宋_GB2312"/>
          <w:sz w:val="32"/>
          <w:szCs w:val="32"/>
          <w:lang w:val="en-US" w:eastAsia="zh-CN"/>
        </w:rPr>
        <w:t>支出206.48万元，占74.15%；</w:t>
      </w:r>
      <w:r>
        <w:rPr>
          <w:rFonts w:hint="eastAsia" w:ascii="仿宋_GB2312" w:eastAsia="仿宋_GB2312" w:cs="仿宋_GB2312"/>
          <w:b/>
          <w:color w:val="000000"/>
          <w:sz w:val="32"/>
          <w:szCs w:val="32"/>
        </w:rPr>
        <w:t>社会保障和就业（类）</w:t>
      </w:r>
      <w:r>
        <w:rPr>
          <w:rFonts w:hint="eastAsia" w:ascii="仿宋_GB2312" w:eastAsia="仿宋_GB2312" w:cs="仿宋_GB2312"/>
          <w:sz w:val="32"/>
          <w:szCs w:val="32"/>
          <w:lang w:val="en-US" w:eastAsia="zh-CN"/>
        </w:rPr>
        <w:t>支出36.51万元，占13.11%；</w:t>
      </w:r>
      <w:r>
        <w:rPr>
          <w:rFonts w:hint="eastAsia" w:ascii="仿宋_GB2312" w:eastAsia="仿宋_GB2312" w:cs="仿宋_GB2312"/>
          <w:b/>
          <w:bCs/>
          <w:color w:val="000000"/>
          <w:sz w:val="32"/>
          <w:szCs w:val="32"/>
        </w:rPr>
        <w:t>卫生</w:t>
      </w:r>
      <w:r>
        <w:rPr>
          <w:rFonts w:hint="eastAsia" w:ascii="仿宋_GB2312" w:eastAsia="仿宋_GB2312" w:cs="仿宋_GB2312"/>
          <w:b/>
          <w:bCs/>
          <w:color w:val="000000"/>
          <w:sz w:val="32"/>
          <w:szCs w:val="32"/>
          <w:lang w:eastAsia="zh-CN"/>
        </w:rPr>
        <w:t>健康</w:t>
      </w:r>
      <w:r>
        <w:rPr>
          <w:rFonts w:hint="eastAsia" w:ascii="仿宋_GB2312" w:eastAsia="仿宋_GB2312" w:cs="仿宋_GB2312"/>
          <w:b/>
          <w:bCs/>
          <w:color w:val="000000"/>
          <w:sz w:val="32"/>
          <w:szCs w:val="32"/>
        </w:rPr>
        <w:t>支出</w:t>
      </w:r>
      <w:r>
        <w:rPr>
          <w:rFonts w:hint="eastAsia" w:ascii="仿宋_GB2312" w:eastAsia="仿宋_GB2312" w:cs="仿宋_GB2312"/>
          <w:sz w:val="32"/>
          <w:szCs w:val="32"/>
          <w:lang w:val="en-US" w:eastAsia="zh-CN"/>
        </w:rPr>
        <w:t>14.61万元，占5.25%；</w:t>
      </w:r>
      <w:r>
        <w:rPr>
          <w:rFonts w:hint="eastAsia" w:ascii="仿宋_GB2312" w:eastAsia="仿宋_GB2312" w:cs="仿宋_GB2312"/>
          <w:b/>
          <w:bCs/>
          <w:color w:val="000000"/>
          <w:sz w:val="32"/>
          <w:szCs w:val="32"/>
        </w:rPr>
        <w:t>住房保障支出</w:t>
      </w:r>
      <w:r>
        <w:rPr>
          <w:rFonts w:hint="eastAsia" w:ascii="仿宋_GB2312" w:eastAsia="仿宋_GB2312" w:cs="仿宋_GB2312"/>
          <w:color w:val="000000"/>
          <w:sz w:val="32"/>
          <w:szCs w:val="32"/>
          <w:lang w:val="en-US" w:eastAsia="zh-CN"/>
        </w:rPr>
        <w:t>2</w:t>
      </w:r>
      <w:r>
        <w:rPr>
          <w:rFonts w:hint="eastAsia" w:ascii="仿宋_GB2312" w:eastAsia="仿宋_GB2312" w:cs="仿宋_GB2312"/>
          <w:sz w:val="32"/>
          <w:szCs w:val="32"/>
          <w:lang w:val="en-US" w:eastAsia="zh-CN"/>
        </w:rPr>
        <w:t>0.87万元，占7.49%。</w:t>
      </w:r>
    </w:p>
    <w:p w14:paraId="1CD19197">
      <w:pPr>
        <w:spacing w:line="600" w:lineRule="exact"/>
        <w:ind w:firstLine="5460" w:firstLineChars="2600"/>
        <w:outlineLvl w:val="2"/>
        <w:rPr>
          <w:rFonts w:hint="eastAsia" w:ascii="仿宋_GB2312" w:eastAsia="仿宋_GB2312" w:cs="仿宋_GB2312"/>
          <w:b/>
          <w:color w:val="000000"/>
          <w:sz w:val="32"/>
          <w:szCs w:val="32"/>
          <w:lang w:val="en-US" w:eastAsia="zh-CN"/>
        </w:rPr>
      </w:pPr>
      <w:r>
        <w:drawing>
          <wp:anchor distT="0" distB="0" distL="114300" distR="114300" simplePos="0" relativeHeight="251659264" behindDoc="0" locked="0" layoutInCell="1" allowOverlap="1">
            <wp:simplePos x="0" y="0"/>
            <wp:positionH relativeFrom="column">
              <wp:posOffset>783590</wp:posOffset>
            </wp:positionH>
            <wp:positionV relativeFrom="paragraph">
              <wp:posOffset>55880</wp:posOffset>
            </wp:positionV>
            <wp:extent cx="3985260" cy="2187575"/>
            <wp:effectExtent l="0" t="0" r="0" b="0"/>
            <wp:wrapSquare wrapText="bothSides"/>
            <wp:docPr id="8"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50A1059">
      <w:pPr>
        <w:spacing w:line="600" w:lineRule="exact"/>
        <w:outlineLvl w:val="2"/>
        <w:rPr>
          <w:rFonts w:hint="eastAsia" w:ascii="仿宋_GB2312" w:eastAsia="仿宋_GB2312" w:cs="仿宋_GB2312"/>
          <w:b/>
          <w:color w:val="000000"/>
          <w:sz w:val="32"/>
          <w:szCs w:val="32"/>
          <w:lang w:val="en-US" w:eastAsia="zh-CN"/>
        </w:rPr>
      </w:pPr>
    </w:p>
    <w:p w14:paraId="0D1493FD">
      <w:pPr>
        <w:spacing w:line="600" w:lineRule="exact"/>
        <w:outlineLvl w:val="2"/>
        <w:rPr>
          <w:rFonts w:hint="eastAsia" w:ascii="仿宋_GB2312" w:eastAsia="仿宋_GB2312" w:cs="仿宋_GB2312"/>
          <w:b/>
          <w:color w:val="000000"/>
          <w:sz w:val="32"/>
          <w:szCs w:val="32"/>
          <w:lang w:val="en-US" w:eastAsia="zh-CN"/>
        </w:rPr>
      </w:pPr>
    </w:p>
    <w:p w14:paraId="45A6E307">
      <w:pPr>
        <w:spacing w:line="600" w:lineRule="exact"/>
        <w:outlineLvl w:val="2"/>
        <w:rPr>
          <w:rFonts w:hint="eastAsia" w:ascii="仿宋_GB2312" w:eastAsia="仿宋_GB2312" w:cs="仿宋_GB2312"/>
          <w:b/>
          <w:color w:val="000000"/>
          <w:sz w:val="32"/>
          <w:szCs w:val="32"/>
          <w:lang w:val="en-US" w:eastAsia="zh-CN"/>
        </w:rPr>
      </w:pPr>
    </w:p>
    <w:p w14:paraId="57254D81">
      <w:pPr>
        <w:spacing w:line="600" w:lineRule="exact"/>
        <w:ind w:firstLine="643" w:firstLineChars="200"/>
        <w:outlineLvl w:val="2"/>
        <w:rPr>
          <w:rFonts w:hint="eastAsia" w:ascii="楷体" w:eastAsia="楷体" w:cs="楷体"/>
          <w:b/>
          <w:bCs/>
          <w:color w:val="000000"/>
          <w:kern w:val="2"/>
          <w:sz w:val="32"/>
          <w:szCs w:val="32"/>
          <w:lang w:val="en-US" w:eastAsia="zh-CN" w:bidi="ar-SA"/>
        </w:rPr>
      </w:pPr>
      <w:bookmarkStart w:id="110" w:name="_Toc15377212"/>
      <w:bookmarkStart w:id="111" w:name="_Toc13152"/>
      <w:r>
        <w:rPr>
          <w:rFonts w:hint="eastAsia" w:ascii="楷体" w:eastAsia="楷体" w:cs="楷体"/>
          <w:b/>
          <w:bCs/>
          <w:color w:val="000000"/>
          <w:kern w:val="2"/>
          <w:sz w:val="32"/>
          <w:szCs w:val="32"/>
          <w:lang w:val="en-US" w:eastAsia="zh-CN" w:bidi="ar-SA"/>
        </w:rPr>
        <w:t>（三）一般公共预算财政拨款支出决算具体情况</w:t>
      </w:r>
      <w:bookmarkEnd w:id="110"/>
      <w:bookmarkEnd w:id="111"/>
    </w:p>
    <w:bookmarkEnd w:id="107"/>
    <w:bookmarkEnd w:id="108"/>
    <w:bookmarkEnd w:id="109"/>
    <w:p w14:paraId="434DFBCF">
      <w:pPr>
        <w:spacing w:line="600" w:lineRule="exact"/>
        <w:ind w:firstLine="640" w:firstLineChars="200"/>
        <w:outlineLvl w:val="2"/>
        <w:rPr>
          <w:rFonts w:hint="eastAsia" w:ascii="仿宋_GB2312" w:eastAsia="仿宋_GB2312" w:cs="仿宋_GB2312"/>
          <w:sz w:val="32"/>
          <w:szCs w:val="32"/>
          <w:lang w:val="en-US" w:eastAsia="zh-CN"/>
        </w:rPr>
      </w:pPr>
      <w:bookmarkStart w:id="112" w:name="_Toc10153"/>
      <w:bookmarkStart w:id="113" w:name="_Toc29261"/>
      <w:bookmarkStart w:id="114" w:name="_Toc25815"/>
      <w:bookmarkStart w:id="115" w:name="_Toc15396608"/>
      <w:bookmarkStart w:id="116" w:name="_Toc15377214"/>
      <w:r>
        <w:rPr>
          <w:rFonts w:hint="eastAsia" w:ascii="仿宋_GB2312" w:eastAsia="仿宋_GB2312" w:cs="仿宋_GB2312"/>
          <w:sz w:val="32"/>
          <w:szCs w:val="32"/>
          <w:lang w:val="en-US" w:eastAsia="zh-CN"/>
        </w:rPr>
        <w:t>2024年一般公共预算数为278.47万元，支出决算数为278.47万元，完成预算100%。结转下年0万元。其中：</w:t>
      </w:r>
      <w:bookmarkEnd w:id="112"/>
      <w:bookmarkEnd w:id="113"/>
      <w:bookmarkEnd w:id="114"/>
    </w:p>
    <w:p w14:paraId="68B2D0BE">
      <w:pPr>
        <w:spacing w:line="600" w:lineRule="exact"/>
        <w:ind w:left="0" w:firstLine="643" w:firstLineChars="200"/>
        <w:rPr>
          <w:rFonts w:hint="eastAsia" w:ascii="仿宋_GB2312" w:eastAsia="仿宋_GB2312" w:cs="仿宋_GB2312"/>
          <w:sz w:val="32"/>
          <w:szCs w:val="32"/>
          <w:lang w:val="en-US" w:eastAsia="zh-CN"/>
        </w:rPr>
      </w:pPr>
      <w:bookmarkStart w:id="117" w:name="_Toc31827"/>
      <w:bookmarkStart w:id="118" w:name="_Toc30846"/>
      <w:bookmarkStart w:id="119" w:name="_Toc16119"/>
      <w:bookmarkStart w:id="120" w:name="_Toc11997"/>
      <w:r>
        <w:rPr>
          <w:rStyle w:val="19"/>
          <w:rFonts w:hint="eastAsia" w:ascii="仿宋_GB2312" w:eastAsia="仿宋_GB2312" w:cs="仿宋_GB2312"/>
          <w:b/>
          <w:bCs w:val="0"/>
          <w:color w:val="auto"/>
          <w:sz w:val="32"/>
          <w:szCs w:val="32"/>
          <w:lang w:val="en-US" w:eastAsia="zh-CN"/>
        </w:rPr>
        <w:t xml:space="preserve">1.一般公共服务支出（类）组织事务（款）行政运行（项）: </w:t>
      </w:r>
      <w:r>
        <w:rPr>
          <w:rFonts w:hint="eastAsia" w:ascii="仿宋_GB2312" w:eastAsia="仿宋_GB2312" w:cs="仿宋_GB2312"/>
          <w:sz w:val="32"/>
          <w:szCs w:val="32"/>
          <w:lang w:val="en-US" w:eastAsia="zh-CN"/>
        </w:rPr>
        <w:t>支出决算为140.88万元，完成预算100%。</w:t>
      </w:r>
    </w:p>
    <w:p w14:paraId="03F45E94">
      <w:pPr>
        <w:pStyle w:val="6"/>
        <w:rPr>
          <w:rFonts w:hint="eastAsia" w:ascii="仿宋_GB2312" w:eastAsia="仿宋_GB2312" w:cs="仿宋_GB2312"/>
          <w:kern w:val="2"/>
          <w:sz w:val="32"/>
          <w:szCs w:val="32"/>
          <w:lang w:val="en-US" w:eastAsia="zh-CN" w:bidi="ar-SA"/>
        </w:rPr>
      </w:pPr>
      <w:r>
        <w:rPr>
          <w:rStyle w:val="19"/>
          <w:rFonts w:hint="eastAsia" w:ascii="仿宋_GB2312" w:eastAsia="仿宋_GB2312" w:cs="仿宋_GB2312"/>
          <w:b/>
          <w:bCs w:val="0"/>
          <w:color w:val="auto"/>
          <w:sz w:val="32"/>
          <w:szCs w:val="32"/>
          <w:lang w:val="en-US" w:eastAsia="zh-CN"/>
        </w:rPr>
        <w:t xml:space="preserve">2.一般公共服务支出（类）组织事务（款）一般行政管理事务（项）: </w:t>
      </w:r>
      <w:r>
        <w:rPr>
          <w:rFonts w:hint="eastAsia" w:ascii="仿宋_GB2312" w:eastAsia="仿宋_GB2312" w:cs="仿宋_GB2312"/>
          <w:kern w:val="2"/>
          <w:sz w:val="32"/>
          <w:szCs w:val="32"/>
          <w:lang w:val="en-US" w:eastAsia="zh-CN" w:bidi="ar-SA"/>
        </w:rPr>
        <w:t>支出决算为17.28万元，完成预算100%。</w:t>
      </w:r>
    </w:p>
    <w:p w14:paraId="54701308">
      <w:pPr>
        <w:spacing w:line="600" w:lineRule="exact"/>
        <w:ind w:left="0" w:firstLine="643" w:firstLineChars="200"/>
        <w:rPr>
          <w:rFonts w:hint="eastAsia" w:ascii="仿宋_GB2312" w:eastAsia="仿宋_GB2312" w:cs="仿宋_GB2312"/>
          <w:kern w:val="2"/>
          <w:sz w:val="32"/>
          <w:szCs w:val="32"/>
          <w:lang w:val="en-US" w:eastAsia="zh-CN" w:bidi="ar-SA"/>
        </w:rPr>
      </w:pPr>
      <w:r>
        <w:rPr>
          <w:rStyle w:val="19"/>
          <w:rFonts w:hint="eastAsia" w:ascii="仿宋_GB2312" w:eastAsia="仿宋_GB2312" w:cs="仿宋_GB2312"/>
          <w:b/>
          <w:bCs w:val="0"/>
          <w:color w:val="auto"/>
          <w:sz w:val="32"/>
          <w:szCs w:val="32"/>
          <w:lang w:val="en-US" w:eastAsia="zh-CN"/>
        </w:rPr>
        <w:t xml:space="preserve">3.一般公共服务支出（类）组织事务（款）事业运行（项）: </w:t>
      </w:r>
      <w:r>
        <w:rPr>
          <w:rFonts w:hint="eastAsia" w:ascii="仿宋_GB2312" w:eastAsia="仿宋_GB2312" w:cs="仿宋_GB2312"/>
          <w:kern w:val="2"/>
          <w:sz w:val="32"/>
          <w:szCs w:val="32"/>
          <w:lang w:val="en-US" w:eastAsia="zh-CN" w:bidi="ar-SA"/>
        </w:rPr>
        <w:t>支出决算为48.32万元，完成预算100%。</w:t>
      </w:r>
    </w:p>
    <w:p w14:paraId="072D4A84">
      <w:pPr>
        <w:spacing w:line="600" w:lineRule="exact"/>
        <w:ind w:left="0" w:firstLine="643" w:firstLineChars="200"/>
        <w:rPr>
          <w:rFonts w:hint="eastAsia" w:ascii="仿宋_GB2312" w:eastAsia="仿宋_GB2312" w:cs="仿宋_GB2312"/>
          <w:kern w:val="2"/>
          <w:sz w:val="32"/>
          <w:szCs w:val="32"/>
          <w:lang w:val="en-US" w:eastAsia="zh-CN" w:bidi="ar-SA"/>
        </w:rPr>
      </w:pPr>
      <w:r>
        <w:rPr>
          <w:rStyle w:val="19"/>
          <w:rFonts w:hint="eastAsia" w:ascii="仿宋_GB2312" w:eastAsia="仿宋_GB2312" w:cs="仿宋_GB2312"/>
          <w:b/>
          <w:bCs w:val="0"/>
          <w:color w:val="auto"/>
          <w:sz w:val="32"/>
          <w:szCs w:val="32"/>
          <w:lang w:val="en-US" w:eastAsia="zh-CN"/>
        </w:rPr>
        <w:t>4.社会保障和就业（类）行政事业单位离退休（款）机关事业单位基本养老保险缴费支出（项）:</w:t>
      </w:r>
      <w:r>
        <w:rPr>
          <w:rStyle w:val="19"/>
          <w:rFonts w:hint="eastAsia" w:ascii="仿宋_GB2312" w:eastAsia="仿宋_GB2312" w:cs="仿宋_GB2312"/>
          <w:b w:val="0"/>
          <w:bCs/>
          <w:color w:val="auto"/>
          <w:sz w:val="32"/>
          <w:szCs w:val="32"/>
          <w:lang w:val="en-US" w:eastAsia="zh-CN"/>
        </w:rPr>
        <w:t xml:space="preserve"> </w:t>
      </w:r>
      <w:r>
        <w:rPr>
          <w:rFonts w:hint="eastAsia" w:ascii="仿宋_GB2312" w:eastAsia="仿宋_GB2312" w:cs="仿宋_GB2312"/>
          <w:kern w:val="2"/>
          <w:sz w:val="32"/>
          <w:szCs w:val="32"/>
          <w:lang w:val="en-US" w:eastAsia="zh-CN" w:bidi="ar-SA"/>
        </w:rPr>
        <w:t>支出决算为24.34万元，完成预算100%。</w:t>
      </w:r>
    </w:p>
    <w:p w14:paraId="0FE7EA88">
      <w:pPr>
        <w:spacing w:line="600" w:lineRule="exact"/>
        <w:ind w:left="0" w:firstLine="643" w:firstLineChars="200"/>
        <w:rPr>
          <w:rFonts w:hint="eastAsia" w:ascii="仿宋_GB2312" w:eastAsia="仿宋_GB2312" w:cs="仿宋_GB2312"/>
          <w:kern w:val="2"/>
          <w:sz w:val="32"/>
          <w:szCs w:val="32"/>
          <w:lang w:val="en-US" w:eastAsia="zh-CN" w:bidi="ar-SA"/>
        </w:rPr>
      </w:pPr>
      <w:r>
        <w:rPr>
          <w:rStyle w:val="19"/>
          <w:rFonts w:hint="eastAsia" w:ascii="仿宋_GB2312" w:eastAsia="仿宋_GB2312" w:cs="仿宋_GB2312"/>
          <w:b/>
          <w:bCs w:val="0"/>
          <w:color w:val="auto"/>
          <w:sz w:val="32"/>
          <w:szCs w:val="32"/>
          <w:lang w:val="en-US" w:eastAsia="zh-CN"/>
        </w:rPr>
        <w:t>5.社会保障和就业（类）行政事业单位离退休（款）机关事业单位基本职业年金缴费支出（项）:</w:t>
      </w:r>
      <w:r>
        <w:rPr>
          <w:rFonts w:hint="eastAsia" w:ascii="仿宋_GB2312" w:eastAsia="仿宋_GB2312" w:cs="仿宋_GB2312"/>
          <w:kern w:val="2"/>
          <w:sz w:val="32"/>
          <w:szCs w:val="32"/>
          <w:lang w:val="en-US" w:eastAsia="zh-CN" w:bidi="ar-SA"/>
        </w:rPr>
        <w:t>支出决算为12.17万元，完成预算100%。</w:t>
      </w:r>
    </w:p>
    <w:p w14:paraId="71A07336">
      <w:pPr>
        <w:spacing w:line="600" w:lineRule="exact"/>
        <w:ind w:left="0" w:firstLine="643" w:firstLineChars="200"/>
        <w:rPr>
          <w:rFonts w:hint="eastAsia" w:ascii="仿宋_GB2312" w:eastAsia="仿宋_GB2312" w:cs="仿宋_GB2312"/>
          <w:kern w:val="2"/>
          <w:sz w:val="32"/>
          <w:szCs w:val="32"/>
          <w:lang w:val="en-US" w:eastAsia="zh-CN" w:bidi="ar-SA"/>
        </w:rPr>
      </w:pPr>
      <w:r>
        <w:rPr>
          <w:rStyle w:val="19"/>
          <w:rFonts w:hint="eastAsia" w:ascii="仿宋_GB2312" w:eastAsia="仿宋_GB2312" w:cs="仿宋_GB2312"/>
          <w:b/>
          <w:bCs w:val="0"/>
          <w:color w:val="auto"/>
          <w:sz w:val="32"/>
          <w:szCs w:val="32"/>
          <w:lang w:val="en-US" w:eastAsia="zh-CN"/>
        </w:rPr>
        <w:t>6.卫生健康支出（类）行政事业单位医疗（款）行政单位医疗（项）:</w:t>
      </w:r>
      <w:r>
        <w:rPr>
          <w:rFonts w:hint="eastAsia" w:ascii="仿宋_GB2312" w:eastAsia="仿宋_GB2312" w:cs="仿宋_GB2312"/>
          <w:kern w:val="2"/>
          <w:sz w:val="32"/>
          <w:szCs w:val="32"/>
          <w:lang w:val="en-US" w:eastAsia="zh-CN" w:bidi="ar-SA"/>
        </w:rPr>
        <w:t>支出决算为8.52万元，完成预算100%。</w:t>
      </w:r>
    </w:p>
    <w:p w14:paraId="34E79CBA">
      <w:pPr>
        <w:spacing w:line="600" w:lineRule="exact"/>
        <w:ind w:firstLine="643" w:firstLineChars="200"/>
        <w:rPr>
          <w:rFonts w:hint="eastAsia"/>
          <w:color w:val="auto"/>
          <w:lang w:val="en-US" w:eastAsia="zh-CN"/>
        </w:rPr>
      </w:pPr>
      <w:r>
        <w:rPr>
          <w:rStyle w:val="19"/>
          <w:rFonts w:hint="eastAsia" w:ascii="仿宋_GB2312" w:eastAsia="仿宋_GB2312" w:cs="仿宋_GB2312"/>
          <w:b/>
          <w:bCs w:val="0"/>
          <w:color w:val="auto"/>
          <w:sz w:val="32"/>
          <w:szCs w:val="32"/>
          <w:lang w:val="en-US" w:eastAsia="zh-CN"/>
        </w:rPr>
        <w:t>7.</w:t>
      </w:r>
      <w:r>
        <w:rPr>
          <w:rStyle w:val="19"/>
          <w:rFonts w:hint="eastAsia" w:ascii="仿宋_GB2312" w:eastAsia="仿宋_GB2312" w:cs="仿宋_GB2312"/>
          <w:bCs/>
          <w:color w:val="auto"/>
          <w:sz w:val="32"/>
          <w:szCs w:val="32"/>
          <w:lang w:eastAsia="zh-CN"/>
        </w:rPr>
        <w:t>卫生健康支出</w:t>
      </w:r>
      <w:r>
        <w:rPr>
          <w:rStyle w:val="19"/>
          <w:rFonts w:hint="eastAsia" w:ascii="仿宋_GB2312" w:eastAsia="仿宋_GB2312" w:cs="仿宋_GB2312"/>
          <w:bCs/>
          <w:color w:val="auto"/>
          <w:sz w:val="32"/>
          <w:szCs w:val="32"/>
        </w:rPr>
        <w:t>（类）</w:t>
      </w:r>
      <w:r>
        <w:rPr>
          <w:rStyle w:val="19"/>
          <w:rFonts w:hint="eastAsia" w:ascii="仿宋_GB2312" w:eastAsia="仿宋_GB2312" w:cs="仿宋_GB2312"/>
          <w:bCs/>
          <w:color w:val="auto"/>
          <w:sz w:val="32"/>
          <w:szCs w:val="32"/>
          <w:lang w:val="en-US" w:eastAsia="zh-CN"/>
        </w:rPr>
        <w:t>行政事业单位医疗</w:t>
      </w:r>
      <w:r>
        <w:rPr>
          <w:rStyle w:val="19"/>
          <w:rFonts w:hint="eastAsia" w:ascii="仿宋_GB2312" w:eastAsia="仿宋_GB2312" w:cs="仿宋_GB2312"/>
          <w:bCs/>
          <w:color w:val="auto"/>
          <w:sz w:val="32"/>
          <w:szCs w:val="32"/>
        </w:rPr>
        <w:t>（款）</w:t>
      </w:r>
      <w:r>
        <w:rPr>
          <w:rStyle w:val="19"/>
          <w:rFonts w:hint="eastAsia" w:ascii="仿宋_GB2312" w:eastAsia="仿宋_GB2312" w:cs="仿宋_GB2312"/>
          <w:bCs/>
          <w:color w:val="auto"/>
          <w:sz w:val="32"/>
          <w:szCs w:val="32"/>
          <w:lang w:val="en-US" w:eastAsia="zh-CN"/>
        </w:rPr>
        <w:t>事业单位医疗</w:t>
      </w:r>
      <w:r>
        <w:rPr>
          <w:rStyle w:val="19"/>
          <w:rFonts w:hint="eastAsia" w:ascii="仿宋_GB2312" w:eastAsia="仿宋_GB2312" w:cs="仿宋_GB2312"/>
          <w:bCs/>
          <w:color w:val="auto"/>
          <w:sz w:val="32"/>
          <w:szCs w:val="32"/>
        </w:rPr>
        <w:t>（项）:</w:t>
      </w:r>
      <w:r>
        <w:rPr>
          <w:rFonts w:hint="eastAsia" w:ascii="仿宋_GB2312" w:eastAsia="仿宋_GB2312" w:cs="仿宋_GB2312"/>
          <w:kern w:val="2"/>
          <w:sz w:val="32"/>
          <w:szCs w:val="32"/>
          <w:lang w:val="en-US" w:eastAsia="zh-CN" w:bidi="ar-SA"/>
        </w:rPr>
        <w:t>支出决算为3.13万元，完成预算100%。</w:t>
      </w:r>
    </w:p>
    <w:p w14:paraId="1C6A5CDD">
      <w:pPr>
        <w:spacing w:line="600" w:lineRule="exact"/>
        <w:ind w:left="0" w:firstLine="643" w:firstLineChars="200"/>
        <w:rPr>
          <w:rStyle w:val="19"/>
          <w:rFonts w:hint="eastAsia" w:ascii="仿宋_GB2312" w:eastAsia="仿宋_GB2312" w:cs="仿宋_GB2312"/>
          <w:b w:val="0"/>
          <w:bCs/>
          <w:color w:val="auto"/>
          <w:sz w:val="32"/>
          <w:szCs w:val="32"/>
          <w:lang w:val="en-US" w:eastAsia="zh-CN"/>
        </w:rPr>
      </w:pPr>
      <w:r>
        <w:rPr>
          <w:rStyle w:val="19"/>
          <w:rFonts w:hint="eastAsia" w:ascii="仿宋_GB2312" w:eastAsia="仿宋_GB2312" w:cs="仿宋_GB2312"/>
          <w:b/>
          <w:bCs w:val="0"/>
          <w:color w:val="auto"/>
          <w:sz w:val="32"/>
          <w:szCs w:val="32"/>
          <w:lang w:val="en-US" w:eastAsia="zh-CN"/>
        </w:rPr>
        <w:t>8.卫生健康支出（类）行政事业单位医疗（款）公务员医疗补助（项）:</w:t>
      </w:r>
      <w:r>
        <w:rPr>
          <w:rFonts w:hint="eastAsia" w:ascii="仿宋_GB2312" w:eastAsia="仿宋_GB2312" w:cs="仿宋_GB2312"/>
          <w:kern w:val="2"/>
          <w:sz w:val="32"/>
          <w:szCs w:val="32"/>
          <w:lang w:val="en-US" w:eastAsia="zh-CN" w:bidi="ar-SA"/>
        </w:rPr>
        <w:t>支出决算为2.23万元，完成预算100%。</w:t>
      </w:r>
    </w:p>
    <w:p w14:paraId="113C2E81">
      <w:pPr>
        <w:spacing w:line="600" w:lineRule="exact"/>
        <w:ind w:firstLine="643" w:firstLineChars="200"/>
        <w:rPr>
          <w:rFonts w:hint="eastAsia" w:ascii="仿宋_GB2312" w:eastAsia="仿宋_GB2312" w:cs="仿宋_GB2312"/>
          <w:kern w:val="2"/>
          <w:sz w:val="32"/>
          <w:szCs w:val="32"/>
          <w:lang w:val="en-US" w:eastAsia="zh-CN" w:bidi="ar-SA"/>
        </w:rPr>
      </w:pPr>
      <w:r>
        <w:rPr>
          <w:rStyle w:val="19"/>
          <w:rFonts w:hint="eastAsia" w:ascii="仿宋_GB2312" w:eastAsia="仿宋_GB2312" w:cs="仿宋_GB2312"/>
          <w:b/>
          <w:bCs w:val="0"/>
          <w:color w:val="auto"/>
          <w:sz w:val="32"/>
          <w:szCs w:val="32"/>
          <w:lang w:val="en-US" w:eastAsia="zh-CN"/>
        </w:rPr>
        <w:t>9.</w:t>
      </w:r>
      <w:r>
        <w:rPr>
          <w:rStyle w:val="19"/>
          <w:rFonts w:hint="eastAsia" w:ascii="仿宋_GB2312" w:eastAsia="仿宋_GB2312" w:cs="仿宋_GB2312"/>
          <w:bCs/>
          <w:color w:val="auto"/>
          <w:sz w:val="32"/>
          <w:szCs w:val="32"/>
          <w:lang w:eastAsia="zh-CN"/>
        </w:rPr>
        <w:t>卫生健康支出</w:t>
      </w:r>
      <w:r>
        <w:rPr>
          <w:rStyle w:val="19"/>
          <w:rFonts w:hint="eastAsia" w:ascii="仿宋_GB2312" w:eastAsia="仿宋_GB2312" w:cs="仿宋_GB2312"/>
          <w:bCs/>
          <w:color w:val="auto"/>
          <w:sz w:val="32"/>
          <w:szCs w:val="32"/>
        </w:rPr>
        <w:t>（类）</w:t>
      </w:r>
      <w:r>
        <w:rPr>
          <w:rStyle w:val="19"/>
          <w:rFonts w:hint="eastAsia" w:ascii="仿宋_GB2312" w:eastAsia="仿宋_GB2312" w:cs="仿宋_GB2312"/>
          <w:bCs/>
          <w:color w:val="auto"/>
          <w:sz w:val="32"/>
          <w:szCs w:val="32"/>
          <w:lang w:val="en-US" w:eastAsia="zh-CN"/>
        </w:rPr>
        <w:t>行政事业单位医疗</w:t>
      </w:r>
      <w:r>
        <w:rPr>
          <w:rStyle w:val="19"/>
          <w:rFonts w:hint="eastAsia" w:ascii="仿宋_GB2312" w:eastAsia="仿宋_GB2312" w:cs="仿宋_GB2312"/>
          <w:bCs/>
          <w:color w:val="auto"/>
          <w:sz w:val="32"/>
          <w:szCs w:val="32"/>
        </w:rPr>
        <w:t>（款）</w:t>
      </w:r>
      <w:r>
        <w:rPr>
          <w:rStyle w:val="19"/>
          <w:rFonts w:hint="eastAsia" w:ascii="仿宋_GB2312" w:eastAsia="仿宋_GB2312" w:cs="仿宋_GB2312"/>
          <w:bCs/>
          <w:color w:val="auto"/>
          <w:sz w:val="32"/>
          <w:szCs w:val="32"/>
          <w:lang w:val="en-US" w:eastAsia="zh-CN"/>
        </w:rPr>
        <w:t>其他行政事业单位医疗支出</w:t>
      </w:r>
      <w:r>
        <w:rPr>
          <w:rStyle w:val="19"/>
          <w:rFonts w:hint="eastAsia" w:ascii="仿宋_GB2312" w:eastAsia="仿宋_GB2312" w:cs="仿宋_GB2312"/>
          <w:bCs/>
          <w:color w:val="auto"/>
          <w:sz w:val="32"/>
          <w:szCs w:val="32"/>
        </w:rPr>
        <w:t>（项）:</w:t>
      </w:r>
      <w:r>
        <w:rPr>
          <w:rFonts w:hint="eastAsia" w:ascii="仿宋_GB2312" w:eastAsia="仿宋_GB2312" w:cs="仿宋_GB2312"/>
          <w:kern w:val="2"/>
          <w:sz w:val="32"/>
          <w:szCs w:val="32"/>
          <w:lang w:val="en-US" w:eastAsia="zh-CN" w:bidi="ar-SA"/>
        </w:rPr>
        <w:t>支出决算为0.74万元，完成预算100%。</w:t>
      </w:r>
    </w:p>
    <w:p w14:paraId="37B3E139">
      <w:pPr>
        <w:spacing w:line="600" w:lineRule="exact"/>
        <w:ind w:left="0" w:firstLine="643" w:firstLineChars="200"/>
        <w:rPr>
          <w:rFonts w:hint="eastAsia" w:ascii="仿宋_GB2312" w:eastAsia="仿宋_GB2312" w:cs="仿宋_GB2312"/>
          <w:kern w:val="2"/>
          <w:sz w:val="32"/>
          <w:szCs w:val="32"/>
          <w:lang w:val="en-US" w:eastAsia="zh-CN" w:bidi="ar-SA"/>
        </w:rPr>
      </w:pPr>
      <w:r>
        <w:rPr>
          <w:rStyle w:val="19"/>
          <w:rFonts w:hint="eastAsia" w:ascii="仿宋_GB2312" w:eastAsia="仿宋_GB2312" w:cs="仿宋_GB2312"/>
          <w:b/>
          <w:bCs w:val="0"/>
          <w:color w:val="auto"/>
          <w:sz w:val="32"/>
          <w:szCs w:val="32"/>
          <w:lang w:val="en-US" w:eastAsia="zh-CN"/>
        </w:rPr>
        <w:t>10.住房保障（类）住房改革支出（款）住房公积金（项）：</w:t>
      </w:r>
      <w:r>
        <w:rPr>
          <w:rFonts w:hint="eastAsia" w:ascii="仿宋_GB2312" w:eastAsia="仿宋_GB2312" w:cs="仿宋_GB2312"/>
          <w:kern w:val="2"/>
          <w:sz w:val="32"/>
          <w:szCs w:val="32"/>
          <w:lang w:val="en-US" w:eastAsia="zh-CN" w:bidi="ar-SA"/>
        </w:rPr>
        <w:t>支出决算为19.87万元，完成预算100%。</w:t>
      </w:r>
    </w:p>
    <w:p w14:paraId="4DDD3949">
      <w:pPr>
        <w:pStyle w:val="6"/>
        <w:rPr>
          <w:rFonts w:ascii="仿宋_GB2312" w:eastAsia="仿宋_GB2312" w:cs="仿宋_GB2312"/>
          <w:kern w:val="2"/>
          <w:sz w:val="32"/>
          <w:szCs w:val="32"/>
          <w:lang w:val="en-US" w:eastAsia="zh-CN" w:bidi="ar-SA"/>
        </w:rPr>
      </w:pPr>
      <w:r>
        <w:rPr>
          <w:rStyle w:val="19"/>
          <w:rFonts w:hint="eastAsia" w:ascii="仿宋_GB2312" w:eastAsia="仿宋_GB2312" w:cs="仿宋_GB2312"/>
          <w:b/>
          <w:bCs w:val="0"/>
          <w:color w:val="auto"/>
          <w:sz w:val="32"/>
          <w:szCs w:val="32"/>
          <w:lang w:val="en-US" w:eastAsia="zh-CN"/>
        </w:rPr>
        <w:t>11.</w:t>
      </w:r>
      <w:r>
        <w:rPr>
          <w:rStyle w:val="19"/>
          <w:rFonts w:hint="eastAsia" w:ascii="仿宋" w:eastAsia="仿宋"/>
          <w:bCs/>
          <w:sz w:val="32"/>
          <w:szCs w:val="32"/>
        </w:rPr>
        <w:t>住房保障</w:t>
      </w:r>
      <w:r>
        <w:rPr>
          <w:rStyle w:val="19"/>
          <w:rFonts w:hint="eastAsia" w:ascii="仿宋" w:eastAsia="仿宋"/>
          <w:bCs/>
          <w:sz w:val="32"/>
          <w:szCs w:val="32"/>
          <w:lang w:val="en-US" w:eastAsia="zh-CN"/>
        </w:rPr>
        <w:t>支出</w:t>
      </w:r>
      <w:r>
        <w:rPr>
          <w:rStyle w:val="19"/>
          <w:rFonts w:hint="eastAsia" w:ascii="仿宋" w:eastAsia="仿宋"/>
          <w:bCs/>
          <w:sz w:val="32"/>
          <w:szCs w:val="32"/>
        </w:rPr>
        <w:t>（类）住房改革支出（款）</w:t>
      </w:r>
      <w:r>
        <w:rPr>
          <w:rStyle w:val="19"/>
          <w:rFonts w:hint="eastAsia" w:ascii="仿宋" w:eastAsia="仿宋"/>
          <w:bCs/>
          <w:sz w:val="32"/>
          <w:szCs w:val="32"/>
          <w:lang w:eastAsia="zh-CN"/>
        </w:rPr>
        <w:t>购房补贴</w:t>
      </w:r>
      <w:r>
        <w:rPr>
          <w:rStyle w:val="19"/>
          <w:rFonts w:hint="eastAsia" w:ascii="仿宋" w:eastAsia="仿宋"/>
          <w:bCs/>
          <w:sz w:val="32"/>
          <w:szCs w:val="32"/>
        </w:rPr>
        <w:t>（项）：</w:t>
      </w:r>
      <w:r>
        <w:rPr>
          <w:rFonts w:hint="eastAsia" w:ascii="仿宋_GB2312" w:eastAsia="仿宋_GB2312" w:cs="仿宋_GB2312"/>
          <w:kern w:val="2"/>
          <w:sz w:val="32"/>
          <w:szCs w:val="32"/>
          <w:lang w:val="en-US" w:eastAsia="zh-CN" w:bidi="ar-SA"/>
        </w:rPr>
        <w:t>支出决算为1万元，完成预算100%。</w:t>
      </w:r>
    </w:p>
    <w:p w14:paraId="7F942A92">
      <w:pPr>
        <w:spacing w:line="578" w:lineRule="exact"/>
        <w:rPr>
          <w:rFonts w:hint="eastAsia" w:ascii="黑体" w:eastAsia="黑体" w:cs="Times New Roman"/>
          <w:b w:val="0"/>
          <w:bCs/>
          <w:color w:val="000000"/>
          <w:kern w:val="2"/>
          <w:sz w:val="32"/>
          <w:szCs w:val="32"/>
          <w:lang w:val="en-US" w:eastAsia="zh-CN" w:bidi="ar-SA"/>
        </w:rPr>
      </w:pPr>
      <w:bookmarkStart w:id="121" w:name="_Toc32220"/>
      <w:r>
        <w:rPr>
          <w:rFonts w:hint="eastAsia" w:ascii="黑体" w:eastAsia="黑体" w:cs="Times New Roman"/>
          <w:b w:val="0"/>
          <w:bCs/>
          <w:color w:val="000000"/>
          <w:kern w:val="2"/>
          <w:sz w:val="32"/>
          <w:szCs w:val="32"/>
          <w:lang w:val="en-US" w:eastAsia="zh-CN" w:bidi="ar-SA"/>
        </w:rPr>
        <w:t xml:space="preserve">  六、一般公共预算财政拨款基本支出决算情况说明</w:t>
      </w:r>
      <w:bookmarkEnd w:id="115"/>
      <w:bookmarkEnd w:id="116"/>
      <w:r>
        <w:rPr>
          <w:rFonts w:hint="eastAsia" w:ascii="黑体" w:eastAsia="黑体" w:cs="Times New Roman"/>
          <w:b w:val="0"/>
          <w:bCs/>
          <w:color w:val="000000"/>
          <w:kern w:val="2"/>
          <w:sz w:val="32"/>
          <w:szCs w:val="32"/>
          <w:lang w:val="en-US" w:eastAsia="zh-CN" w:bidi="ar-SA"/>
        </w:rPr>
        <w:tab/>
      </w:r>
    </w:p>
    <w:bookmarkEnd w:id="117"/>
    <w:bookmarkEnd w:id="118"/>
    <w:bookmarkEnd w:id="119"/>
    <w:bookmarkEnd w:id="120"/>
    <w:bookmarkEnd w:id="121"/>
    <w:p w14:paraId="6D0D3A87">
      <w:pPr>
        <w:spacing w:line="600" w:lineRule="exact"/>
        <w:ind w:left="0"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2024年一般公共预算财政拨款基本支出261.19万元，其中：</w:t>
      </w:r>
    </w:p>
    <w:p w14:paraId="52D92C3E">
      <w:pPr>
        <w:spacing w:line="600" w:lineRule="exact"/>
        <w:ind w:firstLine="645"/>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人员经费247.4万元，主要包括：基本工资46.96万元、津贴补贴53.77万元、奖金60.96万元、伙食补助费0万元、绩效工资9.93万元、机关事业单位基本养老保险缴费24.34万元、职业年金缴费12.17万元、生活补助0万元、职工基本医疗保险缴费11.65万元、公务员医疗补助缴费2.23万元、其他社会保障缴费3.57万元、其他工资福利支出0万元、抚恤金0万元、住房公积金19.87万元、奖励金0.01万元、生活补助0.94万元。</w:t>
      </w:r>
    </w:p>
    <w:p w14:paraId="551D4B21">
      <w:pPr>
        <w:spacing w:line="600" w:lineRule="exact"/>
        <w:ind w:firstLine="645"/>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公用经费13.79万元，主要包括：办公费4.88万元、手续费0万元、印刷费0.3万元、水费0.10万元、电费0.30万元、邮电费1万元、物业管理费0万元、差旅费3.5万元、因公出国（境）费用0万元、维修（护）费0万元、租赁费0万元、会议费0万元、培训费0万元、公务接待费0万元、福利费0.72万元、公务用车运行维护费0万元、其他交通费用3万元、其他商品和服务支出0万元、办公设备购置0万元、无形资产购置0万元等。</w:t>
      </w:r>
    </w:p>
    <w:p w14:paraId="4EE457E1">
      <w:pPr>
        <w:pStyle w:val="6"/>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项目支出17.28元，主要包括：维修（护）费17.28万元。</w:t>
      </w:r>
    </w:p>
    <w:p w14:paraId="69B2CE5E">
      <w:pPr>
        <w:spacing w:line="578" w:lineRule="exact"/>
        <w:rPr>
          <w:rFonts w:hint="eastAsia" w:ascii="黑体" w:eastAsia="黑体" w:cs="Times New Roman"/>
          <w:b w:val="0"/>
          <w:bCs/>
          <w:color w:val="000000"/>
          <w:kern w:val="2"/>
          <w:sz w:val="32"/>
          <w:szCs w:val="32"/>
          <w:lang w:val="en-US" w:eastAsia="zh-CN" w:bidi="ar-SA"/>
        </w:rPr>
      </w:pPr>
      <w:bookmarkStart w:id="122" w:name="_Toc15377215"/>
      <w:bookmarkStart w:id="123" w:name="_Toc15396609"/>
      <w:bookmarkStart w:id="124" w:name="_Toc26242"/>
      <w:bookmarkStart w:id="125" w:name="_Toc28477"/>
      <w:bookmarkStart w:id="126" w:name="_Toc6732"/>
      <w:bookmarkStart w:id="127" w:name="_Toc20641"/>
      <w:r>
        <w:rPr>
          <w:rFonts w:hint="eastAsia" w:ascii="黑体" w:eastAsia="黑体" w:cs="Times New Roman"/>
          <w:b w:val="0"/>
          <w:bCs/>
          <w:color w:val="000000"/>
          <w:kern w:val="2"/>
          <w:sz w:val="32"/>
          <w:szCs w:val="32"/>
          <w:lang w:val="en-US" w:eastAsia="zh-CN" w:bidi="ar-SA"/>
        </w:rPr>
        <w:t xml:space="preserve">  　</w:t>
      </w:r>
      <w:bookmarkStart w:id="128" w:name="_Toc6768"/>
      <w:r>
        <w:rPr>
          <w:rFonts w:hint="eastAsia" w:ascii="黑体" w:eastAsia="黑体" w:cs="Times New Roman"/>
          <w:b w:val="0"/>
          <w:bCs/>
          <w:color w:val="000000"/>
          <w:kern w:val="2"/>
          <w:sz w:val="32"/>
          <w:szCs w:val="32"/>
          <w:lang w:val="en-US" w:eastAsia="zh-CN" w:bidi="ar-SA"/>
        </w:rPr>
        <w:t>七、“三公”经费财政拨款支出决算情况说明</w:t>
      </w:r>
      <w:bookmarkEnd w:id="122"/>
      <w:bookmarkEnd w:id="123"/>
      <w:bookmarkEnd w:id="124"/>
    </w:p>
    <w:bookmarkEnd w:id="125"/>
    <w:bookmarkEnd w:id="126"/>
    <w:bookmarkEnd w:id="127"/>
    <w:bookmarkEnd w:id="128"/>
    <w:p w14:paraId="30E8DC1D">
      <w:pPr>
        <w:spacing w:line="600" w:lineRule="exact"/>
        <w:ind w:firstLine="643" w:firstLineChars="200"/>
        <w:outlineLvl w:val="2"/>
        <w:rPr>
          <w:rFonts w:hint="eastAsia" w:ascii="楷体" w:eastAsia="楷体" w:cs="楷体"/>
          <w:b/>
          <w:bCs/>
          <w:color w:val="000000"/>
          <w:kern w:val="2"/>
          <w:sz w:val="32"/>
          <w:szCs w:val="32"/>
          <w:lang w:val="en-US" w:eastAsia="zh-CN" w:bidi="ar-SA"/>
        </w:rPr>
      </w:pPr>
      <w:bookmarkStart w:id="129" w:name="_Toc15377216"/>
      <w:bookmarkStart w:id="130" w:name="_Toc11137"/>
      <w:r>
        <w:rPr>
          <w:rFonts w:hint="eastAsia" w:ascii="楷体" w:eastAsia="楷体" w:cs="楷体"/>
          <w:b/>
          <w:bCs/>
          <w:color w:val="000000"/>
          <w:kern w:val="2"/>
          <w:sz w:val="32"/>
          <w:szCs w:val="32"/>
          <w:lang w:val="en-US" w:eastAsia="zh-CN" w:bidi="ar-SA"/>
        </w:rPr>
        <w:t>（一）“三公”经费财政拨款支出决算总体情况说明</w:t>
      </w:r>
      <w:bookmarkEnd w:id="129"/>
      <w:bookmarkEnd w:id="130"/>
    </w:p>
    <w:p w14:paraId="0EE59EAD">
      <w:pPr>
        <w:spacing w:line="600" w:lineRule="exact"/>
        <w:ind w:left="0"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2024年“三公”经费财政拨款支出决算为0万元，完成预算100%，决算数与预算数持平。</w:t>
      </w:r>
    </w:p>
    <w:p w14:paraId="116B63FC">
      <w:pPr>
        <w:spacing w:line="600" w:lineRule="exact"/>
        <w:ind w:firstLine="643" w:firstLineChars="200"/>
        <w:outlineLvl w:val="2"/>
        <w:rPr>
          <w:rFonts w:hint="eastAsia" w:ascii="楷体" w:eastAsia="楷体" w:cs="楷体"/>
          <w:b/>
          <w:bCs/>
          <w:color w:val="000000"/>
          <w:kern w:val="2"/>
          <w:sz w:val="32"/>
          <w:szCs w:val="32"/>
          <w:lang w:val="en-US" w:eastAsia="zh-CN" w:bidi="ar-SA"/>
        </w:rPr>
      </w:pPr>
      <w:bookmarkStart w:id="131" w:name="_Toc23984"/>
      <w:bookmarkStart w:id="132" w:name="_Toc15377217"/>
      <w:r>
        <w:rPr>
          <w:rFonts w:hint="eastAsia" w:ascii="楷体" w:eastAsia="楷体" w:cs="楷体"/>
          <w:b/>
          <w:bCs/>
          <w:color w:val="000000"/>
          <w:kern w:val="2"/>
          <w:sz w:val="32"/>
          <w:szCs w:val="32"/>
          <w:lang w:val="en-US" w:eastAsia="zh-CN" w:bidi="ar-SA"/>
        </w:rPr>
        <w:t>（二）“三公”经费财政拨款支出决算具体情况说明</w:t>
      </w:r>
      <w:bookmarkEnd w:id="131"/>
      <w:bookmarkEnd w:id="132"/>
    </w:p>
    <w:p w14:paraId="5DF9CCEB">
      <w:pPr>
        <w:spacing w:line="600" w:lineRule="exact"/>
        <w:ind w:left="0"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2024年“三公”经费财政拨款支出决算0万元，其中：因公出国（境）费支出决算0万元，占0%；公务用车购置及运行维护费支出决算0万元，占0%；公务接待费支出决算0万元，占0%。具体情况如下：</w:t>
      </w:r>
    </w:p>
    <w:p w14:paraId="77391235">
      <w:pPr>
        <w:spacing w:line="600" w:lineRule="exact"/>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b/>
          <w:color w:val="000000"/>
          <w:sz w:val="32"/>
          <w:szCs w:val="32"/>
          <w:lang w:val="en-US" w:eastAsia="zh-CN"/>
        </w:rPr>
        <w:t>1.</w:t>
      </w:r>
      <w:r>
        <w:rPr>
          <w:rFonts w:hint="eastAsia" w:ascii="仿宋_GB2312" w:eastAsia="仿宋_GB2312" w:cs="仿宋_GB2312"/>
          <w:b/>
          <w:color w:val="000000"/>
          <w:sz w:val="32"/>
          <w:szCs w:val="32"/>
        </w:rPr>
        <w:t>因公出国（境）经费支出</w:t>
      </w:r>
      <w:r>
        <w:rPr>
          <w:rFonts w:hint="eastAsia" w:ascii="仿宋_GB2312" w:eastAsia="仿宋_GB2312" w:cs="仿宋_GB2312"/>
          <w:kern w:val="2"/>
          <w:sz w:val="32"/>
          <w:szCs w:val="32"/>
          <w:lang w:val="en-US" w:eastAsia="zh-CN" w:bidi="ar-SA"/>
        </w:rPr>
        <w:t>0万元，完成预算0。全年安排因公出国（境）团组0次，出国（境）0人。因公出国（境）支出决算比2023年增加0万元。</w:t>
      </w:r>
    </w:p>
    <w:p w14:paraId="4AA4A66D">
      <w:pPr>
        <w:spacing w:line="600" w:lineRule="exact"/>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b/>
          <w:color w:val="000000"/>
          <w:sz w:val="32"/>
          <w:szCs w:val="32"/>
        </w:rPr>
        <w:t>2.</w:t>
      </w:r>
      <w:r>
        <w:rPr>
          <w:rFonts w:hint="eastAsia" w:ascii="仿宋_GB2312" w:eastAsia="仿宋_GB2312" w:cs="仿宋_GB2312"/>
          <w:b/>
          <w:color w:val="000000"/>
          <w:sz w:val="32"/>
          <w:szCs w:val="32"/>
          <w:lang w:val="en-US" w:eastAsia="zh-CN"/>
        </w:rPr>
        <w:t>公务</w:t>
      </w:r>
      <w:r>
        <w:rPr>
          <w:rFonts w:hint="eastAsia" w:ascii="仿宋_GB2312" w:eastAsia="仿宋_GB2312" w:cs="仿宋_GB2312"/>
          <w:b/>
          <w:color w:val="auto"/>
          <w:sz w:val="32"/>
          <w:szCs w:val="32"/>
          <w:shd w:val="clear" w:color="auto" w:fill="auto"/>
        </w:rPr>
        <w:t>用车</w:t>
      </w:r>
      <w:r>
        <w:rPr>
          <w:rFonts w:hint="eastAsia" w:ascii="仿宋_GB2312" w:eastAsia="仿宋_GB2312" w:cs="仿宋_GB2312"/>
          <w:b/>
          <w:color w:val="000000"/>
          <w:sz w:val="32"/>
          <w:szCs w:val="32"/>
          <w:shd w:val="clear" w:color="auto" w:fill="auto"/>
        </w:rPr>
        <w:t>购置</w:t>
      </w:r>
      <w:r>
        <w:rPr>
          <w:rFonts w:hint="eastAsia" w:ascii="仿宋_GB2312" w:eastAsia="仿宋_GB2312" w:cs="仿宋_GB2312"/>
          <w:b/>
          <w:color w:val="000000"/>
          <w:sz w:val="32"/>
          <w:szCs w:val="32"/>
        </w:rPr>
        <w:t>及运行维护费支出</w:t>
      </w:r>
      <w:r>
        <w:rPr>
          <w:rFonts w:hint="eastAsia" w:ascii="仿宋_GB2312" w:eastAsia="仿宋_GB2312" w:cs="仿宋_GB2312"/>
          <w:kern w:val="2"/>
          <w:sz w:val="32"/>
          <w:szCs w:val="32"/>
          <w:lang w:val="en-US" w:eastAsia="zh-CN" w:bidi="ar-SA"/>
        </w:rPr>
        <w:t>0万元,完成预算0。公务用车购置及运行维护费支出决算比2023年增加0万元。</w:t>
      </w:r>
    </w:p>
    <w:p w14:paraId="4A1D7AE5">
      <w:pPr>
        <w:autoSpaceDE w:val="0"/>
        <w:autoSpaceDN w:val="0"/>
        <w:adjustRightInd w:val="0"/>
        <w:spacing w:line="600" w:lineRule="exact"/>
        <w:ind w:firstLine="640" w:firstLineChars="200"/>
        <w:jc w:val="left"/>
        <w:rPr>
          <w:rFonts w:hint="eastAsia" w:ascii="仿宋_GB2312" w:eastAsia="仿宋_GB2312" w:cs="仿宋_GB2312"/>
          <w:kern w:val="2"/>
          <w:sz w:val="32"/>
          <w:szCs w:val="32"/>
          <w:lang w:val="en-US" w:eastAsia="zh-CN" w:bidi="ar-SA"/>
        </w:rPr>
      </w:pPr>
      <w:r>
        <w:rPr>
          <w:rFonts w:hint="eastAsia" w:ascii="仿宋_GB2312" w:eastAsia="仿宋_GB2312" w:cs="仿宋_GB2312"/>
          <w:color w:val="000000"/>
          <w:sz w:val="32"/>
          <w:szCs w:val="32"/>
        </w:rPr>
        <w:t>其中：</w:t>
      </w:r>
      <w:r>
        <w:rPr>
          <w:rFonts w:hint="eastAsia" w:ascii="仿宋_GB2312" w:eastAsia="仿宋_GB2312" w:cs="仿宋_GB2312"/>
          <w:b/>
          <w:color w:val="000000"/>
          <w:sz w:val="32"/>
          <w:szCs w:val="32"/>
        </w:rPr>
        <w:t>公务用车购置支出</w:t>
      </w:r>
      <w:r>
        <w:rPr>
          <w:rFonts w:hint="eastAsia" w:ascii="仿宋_GB2312" w:eastAsia="仿宋_GB2312" w:cs="仿宋_GB2312"/>
          <w:kern w:val="2"/>
          <w:sz w:val="32"/>
          <w:szCs w:val="32"/>
          <w:lang w:val="en-US" w:eastAsia="zh-CN" w:bidi="ar-SA"/>
        </w:rPr>
        <w:t>0万元。全年按规定更新购置公务用车0辆。截至2024年12月31日，共有车辆0辆，其中：部级领导干部用车0辆、主要领导干部用车0辆、机要通信用车0辆、应急保障用车0辆、执法执勤用车0辆、特种专业技术用车0辆、离退休干部用车0辆、其他用车0辆；</w:t>
      </w:r>
    </w:p>
    <w:p w14:paraId="1E25C97C">
      <w:pPr>
        <w:spacing w:line="600" w:lineRule="exact"/>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b/>
          <w:color w:val="000000"/>
          <w:sz w:val="32"/>
          <w:szCs w:val="32"/>
        </w:rPr>
        <w:t>公务用车运行维护费支出</w:t>
      </w:r>
      <w:r>
        <w:rPr>
          <w:rFonts w:hint="eastAsia" w:ascii="仿宋_GB2312" w:eastAsia="仿宋_GB2312" w:cs="仿宋_GB2312"/>
          <w:kern w:val="2"/>
          <w:sz w:val="32"/>
          <w:szCs w:val="32"/>
          <w:lang w:val="en-US" w:eastAsia="zh-CN" w:bidi="ar-SA"/>
        </w:rPr>
        <w:t>0万元。</w:t>
      </w:r>
    </w:p>
    <w:p w14:paraId="4AE5430C">
      <w:pPr>
        <w:spacing w:line="600" w:lineRule="exact"/>
        <w:ind w:firstLine="640"/>
        <w:rPr>
          <w:rFonts w:hint="eastAsia" w:ascii="仿宋_GB2312" w:eastAsia="仿宋_GB2312" w:cs="仿宋_GB2312"/>
          <w:kern w:val="2"/>
          <w:sz w:val="32"/>
          <w:szCs w:val="32"/>
          <w:lang w:val="en-US" w:eastAsia="zh-CN" w:bidi="ar-SA"/>
        </w:rPr>
      </w:pPr>
      <w:bookmarkStart w:id="133" w:name="_Toc15377218"/>
      <w:bookmarkStart w:id="134" w:name="_Toc15396610"/>
      <w:bookmarkStart w:id="135" w:name="_Toc26072"/>
      <w:bookmarkStart w:id="136" w:name="_Toc27667"/>
      <w:bookmarkStart w:id="137" w:name="_Toc11583"/>
      <w:r>
        <w:rPr>
          <w:rFonts w:hint="eastAsia" w:ascii="仿宋_GB2312" w:eastAsia="仿宋_GB2312" w:cs="仿宋_GB2312"/>
          <w:b/>
          <w:color w:val="000000"/>
          <w:sz w:val="32"/>
          <w:szCs w:val="32"/>
          <w:lang w:val="en-US" w:eastAsia="zh-CN"/>
        </w:rPr>
        <w:t>3.</w:t>
      </w:r>
      <w:r>
        <w:rPr>
          <w:rFonts w:hint="eastAsia" w:ascii="仿宋_GB2312" w:eastAsia="仿宋_GB2312" w:cs="仿宋_GB2312"/>
          <w:b/>
          <w:color w:val="000000"/>
          <w:sz w:val="32"/>
          <w:szCs w:val="32"/>
        </w:rPr>
        <w:t>公务接待费支出</w:t>
      </w:r>
      <w:r>
        <w:rPr>
          <w:rFonts w:hint="eastAsia" w:ascii="仿宋_GB2312" w:eastAsia="仿宋_GB2312" w:cs="仿宋_GB2312"/>
          <w:kern w:val="2"/>
          <w:sz w:val="32"/>
          <w:szCs w:val="32"/>
          <w:lang w:val="en-US" w:eastAsia="zh-CN" w:bidi="ar-SA"/>
        </w:rPr>
        <w:t>0万元。公务接待费0万元，较往年减少0.18万元，减少100%，原因是节约开支。</w:t>
      </w:r>
    </w:p>
    <w:p w14:paraId="2729A722">
      <w:pPr>
        <w:spacing w:line="600" w:lineRule="exact"/>
        <w:ind w:firstLine="640"/>
        <w:rPr>
          <w:rFonts w:hint="eastAsia" w:ascii="仿宋_GB2312" w:eastAsia="仿宋_GB2312" w:cs="仿宋_GB2312"/>
          <w:kern w:val="2"/>
          <w:sz w:val="32"/>
          <w:szCs w:val="32"/>
          <w:lang w:val="en-US" w:eastAsia="zh-CN" w:bidi="ar-SA"/>
        </w:rPr>
      </w:pPr>
      <w:bookmarkStart w:id="138" w:name="_Toc13522"/>
      <w:bookmarkStart w:id="139" w:name="_Toc25115"/>
      <w:bookmarkStart w:id="140" w:name="_Toc16183"/>
      <w:r>
        <w:rPr>
          <w:rFonts w:hint="eastAsia" w:ascii="仿宋_GB2312" w:eastAsia="仿宋_GB2312" w:cs="仿宋_GB2312"/>
          <w:kern w:val="2"/>
          <w:sz w:val="32"/>
          <w:szCs w:val="32"/>
          <w:lang w:val="en-US" w:eastAsia="zh-CN" w:bidi="ar-SA"/>
        </w:rPr>
        <w:t>国内公务接待0批次，0人次，共计支出0万元。</w:t>
      </w:r>
    </w:p>
    <w:p w14:paraId="62DB8DC9">
      <w:pPr>
        <w:spacing w:line="600" w:lineRule="exact"/>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b/>
          <w:color w:val="000000"/>
          <w:sz w:val="32"/>
          <w:szCs w:val="32"/>
          <w:lang w:val="en-US" w:eastAsia="zh-CN"/>
        </w:rPr>
        <w:t>4.</w:t>
      </w:r>
      <w:r>
        <w:rPr>
          <w:rFonts w:hint="eastAsia" w:ascii="仿宋_GB2312" w:eastAsia="仿宋_GB2312" w:cs="仿宋_GB2312"/>
          <w:b/>
          <w:color w:val="000000"/>
          <w:sz w:val="32"/>
          <w:szCs w:val="32"/>
        </w:rPr>
        <w:t>外事接待支出</w:t>
      </w:r>
      <w:r>
        <w:rPr>
          <w:rFonts w:hint="eastAsia" w:ascii="仿宋_GB2312" w:eastAsia="仿宋_GB2312" w:cs="仿宋_GB2312"/>
          <w:kern w:val="2"/>
          <w:sz w:val="32"/>
          <w:szCs w:val="32"/>
          <w:lang w:val="en-US" w:eastAsia="zh-CN" w:bidi="ar-SA"/>
        </w:rPr>
        <w:t>0万元，外事接待0批次，0人，共计支出0万元。</w:t>
      </w:r>
      <w:bookmarkEnd w:id="138"/>
      <w:bookmarkEnd w:id="139"/>
      <w:bookmarkEnd w:id="140"/>
    </w:p>
    <w:p w14:paraId="2A874373">
      <w:pPr>
        <w:spacing w:line="578" w:lineRule="exact"/>
        <w:ind w:firstLine="640" w:firstLineChars="200"/>
        <w:rPr>
          <w:rFonts w:hint="eastAsia" w:ascii="黑体" w:eastAsia="黑体" w:cs="Times New Roman"/>
          <w:b w:val="0"/>
          <w:bCs/>
          <w:color w:val="000000"/>
          <w:kern w:val="2"/>
          <w:sz w:val="32"/>
          <w:szCs w:val="32"/>
          <w:lang w:val="en-US" w:eastAsia="zh-CN" w:bidi="ar-SA"/>
        </w:rPr>
      </w:pPr>
      <w:bookmarkStart w:id="141" w:name="_Toc21196"/>
      <w:r>
        <w:rPr>
          <w:rFonts w:hint="eastAsia" w:ascii="黑体" w:eastAsia="黑体" w:cs="Times New Roman"/>
          <w:b w:val="0"/>
          <w:bCs/>
          <w:color w:val="000000"/>
          <w:kern w:val="2"/>
          <w:sz w:val="32"/>
          <w:szCs w:val="32"/>
          <w:lang w:val="en-US" w:eastAsia="zh-CN" w:bidi="ar-SA"/>
        </w:rPr>
        <w:t xml:space="preserve"> </w:t>
      </w:r>
      <w:bookmarkStart w:id="142" w:name="_Toc23109"/>
      <w:r>
        <w:rPr>
          <w:rFonts w:hint="eastAsia" w:ascii="黑体" w:eastAsia="黑体" w:cs="Times New Roman"/>
          <w:b w:val="0"/>
          <w:bCs/>
          <w:color w:val="000000"/>
          <w:kern w:val="2"/>
          <w:sz w:val="32"/>
          <w:szCs w:val="32"/>
          <w:lang w:val="en-US" w:eastAsia="zh-CN" w:bidi="ar-SA"/>
        </w:rPr>
        <w:t>八、政府性基金预算支出决算情况说明</w:t>
      </w:r>
      <w:bookmarkEnd w:id="133"/>
      <w:bookmarkEnd w:id="134"/>
      <w:bookmarkEnd w:id="141"/>
    </w:p>
    <w:bookmarkEnd w:id="135"/>
    <w:bookmarkEnd w:id="136"/>
    <w:bookmarkEnd w:id="137"/>
    <w:bookmarkEnd w:id="142"/>
    <w:p w14:paraId="37065E6E">
      <w:pPr>
        <w:spacing w:line="600" w:lineRule="exact"/>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2024年政府性基金预算拨款支出0万元。</w:t>
      </w:r>
    </w:p>
    <w:p w14:paraId="75E76630">
      <w:pPr>
        <w:spacing w:line="600" w:lineRule="exact"/>
        <w:ind w:firstLine="320" w:firstLineChars="100"/>
        <w:rPr>
          <w:rFonts w:hint="eastAsia" w:ascii="黑体" w:eastAsia="黑体" w:cs="Times New Roman"/>
          <w:b w:val="0"/>
          <w:bCs/>
          <w:color w:val="000000"/>
          <w:kern w:val="2"/>
          <w:sz w:val="32"/>
          <w:szCs w:val="32"/>
          <w:lang w:val="en-US" w:eastAsia="zh-CN" w:bidi="ar-SA"/>
        </w:rPr>
      </w:pPr>
      <w:bookmarkStart w:id="143" w:name="_Toc15396611"/>
      <w:bookmarkStart w:id="144" w:name="_Toc2417"/>
      <w:bookmarkStart w:id="145" w:name="_Toc15377219"/>
      <w:bookmarkStart w:id="146" w:name="_Toc12200"/>
      <w:bookmarkStart w:id="147" w:name="_Toc7769"/>
      <w:bookmarkStart w:id="148" w:name="_Toc13305"/>
      <w:r>
        <w:rPr>
          <w:rFonts w:hint="eastAsia" w:ascii="黑体" w:eastAsia="黑体" w:cs="Times New Roman"/>
          <w:b w:val="0"/>
          <w:bCs/>
          <w:color w:val="000000"/>
          <w:kern w:val="2"/>
          <w:sz w:val="32"/>
          <w:szCs w:val="32"/>
          <w:lang w:val="en-US" w:eastAsia="zh-CN" w:bidi="ar-SA"/>
        </w:rPr>
        <w:t xml:space="preserve">   </w:t>
      </w:r>
      <w:bookmarkStart w:id="149" w:name="_Toc10695"/>
      <w:r>
        <w:rPr>
          <w:rFonts w:hint="eastAsia" w:ascii="黑体" w:eastAsia="黑体" w:cs="Times New Roman"/>
          <w:b w:val="0"/>
          <w:bCs/>
          <w:color w:val="000000"/>
          <w:kern w:val="2"/>
          <w:sz w:val="32"/>
          <w:szCs w:val="32"/>
          <w:lang w:val="en-US" w:eastAsia="zh-CN" w:bidi="ar-SA"/>
        </w:rPr>
        <w:t>九、国有资本经营预算支出决算情况说明</w:t>
      </w:r>
      <w:bookmarkEnd w:id="143"/>
      <w:bookmarkEnd w:id="144"/>
      <w:bookmarkEnd w:id="145"/>
    </w:p>
    <w:bookmarkEnd w:id="146"/>
    <w:bookmarkEnd w:id="147"/>
    <w:bookmarkEnd w:id="148"/>
    <w:bookmarkEnd w:id="149"/>
    <w:p w14:paraId="1BEF0247">
      <w:pPr>
        <w:spacing w:line="600" w:lineRule="exact"/>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2024年国有资本经营预算拨款支出0万元。</w:t>
      </w:r>
    </w:p>
    <w:p w14:paraId="1BDCD004">
      <w:pPr>
        <w:spacing w:line="600" w:lineRule="exact"/>
        <w:ind w:firstLine="320" w:firstLineChars="100"/>
        <w:rPr>
          <w:rFonts w:hint="eastAsia" w:ascii="黑体" w:eastAsia="黑体" w:cs="Times New Roman"/>
          <w:b w:val="0"/>
          <w:bCs/>
          <w:color w:val="000000"/>
          <w:kern w:val="2"/>
          <w:sz w:val="32"/>
          <w:szCs w:val="32"/>
          <w:lang w:val="en-US" w:eastAsia="zh-CN" w:bidi="ar-SA"/>
        </w:rPr>
      </w:pPr>
      <w:bookmarkStart w:id="150" w:name="_Toc5045"/>
      <w:bookmarkStart w:id="151" w:name="_Toc26917"/>
      <w:bookmarkStart w:id="152" w:name="_Toc953"/>
      <w:bookmarkStart w:id="153" w:name="_Toc14416"/>
      <w:r>
        <w:rPr>
          <w:rFonts w:hint="eastAsia" w:ascii="黑体" w:eastAsia="黑体" w:cs="Times New Roman"/>
          <w:b w:val="0"/>
          <w:bCs/>
          <w:color w:val="000000"/>
          <w:kern w:val="2"/>
          <w:sz w:val="32"/>
          <w:szCs w:val="32"/>
          <w:lang w:val="en-US" w:eastAsia="zh-CN" w:bidi="ar-SA"/>
        </w:rPr>
        <w:t xml:space="preserve">  </w:t>
      </w:r>
      <w:bookmarkStart w:id="154" w:name="_Toc24370"/>
      <w:r>
        <w:rPr>
          <w:rFonts w:hint="eastAsia" w:ascii="黑体" w:eastAsia="黑体" w:cs="Times New Roman"/>
          <w:b w:val="0"/>
          <w:bCs/>
          <w:color w:val="000000"/>
          <w:kern w:val="2"/>
          <w:sz w:val="32"/>
          <w:szCs w:val="32"/>
          <w:lang w:val="en-US" w:eastAsia="zh-CN" w:bidi="ar-SA"/>
        </w:rPr>
        <w:t xml:space="preserve"> 十、预算绩效情况说明</w:t>
      </w:r>
      <w:bookmarkEnd w:id="154"/>
    </w:p>
    <w:bookmarkEnd w:id="150"/>
    <w:bookmarkEnd w:id="151"/>
    <w:bookmarkEnd w:id="152"/>
    <w:bookmarkEnd w:id="153"/>
    <w:p w14:paraId="26B10C5E">
      <w:pPr>
        <w:spacing w:line="600" w:lineRule="exact"/>
        <w:ind w:firstLine="643" w:firstLineChars="200"/>
        <w:outlineLvl w:val="2"/>
        <w:rPr>
          <w:rFonts w:hint="eastAsia" w:ascii="楷体" w:eastAsia="楷体" w:cs="楷体"/>
          <w:b/>
          <w:bCs/>
          <w:color w:val="000000"/>
          <w:kern w:val="2"/>
          <w:sz w:val="32"/>
          <w:szCs w:val="32"/>
          <w:lang w:val="en-US" w:eastAsia="zh-CN" w:bidi="ar-SA"/>
        </w:rPr>
      </w:pPr>
      <w:r>
        <w:rPr>
          <w:rFonts w:hint="eastAsia" w:ascii="楷体" w:eastAsia="楷体" w:cs="楷体"/>
          <w:b/>
          <w:bCs/>
          <w:color w:val="000000"/>
          <w:kern w:val="2"/>
          <w:sz w:val="32"/>
          <w:szCs w:val="32"/>
          <w:lang w:val="en-US" w:eastAsia="zh-CN" w:bidi="ar-SA"/>
        </w:rPr>
        <w:t>（一）预算绩效管理工作开展情况。</w:t>
      </w:r>
    </w:p>
    <w:p w14:paraId="34572AFB">
      <w:pPr>
        <w:rPr>
          <w:rFonts w:hint="eastAsia" w:ascii="仿宋_GB2312" w:eastAsia="仿宋_GB2312" w:cs="仿宋_GB2312"/>
          <w:kern w:val="2"/>
          <w:sz w:val="32"/>
          <w:szCs w:val="32"/>
          <w:lang w:val="en-US" w:eastAsia="zh-CN" w:bidi="ar-SA"/>
        </w:rPr>
      </w:pPr>
      <w:r>
        <w:rPr>
          <w:rFonts w:hint="eastAsia" w:ascii="仿宋_GB2312" w:eastAsia="仿宋_GB2312" w:cs="仿宋_GB2312"/>
          <w:color w:val="FF0000"/>
          <w:sz w:val="32"/>
          <w:szCs w:val="32"/>
          <w:lang w:eastAsia="zh-CN"/>
        </w:rPr>
        <w:t>　</w:t>
      </w:r>
      <w:r>
        <w:rPr>
          <w:rFonts w:hint="eastAsia" w:ascii="仿宋_GB2312" w:eastAsia="仿宋_GB2312" w:cs="仿宋_GB2312"/>
          <w:kern w:val="2"/>
          <w:sz w:val="32"/>
          <w:szCs w:val="32"/>
          <w:lang w:val="en-US" w:eastAsia="zh-CN" w:bidi="ar-SA"/>
        </w:rPr>
        <w:t>　根据预算绩效管理要求，我单位在年初预算编制阶段，开展了预算事前绩效评估，编制了部门整体绩效目标。</w:t>
      </w:r>
    </w:p>
    <w:p w14:paraId="131DB341">
      <w:pPr>
        <w:spacing w:line="600" w:lineRule="exact"/>
        <w:ind w:firstLine="643" w:firstLineChars="200"/>
        <w:outlineLvl w:val="2"/>
        <w:rPr>
          <w:rFonts w:hint="eastAsia" w:ascii="楷体" w:eastAsia="楷体" w:cs="楷体"/>
          <w:b/>
          <w:bCs/>
          <w:color w:val="000000"/>
          <w:kern w:val="2"/>
          <w:sz w:val="32"/>
          <w:szCs w:val="32"/>
          <w:lang w:val="en-US" w:eastAsia="zh-CN" w:bidi="ar-SA"/>
        </w:rPr>
      </w:pPr>
      <w:r>
        <w:rPr>
          <w:rFonts w:hint="eastAsia" w:ascii="楷体" w:eastAsia="楷体" w:cs="楷体"/>
          <w:b/>
          <w:bCs/>
          <w:color w:val="000000"/>
          <w:kern w:val="2"/>
          <w:sz w:val="32"/>
          <w:szCs w:val="32"/>
          <w:lang w:val="en-US" w:eastAsia="zh-CN" w:bidi="ar-SA"/>
        </w:rPr>
        <w:t>（二）部门开展绩效评价结果。</w:t>
      </w:r>
    </w:p>
    <w:p w14:paraId="3B930AAD">
      <w:pPr>
        <w:keepNext w:val="0"/>
        <w:keepLines w:val="0"/>
        <w:pageBreakBefore w:val="0"/>
        <w:widowControl w:val="0"/>
        <w:kinsoku/>
        <w:wordWrap/>
        <w:overflowPunct/>
        <w:topLinePunct w:val="0"/>
        <w:autoSpaceDE/>
        <w:autoSpaceDN/>
        <w:bidi w:val="0"/>
        <w:adjustRightInd/>
        <w:snapToGrid/>
        <w:spacing w:line="600" w:lineRule="exact"/>
        <w:ind w:firstLine="640"/>
        <w:jc w:val="center"/>
        <w:textAlignment w:val="auto"/>
        <w:rPr>
          <w:rFonts w:hint="eastAsia" w:ascii="仿宋_GB2312" w:eastAsia="仿宋_GB2312" w:cs="仿宋_GB2312"/>
          <w:kern w:val="2"/>
          <w:sz w:val="32"/>
          <w:szCs w:val="32"/>
          <w:lang w:val="en-US" w:eastAsia="zh-CN" w:bidi="ar-SA"/>
        </w:rPr>
      </w:pPr>
      <w:bookmarkStart w:id="155" w:name="_Toc15377221"/>
      <w:bookmarkStart w:id="156" w:name="_Toc2669"/>
      <w:bookmarkStart w:id="157" w:name="_Toc15396612"/>
      <w:r>
        <w:rPr>
          <w:rFonts w:hint="eastAsia" w:ascii="仿宋_GB2312" w:eastAsia="仿宋_GB2312" w:cs="仿宋_GB2312"/>
          <w:kern w:val="2"/>
          <w:sz w:val="32"/>
          <w:szCs w:val="32"/>
          <w:lang w:val="en-US" w:eastAsia="zh-CN" w:bidi="ar-SA"/>
        </w:rPr>
        <w:t>本部门按要求对2024年部门整体支出绩效评价情况开展自评，《中共金川县委机构编制委员会办公室2024年县级</w:t>
      </w:r>
    </w:p>
    <w:p w14:paraId="7F643106">
      <w:pPr>
        <w:spacing w:line="600" w:lineRule="exact"/>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部门整体支出绩效评价报告》见附件。</w:t>
      </w:r>
    </w:p>
    <w:p w14:paraId="368A224C">
      <w:pPr>
        <w:spacing w:line="600" w:lineRule="exact"/>
        <w:rPr>
          <w:rStyle w:val="22"/>
          <w:rFonts w:hint="eastAsia" w:ascii="仿宋_GB2312" w:eastAsia="仿宋_GB2312" w:cs="仿宋_GB2312"/>
          <w:b w:val="0"/>
          <w:lang w:val="en-US" w:eastAsia="zh-CN"/>
        </w:rPr>
      </w:pPr>
      <w:r>
        <w:rPr>
          <w:rFonts w:hint="eastAsia" w:ascii="黑体" w:eastAsia="黑体" w:cs="Times New Roman"/>
          <w:b w:val="0"/>
          <w:bCs/>
          <w:color w:val="000000"/>
          <w:kern w:val="2"/>
          <w:sz w:val="32"/>
          <w:szCs w:val="32"/>
          <w:lang w:val="en-US" w:eastAsia="zh-CN" w:bidi="ar-SA"/>
        </w:rPr>
        <w:t xml:space="preserve">  </w:t>
      </w:r>
      <w:bookmarkStart w:id="158" w:name="_Toc8269"/>
      <w:r>
        <w:rPr>
          <w:rFonts w:hint="eastAsia" w:ascii="黑体" w:eastAsia="黑体" w:cs="Times New Roman"/>
          <w:b w:val="0"/>
          <w:bCs/>
          <w:color w:val="000000"/>
          <w:kern w:val="2"/>
          <w:sz w:val="32"/>
          <w:szCs w:val="32"/>
          <w:lang w:val="en-US" w:eastAsia="zh-CN" w:bidi="ar-SA"/>
        </w:rPr>
        <w:t xml:space="preserve">  十一、其他重要事项的情况说明</w:t>
      </w:r>
      <w:bookmarkEnd w:id="155"/>
      <w:bookmarkEnd w:id="156"/>
      <w:bookmarkEnd w:id="157"/>
    </w:p>
    <w:bookmarkEnd w:id="158"/>
    <w:p w14:paraId="1E43810F">
      <w:pPr>
        <w:spacing w:line="600" w:lineRule="exact"/>
        <w:ind w:firstLine="643" w:firstLineChars="200"/>
        <w:outlineLvl w:val="2"/>
        <w:rPr>
          <w:rFonts w:hint="eastAsia" w:ascii="楷体" w:eastAsia="楷体" w:cs="楷体"/>
          <w:b/>
          <w:bCs/>
          <w:color w:val="000000"/>
          <w:kern w:val="2"/>
          <w:sz w:val="32"/>
          <w:szCs w:val="32"/>
          <w:lang w:val="en-US" w:eastAsia="zh-CN" w:bidi="ar-SA"/>
        </w:rPr>
      </w:pPr>
      <w:bookmarkStart w:id="159" w:name="_Toc25882"/>
      <w:bookmarkStart w:id="160" w:name="_Toc15377222"/>
      <w:r>
        <w:rPr>
          <w:rFonts w:hint="eastAsia" w:ascii="楷体" w:eastAsia="楷体" w:cs="楷体"/>
          <w:b/>
          <w:bCs/>
          <w:color w:val="000000"/>
          <w:kern w:val="2"/>
          <w:sz w:val="32"/>
          <w:szCs w:val="32"/>
          <w:lang w:val="en-US" w:eastAsia="zh-CN" w:bidi="ar-SA"/>
        </w:rPr>
        <w:t>（一）机关运行经费支出情况</w:t>
      </w:r>
      <w:bookmarkEnd w:id="159"/>
      <w:bookmarkEnd w:id="160"/>
    </w:p>
    <w:p w14:paraId="274944C4">
      <w:pPr>
        <w:ind w:firstLine="640" w:firstLineChars="200"/>
        <w:rPr>
          <w:rFonts w:hint="eastAsia" w:ascii="仿宋_GB2312" w:eastAsia="仿宋_GB2312" w:cs="仿宋_GB2312"/>
          <w:kern w:val="2"/>
          <w:sz w:val="32"/>
          <w:szCs w:val="32"/>
          <w:lang w:val="en-US" w:eastAsia="zh-CN" w:bidi="ar-SA"/>
        </w:rPr>
      </w:pPr>
      <w:bookmarkStart w:id="161" w:name="_Toc15377223"/>
      <w:bookmarkStart w:id="162" w:name="_Toc23145"/>
      <w:r>
        <w:rPr>
          <w:rFonts w:hint="eastAsia" w:ascii="仿宋_GB2312" w:eastAsia="仿宋_GB2312" w:cs="仿宋_GB2312"/>
          <w:kern w:val="2"/>
          <w:sz w:val="32"/>
          <w:szCs w:val="32"/>
          <w:lang w:val="en-US" w:eastAsia="zh-CN" w:bidi="ar-SA"/>
        </w:rPr>
        <w:t>2024年，县委编办运行经费支出11.48万元，比2023年增加1.27万元，增加12.41%。主要原因是工作量增加，办公耗材增加。</w:t>
      </w:r>
    </w:p>
    <w:p w14:paraId="4A8FF5ED">
      <w:pPr>
        <w:spacing w:line="600" w:lineRule="exact"/>
        <w:ind w:firstLine="643" w:firstLineChars="200"/>
        <w:outlineLvl w:val="2"/>
        <w:rPr>
          <w:rFonts w:hint="eastAsia" w:ascii="楷体" w:eastAsia="楷体" w:cs="楷体"/>
          <w:b/>
          <w:bCs/>
          <w:color w:val="000000"/>
          <w:kern w:val="2"/>
          <w:sz w:val="32"/>
          <w:szCs w:val="32"/>
          <w:lang w:val="en-US" w:eastAsia="zh-CN" w:bidi="ar-SA"/>
        </w:rPr>
      </w:pPr>
      <w:r>
        <w:rPr>
          <w:rFonts w:hint="eastAsia" w:ascii="楷体" w:eastAsia="楷体" w:cs="楷体"/>
          <w:b/>
          <w:bCs/>
          <w:color w:val="000000"/>
          <w:kern w:val="2"/>
          <w:sz w:val="32"/>
          <w:szCs w:val="32"/>
          <w:lang w:val="en-US" w:eastAsia="zh-CN" w:bidi="ar-SA"/>
        </w:rPr>
        <w:t>（二）政府采购支出情况</w:t>
      </w:r>
      <w:bookmarkEnd w:id="161"/>
      <w:bookmarkEnd w:id="162"/>
    </w:p>
    <w:p w14:paraId="09FBFED7">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2024年，政府采购支出总额0万元，其中：政府采购货物支出0万元、政府采购服务支出0万元。</w:t>
      </w:r>
    </w:p>
    <w:p w14:paraId="4AA36455">
      <w:pPr>
        <w:spacing w:line="600" w:lineRule="exact"/>
        <w:ind w:firstLine="643" w:firstLineChars="200"/>
        <w:outlineLvl w:val="2"/>
        <w:rPr>
          <w:rFonts w:hint="eastAsia" w:ascii="楷体" w:eastAsia="楷体" w:cs="楷体"/>
          <w:b/>
          <w:bCs/>
          <w:color w:val="000000"/>
          <w:kern w:val="2"/>
          <w:sz w:val="32"/>
          <w:szCs w:val="32"/>
          <w:lang w:val="en-US" w:eastAsia="zh-CN" w:bidi="ar-SA"/>
        </w:rPr>
      </w:pPr>
      <w:bookmarkStart w:id="163" w:name="_Toc13674"/>
      <w:bookmarkStart w:id="164" w:name="_Toc15377224"/>
      <w:r>
        <w:rPr>
          <w:rFonts w:hint="eastAsia" w:ascii="楷体" w:eastAsia="楷体" w:cs="楷体"/>
          <w:b/>
          <w:bCs/>
          <w:color w:val="000000"/>
          <w:kern w:val="2"/>
          <w:sz w:val="32"/>
          <w:szCs w:val="32"/>
          <w:lang w:val="en-US" w:eastAsia="zh-CN" w:bidi="ar-SA"/>
        </w:rPr>
        <w:t>（三）国有资产占有使用情况</w:t>
      </w:r>
      <w:bookmarkEnd w:id="163"/>
      <w:bookmarkEnd w:id="164"/>
    </w:p>
    <w:p w14:paraId="747A8105">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 xml:space="preserve">截至2024年12月31日，共有车辆0辆。    </w:t>
      </w:r>
    </w:p>
    <w:p w14:paraId="292E2C20">
      <w:pPr>
        <w:widowControl/>
        <w:jc w:val="left"/>
        <w:rPr>
          <w:rFonts w:hint="eastAsia" w:ascii="仿宋_GB2312" w:eastAsia="仿宋_GB2312" w:cs="仿宋_GB2312"/>
          <w:b/>
          <w:color w:val="000000"/>
          <w:sz w:val="32"/>
          <w:szCs w:val="32"/>
          <w:lang w:val="en-US" w:eastAsia="zh-CN"/>
        </w:rPr>
      </w:pPr>
    </w:p>
    <w:p w14:paraId="03CCEC47">
      <w:pPr>
        <w:pStyle w:val="3"/>
        <w:jc w:val="both"/>
        <w:rPr>
          <w:rFonts w:hint="eastAsia" w:ascii="黑体" w:eastAsia="黑体"/>
          <w:b w:val="0"/>
          <w:lang w:eastAsia="zh-CN"/>
        </w:rPr>
      </w:pPr>
      <w:bookmarkStart w:id="165" w:name="_Toc15377225"/>
      <w:bookmarkStart w:id="166" w:name="_Toc4580"/>
      <w:bookmarkStart w:id="167" w:name="_Toc15396613"/>
      <w:bookmarkStart w:id="168" w:name="_Toc4440"/>
      <w:bookmarkStart w:id="169" w:name="_Toc31705"/>
    </w:p>
    <w:p w14:paraId="195D609B">
      <w:pPr>
        <w:rPr>
          <w:rFonts w:hint="eastAsia" w:ascii="黑体" w:eastAsia="黑体"/>
          <w:b w:val="0"/>
          <w:lang w:eastAsia="zh-CN"/>
        </w:rPr>
      </w:pPr>
    </w:p>
    <w:p w14:paraId="147A1DBB">
      <w:pPr>
        <w:pStyle w:val="2"/>
        <w:rPr>
          <w:rFonts w:hint="eastAsia"/>
          <w:lang w:eastAsia="zh-CN"/>
        </w:rPr>
      </w:pPr>
    </w:p>
    <w:p w14:paraId="1CF64EF7">
      <w:pPr>
        <w:rPr>
          <w:rFonts w:hint="eastAsia" w:ascii="黑体" w:eastAsia="黑体"/>
          <w:b w:val="0"/>
          <w:lang w:eastAsia="zh-CN"/>
        </w:rPr>
      </w:pPr>
    </w:p>
    <w:p w14:paraId="3B346DE7">
      <w:pPr>
        <w:pStyle w:val="2"/>
        <w:rPr>
          <w:rFonts w:hint="eastAsia" w:ascii="黑体" w:eastAsia="黑体"/>
          <w:b w:val="0"/>
          <w:lang w:eastAsia="zh-CN"/>
        </w:rPr>
      </w:pPr>
    </w:p>
    <w:p w14:paraId="350A7178">
      <w:pPr>
        <w:rPr>
          <w:rFonts w:hint="eastAsia" w:ascii="黑体" w:eastAsia="黑体"/>
          <w:b w:val="0"/>
          <w:lang w:eastAsia="zh-CN"/>
        </w:rPr>
      </w:pPr>
    </w:p>
    <w:p w14:paraId="42964DE3">
      <w:pPr>
        <w:pStyle w:val="3"/>
        <w:jc w:val="center"/>
        <w:rPr>
          <w:rFonts w:hint="eastAsia" w:ascii="黑体" w:eastAsia="黑体"/>
          <w:b w:val="0"/>
        </w:rPr>
      </w:pPr>
      <w:r>
        <w:rPr>
          <w:rFonts w:hint="eastAsia" w:ascii="黑体" w:eastAsia="黑体"/>
          <w:b w:val="0"/>
          <w:lang w:eastAsia="zh-CN"/>
        </w:rPr>
        <w:t>第三部分</w:t>
      </w:r>
      <w:r>
        <w:rPr>
          <w:rFonts w:hint="eastAsia" w:ascii="黑体" w:eastAsia="黑体"/>
          <w:b w:val="0"/>
          <w:lang w:val="en-US" w:eastAsia="zh-CN"/>
        </w:rPr>
        <w:t xml:space="preserve"> </w:t>
      </w:r>
      <w:r>
        <w:rPr>
          <w:rFonts w:hint="eastAsia" w:ascii="黑体" w:eastAsia="黑体"/>
          <w:b w:val="0"/>
        </w:rPr>
        <w:t>名词解释</w:t>
      </w:r>
      <w:bookmarkEnd w:id="165"/>
      <w:bookmarkEnd w:id="166"/>
      <w:bookmarkEnd w:id="167"/>
    </w:p>
    <w:bookmarkEnd w:id="168"/>
    <w:bookmarkEnd w:id="169"/>
    <w:p w14:paraId="77D73BD9">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1.财政拨款收入：指单位从同级财政部门取得的财政预算资金。</w:t>
      </w:r>
    </w:p>
    <w:p w14:paraId="0171DDEC">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2.事业收入：指事业单位开展专业业务活动及辅助活动取得的收入。</w:t>
      </w:r>
    </w:p>
    <w:p w14:paraId="1F52AB14">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3.经营收入：指事业单位在专业业务活动及其辅助活动之外开展非独立核算经营活动取得的收入。</w:t>
      </w:r>
    </w:p>
    <w:p w14:paraId="7747DE64">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 xml:space="preserve">4.其他收入：指单位取得的除上述收入以外的各项收入。主要是银行存款利息和伙食团缴费等。 </w:t>
      </w:r>
    </w:p>
    <w:p w14:paraId="3EF4FB86">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 xml:space="preserve">5. 年初结转和结余：指以前年度尚未完成、结转到本年按有关规定继续使用的资金。 </w:t>
      </w:r>
    </w:p>
    <w:p w14:paraId="63F5FA48">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6.结余分配：指事业单位按照事业单位会计制度的规定从非财政补助结余中分配的事业基金和职工福利基金等。</w:t>
      </w:r>
    </w:p>
    <w:p w14:paraId="644DA11A">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7、年末结转和结余：指单位按有关规定结转到下年或以后年度继续使用的资金。</w:t>
      </w:r>
    </w:p>
    <w:p w14:paraId="622A8899">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8.一般公共服务支出（类）政府办公厅（室）及相关机构事务（款）事业运行（项）：指事业单位的基本支出。</w:t>
      </w:r>
    </w:p>
    <w:p w14:paraId="2A8975E9">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9.社会保障和就业（类）行政事业单位离退休（款）机关事业单位基本养老保险缴费支出（项）：指单位为职工缴纳的基本养老保险费。</w:t>
      </w:r>
    </w:p>
    <w:p w14:paraId="3B9B86BF">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10.社会保障和就业（类）行政事业单位离退休（款）机关事业单位基本职业年金缴费支出（项）：指单位为职工实际缴纳的职业年金。</w:t>
      </w:r>
    </w:p>
    <w:p w14:paraId="6464B1F2">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11.卫生健康支出（类）公共卫生（款）突发公共卫生事件应急处理（项）：反映用于突发公共卫生事件应急处理的支出。</w:t>
      </w:r>
    </w:p>
    <w:p w14:paraId="32186824">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12.卫生健康支出（类）行政事业单位医疗（款）事业单位医疗（项）：指反映财政部门安排的事业单位基本医疗保险缴纳费经费，未参加医疗保险的事业单位的公费医疗经费，按照国家规定享受离休人员待遇的医疗经费。</w:t>
      </w:r>
    </w:p>
    <w:p w14:paraId="542BC34A">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13.卫生健康支出（类）行政事业单位医疗（款）其他行政事业单位医疗支出（项）：反映除上述项目以外的其他用于行政事业单位医疗方面的支出。</w:t>
      </w:r>
    </w:p>
    <w:p w14:paraId="15F37E64">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14.住房保障（类）住房改革支出（款）住房公积金（项）：指单位按规定为职工缴纳的住房公积金。</w:t>
      </w:r>
    </w:p>
    <w:p w14:paraId="50AAD299">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15.基本支出：指为保障机构正常运转、完成日常工作任务而发生的人员支出和公用支出。</w:t>
      </w:r>
    </w:p>
    <w:p w14:paraId="3B70C22B">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 xml:space="preserve">16.项目支出：指在基本支出之外为完成特定行政任务和事业发展目标所发生的支出。 </w:t>
      </w:r>
    </w:p>
    <w:p w14:paraId="285F36B6">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972761B">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A7C7C82">
      <w:pPr>
        <w:ind w:firstLine="640" w:firstLineChars="200"/>
        <w:rPr>
          <w:rFonts w:hint="eastAsia" w:ascii="仿宋_GB2312" w:eastAsia="仿宋_GB2312" w:cs="仿宋_GB2312"/>
          <w:kern w:val="2"/>
          <w:sz w:val="32"/>
          <w:szCs w:val="32"/>
          <w:lang w:val="en-US" w:eastAsia="zh-CN" w:bidi="ar-SA"/>
        </w:rPr>
      </w:pPr>
      <w:bookmarkStart w:id="170" w:name="_Toc15396614"/>
      <w:bookmarkStart w:id="171" w:name="_Toc15377226"/>
    </w:p>
    <w:p w14:paraId="5A144B33">
      <w:pPr>
        <w:spacing w:line="600" w:lineRule="exact"/>
        <w:jc w:val="both"/>
        <w:outlineLvl w:val="0"/>
        <w:rPr>
          <w:rFonts w:hint="eastAsia" w:ascii="仿宋_GB2312" w:eastAsia="仿宋_GB2312" w:cs="仿宋_GB2312"/>
          <w:color w:val="000000"/>
          <w:sz w:val="44"/>
          <w:szCs w:val="44"/>
        </w:rPr>
      </w:pPr>
    </w:p>
    <w:p w14:paraId="5E88BCFA">
      <w:pPr>
        <w:spacing w:line="600" w:lineRule="exact"/>
        <w:jc w:val="center"/>
        <w:outlineLvl w:val="0"/>
        <w:rPr>
          <w:rFonts w:ascii="仿宋_GB2312" w:eastAsia="仿宋_GB2312" w:cs="仿宋_GB2312"/>
          <w:color w:val="000000"/>
          <w:sz w:val="44"/>
          <w:szCs w:val="44"/>
        </w:rPr>
      </w:pPr>
    </w:p>
    <w:p w14:paraId="624B1189">
      <w:pPr>
        <w:pStyle w:val="2"/>
        <w:spacing w:line="377" w:lineRule="auto"/>
        <w:outlineLvl w:val="4"/>
      </w:pPr>
    </w:p>
    <w:p w14:paraId="5645ACD4"/>
    <w:p w14:paraId="0210250A">
      <w:pPr>
        <w:pStyle w:val="2"/>
      </w:pPr>
    </w:p>
    <w:p w14:paraId="4705C6E8"/>
    <w:p w14:paraId="258F3298">
      <w:pPr>
        <w:pStyle w:val="2"/>
      </w:pPr>
    </w:p>
    <w:p w14:paraId="156E4FEC">
      <w:pPr>
        <w:rPr>
          <w:rFonts w:hint="eastAsia"/>
        </w:rPr>
      </w:pPr>
    </w:p>
    <w:p w14:paraId="01205F03">
      <w:pPr>
        <w:pStyle w:val="3"/>
        <w:jc w:val="center"/>
        <w:rPr>
          <w:rFonts w:hint="eastAsia" w:ascii="黑体" w:eastAsia="黑体"/>
          <w:b w:val="0"/>
          <w:lang w:val="en-US" w:eastAsia="zh-CN"/>
        </w:rPr>
      </w:pPr>
      <w:bookmarkStart w:id="172" w:name="_Toc22478"/>
      <w:bookmarkStart w:id="173" w:name="_Toc26512"/>
      <w:bookmarkStart w:id="174" w:name="_Toc27820"/>
      <w:bookmarkStart w:id="175" w:name="_Toc9035"/>
      <w:bookmarkStart w:id="176" w:name="_Toc5876"/>
      <w:r>
        <w:rPr>
          <w:rFonts w:hint="eastAsia" w:ascii="黑体" w:eastAsia="黑体"/>
          <w:b w:val="0"/>
          <w:lang w:val="en-US" w:eastAsia="zh-CN"/>
        </w:rPr>
        <w:t>第四部门  整体支出绩效报告</w:t>
      </w:r>
      <w:bookmarkEnd w:id="170"/>
      <w:bookmarkEnd w:id="172"/>
      <w:bookmarkEnd w:id="173"/>
    </w:p>
    <w:p w14:paraId="7AAE04B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中共金川县委机构编制委员会办公室</w:t>
      </w:r>
    </w:p>
    <w:p w14:paraId="3FD45C4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cs="Times New Roman"/>
          <w:sz w:val="44"/>
          <w:szCs w:val="44"/>
        </w:rPr>
      </w:pPr>
      <w:r>
        <w:rPr>
          <w:rFonts w:hint="eastAsia" w:ascii="方正小标宋简体" w:eastAsia="方正小标宋简体" w:cs="Times New Roman"/>
          <w:sz w:val="44"/>
          <w:szCs w:val="44"/>
        </w:rPr>
        <w:t>202</w:t>
      </w:r>
      <w:r>
        <w:rPr>
          <w:rFonts w:hint="eastAsia" w:ascii="方正小标宋简体" w:eastAsia="方正小标宋简体" w:cs="Times New Roman"/>
          <w:sz w:val="44"/>
          <w:szCs w:val="44"/>
          <w:lang w:val="en-US" w:eastAsia="zh-CN"/>
        </w:rPr>
        <w:t>4</w:t>
      </w:r>
      <w:r>
        <w:rPr>
          <w:rFonts w:hint="eastAsia" w:ascii="方正小标宋简体" w:eastAsia="方正小标宋简体" w:cs="Times New Roman"/>
          <w:sz w:val="44"/>
          <w:szCs w:val="44"/>
        </w:rPr>
        <w:t>年县级部门整体支出绩效评价报告</w:t>
      </w:r>
    </w:p>
    <w:p w14:paraId="77AE7F4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imes New Roman" w:hAnsi="Times New Roman" w:cs="Times New Roman"/>
          <w:szCs w:val="32"/>
          <w:lang w:val="zh-CN" w:eastAsia="zh-CN"/>
        </w:rPr>
      </w:pPr>
    </w:p>
    <w:p w14:paraId="13D77BED">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zh-CN" w:eastAsia="zh-CN" w:bidi="ar-SA"/>
        </w:rPr>
        <w:t>根据《金川县财政局关于开展20</w:t>
      </w:r>
      <w:r>
        <w:rPr>
          <w:rFonts w:hint="eastAsia" w:ascii="仿宋_GB2312" w:eastAsia="仿宋_GB2312" w:cs="仿宋_GB2312"/>
          <w:kern w:val="2"/>
          <w:sz w:val="32"/>
          <w:szCs w:val="32"/>
          <w:lang w:val="en-US" w:eastAsia="zh-CN" w:bidi="ar-SA"/>
        </w:rPr>
        <w:t>24</w:t>
      </w:r>
      <w:r>
        <w:rPr>
          <w:rFonts w:hint="eastAsia" w:ascii="仿宋_GB2312" w:eastAsia="仿宋_GB2312" w:cs="仿宋_GB2312"/>
          <w:kern w:val="2"/>
          <w:sz w:val="32"/>
          <w:szCs w:val="32"/>
          <w:lang w:val="zh-CN" w:eastAsia="zh-CN" w:bidi="ar-SA"/>
        </w:rPr>
        <w:t>年县级部门绩效自评工作的通知》（金财监绩〔20</w:t>
      </w:r>
      <w:r>
        <w:rPr>
          <w:rFonts w:hint="eastAsia" w:ascii="仿宋_GB2312" w:eastAsia="仿宋_GB2312" w:cs="仿宋_GB2312"/>
          <w:kern w:val="2"/>
          <w:sz w:val="32"/>
          <w:szCs w:val="32"/>
          <w:lang w:val="en-US" w:eastAsia="zh-CN" w:bidi="ar-SA"/>
        </w:rPr>
        <w:t>25</w:t>
      </w:r>
      <w:r>
        <w:rPr>
          <w:rFonts w:hint="eastAsia" w:ascii="仿宋_GB2312" w:eastAsia="仿宋_GB2312" w:cs="仿宋_GB2312"/>
          <w:kern w:val="2"/>
          <w:sz w:val="32"/>
          <w:szCs w:val="32"/>
          <w:lang w:val="zh-CN" w:eastAsia="zh-CN" w:bidi="ar-SA"/>
        </w:rPr>
        <w:t>〕</w:t>
      </w:r>
      <w:r>
        <w:rPr>
          <w:rFonts w:hint="eastAsia" w:ascii="仿宋_GB2312" w:eastAsia="仿宋_GB2312" w:cs="仿宋_GB2312"/>
          <w:kern w:val="2"/>
          <w:sz w:val="32"/>
          <w:szCs w:val="32"/>
          <w:lang w:val="en-US" w:eastAsia="zh-CN" w:bidi="ar-SA"/>
        </w:rPr>
        <w:t>35</w:t>
      </w:r>
      <w:r>
        <w:rPr>
          <w:rFonts w:hint="eastAsia" w:ascii="仿宋_GB2312" w:eastAsia="仿宋_GB2312" w:cs="仿宋_GB2312"/>
          <w:kern w:val="2"/>
          <w:sz w:val="32"/>
          <w:szCs w:val="32"/>
          <w:lang w:val="zh-CN" w:eastAsia="zh-CN" w:bidi="ar-SA"/>
        </w:rPr>
        <w:t>号）文件要求，为深入贯彻省、州相关文件精神，结合本单位的实际，认真开展部门预算绩效自评工作，现将</w:t>
      </w:r>
      <w:r>
        <w:rPr>
          <w:rFonts w:hint="eastAsia" w:ascii="仿宋_GB2312" w:eastAsia="仿宋_GB2312" w:cs="仿宋_GB2312"/>
          <w:kern w:val="2"/>
          <w:sz w:val="32"/>
          <w:szCs w:val="32"/>
          <w:lang w:val="en-US" w:eastAsia="zh-CN" w:bidi="ar-SA"/>
        </w:rPr>
        <w:t>2024</w:t>
      </w:r>
      <w:r>
        <w:rPr>
          <w:rFonts w:hint="eastAsia" w:ascii="仿宋_GB2312" w:eastAsia="仿宋_GB2312" w:cs="仿宋_GB2312"/>
          <w:kern w:val="2"/>
          <w:sz w:val="32"/>
          <w:szCs w:val="32"/>
          <w:lang w:val="zh-CN" w:eastAsia="zh-CN" w:bidi="ar-SA"/>
        </w:rPr>
        <w:t>年部门预算绩效自评工作报告如下：</w:t>
      </w:r>
    </w:p>
    <w:p w14:paraId="2D1A63F8">
      <w:pPr>
        <w:spacing w:line="600" w:lineRule="exact"/>
        <w:ind w:firstLine="640" w:firstLineChars="200"/>
        <w:rPr>
          <w:rFonts w:ascii="黑体" w:eastAsia="黑体" w:cs="Times New Roman"/>
          <w:b w:val="0"/>
          <w:bCs/>
          <w:color w:val="000000"/>
          <w:kern w:val="2"/>
          <w:sz w:val="32"/>
          <w:szCs w:val="32"/>
          <w:lang w:val="zh-CN" w:eastAsia="zh-CN" w:bidi="ar-SA"/>
        </w:rPr>
      </w:pPr>
      <w:r>
        <w:rPr>
          <w:rFonts w:hint="eastAsia" w:ascii="黑体" w:eastAsia="黑体" w:cs="Times New Roman"/>
          <w:b w:val="0"/>
          <w:bCs/>
          <w:color w:val="000000"/>
          <w:kern w:val="2"/>
          <w:sz w:val="32"/>
          <w:szCs w:val="32"/>
          <w:lang w:val="zh-CN" w:eastAsia="zh-CN" w:bidi="ar-SA"/>
        </w:rPr>
        <w:t>一、</w:t>
      </w:r>
      <w:r>
        <w:rPr>
          <w:rFonts w:ascii="黑体" w:eastAsia="黑体" w:cs="Times New Roman"/>
          <w:b w:val="0"/>
          <w:bCs/>
          <w:color w:val="000000"/>
          <w:kern w:val="2"/>
          <w:sz w:val="32"/>
          <w:szCs w:val="32"/>
          <w:lang w:val="zh-CN" w:eastAsia="zh-CN" w:bidi="ar-SA"/>
        </w:rPr>
        <w:t>部门（单位）基本情况</w:t>
      </w:r>
    </w:p>
    <w:p w14:paraId="449ADAF4">
      <w:pPr>
        <w:spacing w:line="600" w:lineRule="exact"/>
        <w:ind w:firstLine="643" w:firstLineChars="200"/>
        <w:outlineLvl w:val="2"/>
        <w:rPr>
          <w:rFonts w:ascii="楷体" w:eastAsia="楷体" w:cs="楷体"/>
          <w:b/>
          <w:bCs/>
          <w:color w:val="000000"/>
          <w:kern w:val="2"/>
          <w:sz w:val="32"/>
          <w:szCs w:val="32"/>
          <w:lang w:val="zh-CN" w:eastAsia="zh-CN" w:bidi="ar-SA"/>
        </w:rPr>
      </w:pPr>
      <w:r>
        <w:rPr>
          <w:rFonts w:hint="eastAsia" w:ascii="楷体" w:eastAsia="楷体" w:cs="楷体"/>
          <w:b/>
          <w:bCs/>
          <w:color w:val="000000"/>
          <w:kern w:val="2"/>
          <w:sz w:val="32"/>
          <w:szCs w:val="32"/>
          <w:lang w:val="zh-CN" w:eastAsia="zh-CN" w:bidi="ar-SA"/>
        </w:rPr>
        <w:t>（一）</w:t>
      </w:r>
      <w:r>
        <w:rPr>
          <w:rFonts w:ascii="楷体" w:eastAsia="楷体" w:cs="楷体"/>
          <w:b/>
          <w:bCs/>
          <w:color w:val="000000"/>
          <w:kern w:val="2"/>
          <w:sz w:val="32"/>
          <w:szCs w:val="32"/>
          <w:lang w:val="zh-CN" w:eastAsia="zh-CN" w:bidi="ar-SA"/>
        </w:rPr>
        <w:t>机构组成。</w:t>
      </w:r>
    </w:p>
    <w:p w14:paraId="6A4A6DC8">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zh-CN" w:eastAsia="zh-CN" w:bidi="ar-SA"/>
        </w:rPr>
        <w:t>本部门预算单位</w:t>
      </w:r>
      <w:r>
        <w:rPr>
          <w:rFonts w:hint="eastAsia" w:ascii="仿宋_GB2312" w:eastAsia="仿宋_GB2312" w:cs="仿宋_GB2312"/>
          <w:kern w:val="2"/>
          <w:sz w:val="32"/>
          <w:szCs w:val="32"/>
          <w:lang w:val="en-US" w:eastAsia="zh-CN" w:bidi="ar-SA"/>
        </w:rPr>
        <w:t>3</w:t>
      </w:r>
      <w:r>
        <w:rPr>
          <w:rFonts w:hint="eastAsia" w:ascii="仿宋_GB2312" w:eastAsia="仿宋_GB2312" w:cs="仿宋_GB2312"/>
          <w:kern w:val="2"/>
          <w:sz w:val="32"/>
          <w:szCs w:val="32"/>
          <w:lang w:val="zh-CN" w:eastAsia="zh-CN" w:bidi="ar-SA"/>
        </w:rPr>
        <w:t>个（</w:t>
      </w:r>
      <w:r>
        <w:rPr>
          <w:rFonts w:hint="eastAsia" w:ascii="仿宋_GB2312" w:eastAsia="仿宋_GB2312" w:cs="仿宋_GB2312"/>
          <w:kern w:val="2"/>
          <w:sz w:val="32"/>
          <w:szCs w:val="32"/>
          <w:lang w:val="en-US" w:eastAsia="zh-CN" w:bidi="ar-SA"/>
        </w:rPr>
        <w:t>中共金川县委机构编制委员会办公室本级，金川县事业登记管理局、中共金川县委机构编制电子政务中心</w:t>
      </w:r>
      <w:r>
        <w:rPr>
          <w:rFonts w:hint="eastAsia" w:ascii="仿宋_GB2312" w:eastAsia="仿宋_GB2312" w:cs="仿宋_GB2312"/>
          <w:kern w:val="2"/>
          <w:sz w:val="32"/>
          <w:szCs w:val="32"/>
          <w:lang w:val="zh-CN" w:eastAsia="zh-CN" w:bidi="ar-SA"/>
        </w:rPr>
        <w:t>）。</w:t>
      </w:r>
    </w:p>
    <w:p w14:paraId="2CFD3514">
      <w:pPr>
        <w:spacing w:line="600" w:lineRule="exact"/>
        <w:ind w:firstLine="643" w:firstLineChars="200"/>
        <w:outlineLvl w:val="2"/>
        <w:rPr>
          <w:rFonts w:hint="eastAsia" w:ascii="楷体" w:eastAsia="楷体" w:cs="楷体"/>
          <w:b/>
          <w:bCs/>
          <w:color w:val="000000"/>
          <w:kern w:val="2"/>
          <w:sz w:val="32"/>
          <w:szCs w:val="32"/>
          <w:lang w:val="zh-CN" w:eastAsia="zh-CN" w:bidi="ar-SA"/>
        </w:rPr>
      </w:pPr>
      <w:r>
        <w:rPr>
          <w:rFonts w:hint="eastAsia" w:ascii="楷体" w:eastAsia="楷体" w:cs="楷体"/>
          <w:b/>
          <w:bCs/>
          <w:color w:val="000000"/>
          <w:kern w:val="2"/>
          <w:sz w:val="32"/>
          <w:szCs w:val="32"/>
          <w:lang w:val="zh-CN" w:eastAsia="zh-CN" w:bidi="ar-SA"/>
        </w:rPr>
        <w:t>（二）</w:t>
      </w:r>
      <w:r>
        <w:rPr>
          <w:rFonts w:ascii="楷体" w:eastAsia="楷体" w:cs="楷体"/>
          <w:b/>
          <w:bCs/>
          <w:color w:val="000000"/>
          <w:kern w:val="2"/>
          <w:sz w:val="32"/>
          <w:szCs w:val="32"/>
          <w:lang w:val="zh-CN" w:eastAsia="zh-CN" w:bidi="ar-SA"/>
        </w:rPr>
        <w:t>机构职能</w:t>
      </w:r>
      <w:r>
        <w:rPr>
          <w:rFonts w:hint="eastAsia" w:ascii="楷体" w:eastAsia="楷体" w:cs="楷体"/>
          <w:b/>
          <w:bCs/>
          <w:color w:val="000000"/>
          <w:kern w:val="2"/>
          <w:sz w:val="32"/>
          <w:szCs w:val="32"/>
          <w:lang w:val="zh-CN" w:eastAsia="zh-CN" w:bidi="ar-SA"/>
        </w:rPr>
        <w:t>。</w:t>
      </w:r>
    </w:p>
    <w:p w14:paraId="661E9759">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zh-CN" w:eastAsia="zh-CN" w:bidi="ar-SA"/>
        </w:rPr>
        <w:t>主要职能：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14:paraId="06EB23E5">
      <w:pPr>
        <w:spacing w:line="600" w:lineRule="exact"/>
        <w:ind w:firstLine="643" w:firstLineChars="200"/>
        <w:outlineLvl w:val="2"/>
        <w:rPr>
          <w:rFonts w:hint="eastAsia" w:ascii="楷体" w:eastAsia="楷体" w:cs="楷体"/>
          <w:b/>
          <w:bCs/>
          <w:color w:val="000000"/>
          <w:kern w:val="2"/>
          <w:sz w:val="32"/>
          <w:szCs w:val="32"/>
          <w:lang w:val="zh-CN" w:eastAsia="zh-CN" w:bidi="ar-SA"/>
        </w:rPr>
      </w:pPr>
      <w:r>
        <w:rPr>
          <w:rFonts w:hint="eastAsia" w:ascii="楷体" w:eastAsia="楷体" w:cs="楷体"/>
          <w:b/>
          <w:bCs/>
          <w:color w:val="000000"/>
          <w:kern w:val="2"/>
          <w:sz w:val="32"/>
          <w:szCs w:val="32"/>
          <w:lang w:val="zh-CN" w:eastAsia="zh-CN" w:bidi="ar-SA"/>
        </w:rPr>
        <w:t>（三）</w:t>
      </w:r>
      <w:r>
        <w:rPr>
          <w:rFonts w:ascii="楷体" w:eastAsia="楷体" w:cs="楷体"/>
          <w:b/>
          <w:bCs/>
          <w:color w:val="000000"/>
          <w:kern w:val="2"/>
          <w:sz w:val="32"/>
          <w:szCs w:val="32"/>
          <w:lang w:val="zh-CN" w:eastAsia="zh-CN" w:bidi="ar-SA"/>
        </w:rPr>
        <w:t>人员概况</w:t>
      </w:r>
      <w:r>
        <w:rPr>
          <w:rFonts w:hint="eastAsia" w:ascii="楷体" w:eastAsia="楷体" w:cs="楷体"/>
          <w:b/>
          <w:bCs/>
          <w:color w:val="000000"/>
          <w:kern w:val="2"/>
          <w:sz w:val="32"/>
          <w:szCs w:val="32"/>
          <w:lang w:val="zh-CN" w:eastAsia="zh-CN" w:bidi="ar-SA"/>
        </w:rPr>
        <w:t>。</w:t>
      </w:r>
    </w:p>
    <w:p w14:paraId="405CD5A0">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zh-CN" w:eastAsia="zh-CN" w:bidi="ar-SA"/>
        </w:rPr>
        <w:t>金川县委编办独立编制机构数</w:t>
      </w:r>
      <w:r>
        <w:rPr>
          <w:rFonts w:hint="eastAsia" w:ascii="仿宋_GB2312" w:eastAsia="仿宋_GB2312" w:cs="仿宋_GB2312"/>
          <w:kern w:val="2"/>
          <w:sz w:val="32"/>
          <w:szCs w:val="32"/>
          <w:lang w:val="en-US" w:eastAsia="zh-CN" w:bidi="ar-SA"/>
        </w:rPr>
        <w:t>3</w:t>
      </w:r>
      <w:r>
        <w:rPr>
          <w:rFonts w:hint="eastAsia" w:ascii="仿宋_GB2312" w:eastAsia="仿宋_GB2312" w:cs="仿宋_GB2312"/>
          <w:kern w:val="2"/>
          <w:sz w:val="32"/>
          <w:szCs w:val="32"/>
          <w:lang w:val="zh-CN" w:eastAsia="zh-CN" w:bidi="ar-SA"/>
        </w:rPr>
        <w:t>个，独立核算机构数</w:t>
      </w:r>
      <w:r>
        <w:rPr>
          <w:rFonts w:hint="eastAsia" w:ascii="仿宋_GB2312" w:eastAsia="仿宋_GB2312" w:cs="仿宋_GB2312"/>
          <w:kern w:val="2"/>
          <w:sz w:val="32"/>
          <w:szCs w:val="32"/>
          <w:lang w:val="en-US" w:eastAsia="zh-CN" w:bidi="ar-SA"/>
        </w:rPr>
        <w:t>3</w:t>
      </w:r>
      <w:r>
        <w:rPr>
          <w:rFonts w:hint="eastAsia" w:ascii="仿宋_GB2312" w:eastAsia="仿宋_GB2312" w:cs="仿宋_GB2312"/>
          <w:kern w:val="2"/>
          <w:sz w:val="32"/>
          <w:szCs w:val="32"/>
          <w:lang w:val="zh-CN" w:eastAsia="zh-CN" w:bidi="ar-SA"/>
        </w:rPr>
        <w:t>个，单位编制数</w:t>
      </w:r>
      <w:r>
        <w:rPr>
          <w:rFonts w:hint="eastAsia" w:ascii="仿宋_GB2312" w:eastAsia="仿宋_GB2312" w:cs="仿宋_GB2312"/>
          <w:kern w:val="2"/>
          <w:sz w:val="32"/>
          <w:szCs w:val="32"/>
          <w:lang w:val="en-US" w:eastAsia="zh-CN" w:bidi="ar-SA"/>
        </w:rPr>
        <w:t>16</w:t>
      </w:r>
      <w:r>
        <w:rPr>
          <w:rFonts w:hint="eastAsia" w:ascii="仿宋_GB2312" w:eastAsia="仿宋_GB2312" w:cs="仿宋_GB2312"/>
          <w:kern w:val="2"/>
          <w:sz w:val="32"/>
          <w:szCs w:val="32"/>
          <w:lang w:val="zh-CN" w:eastAsia="zh-CN" w:bidi="ar-SA"/>
        </w:rPr>
        <w:t>个，其中：行政编制</w:t>
      </w:r>
      <w:r>
        <w:rPr>
          <w:rFonts w:hint="eastAsia" w:ascii="仿宋_GB2312" w:eastAsia="仿宋_GB2312" w:cs="仿宋_GB2312"/>
          <w:kern w:val="2"/>
          <w:sz w:val="32"/>
          <w:szCs w:val="32"/>
          <w:lang w:val="en-US" w:eastAsia="zh-CN" w:bidi="ar-SA"/>
        </w:rPr>
        <w:t>4个</w:t>
      </w:r>
      <w:r>
        <w:rPr>
          <w:rFonts w:hint="eastAsia" w:ascii="仿宋_GB2312" w:eastAsia="仿宋_GB2312" w:cs="仿宋_GB2312"/>
          <w:kern w:val="2"/>
          <w:sz w:val="32"/>
          <w:szCs w:val="32"/>
          <w:lang w:val="zh-CN" w:eastAsia="zh-CN" w:bidi="ar-SA"/>
        </w:rPr>
        <w:t>、行政工勤编制1个、参公编制</w:t>
      </w:r>
      <w:r>
        <w:rPr>
          <w:rFonts w:hint="eastAsia" w:ascii="仿宋_GB2312" w:eastAsia="仿宋_GB2312" w:cs="仿宋_GB2312"/>
          <w:kern w:val="2"/>
          <w:sz w:val="32"/>
          <w:szCs w:val="32"/>
          <w:lang w:val="en-US" w:eastAsia="zh-CN" w:bidi="ar-SA"/>
        </w:rPr>
        <w:t>8个、</w:t>
      </w:r>
      <w:r>
        <w:rPr>
          <w:rFonts w:hint="eastAsia" w:ascii="仿宋_GB2312" w:eastAsia="仿宋_GB2312" w:cs="仿宋_GB2312"/>
          <w:kern w:val="2"/>
          <w:sz w:val="32"/>
          <w:szCs w:val="32"/>
          <w:lang w:val="zh-CN" w:eastAsia="zh-CN" w:bidi="ar-SA"/>
        </w:rPr>
        <w:t>事业编制</w:t>
      </w:r>
      <w:r>
        <w:rPr>
          <w:rFonts w:hint="eastAsia" w:ascii="仿宋_GB2312" w:eastAsia="仿宋_GB2312" w:cs="仿宋_GB2312"/>
          <w:kern w:val="2"/>
          <w:sz w:val="32"/>
          <w:szCs w:val="32"/>
          <w:lang w:val="en-US" w:eastAsia="zh-CN" w:bidi="ar-SA"/>
        </w:rPr>
        <w:t>3个</w:t>
      </w:r>
      <w:r>
        <w:rPr>
          <w:rFonts w:hint="eastAsia" w:ascii="仿宋_GB2312" w:eastAsia="仿宋_GB2312" w:cs="仿宋_GB2312"/>
          <w:kern w:val="2"/>
          <w:sz w:val="32"/>
          <w:szCs w:val="32"/>
          <w:lang w:val="zh-CN" w:eastAsia="zh-CN" w:bidi="ar-SA"/>
        </w:rPr>
        <w:t>。截止20</w:t>
      </w:r>
      <w:r>
        <w:rPr>
          <w:rFonts w:hint="eastAsia" w:ascii="仿宋_GB2312" w:eastAsia="仿宋_GB2312" w:cs="仿宋_GB2312"/>
          <w:kern w:val="2"/>
          <w:sz w:val="32"/>
          <w:szCs w:val="32"/>
          <w:lang w:val="en-US" w:eastAsia="zh-CN" w:bidi="ar-SA"/>
        </w:rPr>
        <w:t>24</w:t>
      </w:r>
      <w:r>
        <w:rPr>
          <w:rFonts w:hint="eastAsia" w:ascii="仿宋_GB2312" w:eastAsia="仿宋_GB2312" w:cs="仿宋_GB2312"/>
          <w:kern w:val="2"/>
          <w:sz w:val="32"/>
          <w:szCs w:val="32"/>
          <w:lang w:val="zh-CN" w:eastAsia="zh-CN" w:bidi="ar-SA"/>
        </w:rPr>
        <w:t>年末，单位实有人数</w:t>
      </w:r>
      <w:r>
        <w:rPr>
          <w:rFonts w:hint="eastAsia" w:ascii="仿宋_GB2312" w:eastAsia="仿宋_GB2312" w:cs="仿宋_GB2312"/>
          <w:kern w:val="2"/>
          <w:sz w:val="32"/>
          <w:szCs w:val="32"/>
          <w:lang w:val="en-US" w:eastAsia="zh-CN" w:bidi="ar-SA"/>
        </w:rPr>
        <w:t>14</w:t>
      </w:r>
      <w:r>
        <w:rPr>
          <w:rFonts w:hint="eastAsia" w:ascii="仿宋_GB2312" w:eastAsia="仿宋_GB2312" w:cs="仿宋_GB2312"/>
          <w:kern w:val="2"/>
          <w:sz w:val="32"/>
          <w:szCs w:val="32"/>
          <w:lang w:val="zh-CN" w:eastAsia="zh-CN" w:bidi="ar-SA"/>
        </w:rPr>
        <w:t>人。</w:t>
      </w:r>
    </w:p>
    <w:p w14:paraId="331AEC07">
      <w:pPr>
        <w:spacing w:line="600" w:lineRule="exact"/>
        <w:ind w:firstLine="640" w:firstLineChars="200"/>
        <w:rPr>
          <w:rFonts w:ascii="黑体" w:eastAsia="黑体" w:cs="Times New Roman"/>
          <w:b w:val="0"/>
          <w:bCs/>
          <w:color w:val="000000"/>
          <w:kern w:val="2"/>
          <w:sz w:val="32"/>
          <w:szCs w:val="32"/>
          <w:lang w:val="zh-CN" w:eastAsia="zh-CN" w:bidi="ar-SA"/>
        </w:rPr>
      </w:pPr>
      <w:r>
        <w:rPr>
          <w:rFonts w:ascii="黑体" w:eastAsia="黑体" w:cs="Times New Roman"/>
          <w:b w:val="0"/>
          <w:bCs/>
          <w:color w:val="000000"/>
          <w:kern w:val="2"/>
          <w:sz w:val="32"/>
          <w:szCs w:val="32"/>
          <w:lang w:val="zh-CN" w:eastAsia="zh-CN" w:bidi="ar-SA"/>
        </w:rPr>
        <w:t>二、部门资金收支情况</w:t>
      </w:r>
    </w:p>
    <w:p w14:paraId="3B4FDDB1">
      <w:pPr>
        <w:spacing w:line="600" w:lineRule="exact"/>
        <w:ind w:firstLine="643" w:firstLineChars="200"/>
        <w:outlineLvl w:val="2"/>
        <w:rPr>
          <w:rFonts w:ascii="楷体" w:eastAsia="楷体" w:cs="楷体"/>
          <w:b/>
          <w:bCs/>
          <w:color w:val="000000"/>
          <w:kern w:val="2"/>
          <w:sz w:val="32"/>
          <w:szCs w:val="32"/>
          <w:lang w:val="zh-CN" w:eastAsia="zh-CN" w:bidi="ar-SA"/>
        </w:rPr>
      </w:pPr>
      <w:r>
        <w:rPr>
          <w:rFonts w:ascii="楷体" w:eastAsia="楷体" w:cs="楷体"/>
          <w:b/>
          <w:bCs/>
          <w:color w:val="000000"/>
          <w:kern w:val="2"/>
          <w:sz w:val="32"/>
          <w:szCs w:val="32"/>
          <w:lang w:val="zh-CN" w:eastAsia="zh-CN" w:bidi="ar-SA"/>
        </w:rPr>
        <w:t>（一）</w:t>
      </w:r>
      <w:r>
        <w:rPr>
          <w:rFonts w:hint="eastAsia" w:ascii="楷体" w:eastAsia="楷体" w:cs="楷体"/>
          <w:b/>
          <w:bCs/>
          <w:color w:val="000000"/>
          <w:kern w:val="2"/>
          <w:sz w:val="32"/>
          <w:szCs w:val="32"/>
          <w:lang w:val="zh-CN" w:eastAsia="zh-CN" w:bidi="ar-SA"/>
        </w:rPr>
        <w:t>收入情况</w:t>
      </w:r>
      <w:r>
        <w:rPr>
          <w:rFonts w:ascii="楷体" w:eastAsia="楷体" w:cs="楷体"/>
          <w:b/>
          <w:bCs/>
          <w:color w:val="000000"/>
          <w:kern w:val="2"/>
          <w:sz w:val="32"/>
          <w:szCs w:val="32"/>
          <w:lang w:val="zh-CN" w:eastAsia="zh-CN" w:bidi="ar-SA"/>
        </w:rPr>
        <w:t>。</w:t>
      </w:r>
    </w:p>
    <w:p w14:paraId="68E46087">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zh-CN" w:eastAsia="zh-CN" w:bidi="ar-SA"/>
        </w:rPr>
        <w:t>金川县委编办202</w:t>
      </w:r>
      <w:r>
        <w:rPr>
          <w:rFonts w:hint="eastAsia" w:ascii="仿宋_GB2312" w:eastAsia="仿宋_GB2312" w:cs="仿宋_GB2312"/>
          <w:kern w:val="2"/>
          <w:sz w:val="32"/>
          <w:szCs w:val="32"/>
          <w:lang w:val="en-US" w:eastAsia="zh-CN" w:bidi="ar-SA"/>
        </w:rPr>
        <w:t>4</w:t>
      </w:r>
      <w:r>
        <w:rPr>
          <w:rFonts w:hint="eastAsia" w:ascii="仿宋_GB2312" w:eastAsia="仿宋_GB2312" w:cs="仿宋_GB2312"/>
          <w:kern w:val="2"/>
          <w:sz w:val="32"/>
          <w:szCs w:val="32"/>
          <w:lang w:val="zh-CN" w:eastAsia="zh-CN" w:bidi="ar-SA"/>
        </w:rPr>
        <w:t>年度财政拨款收入</w:t>
      </w:r>
      <w:r>
        <w:rPr>
          <w:rFonts w:hint="eastAsia" w:ascii="仿宋_GB2312" w:eastAsia="仿宋_GB2312" w:cs="仿宋_GB2312"/>
          <w:kern w:val="2"/>
          <w:sz w:val="32"/>
          <w:szCs w:val="32"/>
          <w:lang w:val="en-US" w:eastAsia="zh-CN" w:bidi="ar-SA"/>
        </w:rPr>
        <w:t>278.47</w:t>
      </w:r>
      <w:r>
        <w:rPr>
          <w:rFonts w:hint="eastAsia" w:ascii="仿宋_GB2312" w:eastAsia="仿宋_GB2312" w:cs="仿宋_GB2312"/>
          <w:kern w:val="2"/>
          <w:sz w:val="32"/>
          <w:szCs w:val="32"/>
          <w:lang w:val="zh-CN" w:eastAsia="zh-CN" w:bidi="ar-SA"/>
        </w:rPr>
        <w:t>万元，上年结转0万元，当年财政拨款收入</w:t>
      </w:r>
      <w:r>
        <w:rPr>
          <w:rFonts w:hint="eastAsia" w:ascii="仿宋_GB2312" w:eastAsia="仿宋_GB2312" w:cs="仿宋_GB2312"/>
          <w:kern w:val="2"/>
          <w:sz w:val="32"/>
          <w:szCs w:val="32"/>
          <w:lang w:val="en-US" w:eastAsia="zh-CN" w:bidi="ar-SA"/>
        </w:rPr>
        <w:t>278.47</w:t>
      </w:r>
      <w:r>
        <w:rPr>
          <w:rFonts w:hint="eastAsia" w:ascii="仿宋_GB2312" w:eastAsia="仿宋_GB2312" w:cs="仿宋_GB2312"/>
          <w:kern w:val="2"/>
          <w:sz w:val="32"/>
          <w:szCs w:val="32"/>
          <w:lang w:val="zh-CN" w:eastAsia="zh-CN" w:bidi="ar-SA"/>
        </w:rPr>
        <w:t xml:space="preserve">万元，其他收入 0万元，上年结转收入 </w:t>
      </w:r>
      <w:r>
        <w:rPr>
          <w:rFonts w:hint="eastAsia" w:ascii="仿宋_GB2312" w:eastAsia="仿宋_GB2312" w:cs="仿宋_GB2312"/>
          <w:kern w:val="2"/>
          <w:sz w:val="32"/>
          <w:szCs w:val="32"/>
          <w:lang w:val="en-US" w:eastAsia="zh-CN" w:bidi="ar-SA"/>
        </w:rPr>
        <w:t>0</w:t>
      </w:r>
      <w:r>
        <w:rPr>
          <w:rFonts w:hint="eastAsia" w:ascii="仿宋_GB2312" w:eastAsia="仿宋_GB2312" w:cs="仿宋_GB2312"/>
          <w:kern w:val="2"/>
          <w:sz w:val="32"/>
          <w:szCs w:val="32"/>
          <w:lang w:val="zh-CN" w:eastAsia="zh-CN" w:bidi="ar-SA"/>
        </w:rPr>
        <w:t>万元。相应安排支出预算</w:t>
      </w:r>
      <w:r>
        <w:rPr>
          <w:rFonts w:hint="eastAsia" w:ascii="仿宋_GB2312" w:eastAsia="仿宋_GB2312" w:cs="仿宋_GB2312"/>
          <w:kern w:val="2"/>
          <w:sz w:val="32"/>
          <w:szCs w:val="32"/>
          <w:lang w:val="en-US" w:eastAsia="zh-CN" w:bidi="ar-SA"/>
        </w:rPr>
        <w:t>278.47</w:t>
      </w:r>
      <w:r>
        <w:rPr>
          <w:rFonts w:hint="eastAsia" w:ascii="仿宋_GB2312" w:eastAsia="仿宋_GB2312" w:cs="仿宋_GB2312"/>
          <w:kern w:val="2"/>
          <w:sz w:val="32"/>
          <w:szCs w:val="32"/>
          <w:lang w:val="zh-CN" w:eastAsia="zh-CN" w:bidi="ar-SA"/>
        </w:rPr>
        <w:t xml:space="preserve">万元。 </w:t>
      </w:r>
    </w:p>
    <w:p w14:paraId="59D993F6">
      <w:pPr>
        <w:spacing w:line="600" w:lineRule="exact"/>
        <w:ind w:firstLine="643" w:firstLineChars="200"/>
        <w:outlineLvl w:val="2"/>
        <w:rPr>
          <w:rFonts w:ascii="楷体" w:eastAsia="楷体" w:cs="楷体"/>
          <w:b/>
          <w:bCs/>
          <w:color w:val="000000"/>
          <w:kern w:val="2"/>
          <w:sz w:val="32"/>
          <w:szCs w:val="32"/>
          <w:lang w:val="zh-CN" w:eastAsia="zh-CN" w:bidi="ar-SA"/>
        </w:rPr>
      </w:pPr>
      <w:r>
        <w:rPr>
          <w:rFonts w:hint="eastAsia" w:ascii="楷体" w:eastAsia="楷体" w:cs="楷体"/>
          <w:b/>
          <w:bCs/>
          <w:color w:val="000000"/>
          <w:kern w:val="2"/>
          <w:sz w:val="32"/>
          <w:szCs w:val="32"/>
          <w:lang w:val="zh-CN" w:eastAsia="zh-CN" w:bidi="ar-SA"/>
        </w:rPr>
        <w:t>（二）支出情况</w:t>
      </w:r>
      <w:r>
        <w:rPr>
          <w:rFonts w:ascii="楷体" w:eastAsia="楷体" w:cs="楷体"/>
          <w:b/>
          <w:bCs/>
          <w:color w:val="000000"/>
          <w:kern w:val="2"/>
          <w:sz w:val="32"/>
          <w:szCs w:val="32"/>
          <w:lang w:val="zh-CN" w:eastAsia="zh-CN" w:bidi="ar-SA"/>
        </w:rPr>
        <w:t>。</w:t>
      </w:r>
    </w:p>
    <w:p w14:paraId="172538EE">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zh-CN" w:eastAsia="zh-CN" w:bidi="ar-SA"/>
        </w:rPr>
        <w:t>金川县委编办</w:t>
      </w:r>
      <w:r>
        <w:rPr>
          <w:rFonts w:hint="eastAsia" w:ascii="仿宋_GB2312" w:eastAsia="仿宋_GB2312" w:cs="仿宋_GB2312"/>
          <w:kern w:val="2"/>
          <w:sz w:val="32"/>
          <w:szCs w:val="32"/>
          <w:lang w:val="en-US" w:eastAsia="zh-CN" w:bidi="ar-SA"/>
        </w:rPr>
        <w:t>2024年一般公共预算财政拨款基本支出278.47万元，其中：</w:t>
      </w:r>
    </w:p>
    <w:p w14:paraId="7861DE1F">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zh-CN" w:eastAsia="zh-CN" w:bidi="ar-SA"/>
        </w:rPr>
        <w:t>人员经费</w:t>
      </w:r>
      <w:r>
        <w:rPr>
          <w:rFonts w:hint="eastAsia" w:ascii="仿宋_GB2312" w:eastAsia="仿宋_GB2312" w:cs="仿宋_GB2312"/>
          <w:kern w:val="2"/>
          <w:sz w:val="32"/>
          <w:szCs w:val="32"/>
          <w:lang w:val="en-US" w:eastAsia="zh-CN" w:bidi="ar-SA"/>
        </w:rPr>
        <w:t>247.4</w:t>
      </w:r>
      <w:r>
        <w:rPr>
          <w:rFonts w:hint="eastAsia" w:ascii="仿宋_GB2312" w:eastAsia="仿宋_GB2312" w:cs="仿宋_GB2312"/>
          <w:kern w:val="2"/>
          <w:sz w:val="32"/>
          <w:szCs w:val="32"/>
          <w:lang w:val="zh-CN" w:eastAsia="zh-CN" w:bidi="ar-SA"/>
        </w:rPr>
        <w:t>万元，主要包括：基本工资</w:t>
      </w:r>
      <w:r>
        <w:rPr>
          <w:rFonts w:hint="eastAsia" w:ascii="仿宋_GB2312" w:eastAsia="仿宋_GB2312" w:cs="仿宋_GB2312"/>
          <w:kern w:val="2"/>
          <w:sz w:val="32"/>
          <w:szCs w:val="32"/>
          <w:lang w:val="en-US" w:eastAsia="zh-CN" w:bidi="ar-SA"/>
        </w:rPr>
        <w:t>46.96万元</w:t>
      </w:r>
      <w:r>
        <w:rPr>
          <w:rFonts w:hint="eastAsia" w:ascii="仿宋_GB2312" w:eastAsia="仿宋_GB2312" w:cs="仿宋_GB2312"/>
          <w:kern w:val="2"/>
          <w:sz w:val="32"/>
          <w:szCs w:val="32"/>
          <w:lang w:val="zh-CN" w:eastAsia="zh-CN" w:bidi="ar-SA"/>
        </w:rPr>
        <w:t>、津贴补贴</w:t>
      </w:r>
      <w:r>
        <w:rPr>
          <w:rFonts w:hint="eastAsia" w:ascii="仿宋_GB2312" w:eastAsia="仿宋_GB2312" w:cs="仿宋_GB2312"/>
          <w:kern w:val="2"/>
          <w:sz w:val="32"/>
          <w:szCs w:val="32"/>
          <w:lang w:val="en-US" w:eastAsia="zh-CN" w:bidi="ar-SA"/>
        </w:rPr>
        <w:t>54.77万元</w:t>
      </w:r>
      <w:r>
        <w:rPr>
          <w:rFonts w:hint="eastAsia" w:ascii="仿宋_GB2312" w:eastAsia="仿宋_GB2312" w:cs="仿宋_GB2312"/>
          <w:kern w:val="2"/>
          <w:sz w:val="32"/>
          <w:szCs w:val="32"/>
          <w:lang w:val="zh-CN" w:eastAsia="zh-CN" w:bidi="ar-SA"/>
        </w:rPr>
        <w:t>、奖金</w:t>
      </w:r>
      <w:r>
        <w:rPr>
          <w:rFonts w:hint="eastAsia" w:ascii="仿宋_GB2312" w:eastAsia="仿宋_GB2312" w:cs="仿宋_GB2312"/>
          <w:kern w:val="2"/>
          <w:sz w:val="32"/>
          <w:szCs w:val="32"/>
          <w:lang w:val="en-US" w:eastAsia="zh-CN" w:bidi="ar-SA"/>
        </w:rPr>
        <w:t>60.96万元</w:t>
      </w:r>
      <w:r>
        <w:rPr>
          <w:rFonts w:hint="eastAsia" w:ascii="仿宋_GB2312" w:eastAsia="仿宋_GB2312" w:cs="仿宋_GB2312"/>
          <w:kern w:val="2"/>
          <w:sz w:val="32"/>
          <w:szCs w:val="32"/>
          <w:lang w:val="zh-CN" w:eastAsia="zh-CN" w:bidi="ar-SA"/>
        </w:rPr>
        <w:t>、伙食补助费</w:t>
      </w:r>
      <w:r>
        <w:rPr>
          <w:rFonts w:hint="eastAsia" w:ascii="仿宋_GB2312" w:eastAsia="仿宋_GB2312" w:cs="仿宋_GB2312"/>
          <w:kern w:val="2"/>
          <w:sz w:val="32"/>
          <w:szCs w:val="32"/>
          <w:lang w:val="en-US" w:eastAsia="zh-CN" w:bidi="ar-SA"/>
        </w:rPr>
        <w:t>0万元</w:t>
      </w:r>
      <w:r>
        <w:rPr>
          <w:rFonts w:hint="eastAsia" w:ascii="仿宋_GB2312" w:eastAsia="仿宋_GB2312" w:cs="仿宋_GB2312"/>
          <w:kern w:val="2"/>
          <w:sz w:val="32"/>
          <w:szCs w:val="32"/>
          <w:lang w:val="zh-CN" w:eastAsia="zh-CN" w:bidi="ar-SA"/>
        </w:rPr>
        <w:t>、绩效工资</w:t>
      </w:r>
      <w:r>
        <w:rPr>
          <w:rFonts w:hint="eastAsia" w:ascii="仿宋_GB2312" w:eastAsia="仿宋_GB2312" w:cs="仿宋_GB2312"/>
          <w:kern w:val="2"/>
          <w:sz w:val="32"/>
          <w:szCs w:val="32"/>
          <w:lang w:val="en-US" w:eastAsia="zh-CN" w:bidi="ar-SA"/>
        </w:rPr>
        <w:t>9.93万元、</w:t>
      </w:r>
      <w:r>
        <w:rPr>
          <w:rFonts w:hint="eastAsia" w:ascii="仿宋_GB2312" w:eastAsia="仿宋_GB2312" w:cs="仿宋_GB2312"/>
          <w:kern w:val="2"/>
          <w:sz w:val="32"/>
          <w:szCs w:val="32"/>
          <w:lang w:val="zh-CN" w:eastAsia="zh-CN" w:bidi="ar-SA"/>
        </w:rPr>
        <w:t>机关事业单位基本养老保险缴费</w:t>
      </w:r>
      <w:r>
        <w:rPr>
          <w:rFonts w:hint="eastAsia" w:ascii="仿宋_GB2312" w:eastAsia="仿宋_GB2312" w:cs="仿宋_GB2312"/>
          <w:kern w:val="2"/>
          <w:sz w:val="32"/>
          <w:szCs w:val="32"/>
          <w:lang w:val="en-US" w:eastAsia="zh-CN" w:bidi="ar-SA"/>
        </w:rPr>
        <w:t>24.34万元</w:t>
      </w:r>
      <w:r>
        <w:rPr>
          <w:rFonts w:hint="eastAsia" w:ascii="仿宋_GB2312" w:eastAsia="仿宋_GB2312" w:cs="仿宋_GB2312"/>
          <w:kern w:val="2"/>
          <w:sz w:val="32"/>
          <w:szCs w:val="32"/>
          <w:lang w:val="zh-CN" w:eastAsia="zh-CN" w:bidi="ar-SA"/>
        </w:rPr>
        <w:t>、职业年金缴费</w:t>
      </w:r>
      <w:r>
        <w:rPr>
          <w:rFonts w:hint="eastAsia" w:ascii="仿宋_GB2312" w:eastAsia="仿宋_GB2312" w:cs="仿宋_GB2312"/>
          <w:kern w:val="2"/>
          <w:sz w:val="32"/>
          <w:szCs w:val="32"/>
          <w:lang w:val="en-US" w:eastAsia="zh-CN" w:bidi="ar-SA"/>
        </w:rPr>
        <w:t>12.17万元</w:t>
      </w:r>
      <w:r>
        <w:rPr>
          <w:rFonts w:hint="eastAsia" w:ascii="仿宋_GB2312" w:eastAsia="仿宋_GB2312" w:cs="仿宋_GB2312"/>
          <w:kern w:val="2"/>
          <w:sz w:val="32"/>
          <w:szCs w:val="32"/>
          <w:lang w:val="zh-CN" w:eastAsia="zh-CN" w:bidi="ar-SA"/>
        </w:rPr>
        <w:t>、生活补助</w:t>
      </w:r>
      <w:r>
        <w:rPr>
          <w:rFonts w:hint="eastAsia" w:ascii="仿宋_GB2312" w:eastAsia="仿宋_GB2312" w:cs="仿宋_GB2312"/>
          <w:kern w:val="2"/>
          <w:sz w:val="32"/>
          <w:szCs w:val="32"/>
          <w:lang w:val="en-US" w:eastAsia="zh-CN" w:bidi="ar-SA"/>
        </w:rPr>
        <w:t>0万元、职工基本医疗保险缴费11.65万元、公务员医疗补助缴费2.23万元、</w:t>
      </w:r>
      <w:r>
        <w:rPr>
          <w:rFonts w:hint="eastAsia" w:ascii="仿宋_GB2312" w:eastAsia="仿宋_GB2312" w:cs="仿宋_GB2312"/>
          <w:kern w:val="2"/>
          <w:sz w:val="32"/>
          <w:szCs w:val="32"/>
          <w:lang w:val="zh-CN" w:eastAsia="zh-CN" w:bidi="ar-SA"/>
        </w:rPr>
        <w:t>其他社会保障缴费</w:t>
      </w:r>
      <w:r>
        <w:rPr>
          <w:rFonts w:hint="eastAsia" w:ascii="仿宋_GB2312" w:eastAsia="仿宋_GB2312" w:cs="仿宋_GB2312"/>
          <w:kern w:val="2"/>
          <w:sz w:val="32"/>
          <w:szCs w:val="32"/>
          <w:lang w:val="en-US" w:eastAsia="zh-CN" w:bidi="ar-SA"/>
        </w:rPr>
        <w:t>3.57万元</w:t>
      </w:r>
      <w:r>
        <w:rPr>
          <w:rFonts w:hint="eastAsia" w:ascii="仿宋_GB2312" w:eastAsia="仿宋_GB2312" w:cs="仿宋_GB2312"/>
          <w:kern w:val="2"/>
          <w:sz w:val="32"/>
          <w:szCs w:val="32"/>
          <w:lang w:val="zh-CN" w:eastAsia="zh-CN" w:bidi="ar-SA"/>
        </w:rPr>
        <w:t>、其他工资福利支出</w:t>
      </w:r>
      <w:r>
        <w:rPr>
          <w:rFonts w:hint="eastAsia" w:ascii="仿宋_GB2312" w:eastAsia="仿宋_GB2312" w:cs="仿宋_GB2312"/>
          <w:kern w:val="2"/>
          <w:sz w:val="32"/>
          <w:szCs w:val="32"/>
          <w:lang w:val="en-US" w:eastAsia="zh-CN" w:bidi="ar-SA"/>
        </w:rPr>
        <w:t>0万元</w:t>
      </w:r>
      <w:r>
        <w:rPr>
          <w:rFonts w:hint="eastAsia" w:ascii="仿宋_GB2312" w:eastAsia="仿宋_GB2312" w:cs="仿宋_GB2312"/>
          <w:kern w:val="2"/>
          <w:sz w:val="32"/>
          <w:szCs w:val="32"/>
          <w:lang w:val="zh-CN" w:eastAsia="zh-CN" w:bidi="ar-SA"/>
        </w:rPr>
        <w:t>、抚恤金</w:t>
      </w:r>
      <w:r>
        <w:rPr>
          <w:rFonts w:hint="eastAsia" w:ascii="仿宋_GB2312" w:eastAsia="仿宋_GB2312" w:cs="仿宋_GB2312"/>
          <w:kern w:val="2"/>
          <w:sz w:val="32"/>
          <w:szCs w:val="32"/>
          <w:lang w:val="en-US" w:eastAsia="zh-CN" w:bidi="ar-SA"/>
        </w:rPr>
        <w:t>0万元、</w:t>
      </w:r>
      <w:r>
        <w:rPr>
          <w:rFonts w:hint="eastAsia" w:ascii="仿宋_GB2312" w:eastAsia="仿宋_GB2312" w:cs="仿宋_GB2312"/>
          <w:kern w:val="2"/>
          <w:sz w:val="32"/>
          <w:szCs w:val="32"/>
          <w:lang w:val="zh-CN" w:eastAsia="zh-CN" w:bidi="ar-SA"/>
        </w:rPr>
        <w:t>住房公积金</w:t>
      </w:r>
      <w:r>
        <w:rPr>
          <w:rFonts w:hint="eastAsia" w:ascii="仿宋_GB2312" w:eastAsia="仿宋_GB2312" w:cs="仿宋_GB2312"/>
          <w:kern w:val="2"/>
          <w:sz w:val="32"/>
          <w:szCs w:val="32"/>
          <w:lang w:val="en-US" w:eastAsia="zh-CN" w:bidi="ar-SA"/>
        </w:rPr>
        <w:t>19.87万元</w:t>
      </w:r>
      <w:r>
        <w:rPr>
          <w:rFonts w:hint="eastAsia" w:ascii="仿宋_GB2312" w:eastAsia="仿宋_GB2312" w:cs="仿宋_GB2312"/>
          <w:kern w:val="2"/>
          <w:sz w:val="32"/>
          <w:szCs w:val="32"/>
          <w:lang w:val="zh-CN" w:eastAsia="zh-CN" w:bidi="ar-SA"/>
        </w:rPr>
        <w:t>、奖励金</w:t>
      </w:r>
      <w:r>
        <w:rPr>
          <w:rFonts w:hint="eastAsia" w:ascii="仿宋_GB2312" w:eastAsia="仿宋_GB2312" w:cs="仿宋_GB2312"/>
          <w:kern w:val="2"/>
          <w:sz w:val="32"/>
          <w:szCs w:val="32"/>
          <w:lang w:val="en-US" w:eastAsia="zh-CN" w:bidi="ar-SA"/>
        </w:rPr>
        <w:t>0.01万元、生活补助0.94万元</w:t>
      </w:r>
      <w:r>
        <w:rPr>
          <w:rFonts w:hint="eastAsia" w:ascii="仿宋_GB2312" w:eastAsia="仿宋_GB2312" w:cs="仿宋_GB2312"/>
          <w:kern w:val="2"/>
          <w:sz w:val="32"/>
          <w:szCs w:val="32"/>
          <w:lang w:val="zh-CN" w:eastAsia="zh-CN" w:bidi="ar-SA"/>
        </w:rPr>
        <w:t>。</w:t>
      </w:r>
    </w:p>
    <w:p w14:paraId="19E315AF">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zh-CN" w:eastAsia="zh-CN" w:bidi="ar-SA"/>
        </w:rPr>
        <w:t>公用经费</w:t>
      </w:r>
      <w:r>
        <w:rPr>
          <w:rFonts w:hint="eastAsia" w:ascii="仿宋_GB2312" w:eastAsia="仿宋_GB2312" w:cs="仿宋_GB2312"/>
          <w:kern w:val="2"/>
          <w:sz w:val="32"/>
          <w:szCs w:val="32"/>
          <w:lang w:val="en-US" w:eastAsia="zh-CN" w:bidi="ar-SA"/>
        </w:rPr>
        <w:t>13.79</w:t>
      </w:r>
      <w:r>
        <w:rPr>
          <w:rFonts w:hint="eastAsia" w:ascii="仿宋_GB2312" w:eastAsia="仿宋_GB2312" w:cs="仿宋_GB2312"/>
          <w:kern w:val="2"/>
          <w:sz w:val="32"/>
          <w:szCs w:val="32"/>
          <w:lang w:val="zh-CN" w:eastAsia="zh-CN" w:bidi="ar-SA"/>
        </w:rPr>
        <w:t>万元，主要包括：办公费</w:t>
      </w:r>
      <w:r>
        <w:rPr>
          <w:rFonts w:hint="eastAsia" w:ascii="仿宋_GB2312" w:eastAsia="仿宋_GB2312" w:cs="仿宋_GB2312"/>
          <w:kern w:val="2"/>
          <w:sz w:val="32"/>
          <w:szCs w:val="32"/>
          <w:lang w:val="en-US" w:eastAsia="zh-CN" w:bidi="ar-SA"/>
        </w:rPr>
        <w:t>4.88万元</w:t>
      </w:r>
      <w:r>
        <w:rPr>
          <w:rFonts w:hint="eastAsia" w:ascii="仿宋_GB2312" w:eastAsia="仿宋_GB2312" w:cs="仿宋_GB2312"/>
          <w:kern w:val="2"/>
          <w:sz w:val="32"/>
          <w:szCs w:val="32"/>
          <w:lang w:val="zh-CN" w:eastAsia="zh-CN" w:bidi="ar-SA"/>
        </w:rPr>
        <w:t>、手续费0万元、印刷费</w:t>
      </w:r>
      <w:r>
        <w:rPr>
          <w:rFonts w:hint="eastAsia" w:ascii="仿宋_GB2312" w:eastAsia="仿宋_GB2312" w:cs="仿宋_GB2312"/>
          <w:kern w:val="2"/>
          <w:sz w:val="32"/>
          <w:szCs w:val="32"/>
          <w:lang w:val="en-US" w:eastAsia="zh-CN" w:bidi="ar-SA"/>
        </w:rPr>
        <w:t>0.3</w:t>
      </w:r>
      <w:r>
        <w:rPr>
          <w:rFonts w:hint="eastAsia" w:ascii="仿宋_GB2312" w:eastAsia="仿宋_GB2312" w:cs="仿宋_GB2312"/>
          <w:kern w:val="2"/>
          <w:sz w:val="32"/>
          <w:szCs w:val="32"/>
          <w:lang w:val="zh-CN" w:eastAsia="zh-CN" w:bidi="ar-SA"/>
        </w:rPr>
        <w:t>万元、水费0.10万元、电费0.30万元、邮电费</w:t>
      </w:r>
      <w:r>
        <w:rPr>
          <w:rFonts w:hint="eastAsia" w:ascii="仿宋_GB2312" w:eastAsia="仿宋_GB2312" w:cs="仿宋_GB2312"/>
          <w:kern w:val="2"/>
          <w:sz w:val="32"/>
          <w:szCs w:val="32"/>
          <w:lang w:val="en-US" w:eastAsia="zh-CN" w:bidi="ar-SA"/>
        </w:rPr>
        <w:t>1</w:t>
      </w:r>
      <w:r>
        <w:rPr>
          <w:rFonts w:hint="eastAsia" w:ascii="仿宋_GB2312" w:eastAsia="仿宋_GB2312" w:cs="仿宋_GB2312"/>
          <w:kern w:val="2"/>
          <w:sz w:val="32"/>
          <w:szCs w:val="32"/>
          <w:lang w:val="zh-CN" w:eastAsia="zh-CN" w:bidi="ar-SA"/>
        </w:rPr>
        <w:t>万元、物业管理费0万元、差旅费</w:t>
      </w:r>
      <w:r>
        <w:rPr>
          <w:rFonts w:hint="eastAsia" w:ascii="仿宋_GB2312" w:eastAsia="仿宋_GB2312" w:cs="仿宋_GB2312"/>
          <w:kern w:val="2"/>
          <w:sz w:val="32"/>
          <w:szCs w:val="32"/>
          <w:lang w:val="en-US" w:eastAsia="zh-CN" w:bidi="ar-SA"/>
        </w:rPr>
        <w:t>3.5</w:t>
      </w:r>
      <w:r>
        <w:rPr>
          <w:rFonts w:hint="eastAsia" w:ascii="仿宋_GB2312" w:eastAsia="仿宋_GB2312" w:cs="仿宋_GB2312"/>
          <w:kern w:val="2"/>
          <w:sz w:val="32"/>
          <w:szCs w:val="32"/>
          <w:lang w:val="zh-CN" w:eastAsia="zh-CN" w:bidi="ar-SA"/>
        </w:rPr>
        <w:t>万元、因公出国（境）费用0万元、维修（护）费0万元、租赁费0万元、会议费0万元、培训费0万元、公务接待费</w:t>
      </w:r>
      <w:r>
        <w:rPr>
          <w:rFonts w:hint="eastAsia" w:ascii="仿宋_GB2312" w:eastAsia="仿宋_GB2312" w:cs="仿宋_GB2312"/>
          <w:kern w:val="2"/>
          <w:sz w:val="32"/>
          <w:szCs w:val="32"/>
          <w:lang w:val="en-US" w:eastAsia="zh-CN" w:bidi="ar-SA"/>
        </w:rPr>
        <w:t>0</w:t>
      </w:r>
      <w:r>
        <w:rPr>
          <w:rFonts w:hint="eastAsia" w:ascii="仿宋_GB2312" w:eastAsia="仿宋_GB2312" w:cs="仿宋_GB2312"/>
          <w:kern w:val="2"/>
          <w:sz w:val="32"/>
          <w:szCs w:val="32"/>
          <w:lang w:val="zh-CN" w:eastAsia="zh-CN" w:bidi="ar-SA"/>
        </w:rPr>
        <w:t>万元、福利费</w:t>
      </w:r>
      <w:r>
        <w:rPr>
          <w:rFonts w:hint="eastAsia" w:ascii="仿宋_GB2312" w:eastAsia="仿宋_GB2312" w:cs="仿宋_GB2312"/>
          <w:kern w:val="2"/>
          <w:sz w:val="32"/>
          <w:szCs w:val="32"/>
          <w:lang w:val="en-US" w:eastAsia="zh-CN" w:bidi="ar-SA"/>
        </w:rPr>
        <w:t>0.72</w:t>
      </w:r>
      <w:r>
        <w:rPr>
          <w:rFonts w:hint="eastAsia" w:ascii="仿宋_GB2312" w:eastAsia="仿宋_GB2312" w:cs="仿宋_GB2312"/>
          <w:kern w:val="2"/>
          <w:sz w:val="32"/>
          <w:szCs w:val="32"/>
          <w:lang w:val="zh-CN" w:eastAsia="zh-CN" w:bidi="ar-SA"/>
        </w:rPr>
        <w:t>万元、公务用车运行维护费0万元、其他交通费用</w:t>
      </w:r>
      <w:r>
        <w:rPr>
          <w:rFonts w:hint="eastAsia" w:ascii="仿宋_GB2312" w:eastAsia="仿宋_GB2312" w:cs="仿宋_GB2312"/>
          <w:kern w:val="2"/>
          <w:sz w:val="32"/>
          <w:szCs w:val="32"/>
          <w:lang w:val="en-US" w:eastAsia="zh-CN" w:bidi="ar-SA"/>
        </w:rPr>
        <w:t>3</w:t>
      </w:r>
      <w:r>
        <w:rPr>
          <w:rFonts w:hint="eastAsia" w:ascii="仿宋_GB2312" w:eastAsia="仿宋_GB2312" w:cs="仿宋_GB2312"/>
          <w:kern w:val="2"/>
          <w:sz w:val="32"/>
          <w:szCs w:val="32"/>
          <w:lang w:val="zh-CN" w:eastAsia="zh-CN" w:bidi="ar-SA"/>
        </w:rPr>
        <w:t>万元、其他商品和服务支出0万元、办公设备购置</w:t>
      </w:r>
      <w:r>
        <w:rPr>
          <w:rFonts w:hint="eastAsia" w:ascii="仿宋_GB2312" w:eastAsia="仿宋_GB2312" w:cs="仿宋_GB2312"/>
          <w:kern w:val="2"/>
          <w:sz w:val="32"/>
          <w:szCs w:val="32"/>
          <w:lang w:val="en-US" w:eastAsia="zh-CN" w:bidi="ar-SA"/>
        </w:rPr>
        <w:t>0</w:t>
      </w:r>
      <w:r>
        <w:rPr>
          <w:rFonts w:hint="eastAsia" w:ascii="仿宋_GB2312" w:eastAsia="仿宋_GB2312" w:cs="仿宋_GB2312"/>
          <w:kern w:val="2"/>
          <w:sz w:val="32"/>
          <w:szCs w:val="32"/>
          <w:lang w:val="zh-CN" w:eastAsia="zh-CN" w:bidi="ar-SA"/>
        </w:rPr>
        <w:t>万元、无形资产购置0万元等。</w:t>
      </w:r>
    </w:p>
    <w:p w14:paraId="474180B4">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zh-CN" w:eastAsia="zh-CN" w:bidi="ar-SA"/>
        </w:rPr>
        <w:t>项目支出</w:t>
      </w:r>
      <w:r>
        <w:rPr>
          <w:rFonts w:hint="eastAsia" w:ascii="仿宋_GB2312" w:eastAsia="仿宋_GB2312" w:cs="仿宋_GB2312"/>
          <w:kern w:val="2"/>
          <w:sz w:val="32"/>
          <w:szCs w:val="32"/>
          <w:lang w:val="en-US" w:eastAsia="zh-CN" w:bidi="ar-SA"/>
        </w:rPr>
        <w:t>17.28元，</w:t>
      </w:r>
      <w:r>
        <w:rPr>
          <w:rFonts w:hint="eastAsia" w:ascii="仿宋_GB2312" w:eastAsia="仿宋_GB2312" w:cs="仿宋_GB2312"/>
          <w:kern w:val="2"/>
          <w:sz w:val="32"/>
          <w:szCs w:val="32"/>
          <w:lang w:val="zh-CN" w:eastAsia="zh-CN" w:bidi="ar-SA"/>
        </w:rPr>
        <w:t>主要包括：维修（护）费</w:t>
      </w:r>
      <w:r>
        <w:rPr>
          <w:rFonts w:hint="eastAsia" w:ascii="仿宋_GB2312" w:eastAsia="仿宋_GB2312" w:cs="仿宋_GB2312"/>
          <w:kern w:val="2"/>
          <w:sz w:val="32"/>
          <w:szCs w:val="32"/>
          <w:lang w:val="en-US" w:eastAsia="zh-CN" w:bidi="ar-SA"/>
        </w:rPr>
        <w:t>17.28</w:t>
      </w:r>
      <w:r>
        <w:rPr>
          <w:rFonts w:hint="eastAsia" w:ascii="仿宋_GB2312" w:eastAsia="仿宋_GB2312" w:cs="仿宋_GB2312"/>
          <w:kern w:val="2"/>
          <w:sz w:val="32"/>
          <w:szCs w:val="32"/>
          <w:lang w:val="zh-CN" w:eastAsia="zh-CN" w:bidi="ar-SA"/>
        </w:rPr>
        <w:t>万元。</w:t>
      </w:r>
    </w:p>
    <w:p w14:paraId="3F81129F">
      <w:pPr>
        <w:ind w:firstLine="643" w:firstLineChars="200"/>
        <w:rPr>
          <w:rFonts w:ascii="仿宋_GB2312" w:eastAsia="仿宋_GB2312" w:cs="仿宋_GB2312"/>
          <w:kern w:val="2"/>
          <w:sz w:val="32"/>
          <w:szCs w:val="32"/>
          <w:lang w:val="zh-CN" w:eastAsia="zh-CN" w:bidi="ar-SA"/>
        </w:rPr>
      </w:pPr>
      <w:r>
        <w:rPr>
          <w:rFonts w:ascii="楷体" w:eastAsia="楷体" w:cs="楷体"/>
          <w:b/>
          <w:bCs/>
          <w:color w:val="000000"/>
          <w:kern w:val="2"/>
          <w:sz w:val="32"/>
          <w:szCs w:val="32"/>
          <w:lang w:val="zh-CN" w:eastAsia="zh-CN" w:bidi="ar-SA"/>
        </w:rPr>
        <w:t>（</w:t>
      </w:r>
      <w:r>
        <w:rPr>
          <w:rFonts w:hint="eastAsia" w:ascii="楷体" w:eastAsia="楷体" w:cs="楷体"/>
          <w:b/>
          <w:bCs/>
          <w:color w:val="000000"/>
          <w:kern w:val="2"/>
          <w:sz w:val="32"/>
          <w:szCs w:val="32"/>
          <w:lang w:val="zh-CN" w:eastAsia="zh-CN" w:bidi="ar-SA"/>
        </w:rPr>
        <w:t>三</w:t>
      </w:r>
      <w:r>
        <w:rPr>
          <w:rFonts w:ascii="楷体" w:eastAsia="楷体" w:cs="楷体"/>
          <w:b/>
          <w:bCs/>
          <w:color w:val="000000"/>
          <w:kern w:val="2"/>
          <w:sz w:val="32"/>
          <w:szCs w:val="32"/>
          <w:lang w:val="zh-CN" w:eastAsia="zh-CN" w:bidi="ar-SA"/>
        </w:rPr>
        <w:t>）结余分配和结转结余情况</w:t>
      </w:r>
      <w:r>
        <w:rPr>
          <w:rFonts w:hint="eastAsia" w:ascii="楷体" w:eastAsia="楷体" w:cs="楷体"/>
          <w:b/>
          <w:bCs/>
          <w:color w:val="000000"/>
          <w:kern w:val="2"/>
          <w:sz w:val="32"/>
          <w:szCs w:val="32"/>
          <w:lang w:val="zh-CN" w:eastAsia="zh-CN" w:bidi="ar-SA"/>
        </w:rPr>
        <w:t>。</w:t>
      </w:r>
      <w:r>
        <w:rPr>
          <w:rFonts w:hint="eastAsia" w:ascii="仿宋_GB2312" w:eastAsia="仿宋_GB2312" w:cs="仿宋_GB2312"/>
          <w:kern w:val="2"/>
          <w:sz w:val="32"/>
          <w:szCs w:val="32"/>
          <w:lang w:val="zh-CN" w:eastAsia="zh-CN" w:bidi="ar-SA"/>
        </w:rPr>
        <w:t>金川县委编办</w:t>
      </w:r>
      <w:r>
        <w:rPr>
          <w:rFonts w:hint="eastAsia" w:ascii="仿宋_GB2312" w:eastAsia="仿宋_GB2312" w:cs="仿宋_GB2312"/>
          <w:kern w:val="2"/>
          <w:sz w:val="32"/>
          <w:szCs w:val="32"/>
          <w:lang w:val="en-US" w:eastAsia="zh-CN" w:bidi="ar-SA"/>
        </w:rPr>
        <w:t>2024年决算报表无</w:t>
      </w:r>
      <w:r>
        <w:rPr>
          <w:rFonts w:ascii="仿宋_GB2312" w:eastAsia="仿宋_GB2312" w:cs="仿宋_GB2312"/>
          <w:kern w:val="2"/>
          <w:sz w:val="32"/>
          <w:szCs w:val="32"/>
          <w:lang w:val="en-US" w:eastAsia="zh-CN" w:bidi="ar-SA"/>
        </w:rPr>
        <w:t>结转结余</w:t>
      </w:r>
      <w:r>
        <w:rPr>
          <w:rFonts w:hint="eastAsia" w:ascii="仿宋_GB2312" w:eastAsia="仿宋_GB2312" w:cs="仿宋_GB2312"/>
          <w:kern w:val="2"/>
          <w:sz w:val="32"/>
          <w:szCs w:val="32"/>
          <w:lang w:val="en-US" w:eastAsia="zh-CN" w:bidi="ar-SA"/>
        </w:rPr>
        <w:t>情况</w:t>
      </w:r>
      <w:r>
        <w:rPr>
          <w:rFonts w:ascii="仿宋_GB2312" w:eastAsia="仿宋_GB2312" w:cs="仿宋_GB2312"/>
          <w:kern w:val="2"/>
          <w:sz w:val="32"/>
          <w:szCs w:val="32"/>
          <w:lang w:val="en-US" w:eastAsia="zh-CN" w:bidi="ar-SA"/>
        </w:rPr>
        <w:t>。</w:t>
      </w:r>
    </w:p>
    <w:p w14:paraId="038C7683">
      <w:pPr>
        <w:spacing w:line="600" w:lineRule="exact"/>
        <w:ind w:firstLine="640" w:firstLineChars="200"/>
        <w:rPr>
          <w:rFonts w:ascii="黑体" w:eastAsia="黑体" w:cs="Times New Roman"/>
          <w:b w:val="0"/>
          <w:bCs/>
          <w:color w:val="000000"/>
          <w:kern w:val="2"/>
          <w:sz w:val="32"/>
          <w:szCs w:val="32"/>
          <w:lang w:val="zh-CN" w:eastAsia="zh-CN" w:bidi="ar-SA"/>
        </w:rPr>
      </w:pPr>
      <w:r>
        <w:rPr>
          <w:rFonts w:ascii="黑体" w:eastAsia="黑体" w:cs="Times New Roman"/>
          <w:b w:val="0"/>
          <w:bCs/>
          <w:color w:val="000000"/>
          <w:kern w:val="2"/>
          <w:sz w:val="32"/>
          <w:szCs w:val="32"/>
          <w:lang w:val="zh-CN" w:eastAsia="zh-CN" w:bidi="ar-SA"/>
        </w:rPr>
        <w:t>三、部门预算绩效分析</w:t>
      </w:r>
    </w:p>
    <w:p w14:paraId="1A9EEC32">
      <w:pPr>
        <w:ind w:firstLine="643" w:firstLineChars="200"/>
        <w:rPr>
          <w:rFonts w:ascii="仿宋_GB2312" w:eastAsia="仿宋_GB2312" w:cs="仿宋_GB2312"/>
          <w:kern w:val="2"/>
          <w:sz w:val="32"/>
          <w:szCs w:val="32"/>
          <w:lang w:val="zh-CN" w:eastAsia="zh-CN" w:bidi="ar-SA"/>
        </w:rPr>
      </w:pPr>
      <w:r>
        <w:rPr>
          <w:rFonts w:ascii="楷体" w:eastAsia="楷体" w:cs="楷体"/>
          <w:b/>
          <w:bCs/>
          <w:color w:val="000000"/>
          <w:kern w:val="2"/>
          <w:sz w:val="32"/>
          <w:szCs w:val="32"/>
          <w:lang w:val="zh-CN" w:eastAsia="zh-CN" w:bidi="ar-SA"/>
        </w:rPr>
        <w:t>（一）</w:t>
      </w:r>
      <w:r>
        <w:rPr>
          <w:rFonts w:hint="eastAsia" w:ascii="楷体" w:eastAsia="楷体" w:cs="楷体"/>
          <w:b/>
          <w:bCs/>
          <w:color w:val="000000"/>
          <w:kern w:val="2"/>
          <w:sz w:val="32"/>
          <w:szCs w:val="32"/>
          <w:lang w:val="zh-CN" w:eastAsia="zh-CN" w:bidi="ar-SA"/>
        </w:rPr>
        <w:t>部门预算</w:t>
      </w:r>
      <w:r>
        <w:rPr>
          <w:rFonts w:ascii="楷体" w:eastAsia="楷体" w:cs="楷体"/>
          <w:b/>
          <w:bCs/>
          <w:color w:val="000000"/>
          <w:kern w:val="2"/>
          <w:sz w:val="32"/>
          <w:szCs w:val="32"/>
          <w:lang w:val="zh-CN" w:eastAsia="zh-CN" w:bidi="ar-SA"/>
        </w:rPr>
        <w:t>总体绩效分析。</w:t>
      </w:r>
      <w:r>
        <w:rPr>
          <w:rFonts w:ascii="仿宋_GB2312" w:eastAsia="仿宋_GB2312" w:cs="仿宋_GB2312"/>
          <w:kern w:val="2"/>
          <w:sz w:val="32"/>
          <w:szCs w:val="32"/>
          <w:lang w:val="zh-CN" w:eastAsia="zh-CN" w:bidi="ar-SA"/>
        </w:rPr>
        <w:t>根据部门预算绩效评价指标体系“总体绩效”涉及</w:t>
      </w:r>
      <w:r>
        <w:rPr>
          <w:rFonts w:hint="eastAsia" w:ascii="仿宋_GB2312" w:eastAsia="仿宋_GB2312" w:cs="仿宋_GB2312"/>
          <w:kern w:val="2"/>
          <w:sz w:val="32"/>
          <w:szCs w:val="32"/>
          <w:lang w:val="zh-CN" w:eastAsia="zh-CN" w:bidi="ar-SA"/>
        </w:rPr>
        <w:t>二、三级</w:t>
      </w:r>
      <w:r>
        <w:rPr>
          <w:rFonts w:ascii="仿宋_GB2312" w:eastAsia="仿宋_GB2312" w:cs="仿宋_GB2312"/>
          <w:kern w:val="2"/>
          <w:sz w:val="32"/>
          <w:szCs w:val="32"/>
          <w:lang w:val="zh-CN" w:eastAsia="zh-CN" w:bidi="ar-SA"/>
        </w:rPr>
        <w:t>指标进行</w:t>
      </w:r>
      <w:r>
        <w:rPr>
          <w:rFonts w:hint="eastAsia" w:ascii="仿宋_GB2312" w:eastAsia="仿宋_GB2312" w:cs="仿宋_GB2312"/>
          <w:kern w:val="2"/>
          <w:sz w:val="32"/>
          <w:szCs w:val="32"/>
          <w:lang w:val="zh-CN" w:eastAsia="zh-CN" w:bidi="ar-SA"/>
        </w:rPr>
        <w:t>逐项</w:t>
      </w:r>
      <w:r>
        <w:rPr>
          <w:rFonts w:ascii="仿宋_GB2312" w:eastAsia="仿宋_GB2312" w:cs="仿宋_GB2312"/>
          <w:kern w:val="2"/>
          <w:sz w:val="32"/>
          <w:szCs w:val="32"/>
          <w:lang w:val="zh-CN" w:eastAsia="zh-CN" w:bidi="ar-SA"/>
        </w:rPr>
        <w:t>绩效分析</w:t>
      </w:r>
      <w:r>
        <w:rPr>
          <w:rFonts w:hint="eastAsia" w:ascii="仿宋_GB2312" w:eastAsia="仿宋_GB2312" w:cs="仿宋_GB2312"/>
          <w:kern w:val="2"/>
          <w:sz w:val="32"/>
          <w:szCs w:val="32"/>
          <w:lang w:val="zh-CN" w:eastAsia="zh-CN" w:bidi="ar-SA"/>
        </w:rPr>
        <w:t>并评分</w:t>
      </w:r>
      <w:r>
        <w:rPr>
          <w:rFonts w:ascii="仿宋_GB2312" w:eastAsia="仿宋_GB2312" w:cs="仿宋_GB2312"/>
          <w:kern w:val="2"/>
          <w:sz w:val="32"/>
          <w:szCs w:val="32"/>
          <w:lang w:val="zh-CN" w:eastAsia="zh-CN" w:bidi="ar-SA"/>
        </w:rPr>
        <w:t>，依次包括履职效能、预算管理、财务管理、资产管理、采购管理等情况。</w:t>
      </w:r>
    </w:p>
    <w:p w14:paraId="75677281">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en-US" w:eastAsia="zh-CN" w:bidi="ar-SA"/>
        </w:rPr>
        <w:t>1.</w:t>
      </w:r>
      <w:r>
        <w:rPr>
          <w:rFonts w:hint="eastAsia" w:ascii="仿宋_GB2312" w:eastAsia="仿宋_GB2312" w:cs="仿宋_GB2312"/>
          <w:kern w:val="2"/>
          <w:sz w:val="32"/>
          <w:szCs w:val="32"/>
          <w:lang w:val="zh-CN" w:eastAsia="zh-CN" w:bidi="ar-SA"/>
        </w:rPr>
        <w:t>履职效能。一是完成了及机构编制管理工作，实名制系统维护等机构编制工作任务，二是完成了全县事业单位登记和年检、事业单位年度报告公示工作；三是准确及时支付人员经费、缴纳各类保险、公务费等工作。综合自评得分</w:t>
      </w:r>
      <w:r>
        <w:rPr>
          <w:rFonts w:hint="eastAsia" w:ascii="仿宋_GB2312" w:eastAsia="仿宋_GB2312" w:cs="仿宋_GB2312"/>
          <w:kern w:val="2"/>
          <w:sz w:val="32"/>
          <w:szCs w:val="32"/>
          <w:lang w:val="en-US" w:eastAsia="zh-CN" w:bidi="ar-SA"/>
        </w:rPr>
        <w:t>15分。</w:t>
      </w:r>
    </w:p>
    <w:p w14:paraId="5F0218A1">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en-US" w:eastAsia="zh-CN" w:bidi="ar-SA"/>
        </w:rPr>
        <w:t>2.</w:t>
      </w:r>
      <w:r>
        <w:rPr>
          <w:rFonts w:ascii="仿宋_GB2312" w:eastAsia="仿宋_GB2312" w:cs="仿宋_GB2312"/>
          <w:kern w:val="2"/>
          <w:sz w:val="32"/>
          <w:szCs w:val="32"/>
          <w:lang w:val="zh-CN" w:eastAsia="zh-CN" w:bidi="ar-SA"/>
        </w:rPr>
        <w:t>预算管理</w:t>
      </w:r>
      <w:r>
        <w:rPr>
          <w:rFonts w:hint="eastAsia" w:ascii="仿宋_GB2312" w:eastAsia="仿宋_GB2312" w:cs="仿宋_GB2312"/>
          <w:kern w:val="2"/>
          <w:sz w:val="32"/>
          <w:szCs w:val="32"/>
          <w:lang w:val="zh-CN" w:eastAsia="zh-CN" w:bidi="ar-SA"/>
        </w:rPr>
        <w:t>。预算编制质量严格按要求编制年初部门预算，年初预算编制的科学性和准确性，自评得</w:t>
      </w:r>
      <w:r>
        <w:rPr>
          <w:rFonts w:hint="eastAsia" w:ascii="仿宋_GB2312" w:eastAsia="仿宋_GB2312" w:cs="仿宋_GB2312"/>
          <w:kern w:val="2"/>
          <w:sz w:val="32"/>
          <w:szCs w:val="32"/>
          <w:lang w:val="en-US" w:eastAsia="zh-CN" w:bidi="ar-SA"/>
        </w:rPr>
        <w:t>8分；</w:t>
      </w:r>
      <w:r>
        <w:rPr>
          <w:rFonts w:hint="eastAsia" w:ascii="仿宋_GB2312" w:eastAsia="仿宋_GB2312" w:cs="仿宋_GB2312"/>
          <w:kern w:val="2"/>
          <w:sz w:val="32"/>
          <w:szCs w:val="32"/>
          <w:lang w:val="zh-CN" w:eastAsia="zh-CN" w:bidi="ar-SA"/>
        </w:rPr>
        <w:t>单位收入统筹完整、有效、执行率高，自评得</w:t>
      </w:r>
      <w:r>
        <w:rPr>
          <w:rFonts w:hint="eastAsia" w:ascii="仿宋_GB2312" w:eastAsia="仿宋_GB2312" w:cs="仿宋_GB2312"/>
          <w:kern w:val="2"/>
          <w:sz w:val="32"/>
          <w:szCs w:val="32"/>
          <w:lang w:val="en-US" w:eastAsia="zh-CN" w:bidi="ar-SA"/>
        </w:rPr>
        <w:t>4分；</w:t>
      </w:r>
      <w:r>
        <w:rPr>
          <w:rFonts w:hint="eastAsia" w:ascii="仿宋_GB2312" w:eastAsia="仿宋_GB2312" w:cs="仿宋_GB2312"/>
          <w:kern w:val="2"/>
          <w:sz w:val="32"/>
          <w:szCs w:val="32"/>
          <w:lang w:val="zh-CN" w:eastAsia="zh-CN" w:bidi="ar-SA"/>
        </w:rPr>
        <w:t>支出执行进度严格按照执行进度进行，无预算年终结余，两项自评得</w:t>
      </w:r>
      <w:r>
        <w:rPr>
          <w:rFonts w:hint="eastAsia" w:ascii="仿宋_GB2312" w:eastAsia="仿宋_GB2312" w:cs="仿宋_GB2312"/>
          <w:kern w:val="2"/>
          <w:sz w:val="32"/>
          <w:szCs w:val="32"/>
          <w:lang w:val="en-US" w:eastAsia="zh-CN" w:bidi="ar-SA"/>
        </w:rPr>
        <w:t>7分；</w:t>
      </w:r>
      <w:r>
        <w:rPr>
          <w:rFonts w:hint="eastAsia" w:ascii="仿宋_GB2312" w:eastAsia="仿宋_GB2312" w:cs="仿宋_GB2312"/>
          <w:kern w:val="2"/>
          <w:sz w:val="32"/>
          <w:szCs w:val="32"/>
          <w:lang w:val="zh-CN" w:eastAsia="zh-CN" w:bidi="ar-SA"/>
        </w:rPr>
        <w:t>部门严控“三公”经费、会议、培训、差旅、办节办展、办公设备购置、信息网络及软件购置更新、课题经费等8项一般性支出，“三公”经费均与上年预算数持平，自评得</w:t>
      </w:r>
      <w:r>
        <w:rPr>
          <w:rFonts w:hint="eastAsia" w:ascii="仿宋_GB2312" w:eastAsia="仿宋_GB2312" w:cs="仿宋_GB2312"/>
          <w:kern w:val="2"/>
          <w:sz w:val="32"/>
          <w:szCs w:val="32"/>
          <w:lang w:val="en-US" w:eastAsia="zh-CN" w:bidi="ar-SA"/>
        </w:rPr>
        <w:t>5分</w:t>
      </w:r>
      <w:r>
        <w:rPr>
          <w:rFonts w:hint="eastAsia" w:ascii="仿宋_GB2312" w:eastAsia="仿宋_GB2312" w:cs="仿宋_GB2312"/>
          <w:kern w:val="2"/>
          <w:sz w:val="32"/>
          <w:szCs w:val="32"/>
          <w:lang w:val="zh-CN" w:eastAsia="zh-CN" w:bidi="ar-SA"/>
        </w:rPr>
        <w:t>。</w:t>
      </w:r>
    </w:p>
    <w:p w14:paraId="6C1BC472">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en-US" w:eastAsia="zh-CN" w:bidi="ar-SA"/>
        </w:rPr>
        <w:t>3.</w:t>
      </w:r>
      <w:r>
        <w:rPr>
          <w:rFonts w:ascii="仿宋_GB2312" w:eastAsia="仿宋_GB2312" w:cs="仿宋_GB2312"/>
          <w:kern w:val="2"/>
          <w:sz w:val="32"/>
          <w:szCs w:val="32"/>
          <w:lang w:val="zh-CN" w:eastAsia="zh-CN" w:bidi="ar-SA"/>
        </w:rPr>
        <w:t>财务管理</w:t>
      </w:r>
      <w:r>
        <w:rPr>
          <w:rFonts w:hint="eastAsia" w:ascii="仿宋_GB2312" w:eastAsia="仿宋_GB2312" w:cs="仿宋_GB2312"/>
          <w:kern w:val="2"/>
          <w:sz w:val="32"/>
          <w:szCs w:val="32"/>
          <w:lang w:val="zh-CN" w:eastAsia="zh-CN" w:bidi="ar-SA"/>
        </w:rPr>
        <w:t>。本部门已按照要求制定了内部财务管理制度，并严格遵照执行，自评得</w:t>
      </w:r>
      <w:r>
        <w:rPr>
          <w:rFonts w:hint="eastAsia" w:ascii="仿宋_GB2312" w:eastAsia="仿宋_GB2312" w:cs="仿宋_GB2312"/>
          <w:kern w:val="2"/>
          <w:sz w:val="32"/>
          <w:szCs w:val="32"/>
          <w:lang w:val="en-US" w:eastAsia="zh-CN" w:bidi="ar-SA"/>
        </w:rPr>
        <w:t>3分</w:t>
      </w:r>
      <w:r>
        <w:rPr>
          <w:rFonts w:hint="eastAsia" w:ascii="仿宋_GB2312" w:eastAsia="仿宋_GB2312" w:cs="仿宋_GB2312"/>
          <w:kern w:val="2"/>
          <w:sz w:val="32"/>
          <w:szCs w:val="32"/>
          <w:lang w:val="zh-CN" w:eastAsia="zh-CN" w:bidi="ar-SA"/>
        </w:rPr>
        <w:t>；合理设置了财务工作岗位，明确职责权限，并严格实行不相容岗位分离，自评得</w:t>
      </w:r>
      <w:r>
        <w:rPr>
          <w:rFonts w:hint="eastAsia" w:ascii="仿宋_GB2312" w:eastAsia="仿宋_GB2312" w:cs="仿宋_GB2312"/>
          <w:kern w:val="2"/>
          <w:sz w:val="32"/>
          <w:szCs w:val="32"/>
          <w:lang w:val="en-US" w:eastAsia="zh-CN" w:bidi="ar-SA"/>
        </w:rPr>
        <w:t>2分</w:t>
      </w:r>
      <w:r>
        <w:rPr>
          <w:rFonts w:hint="eastAsia" w:ascii="仿宋_GB2312" w:eastAsia="仿宋_GB2312" w:cs="仿宋_GB2312"/>
          <w:kern w:val="2"/>
          <w:sz w:val="32"/>
          <w:szCs w:val="32"/>
          <w:lang w:val="zh-CN" w:eastAsia="zh-CN" w:bidi="ar-SA"/>
        </w:rPr>
        <w:t>；本部门资金使用完全符合相关财务管理制度规定，不存在违规情况，自评得</w:t>
      </w:r>
      <w:r>
        <w:rPr>
          <w:rFonts w:hint="eastAsia" w:ascii="仿宋_GB2312" w:eastAsia="仿宋_GB2312" w:cs="仿宋_GB2312"/>
          <w:kern w:val="2"/>
          <w:sz w:val="32"/>
          <w:szCs w:val="32"/>
          <w:lang w:val="en-US" w:eastAsia="zh-CN" w:bidi="ar-SA"/>
        </w:rPr>
        <w:t>4分</w:t>
      </w:r>
      <w:r>
        <w:rPr>
          <w:rFonts w:hint="eastAsia" w:ascii="仿宋_GB2312" w:eastAsia="仿宋_GB2312" w:cs="仿宋_GB2312"/>
          <w:kern w:val="2"/>
          <w:sz w:val="32"/>
          <w:szCs w:val="32"/>
          <w:lang w:val="zh-CN" w:eastAsia="zh-CN" w:bidi="ar-SA"/>
        </w:rPr>
        <w:t>。</w:t>
      </w:r>
    </w:p>
    <w:p w14:paraId="5B38549D">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en-US" w:eastAsia="zh-CN" w:bidi="ar-SA"/>
        </w:rPr>
        <w:t>4.</w:t>
      </w:r>
      <w:r>
        <w:rPr>
          <w:rFonts w:ascii="仿宋_GB2312" w:eastAsia="仿宋_GB2312" w:cs="仿宋_GB2312"/>
          <w:kern w:val="2"/>
          <w:sz w:val="32"/>
          <w:szCs w:val="32"/>
          <w:lang w:val="zh-CN" w:eastAsia="zh-CN" w:bidi="ar-SA"/>
        </w:rPr>
        <w:t>资产管理</w:t>
      </w:r>
      <w:r>
        <w:rPr>
          <w:rFonts w:hint="eastAsia" w:ascii="仿宋_GB2312" w:eastAsia="仿宋_GB2312" w:cs="仿宋_GB2312"/>
          <w:kern w:val="2"/>
          <w:sz w:val="32"/>
          <w:szCs w:val="32"/>
          <w:lang w:val="zh-CN" w:eastAsia="zh-CN" w:bidi="ar-SA"/>
        </w:rPr>
        <w:t>。</w:t>
      </w:r>
      <w:r>
        <w:rPr>
          <w:rFonts w:hint="eastAsia" w:ascii="仿宋_GB2312" w:eastAsia="仿宋_GB2312" w:cs="仿宋_GB2312"/>
          <w:kern w:val="2"/>
          <w:sz w:val="32"/>
          <w:szCs w:val="32"/>
          <w:lang w:val="en-US" w:eastAsia="zh-CN" w:bidi="ar-SA"/>
        </w:rPr>
        <w:t>2024年度本单位</w:t>
      </w:r>
      <w:r>
        <w:rPr>
          <w:rFonts w:hint="eastAsia" w:ascii="仿宋_GB2312" w:eastAsia="仿宋_GB2312" w:cs="仿宋_GB2312"/>
          <w:kern w:val="2"/>
          <w:sz w:val="32"/>
          <w:szCs w:val="32"/>
          <w:lang w:val="zh-CN" w:eastAsia="zh-CN" w:bidi="ar-SA"/>
        </w:rPr>
        <w:t>人均资产变化率无明显变化，资产利用率较高、无单位闲置资产，本项自评综合得</w:t>
      </w:r>
      <w:r>
        <w:rPr>
          <w:rFonts w:hint="eastAsia" w:ascii="仿宋_GB2312" w:eastAsia="仿宋_GB2312" w:cs="仿宋_GB2312"/>
          <w:kern w:val="2"/>
          <w:sz w:val="32"/>
          <w:szCs w:val="32"/>
          <w:lang w:val="en-US" w:eastAsia="zh-CN" w:bidi="ar-SA"/>
        </w:rPr>
        <w:t>9分</w:t>
      </w:r>
      <w:r>
        <w:rPr>
          <w:rFonts w:hint="eastAsia" w:ascii="仿宋_GB2312" w:eastAsia="仿宋_GB2312" w:cs="仿宋_GB2312"/>
          <w:kern w:val="2"/>
          <w:sz w:val="32"/>
          <w:szCs w:val="32"/>
          <w:lang w:val="zh-CN" w:eastAsia="zh-CN" w:bidi="ar-SA"/>
        </w:rPr>
        <w:t>。</w:t>
      </w:r>
    </w:p>
    <w:p w14:paraId="593BE2E4">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en-US" w:eastAsia="zh-CN" w:bidi="ar-SA"/>
        </w:rPr>
        <w:t>5.</w:t>
      </w:r>
      <w:r>
        <w:rPr>
          <w:rFonts w:ascii="仿宋_GB2312" w:eastAsia="仿宋_GB2312" w:cs="仿宋_GB2312"/>
          <w:kern w:val="2"/>
          <w:sz w:val="32"/>
          <w:szCs w:val="32"/>
          <w:lang w:val="zh-CN" w:eastAsia="zh-CN" w:bidi="ar-SA"/>
        </w:rPr>
        <w:t>采购管理</w:t>
      </w:r>
      <w:r>
        <w:rPr>
          <w:rFonts w:hint="eastAsia" w:ascii="仿宋_GB2312" w:eastAsia="仿宋_GB2312" w:cs="仿宋_GB2312"/>
          <w:kern w:val="2"/>
          <w:sz w:val="32"/>
          <w:szCs w:val="32"/>
          <w:lang w:val="zh-CN" w:eastAsia="zh-CN" w:bidi="ar-SA"/>
        </w:rPr>
        <w:t>。</w:t>
      </w:r>
      <w:r>
        <w:rPr>
          <w:rFonts w:hint="eastAsia" w:ascii="仿宋_GB2312" w:eastAsia="仿宋_GB2312" w:cs="仿宋_GB2312"/>
          <w:kern w:val="2"/>
          <w:sz w:val="32"/>
          <w:szCs w:val="32"/>
          <w:lang w:val="en-US" w:eastAsia="zh-CN" w:bidi="ar-SA"/>
        </w:rPr>
        <w:t>2023年度本单位无采购项目，也无采购预算资金，</w:t>
      </w:r>
      <w:r>
        <w:rPr>
          <w:rFonts w:hint="eastAsia" w:ascii="仿宋_GB2312" w:eastAsia="仿宋_GB2312" w:cs="仿宋_GB2312"/>
          <w:kern w:val="2"/>
          <w:sz w:val="32"/>
          <w:szCs w:val="32"/>
          <w:lang w:val="zh-CN" w:eastAsia="zh-CN" w:bidi="ar-SA"/>
        </w:rPr>
        <w:t>本项自评综合得</w:t>
      </w:r>
      <w:r>
        <w:rPr>
          <w:rFonts w:hint="eastAsia" w:ascii="仿宋_GB2312" w:eastAsia="仿宋_GB2312" w:cs="仿宋_GB2312"/>
          <w:kern w:val="2"/>
          <w:sz w:val="32"/>
          <w:szCs w:val="32"/>
          <w:lang w:val="en-US" w:eastAsia="zh-CN" w:bidi="ar-SA"/>
        </w:rPr>
        <w:t>0分</w:t>
      </w:r>
      <w:r>
        <w:rPr>
          <w:rFonts w:hint="eastAsia" w:ascii="仿宋_GB2312" w:eastAsia="仿宋_GB2312" w:cs="仿宋_GB2312"/>
          <w:kern w:val="2"/>
          <w:sz w:val="32"/>
          <w:szCs w:val="32"/>
          <w:lang w:val="zh-CN" w:eastAsia="zh-CN" w:bidi="ar-SA"/>
        </w:rPr>
        <w:t>。</w:t>
      </w:r>
    </w:p>
    <w:p w14:paraId="48B6CBB9">
      <w:pPr>
        <w:ind w:firstLine="643" w:firstLineChars="200"/>
        <w:rPr>
          <w:rFonts w:ascii="仿宋_GB2312" w:eastAsia="仿宋_GB2312" w:cs="仿宋_GB2312"/>
          <w:kern w:val="2"/>
          <w:sz w:val="32"/>
          <w:szCs w:val="32"/>
          <w:lang w:val="en-US" w:eastAsia="zh-CN" w:bidi="ar-SA"/>
        </w:rPr>
      </w:pPr>
      <w:r>
        <w:rPr>
          <w:rFonts w:ascii="楷体" w:eastAsia="楷体" w:cs="楷体"/>
          <w:b/>
          <w:bCs/>
          <w:color w:val="000000"/>
          <w:kern w:val="2"/>
          <w:sz w:val="32"/>
          <w:szCs w:val="32"/>
          <w:lang w:val="zh-CN" w:eastAsia="zh-CN" w:bidi="ar-SA"/>
        </w:rPr>
        <w:t>（二）部门预算项目绩效分析。</w:t>
      </w:r>
      <w:r>
        <w:rPr>
          <w:rFonts w:hint="eastAsia" w:ascii="仿宋_GB2312" w:eastAsia="仿宋_GB2312" w:cs="仿宋_GB2312"/>
          <w:kern w:val="2"/>
          <w:sz w:val="32"/>
          <w:szCs w:val="32"/>
          <w:lang w:val="zh-CN" w:eastAsia="zh-CN" w:bidi="ar-SA"/>
        </w:rPr>
        <w:t>填报以下数据，并</w:t>
      </w:r>
      <w:r>
        <w:rPr>
          <w:rFonts w:ascii="仿宋_GB2312" w:eastAsia="仿宋_GB2312" w:cs="仿宋_GB2312"/>
          <w:kern w:val="2"/>
          <w:sz w:val="32"/>
          <w:szCs w:val="32"/>
          <w:lang w:val="zh-CN" w:eastAsia="zh-CN" w:bidi="ar-SA"/>
        </w:rPr>
        <w:t>根据部门预算绩效评价指标体系“项目绩效”涉及</w:t>
      </w:r>
      <w:r>
        <w:rPr>
          <w:rFonts w:hint="eastAsia" w:ascii="仿宋_GB2312" w:eastAsia="仿宋_GB2312" w:cs="仿宋_GB2312"/>
          <w:kern w:val="2"/>
          <w:sz w:val="32"/>
          <w:szCs w:val="32"/>
          <w:lang w:val="zh-CN" w:eastAsia="zh-CN" w:bidi="ar-SA"/>
        </w:rPr>
        <w:t>二、三级</w:t>
      </w:r>
      <w:r>
        <w:rPr>
          <w:rFonts w:ascii="仿宋_GB2312" w:eastAsia="仿宋_GB2312" w:cs="仿宋_GB2312"/>
          <w:kern w:val="2"/>
          <w:sz w:val="32"/>
          <w:szCs w:val="32"/>
          <w:lang w:val="zh-CN" w:eastAsia="zh-CN" w:bidi="ar-SA"/>
        </w:rPr>
        <w:t>指标进行</w:t>
      </w:r>
      <w:r>
        <w:rPr>
          <w:rFonts w:hint="eastAsia" w:ascii="仿宋_GB2312" w:eastAsia="仿宋_GB2312" w:cs="仿宋_GB2312"/>
          <w:kern w:val="2"/>
          <w:sz w:val="32"/>
          <w:szCs w:val="32"/>
          <w:lang w:val="zh-CN" w:eastAsia="zh-CN" w:bidi="ar-SA"/>
        </w:rPr>
        <w:t>逐项</w:t>
      </w:r>
      <w:r>
        <w:rPr>
          <w:rFonts w:ascii="仿宋_GB2312" w:eastAsia="仿宋_GB2312" w:cs="仿宋_GB2312"/>
          <w:kern w:val="2"/>
          <w:sz w:val="32"/>
          <w:szCs w:val="32"/>
          <w:lang w:val="zh-CN" w:eastAsia="zh-CN" w:bidi="ar-SA"/>
        </w:rPr>
        <w:t>绩效分析</w:t>
      </w:r>
      <w:r>
        <w:rPr>
          <w:rFonts w:hint="eastAsia" w:ascii="仿宋_GB2312" w:eastAsia="仿宋_GB2312" w:cs="仿宋_GB2312"/>
          <w:kern w:val="2"/>
          <w:sz w:val="32"/>
          <w:szCs w:val="32"/>
          <w:lang w:val="zh-CN" w:eastAsia="zh-CN" w:bidi="ar-SA"/>
        </w:rPr>
        <w:t>并评分</w:t>
      </w:r>
      <w:r>
        <w:rPr>
          <w:rFonts w:ascii="仿宋_GB2312" w:eastAsia="仿宋_GB2312" w:cs="仿宋_GB2312"/>
          <w:kern w:val="2"/>
          <w:sz w:val="32"/>
          <w:szCs w:val="32"/>
          <w:lang w:val="zh-CN" w:eastAsia="zh-CN" w:bidi="ar-SA"/>
        </w:rPr>
        <w:t>，依次包括项目</w:t>
      </w:r>
      <w:r>
        <w:rPr>
          <w:rFonts w:ascii="仿宋_GB2312" w:eastAsia="仿宋_GB2312" w:cs="仿宋_GB2312"/>
          <w:kern w:val="2"/>
          <w:sz w:val="32"/>
          <w:szCs w:val="32"/>
          <w:lang w:val="en-US" w:eastAsia="zh-CN" w:bidi="ar-SA"/>
        </w:rPr>
        <w:t>决策、项目执行、目标实现等情况</w:t>
      </w:r>
      <w:r>
        <w:rPr>
          <w:rFonts w:hint="eastAsia" w:ascii="仿宋_GB2312" w:eastAsia="仿宋_GB2312" w:cs="仿宋_GB2312"/>
          <w:kern w:val="2"/>
          <w:sz w:val="32"/>
          <w:szCs w:val="32"/>
          <w:lang w:val="en-US" w:eastAsia="zh-CN" w:bidi="ar-SA"/>
        </w:rPr>
        <w:t>。</w:t>
      </w:r>
    </w:p>
    <w:p w14:paraId="22393315">
      <w:pPr>
        <w:ind w:firstLine="640" w:firstLineChars="200"/>
        <w:rPr>
          <w:rFonts w:ascii="仿宋_GB2312" w:eastAsia="仿宋_GB2312" w:cs="仿宋_GB2312"/>
          <w:kern w:val="2"/>
          <w:sz w:val="32"/>
          <w:szCs w:val="32"/>
          <w:lang w:val="zh-CN" w:eastAsia="zh-CN" w:bidi="ar-SA"/>
        </w:rPr>
      </w:pPr>
      <w:r>
        <w:rPr>
          <w:rFonts w:ascii="仿宋_GB2312" w:eastAsia="仿宋_GB2312" w:cs="仿宋_GB2312"/>
          <w:kern w:val="2"/>
          <w:sz w:val="32"/>
          <w:szCs w:val="32"/>
          <w:lang w:val="en-US" w:eastAsia="zh-CN" w:bidi="ar-SA"/>
        </w:rPr>
        <w:t>常年项目绩效分析。</w:t>
      </w:r>
      <w:r>
        <w:rPr>
          <w:rFonts w:ascii="仿宋_GB2312" w:eastAsia="仿宋_GB2312" w:cs="仿宋_GB2312"/>
          <w:kern w:val="2"/>
          <w:sz w:val="32"/>
          <w:szCs w:val="32"/>
          <w:lang w:val="zh-CN" w:eastAsia="zh-CN" w:bidi="ar-SA"/>
        </w:rPr>
        <w:t>该类项目总数</w:t>
      </w:r>
      <w:r>
        <w:rPr>
          <w:rFonts w:ascii="仿宋_GB2312" w:eastAsia="仿宋_GB2312" w:cs="仿宋_GB2312"/>
          <w:kern w:val="2"/>
          <w:sz w:val="32"/>
          <w:szCs w:val="32"/>
          <w:lang w:val="en-US" w:eastAsia="zh-CN" w:bidi="ar-SA"/>
        </w:rPr>
        <w:t xml:space="preserve"> </w:t>
      </w:r>
      <w:r>
        <w:rPr>
          <w:rFonts w:hint="eastAsia" w:ascii="仿宋_GB2312" w:eastAsia="仿宋_GB2312" w:cs="仿宋_GB2312"/>
          <w:kern w:val="2"/>
          <w:sz w:val="32"/>
          <w:szCs w:val="32"/>
          <w:lang w:val="en-US" w:eastAsia="zh-CN" w:bidi="ar-SA"/>
        </w:rPr>
        <w:t>70</w:t>
      </w:r>
      <w:r>
        <w:rPr>
          <w:rFonts w:ascii="仿宋_GB2312" w:eastAsia="仿宋_GB2312" w:cs="仿宋_GB2312"/>
          <w:kern w:val="2"/>
          <w:sz w:val="32"/>
          <w:szCs w:val="32"/>
          <w:lang w:val="zh-CN" w:eastAsia="zh-CN" w:bidi="ar-SA"/>
        </w:rPr>
        <w:t>个，涉及预算总金额</w:t>
      </w:r>
      <w:r>
        <w:rPr>
          <w:rFonts w:hint="eastAsia" w:ascii="仿宋_GB2312" w:eastAsia="仿宋_GB2312" w:cs="仿宋_GB2312"/>
          <w:kern w:val="2"/>
          <w:sz w:val="32"/>
          <w:szCs w:val="32"/>
          <w:lang w:val="en-US" w:eastAsia="zh-CN" w:bidi="ar-SA"/>
        </w:rPr>
        <w:t>278.47</w:t>
      </w:r>
      <w:r>
        <w:rPr>
          <w:rFonts w:ascii="仿宋_GB2312" w:eastAsia="仿宋_GB2312" w:cs="仿宋_GB2312"/>
          <w:kern w:val="2"/>
          <w:sz w:val="32"/>
          <w:szCs w:val="32"/>
          <w:lang w:val="zh-CN" w:eastAsia="zh-CN" w:bidi="ar-SA"/>
        </w:rPr>
        <w:t>万元，1</w:t>
      </w:r>
      <w:r>
        <w:rPr>
          <w:rFonts w:hint="eastAsia" w:ascii="仿宋_GB2312" w:eastAsia="仿宋_GB2312" w:cs="仿宋_GB2312"/>
          <w:kern w:val="2"/>
          <w:sz w:val="32"/>
          <w:szCs w:val="32"/>
          <w:lang w:val="zh-CN" w:eastAsia="zh-CN" w:bidi="ar-SA"/>
        </w:rPr>
        <w:t>—</w:t>
      </w:r>
      <w:r>
        <w:rPr>
          <w:rFonts w:ascii="仿宋_GB2312" w:eastAsia="仿宋_GB2312" w:cs="仿宋_GB2312"/>
          <w:kern w:val="2"/>
          <w:sz w:val="32"/>
          <w:szCs w:val="32"/>
          <w:lang w:val="zh-CN" w:eastAsia="zh-CN" w:bidi="ar-SA"/>
        </w:rPr>
        <w:t>1</w:t>
      </w:r>
      <w:r>
        <w:rPr>
          <w:rFonts w:ascii="仿宋_GB2312" w:eastAsia="仿宋_GB2312" w:cs="仿宋_GB2312"/>
          <w:kern w:val="2"/>
          <w:sz w:val="32"/>
          <w:szCs w:val="32"/>
          <w:lang w:val="en-US" w:eastAsia="zh-CN" w:bidi="ar-SA"/>
        </w:rPr>
        <w:t>2</w:t>
      </w:r>
      <w:r>
        <w:rPr>
          <w:rFonts w:ascii="仿宋_GB2312" w:eastAsia="仿宋_GB2312" w:cs="仿宋_GB2312"/>
          <w:kern w:val="2"/>
          <w:sz w:val="32"/>
          <w:szCs w:val="32"/>
          <w:lang w:val="zh-CN" w:eastAsia="zh-CN" w:bidi="ar-SA"/>
        </w:rPr>
        <w:t>月预算执行总体进度为</w:t>
      </w:r>
      <w:r>
        <w:rPr>
          <w:rFonts w:ascii="仿宋_GB2312" w:eastAsia="仿宋_GB2312" w:cs="仿宋_GB2312"/>
          <w:kern w:val="2"/>
          <w:sz w:val="32"/>
          <w:szCs w:val="32"/>
          <w:lang w:val="en-US" w:eastAsia="zh-CN" w:bidi="ar-SA"/>
        </w:rPr>
        <w:t xml:space="preserve"> </w:t>
      </w:r>
      <w:r>
        <w:rPr>
          <w:rFonts w:hint="eastAsia" w:ascii="仿宋_GB2312" w:eastAsia="仿宋_GB2312" w:cs="仿宋_GB2312"/>
          <w:kern w:val="2"/>
          <w:sz w:val="32"/>
          <w:szCs w:val="32"/>
          <w:lang w:val="en-US" w:eastAsia="zh-CN" w:bidi="ar-SA"/>
        </w:rPr>
        <w:t>100</w:t>
      </w:r>
      <w:r>
        <w:rPr>
          <w:rFonts w:ascii="仿宋_GB2312" w:eastAsia="仿宋_GB2312" w:cs="仿宋_GB2312"/>
          <w:kern w:val="2"/>
          <w:sz w:val="32"/>
          <w:szCs w:val="32"/>
          <w:lang w:val="en-US" w:eastAsia="zh-CN" w:bidi="ar-SA"/>
        </w:rPr>
        <w:t xml:space="preserve"> </w:t>
      </w:r>
      <w:r>
        <w:rPr>
          <w:rFonts w:ascii="仿宋_GB2312" w:eastAsia="仿宋_GB2312" w:cs="仿宋_GB2312"/>
          <w:kern w:val="2"/>
          <w:sz w:val="32"/>
          <w:szCs w:val="32"/>
          <w:lang w:val="zh-CN" w:eastAsia="zh-CN" w:bidi="ar-SA"/>
        </w:rPr>
        <w:t>%，其中：预算结余率大于</w:t>
      </w:r>
      <w:r>
        <w:rPr>
          <w:rFonts w:ascii="仿宋_GB2312" w:eastAsia="仿宋_GB2312" w:cs="仿宋_GB2312"/>
          <w:kern w:val="2"/>
          <w:sz w:val="32"/>
          <w:szCs w:val="32"/>
          <w:lang w:val="en-US" w:eastAsia="zh-CN" w:bidi="ar-SA"/>
        </w:rPr>
        <w:t>10%</w:t>
      </w:r>
      <w:r>
        <w:rPr>
          <w:rFonts w:ascii="仿宋_GB2312" w:eastAsia="仿宋_GB2312" w:cs="仿宋_GB2312"/>
          <w:kern w:val="2"/>
          <w:sz w:val="32"/>
          <w:szCs w:val="32"/>
          <w:lang w:val="zh-CN" w:eastAsia="zh-CN" w:bidi="ar-SA"/>
        </w:rPr>
        <w:t>的项目共计</w:t>
      </w:r>
      <w:r>
        <w:rPr>
          <w:rFonts w:hint="eastAsia" w:ascii="仿宋_GB2312" w:eastAsia="仿宋_GB2312" w:cs="仿宋_GB2312"/>
          <w:kern w:val="2"/>
          <w:sz w:val="32"/>
          <w:szCs w:val="32"/>
          <w:lang w:val="en-US" w:eastAsia="zh-CN" w:bidi="ar-SA"/>
        </w:rPr>
        <w:t>0</w:t>
      </w:r>
      <w:r>
        <w:rPr>
          <w:rFonts w:ascii="仿宋_GB2312" w:eastAsia="仿宋_GB2312" w:cs="仿宋_GB2312"/>
          <w:kern w:val="2"/>
          <w:sz w:val="32"/>
          <w:szCs w:val="32"/>
          <w:lang w:val="zh-CN" w:eastAsia="zh-CN" w:bidi="ar-SA"/>
        </w:rPr>
        <w:t>个。</w:t>
      </w:r>
    </w:p>
    <w:p w14:paraId="4F58E9CF">
      <w:pPr>
        <w:ind w:firstLine="640" w:firstLineChars="200"/>
        <w:rPr>
          <w:rFonts w:ascii="仿宋_GB2312" w:eastAsia="仿宋_GB2312" w:cs="仿宋_GB2312"/>
          <w:kern w:val="2"/>
          <w:sz w:val="32"/>
          <w:szCs w:val="32"/>
          <w:lang w:val="zh-CN" w:eastAsia="zh-CN" w:bidi="ar-SA"/>
        </w:rPr>
      </w:pPr>
      <w:r>
        <w:rPr>
          <w:rFonts w:ascii="仿宋_GB2312" w:eastAsia="仿宋_GB2312" w:cs="仿宋_GB2312"/>
          <w:kern w:val="2"/>
          <w:sz w:val="32"/>
          <w:szCs w:val="32"/>
          <w:lang w:val="en-US" w:eastAsia="zh-CN" w:bidi="ar-SA"/>
        </w:rPr>
        <w:t>阶段</w:t>
      </w:r>
      <w:r>
        <w:rPr>
          <w:rFonts w:hint="eastAsia" w:ascii="仿宋_GB2312" w:eastAsia="仿宋_GB2312" w:cs="仿宋_GB2312"/>
          <w:kern w:val="2"/>
          <w:sz w:val="32"/>
          <w:szCs w:val="32"/>
          <w:lang w:val="en-US" w:eastAsia="zh-CN" w:bidi="ar-SA"/>
        </w:rPr>
        <w:t>（</w:t>
      </w:r>
      <w:r>
        <w:rPr>
          <w:rFonts w:ascii="仿宋_GB2312" w:eastAsia="仿宋_GB2312" w:cs="仿宋_GB2312"/>
          <w:kern w:val="2"/>
          <w:sz w:val="32"/>
          <w:szCs w:val="32"/>
          <w:lang w:val="en-US" w:eastAsia="zh-CN" w:bidi="ar-SA"/>
        </w:rPr>
        <w:t>一次性</w:t>
      </w:r>
      <w:r>
        <w:rPr>
          <w:rFonts w:hint="eastAsia" w:ascii="仿宋_GB2312" w:eastAsia="仿宋_GB2312" w:cs="仿宋_GB2312"/>
          <w:kern w:val="2"/>
          <w:sz w:val="32"/>
          <w:szCs w:val="32"/>
          <w:lang w:val="en-US" w:eastAsia="zh-CN" w:bidi="ar-SA"/>
        </w:rPr>
        <w:t>）</w:t>
      </w:r>
      <w:r>
        <w:rPr>
          <w:rFonts w:ascii="仿宋_GB2312" w:eastAsia="仿宋_GB2312" w:cs="仿宋_GB2312"/>
          <w:kern w:val="2"/>
          <w:sz w:val="32"/>
          <w:szCs w:val="32"/>
          <w:lang w:val="en-US" w:eastAsia="zh-CN" w:bidi="ar-SA"/>
        </w:rPr>
        <w:t>项目绩效分析。</w:t>
      </w:r>
      <w:r>
        <w:rPr>
          <w:rFonts w:ascii="仿宋_GB2312" w:eastAsia="仿宋_GB2312" w:cs="仿宋_GB2312"/>
          <w:kern w:val="2"/>
          <w:sz w:val="32"/>
          <w:szCs w:val="32"/>
          <w:lang w:val="zh-CN" w:eastAsia="zh-CN" w:bidi="ar-SA"/>
        </w:rPr>
        <w:t>该类项目总数</w:t>
      </w:r>
      <w:r>
        <w:rPr>
          <w:rFonts w:hint="eastAsia" w:ascii="仿宋_GB2312" w:eastAsia="仿宋_GB2312" w:cs="仿宋_GB2312"/>
          <w:kern w:val="2"/>
          <w:sz w:val="32"/>
          <w:szCs w:val="32"/>
          <w:lang w:val="en-US" w:eastAsia="zh-CN" w:bidi="ar-SA"/>
        </w:rPr>
        <w:t>0</w:t>
      </w:r>
      <w:r>
        <w:rPr>
          <w:rFonts w:ascii="仿宋_GB2312" w:eastAsia="仿宋_GB2312" w:cs="仿宋_GB2312"/>
          <w:kern w:val="2"/>
          <w:sz w:val="32"/>
          <w:szCs w:val="32"/>
          <w:lang w:val="zh-CN" w:eastAsia="zh-CN" w:bidi="ar-SA"/>
        </w:rPr>
        <w:t>个，涉及预算总金额</w:t>
      </w:r>
      <w:r>
        <w:rPr>
          <w:rFonts w:hint="eastAsia" w:ascii="仿宋_GB2312" w:eastAsia="仿宋_GB2312" w:cs="仿宋_GB2312"/>
          <w:kern w:val="2"/>
          <w:sz w:val="32"/>
          <w:szCs w:val="32"/>
          <w:lang w:val="en-US" w:eastAsia="zh-CN" w:bidi="ar-SA"/>
        </w:rPr>
        <w:t>0</w:t>
      </w:r>
      <w:r>
        <w:rPr>
          <w:rFonts w:ascii="仿宋_GB2312" w:eastAsia="仿宋_GB2312" w:cs="仿宋_GB2312"/>
          <w:kern w:val="2"/>
          <w:sz w:val="32"/>
          <w:szCs w:val="32"/>
          <w:lang w:val="zh-CN" w:eastAsia="zh-CN" w:bidi="ar-SA"/>
        </w:rPr>
        <w:t>万元，1</w:t>
      </w:r>
      <w:r>
        <w:rPr>
          <w:rFonts w:hint="eastAsia" w:ascii="仿宋_GB2312" w:eastAsia="仿宋_GB2312" w:cs="仿宋_GB2312"/>
          <w:kern w:val="2"/>
          <w:sz w:val="32"/>
          <w:szCs w:val="32"/>
          <w:lang w:val="zh-CN" w:eastAsia="zh-CN" w:bidi="ar-SA"/>
        </w:rPr>
        <w:t>—</w:t>
      </w:r>
      <w:r>
        <w:rPr>
          <w:rFonts w:ascii="仿宋_GB2312" w:eastAsia="仿宋_GB2312" w:cs="仿宋_GB2312"/>
          <w:kern w:val="2"/>
          <w:sz w:val="32"/>
          <w:szCs w:val="32"/>
          <w:lang w:val="zh-CN" w:eastAsia="zh-CN" w:bidi="ar-SA"/>
        </w:rPr>
        <w:t>1</w:t>
      </w:r>
      <w:r>
        <w:rPr>
          <w:rFonts w:ascii="仿宋_GB2312" w:eastAsia="仿宋_GB2312" w:cs="仿宋_GB2312"/>
          <w:kern w:val="2"/>
          <w:sz w:val="32"/>
          <w:szCs w:val="32"/>
          <w:lang w:val="en-US" w:eastAsia="zh-CN" w:bidi="ar-SA"/>
        </w:rPr>
        <w:t>2</w:t>
      </w:r>
      <w:r>
        <w:rPr>
          <w:rFonts w:ascii="仿宋_GB2312" w:eastAsia="仿宋_GB2312" w:cs="仿宋_GB2312"/>
          <w:kern w:val="2"/>
          <w:sz w:val="32"/>
          <w:szCs w:val="32"/>
          <w:lang w:val="zh-CN" w:eastAsia="zh-CN" w:bidi="ar-SA"/>
        </w:rPr>
        <w:t>月预算执行总体进度为</w:t>
      </w:r>
      <w:r>
        <w:rPr>
          <w:rFonts w:hint="eastAsia" w:ascii="仿宋_GB2312" w:eastAsia="仿宋_GB2312" w:cs="仿宋_GB2312"/>
          <w:kern w:val="2"/>
          <w:sz w:val="32"/>
          <w:szCs w:val="32"/>
          <w:lang w:val="en-US" w:eastAsia="zh-CN" w:bidi="ar-SA"/>
        </w:rPr>
        <w:t>0</w:t>
      </w:r>
      <w:r>
        <w:rPr>
          <w:rFonts w:ascii="仿宋_GB2312" w:eastAsia="仿宋_GB2312" w:cs="仿宋_GB2312"/>
          <w:kern w:val="2"/>
          <w:sz w:val="32"/>
          <w:szCs w:val="32"/>
          <w:lang w:val="zh-CN" w:eastAsia="zh-CN" w:bidi="ar-SA"/>
        </w:rPr>
        <w:t>%，其中：预算结余率大于</w:t>
      </w:r>
      <w:r>
        <w:rPr>
          <w:rFonts w:ascii="仿宋_GB2312" w:eastAsia="仿宋_GB2312" w:cs="仿宋_GB2312"/>
          <w:kern w:val="2"/>
          <w:sz w:val="32"/>
          <w:szCs w:val="32"/>
          <w:lang w:val="en-US" w:eastAsia="zh-CN" w:bidi="ar-SA"/>
        </w:rPr>
        <w:t>10%</w:t>
      </w:r>
      <w:r>
        <w:rPr>
          <w:rFonts w:ascii="仿宋_GB2312" w:eastAsia="仿宋_GB2312" w:cs="仿宋_GB2312"/>
          <w:kern w:val="2"/>
          <w:sz w:val="32"/>
          <w:szCs w:val="32"/>
          <w:lang w:val="zh-CN" w:eastAsia="zh-CN" w:bidi="ar-SA"/>
        </w:rPr>
        <w:t>的项目共计</w:t>
      </w:r>
      <w:r>
        <w:rPr>
          <w:rFonts w:hint="eastAsia" w:ascii="仿宋_GB2312" w:eastAsia="仿宋_GB2312" w:cs="仿宋_GB2312"/>
          <w:kern w:val="2"/>
          <w:sz w:val="32"/>
          <w:szCs w:val="32"/>
          <w:lang w:val="en-US" w:eastAsia="zh-CN" w:bidi="ar-SA"/>
        </w:rPr>
        <w:t>0</w:t>
      </w:r>
      <w:r>
        <w:rPr>
          <w:rFonts w:ascii="仿宋_GB2312" w:eastAsia="仿宋_GB2312" w:cs="仿宋_GB2312"/>
          <w:kern w:val="2"/>
          <w:sz w:val="32"/>
          <w:szCs w:val="32"/>
          <w:lang w:val="zh-CN" w:eastAsia="zh-CN" w:bidi="ar-SA"/>
        </w:rPr>
        <w:t>个。</w:t>
      </w:r>
    </w:p>
    <w:p w14:paraId="0134F1CB">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en-US" w:eastAsia="zh-CN" w:bidi="ar-SA"/>
        </w:rPr>
        <w:t>1.</w:t>
      </w:r>
      <w:r>
        <w:rPr>
          <w:rFonts w:hint="eastAsia" w:ascii="仿宋_GB2312" w:eastAsia="仿宋_GB2312" w:cs="仿宋_GB2312"/>
          <w:kern w:val="2"/>
          <w:sz w:val="32"/>
          <w:szCs w:val="32"/>
          <w:lang w:val="zh-CN" w:eastAsia="zh-CN" w:bidi="ar-SA"/>
        </w:rPr>
        <w:t>项目决策。本单位预算项目设立均按规定履行评估论证、申报程序，绩效目标设置科学合理、规范完整、量化细化，并在规定时间完成项目入库，本项自评合计得</w:t>
      </w:r>
      <w:r>
        <w:rPr>
          <w:rFonts w:hint="eastAsia" w:ascii="仿宋_GB2312" w:eastAsia="仿宋_GB2312" w:cs="仿宋_GB2312"/>
          <w:kern w:val="2"/>
          <w:sz w:val="32"/>
          <w:szCs w:val="32"/>
          <w:lang w:val="en-US" w:eastAsia="zh-CN" w:bidi="ar-SA"/>
        </w:rPr>
        <w:t>12分</w:t>
      </w:r>
      <w:r>
        <w:rPr>
          <w:rFonts w:hint="eastAsia" w:ascii="仿宋_GB2312" w:eastAsia="仿宋_GB2312" w:cs="仿宋_GB2312"/>
          <w:kern w:val="2"/>
          <w:sz w:val="32"/>
          <w:szCs w:val="32"/>
          <w:lang w:val="zh-CN" w:eastAsia="zh-CN" w:bidi="ar-SA"/>
        </w:rPr>
        <w:t>。</w:t>
      </w:r>
    </w:p>
    <w:p w14:paraId="0638E307">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en-US" w:eastAsia="zh-CN" w:bidi="ar-SA"/>
        </w:rPr>
        <w:t>2.项目执行</w:t>
      </w:r>
      <w:r>
        <w:rPr>
          <w:rFonts w:hint="eastAsia" w:ascii="仿宋_GB2312" w:eastAsia="仿宋_GB2312" w:cs="仿宋_GB2312"/>
          <w:kern w:val="2"/>
          <w:sz w:val="32"/>
          <w:szCs w:val="32"/>
          <w:lang w:val="zh-CN" w:eastAsia="zh-CN" w:bidi="ar-SA"/>
        </w:rPr>
        <w:t>。围绕资金执行同向、项目调整、执行结果</w:t>
      </w:r>
      <w:r>
        <w:rPr>
          <w:rFonts w:ascii="仿宋_GB2312" w:eastAsia="仿宋_GB2312" w:cs="仿宋_GB2312"/>
          <w:kern w:val="2"/>
          <w:sz w:val="32"/>
          <w:szCs w:val="32"/>
          <w:lang w:val="zh-CN" w:eastAsia="zh-CN" w:bidi="ar-SA"/>
        </w:rPr>
        <w:t>进行绩效分析</w:t>
      </w:r>
      <w:r>
        <w:rPr>
          <w:rFonts w:hint="eastAsia" w:ascii="仿宋_GB2312" w:eastAsia="仿宋_GB2312" w:cs="仿宋_GB2312"/>
          <w:kern w:val="2"/>
          <w:sz w:val="32"/>
          <w:szCs w:val="32"/>
          <w:lang w:val="zh-CN" w:eastAsia="zh-CN" w:bidi="ar-SA"/>
        </w:rPr>
        <w:t>，本项自评合计得</w:t>
      </w:r>
      <w:r>
        <w:rPr>
          <w:rFonts w:hint="eastAsia" w:ascii="仿宋_GB2312" w:eastAsia="仿宋_GB2312" w:cs="仿宋_GB2312"/>
          <w:kern w:val="2"/>
          <w:sz w:val="32"/>
          <w:szCs w:val="32"/>
          <w:lang w:val="en-US" w:eastAsia="zh-CN" w:bidi="ar-SA"/>
        </w:rPr>
        <w:t>12分</w:t>
      </w:r>
      <w:r>
        <w:rPr>
          <w:rFonts w:hint="eastAsia" w:ascii="仿宋_GB2312" w:eastAsia="仿宋_GB2312" w:cs="仿宋_GB2312"/>
          <w:kern w:val="2"/>
          <w:sz w:val="32"/>
          <w:szCs w:val="32"/>
          <w:lang w:val="zh-CN" w:eastAsia="zh-CN" w:bidi="ar-SA"/>
        </w:rPr>
        <w:t>。</w:t>
      </w:r>
    </w:p>
    <w:p w14:paraId="6E461210">
      <w:pPr>
        <w:ind w:firstLine="640" w:firstLineChars="200"/>
        <w:rPr>
          <w:rFonts w:hint="eastAsia" w:ascii="仿宋_GB2312" w:eastAsia="仿宋_GB2312" w:cs="仿宋_GB2312"/>
          <w:kern w:val="2"/>
          <w:sz w:val="32"/>
          <w:szCs w:val="32"/>
          <w:lang w:val="zh-CN" w:eastAsia="zh-CN" w:bidi="ar-SA"/>
        </w:rPr>
      </w:pPr>
      <w:r>
        <w:rPr>
          <w:rFonts w:hint="eastAsia" w:ascii="仿宋_GB2312" w:eastAsia="仿宋_GB2312" w:cs="仿宋_GB2312"/>
          <w:kern w:val="2"/>
          <w:sz w:val="32"/>
          <w:szCs w:val="32"/>
          <w:lang w:val="en-US" w:eastAsia="zh-CN" w:bidi="ar-SA"/>
        </w:rPr>
        <w:t>3.</w:t>
      </w:r>
      <w:r>
        <w:rPr>
          <w:rFonts w:hint="eastAsia" w:ascii="仿宋_GB2312" w:eastAsia="仿宋_GB2312" w:cs="仿宋_GB2312"/>
          <w:kern w:val="2"/>
          <w:sz w:val="32"/>
          <w:szCs w:val="32"/>
          <w:lang w:val="zh-CN" w:eastAsia="zh-CN" w:bidi="ar-SA"/>
        </w:rPr>
        <w:t>目标实现。部门预算项目绩效目标数量指标全部完成，绩效目标实际完成值与预期指标无偏离情况，基本达到预算项目绩效目标效益指标的实施效果，自评合计得</w:t>
      </w:r>
      <w:r>
        <w:rPr>
          <w:rFonts w:hint="eastAsia" w:ascii="仿宋_GB2312" w:eastAsia="仿宋_GB2312" w:cs="仿宋_GB2312"/>
          <w:kern w:val="2"/>
          <w:sz w:val="32"/>
          <w:szCs w:val="32"/>
          <w:lang w:val="en-US" w:eastAsia="zh-CN" w:bidi="ar-SA"/>
        </w:rPr>
        <w:t>11分。</w:t>
      </w:r>
    </w:p>
    <w:p w14:paraId="5248A9DE">
      <w:pPr>
        <w:ind w:firstLine="643" w:firstLineChars="200"/>
        <w:rPr>
          <w:rFonts w:hint="eastAsia" w:ascii="仿宋_GB2312" w:eastAsia="仿宋_GB2312" w:cs="仿宋_GB2312"/>
          <w:kern w:val="2"/>
          <w:sz w:val="32"/>
          <w:szCs w:val="32"/>
          <w:lang w:val="en-US" w:eastAsia="zh-CN" w:bidi="ar-SA"/>
        </w:rPr>
      </w:pPr>
      <w:r>
        <w:rPr>
          <w:rFonts w:ascii="楷体" w:eastAsia="楷体" w:cs="楷体"/>
          <w:b/>
          <w:bCs/>
          <w:color w:val="000000"/>
          <w:kern w:val="2"/>
          <w:sz w:val="32"/>
          <w:szCs w:val="32"/>
          <w:lang w:val="zh-CN" w:eastAsia="zh-CN" w:bidi="ar-SA"/>
        </w:rPr>
        <w:t>（</w:t>
      </w:r>
      <w:r>
        <w:rPr>
          <w:rFonts w:hint="eastAsia" w:ascii="楷体" w:eastAsia="楷体" w:cs="楷体"/>
          <w:b/>
          <w:bCs/>
          <w:color w:val="000000"/>
          <w:kern w:val="2"/>
          <w:sz w:val="32"/>
          <w:szCs w:val="32"/>
          <w:lang w:val="zh-CN" w:eastAsia="zh-CN" w:bidi="ar-SA"/>
        </w:rPr>
        <w:t>三</w:t>
      </w:r>
      <w:r>
        <w:rPr>
          <w:rFonts w:ascii="楷体" w:eastAsia="楷体" w:cs="楷体"/>
          <w:b/>
          <w:bCs/>
          <w:color w:val="000000"/>
          <w:kern w:val="2"/>
          <w:sz w:val="32"/>
          <w:szCs w:val="32"/>
          <w:lang w:val="zh-CN" w:eastAsia="zh-CN" w:bidi="ar-SA"/>
        </w:rPr>
        <w:t>）重点领域绩效分析。</w:t>
      </w:r>
      <w:r>
        <w:rPr>
          <w:rFonts w:hint="eastAsia" w:ascii="仿宋_GB2312" w:eastAsia="仿宋_GB2312" w:cs="仿宋_GB2312"/>
          <w:kern w:val="2"/>
          <w:sz w:val="32"/>
          <w:szCs w:val="32"/>
          <w:lang w:val="zh-CN" w:eastAsia="zh-CN" w:bidi="ar-SA"/>
        </w:rPr>
        <w:t>本单位不涉及</w:t>
      </w:r>
      <w:r>
        <w:rPr>
          <w:rFonts w:hint="eastAsia" w:ascii="仿宋_GB2312" w:eastAsia="仿宋_GB2312" w:cs="仿宋_GB2312"/>
          <w:kern w:val="2"/>
          <w:sz w:val="32"/>
          <w:szCs w:val="32"/>
          <w:lang w:val="en-US" w:eastAsia="zh-CN" w:bidi="ar-SA"/>
        </w:rPr>
        <w:t>2024年度</w:t>
      </w:r>
      <w:r>
        <w:rPr>
          <w:rFonts w:ascii="仿宋_GB2312" w:eastAsia="仿宋_GB2312" w:cs="仿宋_GB2312"/>
          <w:kern w:val="2"/>
          <w:sz w:val="32"/>
          <w:szCs w:val="32"/>
          <w:lang w:val="zh-CN" w:eastAsia="zh-CN" w:bidi="ar-SA"/>
        </w:rPr>
        <w:t>国有资本、行政事业性国有资产、债券资金、政府采购和政府购买服务等重点领域的</w:t>
      </w:r>
      <w:r>
        <w:rPr>
          <w:rFonts w:hint="eastAsia" w:ascii="仿宋_GB2312" w:eastAsia="仿宋_GB2312" w:cs="仿宋_GB2312"/>
          <w:kern w:val="2"/>
          <w:sz w:val="32"/>
          <w:szCs w:val="32"/>
          <w:lang w:val="zh-CN" w:eastAsia="zh-CN" w:bidi="ar-SA"/>
        </w:rPr>
        <w:t>。</w:t>
      </w:r>
    </w:p>
    <w:p w14:paraId="5FC1B5F6">
      <w:pPr>
        <w:ind w:firstLine="643" w:firstLineChars="200"/>
        <w:rPr>
          <w:rFonts w:hint="eastAsia" w:ascii="仿宋_GB2312" w:eastAsia="仿宋_GB2312" w:cs="仿宋_GB2312"/>
          <w:kern w:val="2"/>
          <w:sz w:val="32"/>
          <w:szCs w:val="32"/>
          <w:lang w:val="en-US" w:eastAsia="zh-CN" w:bidi="ar-SA"/>
        </w:rPr>
      </w:pPr>
      <w:r>
        <w:rPr>
          <w:rFonts w:ascii="楷体" w:eastAsia="楷体" w:cs="楷体"/>
          <w:b/>
          <w:bCs/>
          <w:color w:val="000000"/>
          <w:kern w:val="2"/>
          <w:sz w:val="32"/>
          <w:szCs w:val="32"/>
          <w:lang w:val="zh-CN" w:eastAsia="zh-CN" w:bidi="ar-SA"/>
        </w:rPr>
        <w:t>（四）绩效结果应用情况</w:t>
      </w:r>
      <w:r>
        <w:rPr>
          <w:rFonts w:hint="eastAsia" w:ascii="楷体" w:eastAsia="楷体" w:cs="楷体"/>
          <w:b/>
          <w:bCs/>
          <w:color w:val="000000"/>
          <w:kern w:val="2"/>
          <w:sz w:val="32"/>
          <w:szCs w:val="32"/>
          <w:lang w:val="zh-CN" w:eastAsia="zh-CN" w:bidi="ar-SA"/>
        </w:rPr>
        <w:t>。</w:t>
      </w:r>
      <w:r>
        <w:rPr>
          <w:rFonts w:hint="eastAsia" w:ascii="仿宋_GB2312" w:eastAsia="仿宋_GB2312" w:cs="仿宋_GB2312"/>
          <w:kern w:val="2"/>
          <w:sz w:val="32"/>
          <w:szCs w:val="32"/>
          <w:lang w:val="zh-CN" w:eastAsia="zh-CN" w:bidi="ar-SA"/>
        </w:rPr>
        <w:t>本单位绩效目标制定科学合理，并能够保证绩效目标实现。本单位严格按照县级部门预算编制通知和有关要求，按时完成基础信息、预算编制等工作，并按时提交部门预算草案，不存在预算编制错误情况。县财政局根据预算编制草案，进行审核，批复。不存在违纪记录的情况。本单位预算决算公开按财政局的要求在收到财政批复后20个工作日在金川县政府中心的信息网站进行公开。所有预算严格按照预算法执行，预算经费中人员经费是按月拔付，公用经费是按季进行拔付。</w:t>
      </w:r>
      <w:r>
        <w:rPr>
          <w:rFonts w:hint="eastAsia" w:ascii="仿宋_GB2312" w:eastAsia="仿宋_GB2312" w:cs="仿宋_GB2312"/>
          <w:kern w:val="2"/>
          <w:sz w:val="32"/>
          <w:szCs w:val="32"/>
          <w:lang w:val="en-US" w:eastAsia="zh-CN" w:bidi="ar-SA"/>
        </w:rPr>
        <w:t xml:space="preserve">  </w:t>
      </w:r>
    </w:p>
    <w:p w14:paraId="43FC90D9">
      <w:pPr>
        <w:spacing w:line="600" w:lineRule="exact"/>
        <w:ind w:firstLine="640" w:firstLineChars="200"/>
        <w:rPr>
          <w:rFonts w:ascii="黑体" w:eastAsia="黑体" w:cs="Times New Roman"/>
          <w:b w:val="0"/>
          <w:bCs/>
          <w:color w:val="000000"/>
          <w:kern w:val="2"/>
          <w:sz w:val="32"/>
          <w:szCs w:val="32"/>
          <w:lang w:val="zh-CN" w:eastAsia="zh-CN" w:bidi="ar-SA"/>
        </w:rPr>
      </w:pPr>
      <w:r>
        <w:rPr>
          <w:rFonts w:ascii="黑体" w:eastAsia="黑体" w:cs="Times New Roman"/>
          <w:b w:val="0"/>
          <w:bCs/>
          <w:color w:val="000000"/>
          <w:kern w:val="2"/>
          <w:sz w:val="32"/>
          <w:szCs w:val="32"/>
          <w:lang w:val="zh-CN" w:eastAsia="zh-CN" w:bidi="ar-SA"/>
        </w:rPr>
        <w:t>四、评价结论及建议</w:t>
      </w:r>
    </w:p>
    <w:p w14:paraId="5A7A765B">
      <w:pPr>
        <w:ind w:firstLine="643" w:firstLineChars="200"/>
        <w:rPr>
          <w:rFonts w:hint="eastAsia" w:ascii="仿宋_GB2312" w:eastAsia="仿宋_GB2312" w:cs="仿宋_GB2312"/>
          <w:kern w:val="2"/>
          <w:sz w:val="32"/>
          <w:szCs w:val="32"/>
          <w:lang w:val="zh-CN" w:eastAsia="zh-CN" w:bidi="ar-SA"/>
        </w:rPr>
      </w:pPr>
      <w:r>
        <w:rPr>
          <w:rFonts w:ascii="楷体" w:eastAsia="楷体" w:cs="楷体"/>
          <w:b/>
          <w:bCs/>
          <w:color w:val="000000"/>
          <w:kern w:val="2"/>
          <w:sz w:val="32"/>
          <w:szCs w:val="32"/>
          <w:lang w:val="zh-CN" w:eastAsia="zh-CN" w:bidi="ar-SA"/>
        </w:rPr>
        <w:t>（一）评价结论。</w:t>
      </w:r>
      <w:r>
        <w:rPr>
          <w:rFonts w:hint="eastAsia" w:ascii="仿宋_GB2312" w:eastAsia="仿宋_GB2312" w:cs="仿宋_GB2312"/>
          <w:kern w:val="2"/>
          <w:sz w:val="32"/>
          <w:szCs w:val="32"/>
          <w:lang w:val="zh-CN" w:eastAsia="zh-CN" w:bidi="ar-SA"/>
        </w:rPr>
        <w:t>根据金财监绩〔20</w:t>
      </w:r>
      <w:r>
        <w:rPr>
          <w:rFonts w:hint="eastAsia" w:ascii="仿宋_GB2312" w:eastAsia="仿宋_GB2312" w:cs="仿宋_GB2312"/>
          <w:kern w:val="2"/>
          <w:sz w:val="32"/>
          <w:szCs w:val="32"/>
          <w:lang w:val="en-US" w:eastAsia="zh-CN" w:bidi="ar-SA"/>
        </w:rPr>
        <w:t>25</w:t>
      </w:r>
      <w:r>
        <w:rPr>
          <w:rFonts w:hint="eastAsia" w:ascii="仿宋_GB2312" w:eastAsia="仿宋_GB2312" w:cs="仿宋_GB2312"/>
          <w:kern w:val="2"/>
          <w:sz w:val="32"/>
          <w:szCs w:val="32"/>
          <w:lang w:val="zh-CN" w:eastAsia="zh-CN" w:bidi="ar-SA"/>
        </w:rPr>
        <w:t>〕</w:t>
      </w:r>
      <w:r>
        <w:rPr>
          <w:rFonts w:hint="eastAsia" w:ascii="仿宋_GB2312" w:eastAsia="仿宋_GB2312" w:cs="仿宋_GB2312"/>
          <w:kern w:val="2"/>
          <w:sz w:val="32"/>
          <w:szCs w:val="32"/>
          <w:lang w:val="en-US" w:eastAsia="zh-CN" w:bidi="ar-SA"/>
        </w:rPr>
        <w:t>35</w:t>
      </w:r>
      <w:r>
        <w:rPr>
          <w:rFonts w:hint="eastAsia" w:ascii="仿宋_GB2312" w:eastAsia="仿宋_GB2312" w:cs="仿宋_GB2312"/>
          <w:kern w:val="2"/>
          <w:sz w:val="32"/>
          <w:szCs w:val="32"/>
          <w:lang w:val="zh-CN" w:eastAsia="zh-CN" w:bidi="ar-SA"/>
        </w:rPr>
        <w:t>号文件的附件</w:t>
      </w:r>
      <w:r>
        <w:rPr>
          <w:rFonts w:hint="eastAsia" w:ascii="仿宋_GB2312" w:eastAsia="仿宋_GB2312" w:cs="仿宋_GB2312"/>
          <w:kern w:val="2"/>
          <w:sz w:val="32"/>
          <w:szCs w:val="32"/>
          <w:lang w:val="en-US" w:eastAsia="zh-CN" w:bidi="ar-SA"/>
        </w:rPr>
        <w:t>1</w:t>
      </w:r>
      <w:r>
        <w:rPr>
          <w:rFonts w:hint="eastAsia" w:ascii="仿宋_GB2312" w:eastAsia="仿宋_GB2312" w:cs="仿宋_GB2312"/>
          <w:kern w:val="2"/>
          <w:sz w:val="32"/>
          <w:szCs w:val="32"/>
          <w:lang w:val="zh-CN" w:eastAsia="zh-CN" w:bidi="ar-SA"/>
        </w:rPr>
        <w:t>部门支出绩效评价指标体系进行单位自评，圆满完成绩效自评工作，圆满完成中央、省、州委和县的重要工作、目标任务。本单位总体评价内容内实际得分</w:t>
      </w:r>
      <w:r>
        <w:rPr>
          <w:rFonts w:hint="eastAsia" w:ascii="仿宋_GB2312" w:eastAsia="仿宋_GB2312" w:cs="仿宋_GB2312"/>
          <w:kern w:val="2"/>
          <w:sz w:val="32"/>
          <w:szCs w:val="32"/>
          <w:lang w:val="en-US" w:eastAsia="zh-CN" w:bidi="ar-SA"/>
        </w:rPr>
        <w:t>92</w:t>
      </w:r>
      <w:r>
        <w:rPr>
          <w:rFonts w:hint="eastAsia" w:ascii="仿宋_GB2312" w:eastAsia="仿宋_GB2312" w:cs="仿宋_GB2312"/>
          <w:kern w:val="2"/>
          <w:sz w:val="32"/>
          <w:szCs w:val="32"/>
          <w:lang w:val="zh-CN" w:eastAsia="zh-CN" w:bidi="ar-SA"/>
        </w:rPr>
        <w:t>分。</w:t>
      </w:r>
    </w:p>
    <w:p w14:paraId="39F3D661">
      <w:pPr>
        <w:ind w:firstLine="643" w:firstLineChars="200"/>
        <w:rPr>
          <w:rFonts w:hint="eastAsia" w:ascii="仿宋_GB2312" w:eastAsia="仿宋_GB2312" w:cs="仿宋_GB2312"/>
          <w:kern w:val="2"/>
          <w:sz w:val="32"/>
          <w:szCs w:val="32"/>
          <w:lang w:val="zh-CN" w:eastAsia="zh-CN" w:bidi="ar-SA"/>
        </w:rPr>
      </w:pPr>
      <w:r>
        <w:rPr>
          <w:rFonts w:ascii="楷体" w:eastAsia="楷体" w:cs="楷体"/>
          <w:b/>
          <w:bCs/>
          <w:color w:val="000000"/>
          <w:kern w:val="2"/>
          <w:sz w:val="32"/>
          <w:szCs w:val="32"/>
          <w:lang w:val="zh-CN" w:eastAsia="zh-CN" w:bidi="ar-SA"/>
        </w:rPr>
        <w:t>（二）存在问题。</w:t>
      </w:r>
      <w:r>
        <w:rPr>
          <w:rFonts w:hint="eastAsia" w:ascii="仿宋_GB2312" w:eastAsia="仿宋_GB2312" w:cs="仿宋_GB2312"/>
          <w:kern w:val="2"/>
          <w:sz w:val="32"/>
          <w:szCs w:val="32"/>
          <w:lang w:val="zh-CN" w:eastAsia="zh-CN" w:bidi="ar-SA"/>
        </w:rPr>
        <w:t>综合单位情况，收发文件、传递文件还不够及时；资产管理还应加强；财务管理制度有待加强。</w:t>
      </w:r>
    </w:p>
    <w:p w14:paraId="507FBA02">
      <w:pPr>
        <w:ind w:firstLine="643" w:firstLineChars="200"/>
        <w:rPr>
          <w:rFonts w:hint="eastAsia" w:ascii="仿宋_GB2312" w:eastAsia="仿宋_GB2312" w:cs="仿宋_GB2312"/>
          <w:kern w:val="2"/>
          <w:sz w:val="32"/>
          <w:szCs w:val="32"/>
          <w:lang w:val="zh-CN" w:eastAsia="zh-CN" w:bidi="ar-SA"/>
        </w:rPr>
      </w:pPr>
      <w:r>
        <w:rPr>
          <w:rFonts w:ascii="楷体" w:eastAsia="楷体" w:cs="楷体"/>
          <w:b/>
          <w:bCs/>
          <w:color w:val="000000"/>
          <w:kern w:val="2"/>
          <w:sz w:val="32"/>
          <w:szCs w:val="32"/>
          <w:lang w:val="zh-CN" w:eastAsia="zh-CN" w:bidi="ar-SA"/>
        </w:rPr>
        <w:t>（三）改进建议。</w:t>
      </w:r>
      <w:r>
        <w:rPr>
          <w:rFonts w:hint="eastAsia" w:ascii="仿宋_GB2312" w:eastAsia="仿宋_GB2312" w:cs="仿宋_GB2312"/>
          <w:kern w:val="2"/>
          <w:sz w:val="32"/>
          <w:szCs w:val="32"/>
          <w:lang w:val="zh-CN" w:eastAsia="zh-CN" w:bidi="ar-SA"/>
        </w:rPr>
        <w:t>加快完善、健全机关财务管理规章制度建设、加强会计核算和财务管理能力，及时与县财政局相关科室对接工作，提升工作效率。</w:t>
      </w:r>
    </w:p>
    <w:p w14:paraId="790E0F95">
      <w:pPr>
        <w:pStyle w:val="2"/>
        <w:rPr>
          <w:rFonts w:ascii="仿宋_GB2312" w:eastAsia="仿宋_GB2312" w:cs="仿宋_GB2312"/>
          <w:kern w:val="2"/>
          <w:sz w:val="32"/>
          <w:szCs w:val="32"/>
          <w:lang w:val="en-US" w:eastAsia="zh-CN" w:bidi="ar-SA"/>
        </w:rPr>
      </w:pPr>
    </w:p>
    <w:p w14:paraId="3BD1152E">
      <w:pPr>
        <w:rPr>
          <w:lang w:val="en-US" w:eastAsia="zh-CN"/>
        </w:rPr>
      </w:pPr>
    </w:p>
    <w:p w14:paraId="49A84F7E">
      <w:pPr>
        <w:ind w:firstLine="640" w:firstLineChars="200"/>
        <w:rPr>
          <w:rFonts w:hint="eastAsia" w:ascii="仿宋_GB2312" w:eastAsia="仿宋_GB2312" w:cs="仿宋_GB2312"/>
          <w:kern w:val="2"/>
          <w:sz w:val="32"/>
          <w:szCs w:val="32"/>
          <w:lang w:val="en-US" w:eastAsia="zh-CN" w:bidi="ar-SA"/>
        </w:rPr>
      </w:pPr>
      <w:r>
        <w:rPr>
          <w:rFonts w:ascii="仿宋_GB2312" w:eastAsia="仿宋_GB2312" w:cs="仿宋_GB2312"/>
          <w:kern w:val="2"/>
          <w:sz w:val="32"/>
          <w:szCs w:val="32"/>
          <w:lang w:val="en-US" w:eastAsia="zh-CN" w:bidi="ar-SA"/>
        </w:rPr>
        <w:t>附表：</w:t>
      </w:r>
      <w:r>
        <w:rPr>
          <w:rFonts w:hint="eastAsia" w:ascii="仿宋_GB2312" w:eastAsia="仿宋_GB2312" w:cs="仿宋_GB2312"/>
          <w:kern w:val="2"/>
          <w:sz w:val="32"/>
          <w:szCs w:val="32"/>
          <w:lang w:val="en-US" w:eastAsia="zh-CN" w:bidi="ar-SA"/>
        </w:rPr>
        <w:t>1.部门预算绩效自评打分表</w:t>
      </w:r>
    </w:p>
    <w:p w14:paraId="5B7FC2E4">
      <w:pPr>
        <w:ind w:firstLine="1600" w:firstLineChars="500"/>
        <w:rPr>
          <w:rFonts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w:t>
      </w:r>
      <w:r>
        <w:rPr>
          <w:rFonts w:ascii="仿宋_GB2312" w:eastAsia="仿宋_GB2312" w:cs="仿宋_GB2312"/>
          <w:kern w:val="2"/>
          <w:sz w:val="32"/>
          <w:szCs w:val="32"/>
          <w:lang w:val="en-US" w:eastAsia="zh-CN" w:bidi="ar-SA"/>
        </w:rPr>
        <w:t>部门整体绩效目标完成情况自评表</w:t>
      </w:r>
    </w:p>
    <w:p w14:paraId="68BF8D07">
      <w:pPr>
        <w:ind w:firstLine="640" w:firstLineChars="200"/>
        <w:rPr>
          <w:rFonts w:ascii="仿宋_GB2312" w:eastAsia="仿宋_GB2312" w:cs="仿宋_GB2312"/>
          <w:kern w:val="2"/>
          <w:sz w:val="32"/>
          <w:szCs w:val="32"/>
          <w:lang w:val="zh-CN" w:eastAsia="zh-CN" w:bidi="ar-SA"/>
        </w:rPr>
      </w:pPr>
    </w:p>
    <w:p w14:paraId="017B8238">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6EDF02D2">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5F452A60">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7F40835F">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2C3522D8">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75C989DE">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6F8D4CD3">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66C6BA62">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485FAC2E">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3FF41924">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146C9E2C">
      <w:pPr>
        <w:pStyle w:val="2"/>
        <w:keepNext/>
        <w:keepLines/>
        <w:pageBreakBefore w:val="0"/>
        <w:widowControl w:val="0"/>
        <w:suppressLineNumbers w:val="0"/>
        <w:suppressAutoHyphens w:val="0"/>
        <w:bidi w:val="0"/>
        <w:spacing w:line="377" w:lineRule="auto"/>
      </w:pPr>
    </w:p>
    <w:p w14:paraId="702C9CBD">
      <w:pPr>
        <w:keepNext w:val="0"/>
        <w:keepLines w:val="0"/>
        <w:pageBreakBefore w:val="0"/>
        <w:widowControl w:val="0"/>
        <w:suppressLineNumbers w:val="0"/>
        <w:suppressAutoHyphens w:val="0"/>
        <w:bidi w:val="0"/>
      </w:pPr>
    </w:p>
    <w:p w14:paraId="428FE914">
      <w:pPr>
        <w:pStyle w:val="2"/>
        <w:keepNext/>
        <w:keepLines/>
        <w:pageBreakBefore w:val="0"/>
        <w:widowControl w:val="0"/>
        <w:suppressLineNumbers w:val="0"/>
        <w:suppressAutoHyphens w:val="0"/>
        <w:bidi w:val="0"/>
      </w:pPr>
    </w:p>
    <w:p w14:paraId="10FF2BE4">
      <w:pPr>
        <w:keepNext w:val="0"/>
        <w:keepLines w:val="0"/>
        <w:pageBreakBefore w:val="0"/>
        <w:widowControl w:val="0"/>
        <w:suppressLineNumbers w:val="0"/>
        <w:suppressAutoHyphens w:val="0"/>
        <w:bidi w:val="0"/>
      </w:pPr>
    </w:p>
    <w:p w14:paraId="6A278273">
      <w:pPr>
        <w:pStyle w:val="2"/>
        <w:keepNext/>
        <w:keepLines/>
        <w:pageBreakBefore w:val="0"/>
        <w:widowControl w:val="0"/>
        <w:suppressLineNumbers w:val="0"/>
        <w:suppressAutoHyphens w:val="0"/>
        <w:bidi w:val="0"/>
      </w:pPr>
    </w:p>
    <w:p w14:paraId="0AA392B4">
      <w:pPr>
        <w:keepNext w:val="0"/>
        <w:keepLines w:val="0"/>
        <w:pageBreakBefore w:val="0"/>
        <w:widowControl w:val="0"/>
        <w:suppressLineNumbers w:val="0"/>
        <w:suppressAutoHyphens w:val="0"/>
        <w:bidi w:val="0"/>
      </w:pPr>
    </w:p>
    <w:p w14:paraId="485AC5F8">
      <w:pPr>
        <w:pStyle w:val="2"/>
        <w:keepNext/>
        <w:keepLines/>
        <w:pageBreakBefore w:val="0"/>
        <w:widowControl w:val="0"/>
        <w:suppressLineNumbers w:val="0"/>
        <w:suppressAutoHyphens w:val="0"/>
        <w:bidi w:val="0"/>
      </w:pPr>
    </w:p>
    <w:p w14:paraId="7D06BCFB">
      <w:pPr>
        <w:keepNext w:val="0"/>
        <w:keepLines w:val="0"/>
        <w:pageBreakBefore w:val="0"/>
        <w:widowControl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4D32BBA1">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rPr>
      </w:pPr>
      <w:r>
        <w:rPr>
          <w:rFonts w:hint="eastAsia" w:ascii="Times New Roman" w:hAnsi="Times New Roman" w:eastAsia="方正小标宋简体" w:cs="Times New Roman"/>
          <w:i w:val="0"/>
          <w:color w:val="000000"/>
          <w:kern w:val="0"/>
          <w:sz w:val="44"/>
          <w:szCs w:val="44"/>
          <w:u w:val="none"/>
          <w:lang w:val="en-US" w:eastAsia="zh-CN"/>
        </w:rPr>
        <w:t>部门预算绩效自评打分表</w:t>
      </w:r>
    </w:p>
    <w:tbl>
      <w:tblPr>
        <w:tblStyle w:val="17"/>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252"/>
        <w:gridCol w:w="2160"/>
        <w:gridCol w:w="690"/>
        <w:gridCol w:w="4479"/>
        <w:gridCol w:w="756"/>
        <w:gridCol w:w="478"/>
      </w:tblGrid>
      <w:tr w14:paraId="38D19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51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9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绩效评价指标指标分值</w:t>
            </w:r>
          </w:p>
        </w:tc>
        <w:tc>
          <w:tcPr>
            <w:tcW w:w="447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8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指标解释</w:t>
            </w:r>
          </w:p>
        </w:tc>
        <w:tc>
          <w:tcPr>
            <w:tcW w:w="756" w:type="dxa"/>
            <w:vMerge w:val="restart"/>
            <w:tcBorders>
              <w:top w:val="single" w:color="000000" w:sz="4" w:space="0"/>
              <w:left w:val="single" w:color="000000" w:sz="4" w:space="0"/>
              <w:bottom w:val="nil"/>
              <w:right w:val="single" w:color="000000" w:sz="4" w:space="0"/>
            </w:tcBorders>
            <w:shd w:val="clear" w:color="auto" w:fill="auto"/>
            <w:noWrap/>
            <w:vAlign w:val="center"/>
          </w:tcPr>
          <w:p w14:paraId="6924F9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自评得分</w:t>
            </w:r>
          </w:p>
        </w:tc>
        <w:tc>
          <w:tcPr>
            <w:tcW w:w="4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2067CE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备注</w:t>
            </w:r>
          </w:p>
        </w:tc>
      </w:tr>
      <w:tr w14:paraId="5323F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noWrap/>
            <w:vAlign w:val="center"/>
          </w:tcPr>
          <w:p w14:paraId="77750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2"/>
                <w:szCs w:val="22"/>
                <w:u w:val="none"/>
              </w:rPr>
            </w:pPr>
            <w:r>
              <w:rPr>
                <w:rFonts w:hint="eastAsia" w:ascii="黑体" w:eastAsia="黑体" w:cs="黑体"/>
                <w:i w:val="0"/>
                <w:color w:val="000000"/>
                <w:kern w:val="0"/>
                <w:sz w:val="22"/>
                <w:szCs w:val="22"/>
                <w:u w:val="none"/>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0F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2"/>
                <w:szCs w:val="22"/>
                <w:u w:val="none"/>
              </w:rPr>
            </w:pPr>
            <w:r>
              <w:rPr>
                <w:rFonts w:hint="eastAsia" w:ascii="黑体" w:eastAsia="黑体" w:cs="黑体"/>
                <w:i w:val="0"/>
                <w:color w:val="000000"/>
                <w:kern w:val="0"/>
                <w:sz w:val="22"/>
                <w:szCs w:val="22"/>
                <w:u w:val="none"/>
                <w:lang w:val="en-US" w:eastAsia="zh-CN"/>
              </w:rPr>
              <w:t>二级指标</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1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2"/>
                <w:szCs w:val="22"/>
                <w:u w:val="none"/>
              </w:rPr>
            </w:pPr>
            <w:r>
              <w:rPr>
                <w:rFonts w:hint="eastAsia" w:ascii="黑体" w:eastAsia="黑体" w:cs="黑体"/>
                <w:i w:val="0"/>
                <w:color w:val="000000"/>
                <w:kern w:val="0"/>
                <w:sz w:val="22"/>
                <w:szCs w:val="22"/>
                <w:u w:val="none"/>
                <w:lang w:val="en-US" w:eastAsia="zh-CN"/>
              </w:rPr>
              <w:t>三级指标</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155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2"/>
                <w:szCs w:val="22"/>
                <w:u w:val="none"/>
              </w:rPr>
            </w:pPr>
            <w:r>
              <w:rPr>
                <w:rFonts w:hint="eastAsia" w:ascii="黑体" w:eastAsia="黑体" w:cs="黑体"/>
                <w:i w:val="0"/>
                <w:color w:val="000000"/>
                <w:kern w:val="0"/>
                <w:sz w:val="22"/>
                <w:szCs w:val="22"/>
                <w:u w:val="none"/>
                <w:lang w:val="en-US" w:eastAsia="zh-CN"/>
              </w:rPr>
              <w:t>指标</w:t>
            </w:r>
            <w:r>
              <w:rPr>
                <w:rFonts w:hint="eastAsia" w:ascii="黑体" w:eastAsia="黑体" w:cs="黑体"/>
                <w:i w:val="0"/>
                <w:color w:val="000000"/>
                <w:kern w:val="0"/>
                <w:sz w:val="22"/>
                <w:szCs w:val="22"/>
                <w:u w:val="none"/>
                <w:lang w:val="en-US" w:eastAsia="zh-CN"/>
              </w:rPr>
              <w:br w:type="textWrapping"/>
            </w:r>
            <w:r>
              <w:rPr>
                <w:rFonts w:hint="eastAsia" w:ascii="黑体" w:eastAsia="黑体" w:cs="黑体"/>
                <w:i w:val="0"/>
                <w:color w:val="000000"/>
                <w:kern w:val="0"/>
                <w:sz w:val="22"/>
                <w:szCs w:val="22"/>
                <w:u w:val="none"/>
                <w:lang w:val="en-US" w:eastAsia="zh-CN"/>
              </w:rPr>
              <w:t>分值</w:t>
            </w:r>
          </w:p>
        </w:tc>
        <w:tc>
          <w:tcPr>
            <w:tcW w:w="44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4068"/>
        </w:tc>
        <w:tc>
          <w:tcPr>
            <w:tcW w:w="756"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E0A8D3E"/>
        </w:tc>
        <w:tc>
          <w:tcPr>
            <w:tcW w:w="478"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41A2F5D"/>
        </w:tc>
      </w:tr>
      <w:tr w14:paraId="3A094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4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总体绩效</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（65分）</w:t>
            </w:r>
          </w:p>
        </w:tc>
        <w:tc>
          <w:tcPr>
            <w:tcW w:w="1252" w:type="dxa"/>
            <w:vMerge w:val="restart"/>
            <w:tcBorders>
              <w:top w:val="single" w:color="000000" w:sz="4" w:space="0"/>
              <w:left w:val="single" w:color="000000" w:sz="4" w:space="0"/>
              <w:bottom w:val="nil"/>
              <w:right w:val="single" w:color="000000" w:sz="4" w:space="0"/>
            </w:tcBorders>
            <w:shd w:val="clear" w:color="auto" w:fill="auto"/>
            <w:noWrap/>
            <w:vAlign w:val="center"/>
          </w:tcPr>
          <w:p w14:paraId="6E971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履职效能</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（15分）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EC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15"/>
                <w:szCs w:val="15"/>
                <w:u w:val="none"/>
                <w:lang w:val="en-US" w:eastAsia="zh-CN"/>
              </w:rPr>
            </w:pPr>
            <w:r>
              <w:rPr>
                <w:rFonts w:hint="eastAsia" w:ascii="宋体" w:eastAsia="宋体" w:cs="宋体"/>
                <w:i w:val="0"/>
                <w:color w:val="000000"/>
                <w:kern w:val="0"/>
                <w:sz w:val="15"/>
                <w:szCs w:val="15"/>
                <w:u w:val="none"/>
                <w:lang w:val="en-US" w:eastAsia="zh-CN"/>
              </w:rPr>
              <w:t>完成了机构编制管理工作，实名制系统维护等机构编制工作任务。</w:t>
            </w:r>
          </w:p>
        </w:tc>
        <w:tc>
          <w:tcPr>
            <w:tcW w:w="690" w:type="dxa"/>
            <w:tcBorders>
              <w:top w:val="nil"/>
              <w:left w:val="single" w:color="000000" w:sz="4" w:space="0"/>
              <w:bottom w:val="single" w:color="000000" w:sz="4" w:space="0"/>
              <w:right w:val="single" w:color="000000" w:sz="4" w:space="0"/>
            </w:tcBorders>
            <w:shd w:val="clear" w:color="auto" w:fill="auto"/>
            <w:noWrap/>
            <w:vAlign w:val="center"/>
          </w:tcPr>
          <w:p w14:paraId="0F08B9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5</w:t>
            </w:r>
          </w:p>
        </w:tc>
        <w:tc>
          <w:tcPr>
            <w:tcW w:w="4479" w:type="dxa"/>
            <w:vMerge w:val="restart"/>
            <w:tcBorders>
              <w:top w:val="single" w:color="000000" w:sz="4" w:space="0"/>
              <w:left w:val="single" w:color="000000" w:sz="4" w:space="0"/>
              <w:bottom w:val="nil"/>
              <w:right w:val="single" w:color="000000" w:sz="4" w:space="0"/>
            </w:tcBorders>
            <w:shd w:val="clear" w:color="auto" w:fill="auto"/>
            <w:noWrap/>
            <w:vAlign w:val="center"/>
          </w:tcPr>
          <w:p w14:paraId="5764EC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581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09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593A8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4" w:type="dxa"/>
            <w:vMerge w:val="continue"/>
            <w:tcBorders>
              <w:top w:val="nil"/>
              <w:left w:val="single" w:color="000000" w:sz="4" w:space="0"/>
              <w:bottom w:val="nil"/>
              <w:right w:val="single" w:color="000000" w:sz="4" w:space="0"/>
            </w:tcBorders>
            <w:shd w:val="clear" w:color="auto" w:fill="auto"/>
            <w:noWrap/>
            <w:vAlign w:val="center"/>
          </w:tcPr>
          <w:p w14:paraId="6839B782"/>
        </w:tc>
        <w:tc>
          <w:tcPr>
            <w:tcW w:w="1252" w:type="dxa"/>
            <w:vMerge w:val="continue"/>
            <w:tcBorders>
              <w:top w:val="nil"/>
              <w:left w:val="single" w:color="000000" w:sz="4" w:space="0"/>
              <w:bottom w:val="nil"/>
              <w:right w:val="single" w:color="000000" w:sz="4" w:space="0"/>
            </w:tcBorders>
            <w:shd w:val="clear" w:color="auto" w:fill="auto"/>
            <w:noWrap/>
            <w:vAlign w:val="center"/>
          </w:tcPr>
          <w:p w14:paraId="3B37DD11"/>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06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15"/>
                <w:szCs w:val="15"/>
                <w:u w:val="none"/>
                <w:lang w:val="en-US" w:eastAsia="zh-CN"/>
              </w:rPr>
            </w:pPr>
            <w:r>
              <w:rPr>
                <w:rFonts w:hint="eastAsia" w:ascii="宋体" w:eastAsia="宋体" w:cs="宋体"/>
                <w:i w:val="0"/>
                <w:color w:val="000000"/>
                <w:kern w:val="0"/>
                <w:sz w:val="15"/>
                <w:szCs w:val="15"/>
                <w:u w:val="none"/>
                <w:lang w:val="en-US" w:eastAsia="zh-CN"/>
              </w:rPr>
              <w:t>完成了全县事业单位登记和年检、事业单位年度报告公示工作。</w:t>
            </w:r>
          </w:p>
        </w:tc>
        <w:tc>
          <w:tcPr>
            <w:tcW w:w="690" w:type="dxa"/>
            <w:tcBorders>
              <w:top w:val="nil"/>
              <w:left w:val="single" w:color="000000" w:sz="4" w:space="0"/>
              <w:bottom w:val="single" w:color="000000" w:sz="4" w:space="0"/>
              <w:right w:val="single" w:color="000000" w:sz="4" w:space="0"/>
            </w:tcBorders>
            <w:shd w:val="clear" w:color="auto" w:fill="auto"/>
            <w:noWrap/>
            <w:vAlign w:val="center"/>
          </w:tcPr>
          <w:p w14:paraId="0C44DE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5</w:t>
            </w:r>
          </w:p>
        </w:tc>
        <w:tc>
          <w:tcPr>
            <w:tcW w:w="4479" w:type="dxa"/>
            <w:vMerge w:val="continue"/>
            <w:tcBorders>
              <w:top w:val="nil"/>
              <w:left w:val="single" w:color="000000" w:sz="4" w:space="0"/>
              <w:bottom w:val="nil"/>
              <w:right w:val="single" w:color="000000" w:sz="4" w:space="0"/>
            </w:tcBorders>
            <w:shd w:val="clear" w:color="auto" w:fill="auto"/>
            <w:noWrap/>
            <w:vAlign w:val="center"/>
          </w:tcPr>
          <w:p w14:paraId="35CF52D1"/>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1B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85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19B53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nil"/>
              <w:left w:val="single" w:color="000000" w:sz="4" w:space="0"/>
              <w:bottom w:val="nil"/>
              <w:right w:val="single" w:color="000000" w:sz="4" w:space="0"/>
            </w:tcBorders>
            <w:shd w:val="clear" w:color="auto" w:fill="auto"/>
            <w:noWrap/>
            <w:vAlign w:val="center"/>
          </w:tcPr>
          <w:p w14:paraId="79622989"/>
        </w:tc>
        <w:tc>
          <w:tcPr>
            <w:tcW w:w="125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7CA6D76"/>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06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15"/>
                <w:szCs w:val="15"/>
                <w:u w:val="none"/>
                <w:lang w:val="en-US" w:eastAsia="zh-CN"/>
              </w:rPr>
            </w:pPr>
            <w:r>
              <w:rPr>
                <w:rFonts w:hint="eastAsia" w:ascii="宋体" w:eastAsia="宋体" w:cs="宋体"/>
                <w:i w:val="0"/>
                <w:color w:val="000000"/>
                <w:kern w:val="0"/>
                <w:sz w:val="15"/>
                <w:szCs w:val="15"/>
                <w:u w:val="none"/>
                <w:lang w:val="en-US" w:eastAsia="zh-CN"/>
              </w:rPr>
              <w:t>准确及时支付人员经费、缴纳各类保险、公务费等工作。</w:t>
            </w:r>
          </w:p>
        </w:tc>
        <w:tc>
          <w:tcPr>
            <w:tcW w:w="690" w:type="dxa"/>
            <w:tcBorders>
              <w:top w:val="nil"/>
              <w:left w:val="single" w:color="000000" w:sz="4" w:space="0"/>
              <w:bottom w:val="single" w:color="000000" w:sz="4" w:space="0"/>
              <w:right w:val="single" w:color="000000" w:sz="4" w:space="0"/>
            </w:tcBorders>
            <w:shd w:val="clear" w:color="auto" w:fill="auto"/>
            <w:noWrap/>
            <w:vAlign w:val="center"/>
          </w:tcPr>
          <w:p w14:paraId="5253D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5</w:t>
            </w:r>
          </w:p>
        </w:tc>
        <w:tc>
          <w:tcPr>
            <w:tcW w:w="4479"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89D122C"/>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9E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93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00F78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AD27"/>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28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预算管理</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（25分）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01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预算编制质量</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19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8</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AF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3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23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3DB1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9666"/>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A3A3"/>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72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单位收入统筹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8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58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71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82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29822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1D39"/>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214EA"/>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E5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支出执行进度</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47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6</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02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4E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89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754EA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319A"/>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D97D"/>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09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预算年终结余</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11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2</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B3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D3B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C5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10C6B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F366"/>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0019"/>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6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严控一般性支出</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0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5</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92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A6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3C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1C46F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2ACC"/>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C7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财务管理</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（10分）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D8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财务管理制度</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7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A3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DD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4A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6A8E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E9D1"/>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6142"/>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B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财务岗位设置</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E1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2</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D7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B9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13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24340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3F52"/>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BD14"/>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D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资金使用规范</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F31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B6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2D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22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329D4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E158"/>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64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资产管理</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（9分）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15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人均资产变化率</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D5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11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38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54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01C6C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4BE1"/>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3F26"/>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20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资产利用率</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2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92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A2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57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4D767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7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总体绩效</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（65分）</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A1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资产管理</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（9分）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D6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资产盘活率</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5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F2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4F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9E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31CAB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94DE4"/>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02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采购管理</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（6分）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1D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支持中小企业发展</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52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97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1F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B1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1BEE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8D14"/>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97E2"/>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680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采购执行率</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5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EB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59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5D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07732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F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项目绩效</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（35分）</w:t>
            </w:r>
          </w:p>
        </w:tc>
        <w:tc>
          <w:tcPr>
            <w:tcW w:w="1252" w:type="dxa"/>
            <w:vMerge w:val="restart"/>
            <w:tcBorders>
              <w:top w:val="single" w:color="000000" w:sz="4" w:space="0"/>
              <w:left w:val="single" w:color="000000" w:sz="4" w:space="0"/>
              <w:bottom w:val="nil"/>
              <w:right w:val="single" w:color="000000" w:sz="4" w:space="0"/>
            </w:tcBorders>
            <w:shd w:val="clear" w:color="auto" w:fill="auto"/>
            <w:noWrap/>
            <w:vAlign w:val="center"/>
          </w:tcPr>
          <w:p w14:paraId="072C9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项目决策</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（12分）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15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决策程序</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75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CC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7C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4F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6B082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7277"/>
        </w:tc>
        <w:tc>
          <w:tcPr>
            <w:tcW w:w="125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267079F"/>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52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目标设置</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AEA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B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93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59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7BA5B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AC12"/>
        </w:tc>
        <w:tc>
          <w:tcPr>
            <w:tcW w:w="125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29E1833"/>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B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项目入库</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BE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A9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B2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FA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1D35B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27AF"/>
        </w:tc>
        <w:tc>
          <w:tcPr>
            <w:tcW w:w="1252" w:type="dxa"/>
            <w:vMerge w:val="restart"/>
            <w:tcBorders>
              <w:top w:val="single" w:color="000000" w:sz="4" w:space="0"/>
              <w:left w:val="single" w:color="000000" w:sz="4" w:space="0"/>
              <w:bottom w:val="nil"/>
              <w:right w:val="single" w:color="000000" w:sz="4" w:space="0"/>
            </w:tcBorders>
            <w:shd w:val="clear" w:color="auto" w:fill="auto"/>
            <w:noWrap/>
            <w:vAlign w:val="center"/>
          </w:tcPr>
          <w:p w14:paraId="5181C3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项目执行</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（12分）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5C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执行同向</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3D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A8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0D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CB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34F35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A6FC"/>
        </w:tc>
        <w:tc>
          <w:tcPr>
            <w:tcW w:w="125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11B84B9"/>
        </w:tc>
        <w:tc>
          <w:tcPr>
            <w:tcW w:w="2160" w:type="dxa"/>
            <w:tcBorders>
              <w:top w:val="single" w:color="000000" w:sz="4" w:space="0"/>
              <w:left w:val="single" w:color="000000" w:sz="4" w:space="0"/>
              <w:bottom w:val="nil"/>
              <w:right w:val="single" w:color="000000" w:sz="4" w:space="0"/>
            </w:tcBorders>
            <w:shd w:val="clear" w:color="auto" w:fill="auto"/>
            <w:noWrap/>
            <w:vAlign w:val="center"/>
          </w:tcPr>
          <w:p w14:paraId="141E1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项目调整</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2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E0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97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387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7747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A0DE"/>
        </w:tc>
        <w:tc>
          <w:tcPr>
            <w:tcW w:w="125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3E6188A"/>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A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执行结果</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B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33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62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FF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6E3EC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4666"/>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82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目标实现</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（11分）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71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目标完成</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F8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8D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B8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17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6312A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760E"/>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12CF"/>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0F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目标偏离</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7E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DB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C30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49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609B6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A395"/>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173AB"/>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36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实现效果</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A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1E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A4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21"/>
                <w:u w:val="none"/>
                <w:lang w:val="en-US" w:eastAsia="zh-CN"/>
              </w:rPr>
            </w:pPr>
            <w:r>
              <w:rPr>
                <w:rFonts w:hint="eastAsia" w:ascii="宋体" w:eastAsia="宋体" w:cs="宋体"/>
                <w:i w:val="0"/>
                <w:color w:val="000000"/>
                <w:kern w:val="0"/>
                <w:sz w:val="21"/>
                <w:szCs w:val="21"/>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55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r w14:paraId="5BCEB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E8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1"/>
                <w:szCs w:val="21"/>
                <w:u w:val="none"/>
              </w:rPr>
            </w:pPr>
            <w:r>
              <w:rPr>
                <w:rFonts w:hint="eastAsia" w:ascii="宋体" w:eastAsia="宋体" w:cs="宋体"/>
                <w:b/>
                <w:i w:val="0"/>
                <w:color w:val="000000"/>
                <w:kern w:val="0"/>
                <w:sz w:val="21"/>
                <w:szCs w:val="21"/>
                <w:u w:val="none"/>
                <w:lang w:val="en-US" w:eastAsia="zh-CN"/>
              </w:rPr>
              <w:t>扣分项</w:t>
            </w:r>
            <w:r>
              <w:rPr>
                <w:rFonts w:hint="eastAsia" w:ascii="宋体" w:eastAsia="宋体" w:cs="宋体"/>
                <w:b/>
                <w:i w:val="0"/>
                <w:color w:val="000000"/>
                <w:kern w:val="0"/>
                <w:sz w:val="21"/>
                <w:szCs w:val="21"/>
                <w:u w:val="none"/>
                <w:lang w:val="en-US" w:eastAsia="zh-CN"/>
              </w:rPr>
              <w:br w:type="textWrapping"/>
            </w:r>
            <w:r>
              <w:rPr>
                <w:rFonts w:hint="eastAsia" w:ascii="宋体" w:eastAsia="宋体" w:cs="宋体"/>
                <w:b/>
                <w:i w:val="0"/>
                <w:color w:val="000000"/>
                <w:kern w:val="0"/>
                <w:sz w:val="21"/>
                <w:szCs w:val="21"/>
                <w:u w:val="none"/>
                <w:lang w:val="en-US" w:eastAsia="zh-CN"/>
              </w:rPr>
              <w:t>（10分）</w:t>
            </w:r>
          </w:p>
        </w:tc>
        <w:tc>
          <w:tcPr>
            <w:tcW w:w="34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4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被评价部门配合度</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B2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w:t>
            </w:r>
          </w:p>
        </w:tc>
        <w:tc>
          <w:tcPr>
            <w:tcW w:w="4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51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1"/>
                <w:szCs w:val="21"/>
                <w:u w:val="none"/>
              </w:rPr>
            </w:pPr>
            <w:r>
              <w:rPr>
                <w:rFonts w:hint="eastAsia" w:ascii="宋体" w:eastAsia="宋体" w:cs="宋体"/>
                <w:i w:val="0"/>
                <w:color w:val="000000"/>
                <w:kern w:val="0"/>
                <w:sz w:val="21"/>
                <w:szCs w:val="21"/>
                <w:u w:val="none"/>
                <w:lang w:val="en-US" w:eastAsia="zh-CN"/>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F8B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F2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1"/>
                <w:szCs w:val="21"/>
                <w:u w:val="none"/>
                <w:lang w:val="en-US" w:eastAsia="zh-CN"/>
              </w:rPr>
            </w:pPr>
          </w:p>
        </w:tc>
      </w:tr>
    </w:tbl>
    <w:p w14:paraId="5AC05834">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064A52B5">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28"/>
          <w:szCs w:val="22"/>
          <w:highlight w:val="none"/>
          <w:lang w:val="en-US" w:eastAsia="zh-CN" w:bidi="ar-SA"/>
        </w:rPr>
      </w:pPr>
    </w:p>
    <w:p w14:paraId="75A078D5">
      <w:pPr>
        <w:keepNext w:val="0"/>
        <w:keepLines w:val="0"/>
        <w:pageBreakBefore w:val="0"/>
        <w:widowControl w:val="0"/>
        <w:kinsoku/>
        <w:wordWrap/>
        <w:overflowPunct/>
        <w:topLinePunct w:val="0"/>
        <w:autoSpaceDE/>
        <w:autoSpaceDN/>
        <w:bidi w:val="0"/>
        <w:spacing w:line="578" w:lineRule="exact"/>
        <w:jc w:val="left"/>
        <w:textAlignment w:val="auto"/>
        <w:rPr>
          <w:sz w:val="28"/>
          <w:szCs w:val="22"/>
          <w:lang w:val="en-US" w:eastAsia="zh-CN"/>
        </w:rPr>
      </w:pPr>
      <w:r>
        <w:rPr>
          <w:rFonts w:ascii="Times New Roman" w:hAnsi="Times New Roman" w:eastAsia="黑体" w:cs="Times New Roman"/>
          <w:kern w:val="2"/>
          <w:sz w:val="28"/>
          <w:szCs w:val="22"/>
          <w:highlight w:val="none"/>
          <w:lang w:val="en-US" w:eastAsia="zh-CN" w:bidi="ar-SA"/>
        </w:rPr>
        <w:t>附表</w:t>
      </w:r>
      <w:r>
        <w:rPr>
          <w:rFonts w:hint="eastAsia" w:ascii="Times New Roman" w:hAnsi="Times New Roman" w:eastAsia="黑体" w:cs="Times New Roman"/>
          <w:kern w:val="2"/>
          <w:sz w:val="28"/>
          <w:szCs w:val="22"/>
          <w:highlight w:val="none"/>
          <w:lang w:val="en-US" w:eastAsia="zh-CN" w:bidi="ar-SA"/>
        </w:rPr>
        <w:t>2</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439"/>
        <w:gridCol w:w="804"/>
        <w:gridCol w:w="1291"/>
        <w:gridCol w:w="1058"/>
        <w:gridCol w:w="926"/>
        <w:gridCol w:w="1113"/>
      </w:tblGrid>
      <w:tr w14:paraId="562CA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7" w:hRule="exact"/>
          <w:jc w:val="center"/>
        </w:trPr>
        <w:tc>
          <w:tcPr>
            <w:tcW w:w="10560" w:type="dxa"/>
            <w:gridSpan w:val="9"/>
            <w:tcBorders>
              <w:top w:val="nil"/>
              <w:left w:val="nil"/>
              <w:bottom w:val="nil"/>
              <w:right w:val="nil"/>
            </w:tcBorders>
            <w:shd w:val="clear" w:color="auto" w:fill="auto"/>
            <w:noWrap/>
            <w:vAlign w:val="center"/>
          </w:tcPr>
          <w:p w14:paraId="05EEBE1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4"/>
                <w:szCs w:val="24"/>
                <w:u w:val="none"/>
              </w:rPr>
            </w:pPr>
            <w:r>
              <w:rPr>
                <w:rFonts w:ascii="Times New Roman" w:hAnsi="Times New Roman" w:eastAsia="方正小标宋简体" w:cs="Times New Roman"/>
                <w:i w:val="0"/>
                <w:color w:val="000000"/>
                <w:kern w:val="0"/>
                <w:sz w:val="40"/>
                <w:szCs w:val="40"/>
                <w:u w:val="none"/>
                <w:lang w:val="en-US" w:eastAsia="zh-CN"/>
              </w:rPr>
              <w:t>部门整体支出绩效目标完成情况自评表</w:t>
            </w:r>
          </w:p>
        </w:tc>
      </w:tr>
      <w:tr w14:paraId="7738E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jc w:val="center"/>
        </w:trPr>
        <w:tc>
          <w:tcPr>
            <w:tcW w:w="10560" w:type="dxa"/>
            <w:gridSpan w:val="9"/>
            <w:tcBorders>
              <w:top w:val="nil"/>
              <w:left w:val="nil"/>
              <w:bottom w:val="nil"/>
              <w:right w:val="nil"/>
            </w:tcBorders>
            <w:shd w:val="clear" w:color="auto" w:fill="auto"/>
            <w:noWrap/>
            <w:vAlign w:val="center"/>
          </w:tcPr>
          <w:p w14:paraId="487054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w:t>
            </w:r>
            <w:r>
              <w:rPr>
                <w:rFonts w:hint="eastAsia" w:eastAsia="宋体" w:cs="Times New Roman"/>
                <w:i w:val="0"/>
                <w:color w:val="000000"/>
                <w:kern w:val="0"/>
                <w:sz w:val="28"/>
                <w:szCs w:val="28"/>
                <w:u w:val="none"/>
                <w:lang w:val="en-US" w:eastAsia="zh-CN"/>
              </w:rPr>
              <w:t>4</w:t>
            </w:r>
            <w:r>
              <w:rPr>
                <w:rFonts w:ascii="Times New Roman" w:hAnsi="Times New Roman" w:eastAsia="宋体" w:cs="Times New Roman"/>
                <w:i w:val="0"/>
                <w:color w:val="000000"/>
                <w:kern w:val="0"/>
                <w:sz w:val="28"/>
                <w:szCs w:val="28"/>
                <w:u w:val="none"/>
                <w:lang w:val="en-US" w:eastAsia="zh-CN"/>
              </w:rPr>
              <w:t>年度）</w:t>
            </w:r>
          </w:p>
        </w:tc>
      </w:tr>
      <w:tr w14:paraId="447AB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0" w:hRule="atLeast"/>
          <w:jc w:val="center"/>
        </w:trPr>
        <w:tc>
          <w:tcPr>
            <w:tcW w:w="10560" w:type="dxa"/>
            <w:gridSpan w:val="9"/>
            <w:tcBorders>
              <w:top w:val="nil"/>
              <w:left w:val="nil"/>
              <w:bottom w:val="single" w:color="000000" w:sz="4" w:space="0"/>
              <w:right w:val="nil"/>
            </w:tcBorders>
            <w:shd w:val="clear" w:color="auto" w:fill="auto"/>
            <w:noWrap/>
            <w:vAlign w:val="center"/>
          </w:tcPr>
          <w:p w14:paraId="45D56416">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2FE9E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D1E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部门名称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98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sz w:val="22"/>
                <w:szCs w:val="22"/>
                <w:u w:val="none"/>
              </w:rPr>
              <w:t>中共金川县委机构编制委员会办公室本级</w:t>
            </w:r>
          </w:p>
        </w:tc>
      </w:tr>
      <w:tr w14:paraId="4362C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BE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641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资金总额</w:t>
            </w:r>
          </w:p>
        </w:tc>
        <w:tc>
          <w:tcPr>
            <w:tcW w:w="22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7F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财政拨款</w:t>
            </w:r>
          </w:p>
        </w:tc>
        <w:tc>
          <w:tcPr>
            <w:tcW w:w="438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26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其他资金</w:t>
            </w:r>
          </w:p>
        </w:tc>
      </w:tr>
      <w:tr w14:paraId="364D9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663A"/>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AB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lang w:val="en-US" w:eastAsia="zh-CN"/>
              </w:rPr>
            </w:pPr>
            <w:r>
              <w:rPr>
                <w:rFonts w:hint="eastAsia" w:ascii="Times New Roman" w:hAnsi="Times New Roman" w:eastAsia="宋体" w:cs="Times New Roman"/>
                <w:i w:val="0"/>
                <w:color w:val="000000"/>
                <w:sz w:val="22"/>
                <w:szCs w:val="22"/>
                <w:u w:val="none"/>
                <w:lang w:val="en-US" w:eastAsia="zh-CN"/>
              </w:rPr>
              <w:t>278.47</w:t>
            </w:r>
          </w:p>
        </w:tc>
        <w:tc>
          <w:tcPr>
            <w:tcW w:w="22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50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lang w:val="en-US" w:eastAsia="zh-CN"/>
              </w:rPr>
            </w:pPr>
            <w:r>
              <w:rPr>
                <w:rFonts w:hint="eastAsia" w:eastAsia="宋体" w:cs="Times New Roman"/>
                <w:i w:val="0"/>
                <w:color w:val="000000"/>
                <w:sz w:val="22"/>
                <w:szCs w:val="22"/>
                <w:u w:val="none"/>
                <w:lang w:val="en-US" w:eastAsia="zh-CN"/>
              </w:rPr>
              <w:t>278.47</w:t>
            </w:r>
          </w:p>
        </w:tc>
        <w:tc>
          <w:tcPr>
            <w:tcW w:w="438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3B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22"/>
                <w:szCs w:val="22"/>
                <w:u w:val="none"/>
                <w:lang w:val="en-US" w:eastAsia="zh-CN"/>
              </w:rPr>
            </w:pPr>
            <w:r>
              <w:rPr>
                <w:rFonts w:hint="eastAsia" w:eastAsia="宋体" w:cs="Times New Roman"/>
                <w:i w:val="0"/>
                <w:color w:val="000000"/>
                <w:sz w:val="22"/>
                <w:szCs w:val="22"/>
                <w:u w:val="none"/>
                <w:lang w:val="en-US" w:eastAsia="zh-CN"/>
              </w:rPr>
              <w:t>0</w:t>
            </w:r>
          </w:p>
        </w:tc>
      </w:tr>
      <w:tr w14:paraId="2F29E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3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99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年度总体</w:t>
            </w:r>
          </w:p>
          <w:p w14:paraId="595BAF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目标</w:t>
            </w:r>
          </w:p>
        </w:tc>
        <w:tc>
          <w:tcPr>
            <w:tcW w:w="925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1701">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2"/>
                <w:szCs w:val="22"/>
                <w:u w:val="none"/>
                <w:lang w:eastAsia="zh-CN"/>
              </w:rPr>
            </w:pPr>
            <w:r>
              <w:rPr>
                <w:rFonts w:hint="eastAsia" w:eastAsia="宋体" w:cs="Times New Roman"/>
                <w:i w:val="0"/>
                <w:color w:val="000000"/>
                <w:sz w:val="21"/>
                <w:szCs w:val="21"/>
                <w:u w:val="none"/>
                <w:lang w:eastAsia="zh-CN"/>
              </w:rPr>
              <w:t>负责全县各部门有关机构编制请示事宜的审核；监管全县事业单位，依法管理全县事业单位登记和年检；负责县机构编制委员会全体会议材料准备，负责组织实施县机构编制委员会全体会议的各项决定事项，并将实施情况向县机构编制委员会报告。负责县级党政群机关和事业单位机构编制的日常管理工作，按管理权限对各部门机构编制工作进行管理和业务指导，承办县机构编制委员会交办的其他工作事项。</w:t>
            </w:r>
          </w:p>
        </w:tc>
      </w:tr>
      <w:tr w14:paraId="20C31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38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年度主要</w:t>
            </w:r>
          </w:p>
          <w:p w14:paraId="181092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D6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任务名称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3A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主要内容</w:t>
            </w:r>
          </w:p>
        </w:tc>
      </w:tr>
      <w:tr w14:paraId="2C6D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0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7AAD"/>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612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sz w:val="22"/>
                <w:szCs w:val="22"/>
                <w:u w:val="none"/>
              </w:rPr>
              <w:t>编制管理</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4D7B0">
            <w:pPr>
              <w:keepNext w:val="0"/>
              <w:keepLines w:val="0"/>
              <w:pageBreakBefore w:val="0"/>
              <w:widowControl/>
              <w:suppressLineNumbers w:val="0"/>
              <w:tabs>
                <w:tab w:val="left" w:pos="1558"/>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sz w:val="21"/>
                <w:szCs w:val="21"/>
                <w:u w:val="none"/>
                <w:lang w:eastAsia="zh-CN"/>
              </w:rPr>
            </w:pPr>
            <w:r>
              <w:rPr>
                <w:rFonts w:hint="eastAsia" w:eastAsia="宋体" w:cs="Times New Roman"/>
                <w:i w:val="0"/>
                <w:color w:val="000000"/>
                <w:sz w:val="21"/>
                <w:szCs w:val="21"/>
                <w:u w:val="none"/>
                <w:lang w:eastAsia="zh-CN"/>
              </w:rPr>
              <w:t>负责全县各部门有关机构编制请示事宜的审核，全县行政管理体制和机构改革以及机构编制管理工作，</w:t>
            </w:r>
          </w:p>
          <w:p w14:paraId="103AC341">
            <w:pPr>
              <w:keepNext w:val="0"/>
              <w:keepLines w:val="0"/>
              <w:pageBreakBefore w:val="0"/>
              <w:widowControl/>
              <w:suppressLineNumbers w:val="0"/>
              <w:tabs>
                <w:tab w:val="left" w:pos="1558"/>
              </w:tabs>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2"/>
                <w:szCs w:val="22"/>
                <w:u w:val="none"/>
                <w:lang w:eastAsia="zh-CN"/>
              </w:rPr>
            </w:pPr>
            <w:r>
              <w:rPr>
                <w:rFonts w:hint="eastAsia" w:eastAsia="宋体" w:cs="Times New Roman"/>
                <w:i w:val="0"/>
                <w:color w:val="000000"/>
                <w:sz w:val="21"/>
                <w:szCs w:val="21"/>
                <w:u w:val="none"/>
                <w:lang w:eastAsia="zh-CN"/>
              </w:rPr>
              <w:t>实名制系统维护；负责县机构编制委员会全体会议材料准备，负责组织实施县机构编制委员会全体会议的各项决定事项，并将实施情况向县机构编制委员汇报。</w:t>
            </w:r>
            <w:r>
              <w:rPr>
                <w:rFonts w:hint="eastAsia" w:eastAsia="宋体" w:cs="Times New Roman"/>
                <w:i w:val="0"/>
                <w:color w:val="000000"/>
                <w:sz w:val="22"/>
                <w:szCs w:val="22"/>
                <w:u w:val="none"/>
                <w:lang w:eastAsia="zh-CN"/>
              </w:rPr>
              <w:tab/>
            </w:r>
          </w:p>
        </w:tc>
      </w:tr>
      <w:tr w14:paraId="2DF17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FE7B"/>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E8C4">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2"/>
                <w:szCs w:val="22"/>
                <w:u w:val="none"/>
              </w:rPr>
            </w:pPr>
            <w:r>
              <w:rPr>
                <w:rFonts w:hint="eastAsia" w:eastAsia="宋体" w:cs="Times New Roman"/>
                <w:i w:val="0"/>
                <w:color w:val="000000"/>
                <w:sz w:val="22"/>
                <w:szCs w:val="22"/>
                <w:u w:val="none"/>
                <w:lang w:eastAsia="zh-CN"/>
              </w:rPr>
              <w:t>事业单位登记管理</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4844">
            <w:pPr>
              <w:keepNext w:val="0"/>
              <w:keepLines w:val="0"/>
              <w:pageBreakBefore w:val="0"/>
              <w:widowControl/>
              <w:tabs>
                <w:tab w:val="left" w:pos="628"/>
              </w:tabs>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2"/>
                <w:szCs w:val="22"/>
                <w:u w:val="none"/>
                <w:lang w:eastAsia="zh-CN"/>
              </w:rPr>
            </w:pPr>
            <w:r>
              <w:rPr>
                <w:rFonts w:hint="eastAsia" w:eastAsia="宋体" w:cs="Times New Roman"/>
                <w:i w:val="0"/>
                <w:color w:val="000000"/>
                <w:sz w:val="22"/>
                <w:szCs w:val="22"/>
                <w:u w:val="none"/>
                <w:lang w:eastAsia="zh-CN"/>
              </w:rPr>
              <w:tab/>
            </w:r>
            <w:r>
              <w:rPr>
                <w:rFonts w:hint="eastAsia" w:eastAsia="宋体" w:cs="Times New Roman"/>
                <w:i w:val="0"/>
                <w:color w:val="000000"/>
                <w:sz w:val="22"/>
                <w:szCs w:val="22"/>
                <w:u w:val="none"/>
                <w:lang w:eastAsia="zh-CN"/>
              </w:rPr>
              <w:t>事业单位登记管理，管理全县事业单位登记和年检。</w:t>
            </w:r>
          </w:p>
        </w:tc>
      </w:tr>
      <w:tr w14:paraId="05825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0" w:hRule="atLeast"/>
          <w:jc w:val="center"/>
        </w:trPr>
        <w:tc>
          <w:tcPr>
            <w:tcW w:w="1309" w:type="dxa"/>
            <w:vMerge w:val="restart"/>
            <w:tcBorders>
              <w:top w:val="single" w:color="000000" w:sz="4" w:space="0"/>
              <w:left w:val="single" w:color="000000" w:sz="4" w:space="0"/>
              <w:bottom w:val="nil"/>
              <w:right w:val="single" w:color="000000" w:sz="4" w:space="0"/>
            </w:tcBorders>
            <w:shd w:val="clear" w:color="auto" w:fill="auto"/>
            <w:noWrap/>
            <w:vAlign w:val="center"/>
          </w:tcPr>
          <w:p w14:paraId="579788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年度绩效</w:t>
            </w:r>
          </w:p>
          <w:p w14:paraId="61949F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69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4E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二级指标</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F1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三级指标</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33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绩效指标</w:t>
            </w:r>
          </w:p>
          <w:p w14:paraId="46E6BC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性质</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26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96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绩效度量单位</w:t>
            </w:r>
          </w:p>
        </w:tc>
        <w:tc>
          <w:tcPr>
            <w:tcW w:w="926" w:type="dxa"/>
            <w:tcBorders>
              <w:top w:val="single" w:color="000000" w:sz="4" w:space="0"/>
              <w:left w:val="single" w:color="000000" w:sz="4" w:space="0"/>
              <w:bottom w:val="single" w:color="000000" w:sz="4" w:space="0"/>
              <w:right w:val="nil"/>
            </w:tcBorders>
            <w:shd w:val="clear" w:color="auto" w:fill="auto"/>
            <w:noWrap/>
            <w:vAlign w:val="center"/>
          </w:tcPr>
          <w:p w14:paraId="3B46DB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5CB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实际完成</w:t>
            </w:r>
          </w:p>
          <w:p w14:paraId="6BAC36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指标值</w:t>
            </w:r>
          </w:p>
        </w:tc>
      </w:tr>
      <w:tr w14:paraId="52B93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10"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32403588"/>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32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11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数量指标</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1893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2"/>
                <w:szCs w:val="22"/>
                <w:u w:val="none"/>
              </w:rPr>
            </w:pPr>
            <w:r>
              <w:rPr>
                <w:rFonts w:eastAsia="宋体" w:cs="Times New Roman"/>
                <w:i w:val="0"/>
                <w:color w:val="000000"/>
                <w:sz w:val="16"/>
                <w:szCs w:val="16"/>
                <w:u w:val="none"/>
                <w:lang w:val="en-US" w:eastAsia="zh-CN"/>
              </w:rPr>
              <w:t>事业单位年度报告公示率，圆满完成机构编制工作任务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A78D5">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hint="eastAsia" w:ascii="宋体" w:eastAsia="宋体" w:cs="宋体"/>
                <w:i w:val="0"/>
                <w:iCs w:val="0"/>
                <w:color w:val="000000"/>
                <w:kern w:val="0"/>
                <w:sz w:val="16"/>
                <w:szCs w:val="16"/>
                <w:u w:val="none"/>
                <w:lang w:val="en-US" w:eastAsia="zh-CN"/>
              </w:rPr>
              <w:t>=</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87BC">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8C0D">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6962F">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15</w:t>
            </w:r>
          </w:p>
        </w:tc>
        <w:tc>
          <w:tcPr>
            <w:tcW w:w="1113" w:type="dxa"/>
            <w:tcBorders>
              <w:top w:val="nil"/>
              <w:left w:val="single" w:color="000000" w:sz="4" w:space="0"/>
              <w:bottom w:val="single" w:color="000000" w:sz="4" w:space="0"/>
              <w:right w:val="single" w:color="000000" w:sz="4" w:space="0"/>
            </w:tcBorders>
            <w:shd w:val="clear" w:color="auto" w:fill="auto"/>
            <w:noWrap/>
            <w:vAlign w:val="center"/>
          </w:tcPr>
          <w:p w14:paraId="54E67B04">
            <w:pPr>
              <w:keepNext w:val="0"/>
              <w:keepLines w:val="0"/>
              <w:widowControl/>
              <w:suppressLineNumbers w:val="0"/>
              <w:jc w:val="left"/>
              <w:textAlignment w:val="center"/>
              <w:rPr>
                <w:rFonts w:ascii="Times New Roman" w:hAnsi="Times New Roman" w:eastAsia="宋体" w:cs="Times New Roman"/>
                <w:i w:val="0"/>
                <w:color w:val="000000"/>
                <w:sz w:val="22"/>
                <w:szCs w:val="22"/>
                <w:u w:val="none"/>
                <w:lang w:val="en-US"/>
              </w:rPr>
            </w:pPr>
            <w:r>
              <w:rPr>
                <w:rFonts w:hint="eastAsia" w:ascii="宋体" w:eastAsia="宋体" w:cs="宋体"/>
                <w:i w:val="0"/>
                <w:iCs w:val="0"/>
                <w:color w:val="000000"/>
                <w:kern w:val="0"/>
                <w:sz w:val="16"/>
                <w:szCs w:val="16"/>
                <w:u w:val="none"/>
                <w:lang w:val="en-US" w:eastAsia="zh-CN"/>
              </w:rPr>
              <w:t>100</w:t>
            </w:r>
          </w:p>
        </w:tc>
      </w:tr>
      <w:tr w14:paraId="215BB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45"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57A5ECFE"/>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6A01"/>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6A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质量指标</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5C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hAnsi="Times New Roman" w:eastAsia="宋体" w:cs="Times New Roman"/>
                <w:i w:val="0"/>
                <w:color w:val="000000"/>
                <w:sz w:val="22"/>
                <w:szCs w:val="22"/>
                <w:u w:val="none"/>
              </w:rPr>
            </w:pPr>
            <w:r>
              <w:rPr>
                <w:rFonts w:eastAsia="宋体" w:cs="Times New Roman"/>
                <w:i w:val="0"/>
                <w:color w:val="000000"/>
                <w:sz w:val="16"/>
                <w:szCs w:val="16"/>
                <w:u w:val="none"/>
                <w:lang w:val="en-US" w:eastAsia="zh-CN"/>
              </w:rPr>
              <w:t>准确及时支付人员经费、缴纳各类保险、公务费等</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56F8">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5703">
            <w:pPr>
              <w:keepNext w:val="0"/>
              <w:keepLines w:val="0"/>
              <w:widowControl/>
              <w:suppressLineNumbers w:val="0"/>
              <w:jc w:val="left"/>
              <w:textAlignment w:val="center"/>
              <w:rPr>
                <w:rFonts w:ascii="Times New Roman" w:hAnsi="Times New Roman" w:eastAsia="宋体" w:cs="Times New Roman"/>
                <w:i w:val="0"/>
                <w:color w:val="000000"/>
                <w:sz w:val="22"/>
                <w:szCs w:val="22"/>
                <w:u w:val="none"/>
                <w:lang w:val="en-US"/>
              </w:rPr>
            </w:pPr>
            <w:r>
              <w:rPr>
                <w:rFonts w:hint="eastAsia" w:ascii="宋体" w:eastAsia="宋体" w:cs="宋体"/>
                <w:i w:val="0"/>
                <w:iCs w:val="0"/>
                <w:color w:val="000000"/>
                <w:kern w:val="0"/>
                <w:sz w:val="16"/>
                <w:szCs w:val="16"/>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4F47">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D14E">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4E5E">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hint="eastAsia" w:ascii="宋体" w:eastAsia="宋体" w:cs="宋体"/>
                <w:i w:val="0"/>
                <w:iCs w:val="0"/>
                <w:color w:val="000000"/>
                <w:kern w:val="0"/>
                <w:sz w:val="16"/>
                <w:szCs w:val="16"/>
                <w:u w:val="none"/>
                <w:lang w:val="en-US" w:eastAsia="zh-CN"/>
              </w:rPr>
              <w:t>100</w:t>
            </w:r>
          </w:p>
        </w:tc>
      </w:tr>
      <w:tr w14:paraId="14D3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2D238126"/>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7730"/>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E4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时效指标</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79EA">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eastAsia="宋体" w:cs="Times New Roman"/>
                <w:i w:val="0"/>
                <w:color w:val="000000"/>
                <w:sz w:val="16"/>
                <w:szCs w:val="16"/>
                <w:u w:val="none"/>
                <w:lang w:val="en-US" w:eastAsia="zh-CN"/>
              </w:rPr>
              <w:t>及时拨付率</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6A3D">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A5519">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98C1">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D610A">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0389">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hint="eastAsia" w:ascii="宋体" w:eastAsia="宋体" w:cs="宋体"/>
                <w:i w:val="0"/>
                <w:iCs w:val="0"/>
                <w:color w:val="000000"/>
                <w:kern w:val="0"/>
                <w:sz w:val="16"/>
                <w:szCs w:val="16"/>
                <w:u w:val="none"/>
                <w:lang w:val="en-US" w:eastAsia="zh-CN"/>
              </w:rPr>
              <w:t>100</w:t>
            </w:r>
          </w:p>
        </w:tc>
      </w:tr>
      <w:tr w14:paraId="1B35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0"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2B2A218E"/>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64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效益指标</w:t>
            </w:r>
          </w:p>
        </w:tc>
        <w:tc>
          <w:tcPr>
            <w:tcW w:w="1273" w:type="dxa"/>
            <w:tcBorders>
              <w:top w:val="single" w:color="000000" w:sz="4" w:space="0"/>
              <w:left w:val="single" w:color="000000" w:sz="4" w:space="0"/>
              <w:bottom w:val="nil"/>
              <w:right w:val="single" w:color="000000" w:sz="4" w:space="0"/>
            </w:tcBorders>
            <w:shd w:val="clear" w:color="auto" w:fill="auto"/>
            <w:noWrap/>
            <w:vAlign w:val="center"/>
          </w:tcPr>
          <w:p w14:paraId="1F4DB7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社会效益</w:t>
            </w:r>
          </w:p>
          <w:p w14:paraId="43FF3E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指标</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973F">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eastAsia="宋体" w:cs="Times New Roman"/>
                <w:i w:val="0"/>
                <w:color w:val="000000"/>
                <w:sz w:val="16"/>
                <w:szCs w:val="16"/>
                <w:u w:val="none"/>
                <w:lang w:val="en-US" w:eastAsia="zh-CN"/>
              </w:rPr>
              <w:t>以节约成本为准则</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D82D">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CBB7">
            <w:pPr>
              <w:keepNext w:val="0"/>
              <w:keepLines w:val="0"/>
              <w:widowControl/>
              <w:suppressLineNumbers w:val="0"/>
              <w:jc w:val="left"/>
              <w:textAlignment w:val="center"/>
              <w:rPr>
                <w:rFonts w:ascii="Times New Roman" w:hAnsi="Times New Roman" w:eastAsia="宋体" w:cs="Times New Roman"/>
                <w:i w:val="0"/>
                <w:color w:val="000000"/>
                <w:sz w:val="22"/>
                <w:szCs w:val="22"/>
                <w:u w:val="none"/>
                <w:lang w:val="en-US"/>
              </w:rPr>
            </w:pPr>
            <w:r>
              <w:rPr>
                <w:rFonts w:hint="eastAsia" w:ascii="宋体" w:eastAsia="宋体" w:cs="宋体"/>
                <w:i w:val="0"/>
                <w:iCs w:val="0"/>
                <w:color w:val="000000"/>
                <w:kern w:val="0"/>
                <w:sz w:val="16"/>
                <w:szCs w:val="16"/>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BE08">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09E8">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7740">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hint="eastAsia" w:ascii="宋体" w:eastAsia="宋体" w:cs="宋体"/>
                <w:i w:val="0"/>
                <w:iCs w:val="0"/>
                <w:color w:val="000000"/>
                <w:kern w:val="0"/>
                <w:sz w:val="16"/>
                <w:szCs w:val="16"/>
                <w:u w:val="none"/>
                <w:lang w:val="en-US" w:eastAsia="zh-CN"/>
              </w:rPr>
              <w:t>100</w:t>
            </w:r>
          </w:p>
        </w:tc>
      </w:tr>
      <w:tr w14:paraId="03AF5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0"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538BF736"/>
        </w:tc>
        <w:tc>
          <w:tcPr>
            <w:tcW w:w="1347" w:type="dxa"/>
            <w:vMerge w:val="restart"/>
            <w:tcBorders>
              <w:top w:val="single" w:color="000000" w:sz="4" w:space="0"/>
              <w:left w:val="single" w:color="000000" w:sz="4" w:space="0"/>
              <w:bottom w:val="nil"/>
              <w:right w:val="single" w:color="000000" w:sz="4" w:space="0"/>
            </w:tcBorders>
            <w:shd w:val="clear" w:color="auto" w:fill="auto"/>
            <w:noWrap/>
            <w:vAlign w:val="center"/>
          </w:tcPr>
          <w:p w14:paraId="58535F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ascii="Times New Roman" w:hAnsi="Times New Roman" w:eastAsia="宋体" w:cs="Times New Roman"/>
                <w:i w:val="0"/>
                <w:color w:val="000000"/>
                <w:kern w:val="0"/>
                <w:sz w:val="22"/>
                <w:szCs w:val="22"/>
                <w:u w:val="none"/>
                <w:lang w:val="en-US" w:eastAsia="zh-CN"/>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CDC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2"/>
                <w:szCs w:val="22"/>
                <w:u w:val="none"/>
              </w:rPr>
            </w:pPr>
            <w:r>
              <w:rPr>
                <w:rFonts w:hint="eastAsia" w:eastAsia="宋体" w:cs="Times New Roman"/>
                <w:i w:val="0"/>
                <w:color w:val="000000"/>
                <w:kern w:val="0"/>
                <w:sz w:val="22"/>
                <w:szCs w:val="22"/>
                <w:u w:val="none"/>
                <w:lang w:val="en-US" w:eastAsia="zh-CN"/>
              </w:rPr>
              <w:t>服务对象</w:t>
            </w:r>
            <w:r>
              <w:rPr>
                <w:rFonts w:ascii="Times New Roman" w:hAnsi="Times New Roman" w:eastAsia="宋体" w:cs="Times New Roman"/>
                <w:i w:val="0"/>
                <w:color w:val="000000"/>
                <w:kern w:val="0"/>
                <w:sz w:val="22"/>
                <w:szCs w:val="22"/>
                <w:u w:val="none"/>
                <w:lang w:val="en-US" w:eastAsia="zh-CN"/>
              </w:rPr>
              <w:t>满意度指标</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E8AF">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hint="eastAsia" w:ascii="宋体" w:eastAsia="宋体" w:cs="宋体"/>
                <w:i w:val="0"/>
                <w:iCs w:val="0"/>
                <w:color w:val="000000"/>
                <w:kern w:val="0"/>
                <w:sz w:val="16"/>
                <w:szCs w:val="16"/>
                <w:u w:val="none"/>
                <w:lang w:val="en-US" w:eastAsia="zh-CN"/>
              </w:rPr>
              <w:t>行政机关</w:t>
            </w:r>
            <w:r>
              <w:rPr>
                <w:rFonts w:ascii="宋体" w:eastAsia="宋体" w:cs="宋体"/>
                <w:i w:val="0"/>
                <w:iCs w:val="0"/>
                <w:color w:val="000000"/>
                <w:kern w:val="0"/>
                <w:sz w:val="16"/>
                <w:szCs w:val="16"/>
                <w:u w:val="none"/>
                <w:lang w:val="en-US" w:eastAsia="zh-CN"/>
              </w:rPr>
              <w:t>满意度</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6B29">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A159">
            <w:pPr>
              <w:keepNext w:val="0"/>
              <w:keepLines w:val="0"/>
              <w:widowControl/>
              <w:suppressLineNumbers w:val="0"/>
              <w:jc w:val="left"/>
              <w:textAlignment w:val="center"/>
              <w:rPr>
                <w:rFonts w:ascii="Times New Roman" w:hAnsi="Times New Roman" w:eastAsia="宋体" w:cs="Times New Roman"/>
                <w:i w:val="0"/>
                <w:color w:val="000000"/>
                <w:sz w:val="22"/>
                <w:szCs w:val="22"/>
                <w:u w:val="none"/>
                <w:lang w:val="en-US"/>
              </w:rPr>
            </w:pPr>
            <w:r>
              <w:rPr>
                <w:rFonts w:hint="eastAsia" w:ascii="宋体" w:eastAsia="宋体" w:cs="宋体"/>
                <w:i w:val="0"/>
                <w:iCs w:val="0"/>
                <w:color w:val="000000"/>
                <w:kern w:val="0"/>
                <w:sz w:val="16"/>
                <w:szCs w:val="16"/>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0A9D">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ascii="宋体" w:eastAsia="宋体" w:cs="宋体"/>
                <w:i w:val="0"/>
                <w:iCs w:val="0"/>
                <w:color w:val="000000"/>
                <w:kern w:val="0"/>
                <w:sz w:val="16"/>
                <w:szCs w:val="16"/>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61B9">
            <w:pPr>
              <w:keepNext w:val="0"/>
              <w:keepLines w:val="0"/>
              <w:widowControl/>
              <w:suppressLineNumbers w:val="0"/>
              <w:jc w:val="left"/>
              <w:textAlignment w:val="center"/>
              <w:rPr>
                <w:rFonts w:ascii="Times New Roman" w:hAnsi="Times New Roman" w:eastAsia="宋体" w:cs="Times New Roman"/>
                <w:i w:val="0"/>
                <w:color w:val="000000"/>
                <w:sz w:val="22"/>
                <w:szCs w:val="22"/>
                <w:u w:val="none"/>
                <w:lang w:val="en-US"/>
              </w:rPr>
            </w:pPr>
            <w:r>
              <w:rPr>
                <w:rFonts w:hint="eastAsia" w:ascii="宋体" w:eastAsia="宋体" w:cs="宋体"/>
                <w:i w:val="0"/>
                <w:iCs w:val="0"/>
                <w:color w:val="000000"/>
                <w:kern w:val="0"/>
                <w:sz w:val="16"/>
                <w:szCs w:val="16"/>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E3A8">
            <w:pPr>
              <w:keepNext w:val="0"/>
              <w:keepLines w:val="0"/>
              <w:widowControl/>
              <w:suppressLineNumbers w:val="0"/>
              <w:jc w:val="left"/>
              <w:textAlignment w:val="center"/>
              <w:rPr>
                <w:rFonts w:ascii="Times New Roman" w:hAnsi="Times New Roman" w:eastAsia="宋体" w:cs="Times New Roman"/>
                <w:i w:val="0"/>
                <w:color w:val="000000"/>
                <w:sz w:val="22"/>
                <w:szCs w:val="22"/>
                <w:u w:val="none"/>
              </w:rPr>
            </w:pPr>
            <w:r>
              <w:rPr>
                <w:rFonts w:hint="eastAsia" w:ascii="宋体" w:eastAsia="宋体" w:cs="宋体"/>
                <w:i w:val="0"/>
                <w:iCs w:val="0"/>
                <w:color w:val="000000"/>
                <w:kern w:val="0"/>
                <w:sz w:val="16"/>
                <w:szCs w:val="16"/>
                <w:u w:val="none"/>
                <w:lang w:val="en-US" w:eastAsia="zh-CN"/>
              </w:rPr>
              <w:t>100</w:t>
            </w:r>
          </w:p>
        </w:tc>
      </w:tr>
      <w:tr w14:paraId="3ACB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0"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1E863340"/>
        </w:tc>
        <w:tc>
          <w:tcPr>
            <w:tcW w:w="1347"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527FEE9"/>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50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满意度指标</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D65D4">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职工满意度</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00AC">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CF33">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hint="eastAsia" w:ascii="宋体" w:eastAsia="宋体" w:cs="宋体"/>
                <w:i w:val="0"/>
                <w:iCs w:val="0"/>
                <w:color w:val="000000"/>
                <w:kern w:val="0"/>
                <w:sz w:val="16"/>
                <w:szCs w:val="16"/>
                <w:u w:val="none"/>
                <w:lang w:val="en-US" w:eastAsia="zh-CN"/>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4FE7">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90D4">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D4A6">
            <w:pPr>
              <w:keepNext w:val="0"/>
              <w:keepLines w:val="0"/>
              <w:widowControl/>
              <w:suppressLineNumbers w:val="0"/>
              <w:jc w:val="left"/>
              <w:textAlignment w:val="center"/>
              <w:rPr>
                <w:rFonts w:hint="eastAsia" w:ascii="宋体" w:eastAsia="宋体" w:cs="宋体"/>
                <w:i w:val="0"/>
                <w:iCs w:val="0"/>
                <w:color w:val="000000"/>
                <w:kern w:val="0"/>
                <w:sz w:val="16"/>
                <w:szCs w:val="16"/>
                <w:u w:val="none"/>
                <w:lang w:val="en-US" w:eastAsia="zh-CN"/>
              </w:rPr>
            </w:pPr>
            <w:r>
              <w:rPr>
                <w:rFonts w:hint="eastAsia" w:ascii="宋体" w:eastAsia="宋体" w:cs="宋体"/>
                <w:i w:val="0"/>
                <w:iCs w:val="0"/>
                <w:color w:val="000000"/>
                <w:kern w:val="0"/>
                <w:sz w:val="16"/>
                <w:szCs w:val="16"/>
                <w:u w:val="none"/>
                <w:lang w:val="en-US" w:eastAsia="zh-CN"/>
              </w:rPr>
              <w:t>100</w:t>
            </w:r>
          </w:p>
        </w:tc>
      </w:tr>
      <w:tr w14:paraId="61563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0" w:hRule="atLeast"/>
          <w:jc w:val="center"/>
        </w:trPr>
        <w:tc>
          <w:tcPr>
            <w:tcW w:w="1309"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BBCC53B"/>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D5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0E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Times New Roman" w:hAnsi="Times New Roman" w:eastAsia="宋体" w:cs="Times New Roman"/>
                <w:i w:val="0"/>
                <w:color w:val="000000"/>
                <w:kern w:val="0"/>
                <w:sz w:val="22"/>
                <w:szCs w:val="22"/>
                <w:u w:val="none"/>
                <w:lang w:val="en-US" w:eastAsia="zh-CN"/>
              </w:rPr>
              <w:t>社会成本指标</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52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2"/>
                <w:szCs w:val="22"/>
                <w:u w:val="none"/>
                <w:lang w:val="en-US" w:eastAsia="zh-CN"/>
              </w:rPr>
            </w:pPr>
            <w:r>
              <w:rPr>
                <w:rFonts w:ascii="宋体" w:eastAsia="宋体" w:cs="宋体"/>
                <w:i w:val="0"/>
                <w:iCs w:val="0"/>
                <w:color w:val="000000"/>
                <w:kern w:val="0"/>
                <w:sz w:val="16"/>
                <w:szCs w:val="16"/>
                <w:u w:val="none"/>
                <w:lang w:val="en-US" w:eastAsia="zh-CN"/>
              </w:rPr>
              <w:t>年公务费总额度控制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61A9">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47F4">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503D">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7315">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5944">
            <w:pPr>
              <w:keepNext w:val="0"/>
              <w:keepLines w:val="0"/>
              <w:widowControl/>
              <w:suppressLineNumbers w:val="0"/>
              <w:jc w:val="left"/>
              <w:textAlignment w:val="center"/>
              <w:rPr>
                <w:rFonts w:ascii="宋体" w:eastAsia="宋体" w:cs="宋体"/>
                <w:i w:val="0"/>
                <w:iCs w:val="0"/>
                <w:color w:val="000000"/>
                <w:kern w:val="0"/>
                <w:sz w:val="16"/>
                <w:szCs w:val="16"/>
                <w:u w:val="none"/>
                <w:lang w:val="en-US" w:eastAsia="zh-CN"/>
              </w:rPr>
            </w:pPr>
            <w:r>
              <w:rPr>
                <w:rFonts w:hint="eastAsia" w:ascii="宋体" w:eastAsia="宋体" w:cs="宋体"/>
                <w:i w:val="0"/>
                <w:iCs w:val="0"/>
                <w:color w:val="000000"/>
                <w:kern w:val="0"/>
                <w:sz w:val="16"/>
                <w:szCs w:val="16"/>
                <w:u w:val="none"/>
                <w:lang w:val="en-US" w:eastAsia="zh-CN"/>
              </w:rPr>
              <w:t>100</w:t>
            </w:r>
          </w:p>
        </w:tc>
      </w:tr>
      <w:bookmarkEnd w:id="171"/>
      <w:bookmarkEnd w:id="174"/>
      <w:bookmarkEnd w:id="175"/>
      <w:bookmarkEnd w:id="176"/>
    </w:tbl>
    <w:p w14:paraId="3C564A1D">
      <w:pPr>
        <w:pageBreakBefore w:val="0"/>
        <w:widowControl w:val="0"/>
        <w:kinsoku/>
        <w:wordWrap/>
        <w:overflowPunct/>
        <w:topLinePunct w:val="0"/>
        <w:bidi w:val="0"/>
        <w:spacing w:line="576" w:lineRule="exact"/>
        <w:jc w:val="both"/>
        <w:outlineLvl w:val="0"/>
        <w:rPr>
          <w:rStyle w:val="21"/>
          <w:rFonts w:hint="eastAsia" w:eastAsia="黑体" w:cs="Times New Roman"/>
          <w:b/>
          <w:bCs w:val="0"/>
        </w:rPr>
      </w:pPr>
      <w:bookmarkStart w:id="177" w:name="_Toc26843625"/>
      <w:bookmarkStart w:id="178" w:name="_Toc15396618"/>
      <w:bookmarkStart w:id="179" w:name="_Toc21400"/>
    </w:p>
    <w:p w14:paraId="1F28FFC5">
      <w:pPr>
        <w:pStyle w:val="3"/>
        <w:jc w:val="center"/>
        <w:rPr>
          <w:rFonts w:hint="eastAsia" w:ascii="黑体" w:eastAsia="黑体"/>
          <w:b w:val="0"/>
          <w:lang w:val="en-US" w:eastAsia="zh-CN"/>
        </w:rPr>
      </w:pPr>
      <w:r>
        <w:rPr>
          <w:rFonts w:hint="eastAsia" w:ascii="黑体" w:eastAsia="黑体"/>
          <w:b w:val="0"/>
          <w:lang w:val="en-US" w:eastAsia="zh-CN"/>
        </w:rPr>
        <w:t>第五部分　附表</w:t>
      </w:r>
      <w:bookmarkEnd w:id="177"/>
      <w:bookmarkEnd w:id="178"/>
      <w:bookmarkEnd w:id="179"/>
      <w:bookmarkStart w:id="180" w:name="_Toc15396619"/>
    </w:p>
    <w:bookmarkEnd w:id="180"/>
    <w:p w14:paraId="21DC093E">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81" w:name="_Toc24291"/>
      <w:bookmarkStart w:id="182" w:name="_Toc26843626"/>
      <w:r>
        <w:rPr>
          <w:rFonts w:ascii="Times New Roman" w:hAnsi="Times New Roman" w:eastAsia="仿宋" w:cs="Times New Roman"/>
          <w:b w:val="0"/>
        </w:rPr>
        <w:t>一、收</w:t>
      </w:r>
      <w:r>
        <w:rPr>
          <w:rStyle w:val="22"/>
          <w:rFonts w:ascii="Times New Roman" w:hAnsi="Times New Roman" w:eastAsia="仿宋" w:cs="Times New Roman"/>
          <w:b w:val="0"/>
          <w:bCs w:val="0"/>
        </w:rPr>
        <w:t>入支出决算总表</w:t>
      </w:r>
      <w:bookmarkEnd w:id="181"/>
      <w:bookmarkEnd w:id="182"/>
    </w:p>
    <w:p w14:paraId="78161B8A">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83" w:name="_Toc15484"/>
      <w:bookmarkStart w:id="184" w:name="_Toc15396620"/>
      <w:bookmarkStart w:id="185" w:name="_Toc26843627"/>
      <w:r>
        <w:rPr>
          <w:rFonts w:ascii="Times New Roman" w:hAnsi="Times New Roman" w:eastAsia="仿宋" w:cs="Times New Roman"/>
          <w:b w:val="0"/>
        </w:rPr>
        <w:t>二、收</w:t>
      </w:r>
      <w:r>
        <w:rPr>
          <w:rStyle w:val="22"/>
          <w:rFonts w:ascii="Times New Roman" w:hAnsi="Times New Roman" w:eastAsia="仿宋" w:cs="Times New Roman"/>
          <w:b w:val="0"/>
          <w:bCs w:val="0"/>
        </w:rPr>
        <w:t>入决算表</w:t>
      </w:r>
      <w:bookmarkEnd w:id="183"/>
      <w:bookmarkEnd w:id="184"/>
      <w:bookmarkEnd w:id="185"/>
    </w:p>
    <w:p w14:paraId="70BD98AD">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86" w:name="_Toc29434"/>
      <w:bookmarkStart w:id="187" w:name="_Toc15396621"/>
      <w:bookmarkStart w:id="188" w:name="_Toc26843628"/>
      <w:r>
        <w:rPr>
          <w:rStyle w:val="22"/>
          <w:rFonts w:ascii="Times New Roman" w:hAnsi="Times New Roman" w:eastAsia="仿宋" w:cs="Times New Roman"/>
          <w:b w:val="0"/>
          <w:bCs w:val="0"/>
        </w:rPr>
        <w:t>三、</w:t>
      </w:r>
      <w:r>
        <w:rPr>
          <w:rFonts w:ascii="Times New Roman" w:hAnsi="Times New Roman" w:eastAsia="仿宋" w:cs="Times New Roman"/>
          <w:b w:val="0"/>
        </w:rPr>
        <w:t>支</w:t>
      </w:r>
      <w:r>
        <w:rPr>
          <w:rStyle w:val="22"/>
          <w:rFonts w:ascii="Times New Roman" w:hAnsi="Times New Roman" w:eastAsia="仿宋" w:cs="Times New Roman"/>
          <w:b w:val="0"/>
          <w:bCs w:val="0"/>
        </w:rPr>
        <w:t>出决算表</w:t>
      </w:r>
      <w:bookmarkEnd w:id="186"/>
      <w:bookmarkEnd w:id="187"/>
      <w:bookmarkEnd w:id="188"/>
    </w:p>
    <w:p w14:paraId="6B1F9AE4">
      <w:pPr>
        <w:pStyle w:val="4"/>
        <w:keepNext/>
        <w:keepLines/>
        <w:pageBreakBefore w:val="0"/>
        <w:widowControl w:val="0"/>
        <w:kinsoku/>
        <w:wordWrap/>
        <w:overflowPunct/>
        <w:topLinePunct w:val="0"/>
        <w:bidi w:val="0"/>
        <w:spacing w:line="576" w:lineRule="exact"/>
        <w:rPr>
          <w:rFonts w:ascii="Times New Roman" w:hAnsi="Times New Roman" w:eastAsia="仿宋" w:cs="Times New Roman"/>
          <w:b w:val="0"/>
        </w:rPr>
      </w:pPr>
      <w:bookmarkStart w:id="189" w:name="_Toc26843629"/>
      <w:bookmarkStart w:id="190" w:name="_Toc15396622"/>
      <w:bookmarkStart w:id="191" w:name="_Toc14484"/>
      <w:r>
        <w:rPr>
          <w:rStyle w:val="22"/>
          <w:rFonts w:ascii="Times New Roman" w:hAnsi="Times New Roman" w:eastAsia="仿宋" w:cs="Times New Roman"/>
          <w:b w:val="0"/>
          <w:bCs w:val="0"/>
        </w:rPr>
        <w:t>四、</w:t>
      </w:r>
      <w:r>
        <w:rPr>
          <w:rFonts w:ascii="Times New Roman" w:hAnsi="Times New Roman" w:eastAsia="仿宋" w:cs="Times New Roman"/>
          <w:b w:val="0"/>
        </w:rPr>
        <w:t>财</w:t>
      </w:r>
      <w:r>
        <w:rPr>
          <w:rStyle w:val="22"/>
          <w:rFonts w:ascii="Times New Roman" w:hAnsi="Times New Roman" w:eastAsia="仿宋" w:cs="Times New Roman"/>
          <w:b w:val="0"/>
          <w:bCs w:val="0"/>
        </w:rPr>
        <w:t>政拨款收入支出决算总表</w:t>
      </w:r>
      <w:bookmarkEnd w:id="189"/>
      <w:bookmarkEnd w:id="190"/>
      <w:bookmarkEnd w:id="191"/>
    </w:p>
    <w:p w14:paraId="6A26CB59">
      <w:pPr>
        <w:pStyle w:val="4"/>
        <w:keepNext/>
        <w:keepLines/>
        <w:pageBreakBefore w:val="0"/>
        <w:widowControl w:val="0"/>
        <w:kinsoku/>
        <w:wordWrap/>
        <w:overflowPunct/>
        <w:topLinePunct w:val="0"/>
        <w:bidi w:val="0"/>
        <w:spacing w:line="576" w:lineRule="exact"/>
        <w:rPr>
          <w:rStyle w:val="22"/>
          <w:rFonts w:ascii="Times New Roman" w:hAnsi="Times New Roman" w:eastAsia="仿宋" w:cs="Times New Roman"/>
          <w:b w:val="0"/>
          <w:bCs w:val="0"/>
        </w:rPr>
      </w:pPr>
      <w:bookmarkStart w:id="192" w:name="_Toc15396623"/>
      <w:bookmarkStart w:id="193" w:name="_Toc26550"/>
      <w:bookmarkStart w:id="194" w:name="_Toc26843630"/>
      <w:r>
        <w:rPr>
          <w:rStyle w:val="22"/>
          <w:rFonts w:ascii="Times New Roman" w:hAnsi="Times New Roman" w:eastAsia="仿宋" w:cs="Times New Roman"/>
          <w:b w:val="0"/>
          <w:bCs w:val="0"/>
        </w:rPr>
        <w:t>五、</w:t>
      </w:r>
      <w:r>
        <w:rPr>
          <w:rFonts w:ascii="Times New Roman" w:hAnsi="Times New Roman" w:eastAsia="仿宋" w:cs="Times New Roman"/>
          <w:b w:val="0"/>
        </w:rPr>
        <w:t>财</w:t>
      </w:r>
      <w:r>
        <w:rPr>
          <w:rStyle w:val="22"/>
          <w:rFonts w:ascii="Times New Roman" w:hAnsi="Times New Roman" w:eastAsia="仿宋" w:cs="Times New Roman"/>
          <w:b w:val="0"/>
          <w:bCs w:val="0"/>
        </w:rPr>
        <w:t>政拨款支出决算明细表</w:t>
      </w:r>
      <w:bookmarkEnd w:id="192"/>
      <w:bookmarkEnd w:id="193"/>
      <w:bookmarkEnd w:id="194"/>
      <w:bookmarkStart w:id="195" w:name="_Toc15396624"/>
    </w:p>
    <w:p w14:paraId="1A07B0A2">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96" w:name="_Toc26843631"/>
      <w:bookmarkStart w:id="197" w:name="_Toc26861"/>
      <w:r>
        <w:rPr>
          <w:rStyle w:val="22"/>
          <w:rFonts w:ascii="Times New Roman" w:hAnsi="Times New Roman" w:eastAsia="仿宋" w:cs="Times New Roman"/>
          <w:b w:val="0"/>
          <w:bCs w:val="0"/>
        </w:rPr>
        <w:t>六、</w:t>
      </w:r>
      <w:r>
        <w:rPr>
          <w:rFonts w:ascii="Times New Roman" w:hAnsi="Times New Roman" w:eastAsia="仿宋" w:cs="Times New Roman"/>
          <w:b w:val="0"/>
        </w:rPr>
        <w:t>一</w:t>
      </w:r>
      <w:r>
        <w:rPr>
          <w:rStyle w:val="22"/>
          <w:rFonts w:ascii="Times New Roman" w:hAnsi="Times New Roman" w:eastAsia="仿宋" w:cs="Times New Roman"/>
          <w:b w:val="0"/>
          <w:bCs w:val="0"/>
        </w:rPr>
        <w:t>般公共预算财政拨款支出决算表</w:t>
      </w:r>
      <w:bookmarkEnd w:id="195"/>
      <w:bookmarkEnd w:id="196"/>
      <w:bookmarkEnd w:id="197"/>
    </w:p>
    <w:p w14:paraId="34558096">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98" w:name="_Toc20001"/>
      <w:bookmarkStart w:id="199" w:name="_Toc15396625"/>
      <w:bookmarkStart w:id="200" w:name="_Toc26843632"/>
      <w:r>
        <w:rPr>
          <w:rStyle w:val="22"/>
          <w:rFonts w:ascii="Times New Roman" w:hAnsi="Times New Roman" w:eastAsia="仿宋" w:cs="Times New Roman"/>
          <w:b w:val="0"/>
          <w:bCs w:val="0"/>
        </w:rPr>
        <w:t>七、</w:t>
      </w:r>
      <w:r>
        <w:rPr>
          <w:rFonts w:ascii="Times New Roman" w:hAnsi="Times New Roman" w:eastAsia="仿宋" w:cs="Times New Roman"/>
          <w:b w:val="0"/>
        </w:rPr>
        <w:t>一</w:t>
      </w:r>
      <w:r>
        <w:rPr>
          <w:rStyle w:val="22"/>
          <w:rFonts w:ascii="Times New Roman" w:hAnsi="Times New Roman" w:eastAsia="仿宋" w:cs="Times New Roman"/>
          <w:b w:val="0"/>
          <w:bCs w:val="0"/>
        </w:rPr>
        <w:t>般公共预算财政拨款支出决算明细表</w:t>
      </w:r>
      <w:bookmarkEnd w:id="198"/>
      <w:bookmarkEnd w:id="199"/>
      <w:bookmarkEnd w:id="200"/>
    </w:p>
    <w:p w14:paraId="76B84AF8">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01" w:name="_Toc26093"/>
      <w:bookmarkStart w:id="202" w:name="_Toc26843633"/>
      <w:bookmarkStart w:id="203" w:name="_Toc15396626"/>
      <w:r>
        <w:rPr>
          <w:rStyle w:val="22"/>
          <w:rFonts w:ascii="Times New Roman" w:hAnsi="Times New Roman" w:eastAsia="仿宋" w:cs="Times New Roman"/>
          <w:b w:val="0"/>
          <w:bCs w:val="0"/>
        </w:rPr>
        <w:t>八、</w:t>
      </w:r>
      <w:r>
        <w:rPr>
          <w:rFonts w:ascii="Times New Roman" w:hAnsi="Times New Roman" w:eastAsia="仿宋" w:cs="Times New Roman"/>
          <w:b w:val="0"/>
        </w:rPr>
        <w:t>一</w:t>
      </w:r>
      <w:r>
        <w:rPr>
          <w:rStyle w:val="22"/>
          <w:rFonts w:ascii="Times New Roman" w:hAnsi="Times New Roman" w:eastAsia="仿宋" w:cs="Times New Roman"/>
          <w:b w:val="0"/>
          <w:bCs w:val="0"/>
        </w:rPr>
        <w:t>般公共预算财政拨款基本支出决算明细表</w:t>
      </w:r>
      <w:bookmarkEnd w:id="201"/>
      <w:bookmarkEnd w:id="202"/>
      <w:bookmarkEnd w:id="203"/>
    </w:p>
    <w:p w14:paraId="72A80AE5">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04" w:name="_Toc639"/>
      <w:bookmarkStart w:id="205" w:name="_Toc26843634"/>
      <w:bookmarkStart w:id="206" w:name="_Toc15396627"/>
      <w:r>
        <w:rPr>
          <w:rStyle w:val="22"/>
          <w:rFonts w:ascii="Times New Roman" w:hAnsi="Times New Roman" w:eastAsia="仿宋" w:cs="Times New Roman"/>
          <w:b w:val="0"/>
          <w:bCs w:val="0"/>
        </w:rPr>
        <w:t>九、</w:t>
      </w:r>
      <w:r>
        <w:rPr>
          <w:rFonts w:ascii="Times New Roman" w:hAnsi="Times New Roman" w:eastAsia="仿宋" w:cs="Times New Roman"/>
          <w:b w:val="0"/>
        </w:rPr>
        <w:t>一</w:t>
      </w:r>
      <w:r>
        <w:rPr>
          <w:rStyle w:val="22"/>
          <w:rFonts w:ascii="Times New Roman" w:hAnsi="Times New Roman" w:eastAsia="仿宋" w:cs="Times New Roman"/>
          <w:b w:val="0"/>
          <w:bCs w:val="0"/>
        </w:rPr>
        <w:t>般公共预算财政拨款项目支出决算表</w:t>
      </w:r>
      <w:bookmarkEnd w:id="204"/>
      <w:bookmarkEnd w:id="205"/>
      <w:bookmarkEnd w:id="206"/>
    </w:p>
    <w:p w14:paraId="5193549D">
      <w:pPr>
        <w:pStyle w:val="4"/>
        <w:keepNext/>
        <w:keepLines/>
        <w:pageBreakBefore w:val="0"/>
        <w:widowControl w:val="0"/>
        <w:kinsoku/>
        <w:wordWrap/>
        <w:overflowPunct/>
        <w:topLinePunct w:val="0"/>
        <w:bidi w:val="0"/>
        <w:spacing w:line="576" w:lineRule="exact"/>
        <w:rPr>
          <w:rStyle w:val="22"/>
          <w:rFonts w:ascii="Times New Roman" w:hAnsi="Times New Roman" w:eastAsia="仿宋" w:cs="Times New Roman"/>
          <w:b w:val="0"/>
          <w:bCs w:val="0"/>
        </w:rPr>
      </w:pPr>
      <w:bookmarkStart w:id="207" w:name="_Toc26843635"/>
      <w:bookmarkStart w:id="208" w:name="_Toc15396628"/>
      <w:bookmarkStart w:id="209" w:name="_Toc4696"/>
      <w:r>
        <w:rPr>
          <w:rStyle w:val="22"/>
          <w:rFonts w:ascii="Times New Roman" w:hAnsi="Times New Roman" w:eastAsia="仿宋" w:cs="Times New Roman"/>
          <w:b w:val="0"/>
          <w:bCs w:val="0"/>
        </w:rPr>
        <w:t>十、</w:t>
      </w:r>
      <w:bookmarkEnd w:id="207"/>
      <w:bookmarkEnd w:id="208"/>
      <w:bookmarkStart w:id="210" w:name="_Toc15396629"/>
      <w:bookmarkStart w:id="211" w:name="_Toc26843636"/>
      <w:r>
        <w:rPr>
          <w:rFonts w:ascii="Times New Roman" w:hAnsi="Times New Roman" w:eastAsia="仿宋" w:cs="Times New Roman"/>
          <w:b w:val="0"/>
        </w:rPr>
        <w:t>政</w:t>
      </w:r>
      <w:r>
        <w:rPr>
          <w:rStyle w:val="22"/>
          <w:rFonts w:ascii="Times New Roman" w:hAnsi="Times New Roman" w:eastAsia="仿宋" w:cs="Times New Roman"/>
          <w:b w:val="0"/>
          <w:bCs w:val="0"/>
        </w:rPr>
        <w:t>府性基金预算财政拨款收入支出决算表</w:t>
      </w:r>
      <w:bookmarkEnd w:id="209"/>
    </w:p>
    <w:p w14:paraId="25CC10F5">
      <w:pPr>
        <w:pStyle w:val="4"/>
        <w:keepNext/>
        <w:keepLines/>
        <w:pageBreakBefore w:val="0"/>
        <w:widowControl w:val="0"/>
        <w:kinsoku/>
        <w:wordWrap/>
        <w:overflowPunct/>
        <w:topLinePunct w:val="0"/>
        <w:bidi w:val="0"/>
        <w:spacing w:line="576" w:lineRule="exact"/>
        <w:rPr>
          <w:rStyle w:val="22"/>
          <w:rFonts w:ascii="Times New Roman" w:hAnsi="Times New Roman" w:eastAsia="仿宋" w:cs="Times New Roman"/>
          <w:b w:val="0"/>
          <w:bCs w:val="0"/>
        </w:rPr>
      </w:pPr>
      <w:bookmarkStart w:id="212" w:name="_Toc15822"/>
      <w:r>
        <w:rPr>
          <w:rStyle w:val="22"/>
          <w:rFonts w:ascii="Times New Roman" w:hAnsi="Times New Roman" w:eastAsia="仿宋" w:cs="Times New Roman"/>
          <w:b w:val="0"/>
          <w:bCs w:val="0"/>
        </w:rPr>
        <w:t>十一、</w:t>
      </w:r>
      <w:bookmarkEnd w:id="210"/>
      <w:bookmarkEnd w:id="211"/>
      <w:bookmarkStart w:id="213" w:name="_Toc15396630"/>
      <w:bookmarkStart w:id="214" w:name="_Toc26843637"/>
      <w:r>
        <w:rPr>
          <w:rFonts w:ascii="Times New Roman" w:hAnsi="Times New Roman" w:eastAsia="仿宋" w:cs="Times New Roman"/>
          <w:b w:val="0"/>
        </w:rPr>
        <w:t>国</w:t>
      </w:r>
      <w:r>
        <w:rPr>
          <w:rStyle w:val="22"/>
          <w:rFonts w:ascii="Times New Roman" w:hAnsi="Times New Roman" w:eastAsia="仿宋" w:cs="Times New Roman"/>
          <w:b w:val="0"/>
          <w:bCs w:val="0"/>
        </w:rPr>
        <w:t>有资本经营预算财政拨款收入支出决算表</w:t>
      </w:r>
      <w:bookmarkEnd w:id="212"/>
    </w:p>
    <w:p w14:paraId="2095CCA5">
      <w:pPr>
        <w:pStyle w:val="4"/>
        <w:keepNext/>
        <w:keepLines/>
        <w:pageBreakBefore w:val="0"/>
        <w:widowControl w:val="0"/>
        <w:kinsoku/>
        <w:wordWrap/>
        <w:overflowPunct/>
        <w:topLinePunct w:val="0"/>
        <w:bidi w:val="0"/>
        <w:spacing w:line="576" w:lineRule="exact"/>
        <w:rPr>
          <w:rStyle w:val="22"/>
          <w:rFonts w:ascii="Times New Roman" w:hAnsi="Times New Roman" w:eastAsia="仿宋" w:cs="Times New Roman"/>
          <w:b w:val="0"/>
          <w:bCs w:val="0"/>
        </w:rPr>
      </w:pPr>
      <w:bookmarkStart w:id="215" w:name="_Toc18261"/>
      <w:r>
        <w:rPr>
          <w:rStyle w:val="22"/>
          <w:rFonts w:ascii="Times New Roman" w:hAnsi="Times New Roman" w:eastAsia="仿宋" w:cs="Times New Roman"/>
          <w:b w:val="0"/>
          <w:bCs w:val="0"/>
        </w:rPr>
        <w:t>十二、</w:t>
      </w:r>
      <w:bookmarkEnd w:id="213"/>
      <w:bookmarkEnd w:id="214"/>
      <w:bookmarkStart w:id="216" w:name="_Toc26843638"/>
      <w:bookmarkStart w:id="217" w:name="_Toc15396631"/>
      <w:r>
        <w:rPr>
          <w:rFonts w:ascii="Times New Roman" w:hAnsi="Times New Roman" w:eastAsia="仿宋" w:cs="Times New Roman"/>
          <w:b w:val="0"/>
        </w:rPr>
        <w:t>国</w:t>
      </w:r>
      <w:r>
        <w:rPr>
          <w:rStyle w:val="22"/>
          <w:rFonts w:ascii="Times New Roman" w:hAnsi="Times New Roman" w:eastAsia="仿宋" w:cs="Times New Roman"/>
          <w:b w:val="0"/>
          <w:bCs w:val="0"/>
        </w:rPr>
        <w:t>有资本经营预算财政拨款支出决算表</w:t>
      </w:r>
      <w:bookmarkEnd w:id="215"/>
    </w:p>
    <w:p w14:paraId="04D2A8AD">
      <w:pPr>
        <w:pStyle w:val="4"/>
        <w:keepNext/>
        <w:keepLines/>
        <w:pageBreakBefore w:val="0"/>
        <w:widowControl w:val="0"/>
        <w:kinsoku/>
        <w:wordWrap/>
        <w:overflowPunct/>
        <w:topLinePunct w:val="0"/>
        <w:bidi w:val="0"/>
        <w:spacing w:line="576" w:lineRule="exact"/>
        <w:rPr>
          <w:rFonts w:hint="eastAsia" w:ascii="Times New Roman" w:hAnsi="Times New Roman" w:eastAsia="仿宋" w:cs="Times New Roman"/>
          <w:b w:val="0"/>
          <w:lang w:val="en-US" w:eastAsia="zh-CN"/>
        </w:rPr>
      </w:pPr>
      <w:bookmarkStart w:id="218" w:name="_Toc28727"/>
      <w:r>
        <w:rPr>
          <w:rStyle w:val="22"/>
          <w:rFonts w:ascii="Times New Roman" w:hAnsi="Times New Roman" w:eastAsia="仿宋" w:cs="Times New Roman"/>
          <w:b w:val="0"/>
          <w:bCs w:val="0"/>
        </w:rPr>
        <w:t>十三、</w:t>
      </w:r>
      <w:bookmarkEnd w:id="216"/>
      <w:bookmarkEnd w:id="217"/>
      <w:r>
        <w:rPr>
          <w:rFonts w:hint="eastAsia" w:ascii="Times New Roman" w:hAnsi="Times New Roman" w:eastAsia="仿宋" w:cs="Times New Roman"/>
          <w:b w:val="0"/>
          <w:lang w:val="en-US" w:eastAsia="zh-CN"/>
        </w:rPr>
        <w:t>财政拨款“三公”经费支出决算表</w:t>
      </w:r>
      <w:bookmarkEnd w:id="218"/>
    </w:p>
    <w:p w14:paraId="72D2E286">
      <w:pPr>
        <w:bidi w:val="0"/>
        <w:rPr>
          <w:rFonts w:hint="eastAsia"/>
          <w:lang w:eastAsia="zh-CN"/>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方正小标宋简体">
    <w:altName w:val="方正黑体_GBK"/>
    <w:panose1 w:val="03000509000000000000"/>
    <w:charset w:val="86"/>
    <w:family w:val="script"/>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0B7CD32B">
    <w:panose1 w:val="02000000000000000000"/>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3080989"/>
      <w:docPartList>
        <w:docPartGallery w:val="autotext"/>
      </w:docPartList>
    </w:sdtPr>
    <w:sdtContent>
      <w:p w14:paraId="748664FC">
        <w:pPr>
          <w:pStyle w:val="11"/>
          <w:jc w:val="center"/>
        </w:pPr>
        <w:r>
          <w:fldChar w:fldCharType="begin"/>
        </w:r>
        <w:r>
          <w:instrText xml:space="preserve">PAGE   \* MERGEFORMAT</w:instrText>
        </w:r>
        <w:r>
          <w:fldChar w:fldCharType="separate"/>
        </w:r>
        <w:r>
          <w:rPr>
            <w:lang w:val="zh-CN"/>
          </w:rPr>
          <w:t>10</w:t>
        </w:r>
        <w:r>
          <w:fldChar w:fldCharType="end"/>
        </w:r>
      </w:p>
    </w:sdtContent>
  </w:sdt>
  <w:p w14:paraId="6C5C6F3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6FF1F">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zEwNTM5NzYwMDRjMzkwZTVkZjY2ODkwMGIxNGU0OTUifQ=="/>
  </w:docVars>
  <w:rsids>
    <w:rsidRoot w:val="00000000"/>
    <w:rsid w:val="424A00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2"/>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autoRedefine/>
    <w:uiPriority w:val="0"/>
    <w:pPr>
      <w:keepNext/>
      <w:keepLines/>
      <w:widowControl w:val="0"/>
      <w:spacing w:before="260" w:after="260" w:line="415" w:lineRule="auto"/>
      <w:outlineLvl w:val="2"/>
    </w:pPr>
    <w:rPr>
      <w:b/>
      <w:bCs/>
      <w:sz w:val="32"/>
      <w:szCs w:val="32"/>
    </w:rPr>
  </w:style>
  <w:style w:type="character" w:default="1" w:styleId="18">
    <w:name w:val="Default Paragraph Font"/>
    <w:autoRedefine/>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Normal Indent"/>
    <w:basedOn w:val="1"/>
    <w:next w:val="1"/>
    <w:autoRedefine/>
    <w:uiPriority w:val="0"/>
    <w:pPr>
      <w:ind w:firstLine="200" w:firstLineChars="200"/>
    </w:pPr>
  </w:style>
  <w:style w:type="paragraph" w:styleId="7">
    <w:name w:val="Body Text"/>
    <w:basedOn w:val="1"/>
    <w:autoRedefine/>
    <w:uiPriority w:val="0"/>
    <w:pPr>
      <w:spacing w:before="30" w:beforeLines="30"/>
    </w:pPr>
    <w:rPr>
      <w:rFonts w:ascii="仿宋_GB2312" w:eastAsia="仿宋_GB2312"/>
      <w:kern w:val="0"/>
      <w:sz w:val="30"/>
    </w:rPr>
  </w:style>
  <w:style w:type="paragraph" w:styleId="8">
    <w:name w:val="Body Text Indent"/>
    <w:basedOn w:val="1"/>
    <w:uiPriority w:val="0"/>
    <w:pPr>
      <w:spacing w:after="120"/>
      <w:ind w:left="200" w:leftChars="200"/>
    </w:pPr>
    <w:rPr>
      <w:rFonts w:ascii="仿宋_GB2312" w:hAnsi="仿宋_GB2312"/>
      <w:szCs w:val="32"/>
    </w:rPr>
  </w:style>
  <w:style w:type="paragraph" w:styleId="9">
    <w:name w:val="toc 3"/>
    <w:basedOn w:val="1"/>
    <w:next w:val="1"/>
    <w:autoRedefine/>
    <w:uiPriority w:val="0"/>
    <w:pPr>
      <w:tabs>
        <w:tab w:val="right" w:leader="dot" w:pos="8296"/>
      </w:tabs>
      <w:ind w:left="400" w:leftChars="400"/>
    </w:pPr>
  </w:style>
  <w:style w:type="paragraph" w:styleId="10">
    <w:name w:val="Balloon Text"/>
    <w:basedOn w:val="1"/>
    <w:autoRedefine/>
    <w:uiPriority w:val="0"/>
    <w:rPr>
      <w:sz w:val="18"/>
      <w:szCs w:val="18"/>
    </w:rPr>
  </w:style>
  <w:style w:type="paragraph" w:styleId="11">
    <w:name w:val="footer"/>
    <w:basedOn w:val="1"/>
    <w:autoRedefine/>
    <w:uiPriority w:val="0"/>
    <w:pPr>
      <w:tabs>
        <w:tab w:val="center" w:pos="4153"/>
        <w:tab w:val="right" w:pos="8306"/>
      </w:tabs>
      <w:snapToGrid w:val="0"/>
      <w:jc w:val="left"/>
    </w:pPr>
    <w:rPr>
      <w:rFonts w:ascii="Calibri" w:hAnsi="Calibri"/>
      <w:kern w:val="0"/>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qFormat/>
    <w:uiPriority w:val="0"/>
    <w:pPr>
      <w:tabs>
        <w:tab w:val="right" w:leader="dot" w:pos="8296"/>
      </w:tabs>
      <w:spacing w:before="93"/>
      <w:jc w:val="center"/>
    </w:pPr>
    <w:rPr>
      <w:rFonts w:ascii="仿宋" w:eastAsia="仿宋"/>
      <w:sz w:val="28"/>
      <w:szCs w:val="28"/>
    </w:rPr>
  </w:style>
  <w:style w:type="paragraph" w:styleId="14">
    <w:name w:val="toc 2"/>
    <w:basedOn w:val="1"/>
    <w:next w:val="1"/>
    <w:autoRedefine/>
    <w:qFormat/>
    <w:uiPriority w:val="0"/>
    <w:pPr>
      <w:tabs>
        <w:tab w:val="right" w:leader="dot" w:pos="8296"/>
      </w:tabs>
      <w:ind w:left="200" w:leftChars="200"/>
    </w:pPr>
  </w:style>
  <w:style w:type="paragraph" w:styleId="15">
    <w:name w:val="Normal (Web)"/>
    <w:basedOn w:val="1"/>
    <w:autoRedefine/>
    <w:qFormat/>
    <w:uiPriority w:val="0"/>
    <w:pPr>
      <w:widowControl/>
      <w:spacing w:before="100" w:beforeAutospacing="1" w:after="100" w:afterAutospacing="1"/>
      <w:jc w:val="left"/>
    </w:pPr>
    <w:rPr>
      <w:rFonts w:ascii="宋体" w:cs="宋体"/>
      <w:kern w:val="0"/>
      <w:sz w:val="24"/>
    </w:rPr>
  </w:style>
  <w:style w:type="paragraph" w:styleId="16">
    <w:name w:val="Body Text First Indent 2"/>
    <w:basedOn w:val="8"/>
    <w:uiPriority w:val="0"/>
    <w:pPr>
      <w:ind w:firstLine="200" w:firstLineChars="200"/>
    </w:pPr>
  </w:style>
  <w:style w:type="character" w:styleId="19">
    <w:name w:val="Strong"/>
    <w:basedOn w:val="18"/>
    <w:autoRedefine/>
    <w:uiPriority w:val="0"/>
    <w:rPr>
      <w:b/>
    </w:rPr>
  </w:style>
  <w:style w:type="character" w:styleId="20">
    <w:name w:val="Hyperlink"/>
    <w:basedOn w:val="18"/>
    <w:autoRedefine/>
    <w:uiPriority w:val="0"/>
    <w:rPr>
      <w:color w:val="0000FF"/>
      <w:u w:val="single"/>
    </w:rPr>
  </w:style>
  <w:style w:type="character" w:customStyle="1" w:styleId="21">
    <w:name w:val="heading 1 Char"/>
    <w:basedOn w:val="18"/>
    <w:link w:val="3"/>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8"/>
    <w:link w:val="4"/>
    <w:uiPriority w:val="0"/>
    <w:rPr>
      <w:rFonts w:ascii="Cambria" w:hAnsi="Cambria" w:eastAsia="宋体" w:cs="Times New Roman"/>
      <w:b/>
      <w:bCs/>
      <w:kern w:val="2"/>
      <w:sz w:val="32"/>
      <w:szCs w:val="32"/>
      <w:lang w:val="en-US" w:eastAsia="zh-CN" w:bidi="ar-SA"/>
    </w:rPr>
  </w:style>
  <w:style w:type="character" w:customStyle="1" w:styleId="23">
    <w:name w:val="Header Char"/>
    <w:basedOn w:val="18"/>
    <w:autoRedefine/>
    <w:uiPriority w:val="0"/>
    <w:rPr>
      <w:rFonts w:ascii="Times New Roman" w:hAnsi="Times New Roman"/>
      <w:sz w:val="18"/>
      <w:szCs w:val="18"/>
    </w:rPr>
  </w:style>
  <w:style w:type="character" w:customStyle="1" w:styleId="24">
    <w:name w:val="Footer Char"/>
    <w:basedOn w:val="18"/>
    <w:autoRedefine/>
    <w:uiPriority w:val="0"/>
    <w:rPr>
      <w:rFonts w:ascii="Times New Roman" w:hAnsi="Times New Roman"/>
      <w:sz w:val="18"/>
      <w:szCs w:val="18"/>
    </w:rPr>
  </w:style>
  <w:style w:type="character" w:customStyle="1" w:styleId="25">
    <w:name w:val="Body Text Char"/>
    <w:basedOn w:val="18"/>
    <w:autoRedefine/>
    <w:uiPriority w:val="0"/>
    <w:rPr>
      <w:rFonts w:ascii="Times New Roman" w:hAnsi="Times New Roman"/>
      <w:szCs w:val="24"/>
    </w:rPr>
  </w:style>
  <w:style w:type="paragraph" w:customStyle="1" w:styleId="26">
    <w:name w:val="Default"/>
    <w:autoRedefine/>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7">
    <w:name w:val="List Paragraph"/>
    <w:basedOn w:val="1"/>
    <w:autoRedefine/>
    <w:uiPriority w:val="0"/>
    <w:pPr>
      <w:ind w:firstLine="200" w:firstLineChars="200"/>
    </w:pPr>
  </w:style>
  <w:style w:type="paragraph" w:customStyle="1" w:styleId="28">
    <w:name w:val="TOC Heading"/>
    <w:basedOn w:val="3"/>
    <w:next w:val="1"/>
    <w:autoRedefine/>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a:t>收、支决算结构图</a:t>
            </a:r>
            <a:endParaRPr lang="zh-CN"/>
          </a:p>
        </c:rich>
      </c:tx>
      <c:layout/>
      <c:overlay val="0"/>
      <c:spPr>
        <a:ln>
          <a:noFill/>
        </a:ln>
      </c:spPr>
    </c:title>
    <c:autoTitleDeleted val="0"/>
    <c:plotArea>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{"2023年","2024年"}</c:f>
              <c:strCache>
                <c:ptCount val="2"/>
                <c:pt idx="0">
                  <c:v>2023年</c:v>
                </c:pt>
                <c:pt idx="1">
                  <c:v>2024年</c:v>
                </c:pt>
              </c:strCache>
            </c:strRef>
          </c:cat>
          <c:val>
            <c:numRef>
              <c:f>{252.57,278.47}</c:f>
              <c:numCache>
                <c:formatCode>General</c:formatCode>
                <c:ptCount val="2"/>
                <c:pt idx="0">
                  <c:v>252.57</c:v>
                </c:pt>
                <c:pt idx="1">
                  <c:v>278.47</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{"2023年","2024年"}</c:f>
              <c:strCache>
                <c:ptCount val="2"/>
                <c:pt idx="0">
                  <c:v>2023年</c:v>
                </c:pt>
                <c:pt idx="1">
                  <c:v>2024年</c:v>
                </c:pt>
              </c:strCache>
            </c:strRef>
          </c:cat>
          <c:val>
            <c:numRef>
              <c:f>{252.57,278.47}</c:f>
              <c:numCache>
                <c:formatCode>General</c:formatCode>
                <c:ptCount val="2"/>
                <c:pt idx="0">
                  <c:v>252.57</c:v>
                </c:pt>
                <c:pt idx="1">
                  <c:v>278.47</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extLst>
      <c:ext uri="{0b15fc19-7d7d-44ad-8c2d-2c3a37ce22c3}">
        <chartProps xmlns="https://web.wps.cn/et/2018/main" chartId="{d54ffe46-e2b2-44e6-a049-f5a7100860c6}"/>
      </c:ext>
    </c:extLst>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a:t>支出决算结构图</a:t>
            </a:r>
            <a:endParaRPr lang="zh-CN"/>
          </a:p>
        </c:rich>
      </c:tx>
      <c:layout/>
      <c:overlay val="0"/>
      <c:spPr>
        <a:ln>
          <a:noFill/>
        </a:ln>
      </c:spPr>
    </c:title>
    <c:autoTitleDeleted val="0"/>
    <c:plotArea>
      <c:layout/>
      <c:pieChart>
        <c:varyColors val="1"/>
        <c:ser>
          <c:idx val="0"/>
          <c:order val="0"/>
          <c:tx>
            <c:strRef>
              <c:f>支出决算结构图</c:f>
              <c:strCache>
                <c:ptCount val="1"/>
                <c:pt idx="0">
                  <c:v>支出决算结构图</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{"基本支出","项目支出"}</c:f>
              <c:strCache>
                <c:ptCount val="2"/>
                <c:pt idx="0">
                  <c:v>基本支出</c:v>
                </c:pt>
                <c:pt idx="1">
                  <c:v>项目支出</c:v>
                </c:pt>
              </c:strCache>
            </c:strRef>
          </c:cat>
          <c:val>
            <c:numRef>
              <c:f>{261.19,17.28}</c:f>
              <c:numCache>
                <c:formatCode>General</c:formatCode>
                <c:ptCount val="2"/>
                <c:pt idx="0">
                  <c:v>261.19</c:v>
                </c:pt>
                <c:pt idx="1">
                  <c:v>17.28</c:v>
                </c:pt>
              </c:numCache>
            </c:numRef>
          </c:val>
        </c:ser>
        <c:dLbls>
          <c:showLegendKey val="0"/>
          <c:showVal val="0"/>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707a1132-0110-40bc-9d2f-ef2d881a91d3}"/>
      </c:ext>
    </c:extLst>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700" b="1" i="0" u="none" strike="noStrike" kern="1200" baseline="0">
                <a:solidFill>
                  <a:srgbClr val="000000"/>
                </a:solidFill>
                <a:latin typeface="AR PL UKai CN"/>
                <a:ea typeface="AR PL UKai CN"/>
                <a:cs typeface="Lucida Sans"/>
              </a:defRPr>
            </a:pPr>
            <a:r>
              <a:rPr lang="zh-CN"/>
              <a:t>财政拨款收、支决算总计变动情况</a:t>
            </a:r>
            <a:endParaRPr lang="zh-CN"/>
          </a:p>
        </c:rich>
      </c:tx>
      <c:layout/>
      <c:overlay val="0"/>
      <c:spPr>
        <a:ln>
          <a:noFill/>
        </a:ln>
      </c:spPr>
    </c:title>
    <c:autoTitleDeleted val="0"/>
    <c:plotArea>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{"2023年","2024年"}</c:f>
              <c:strCache>
                <c:ptCount val="2"/>
                <c:pt idx="0">
                  <c:v>2023年</c:v>
                </c:pt>
                <c:pt idx="1">
                  <c:v>2024年</c:v>
                </c:pt>
              </c:strCache>
            </c:strRef>
          </c:cat>
          <c:val>
            <c:numRef>
              <c:f>{252.57,278.47}</c:f>
              <c:numCache>
                <c:formatCode>General</c:formatCode>
                <c:ptCount val="2"/>
                <c:pt idx="0">
                  <c:v>252.57</c:v>
                </c:pt>
                <c:pt idx="1">
                  <c:v>278.47</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{"2023年","2024年"}</c:f>
              <c:strCache>
                <c:ptCount val="2"/>
                <c:pt idx="0">
                  <c:v>2023年</c:v>
                </c:pt>
                <c:pt idx="1">
                  <c:v>2024年</c:v>
                </c:pt>
              </c:strCache>
            </c:strRef>
          </c:cat>
          <c:val>
            <c:numRef>
              <c:f>{252.57,278.47}</c:f>
              <c:numCache>
                <c:formatCode>General</c:formatCode>
                <c:ptCount val="2"/>
                <c:pt idx="0">
                  <c:v>252.57</c:v>
                </c:pt>
                <c:pt idx="1">
                  <c:v>278.47</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extLst>
      <c:ext uri="{0b15fc19-7d7d-44ad-8c2d-2c3a37ce22c3}">
        <chartProps xmlns="https://web.wps.cn/et/2018/main" chartId="{2e280ecb-5003-4c77-9e96-c2476d61b606}"/>
      </c:ext>
    </c:extLst>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000000"/>
                </a:solidFill>
                <a:latin typeface="AR PL UKai CN"/>
                <a:ea typeface="AR PL UKai CN"/>
                <a:cs typeface="Lucida Sans"/>
              </a:defRPr>
            </a:pPr>
            <a:r>
              <a:rPr lang="zh-CN"/>
              <a:t>一般公共预算财政拨款支出决算变动情况</a:t>
            </a:r>
            <a:endParaRPr lang="zh-CN"/>
          </a:p>
        </c:rich>
      </c:tx>
      <c:layout/>
      <c:overlay val="0"/>
      <c:spPr>
        <a:ln>
          <a:noFill/>
        </a:ln>
      </c:spPr>
    </c:title>
    <c:autoTitleDeleted val="0"/>
    <c:plotArea>
      <c:layout/>
      <c:barChart>
        <c:barDir val="col"/>
        <c:grouping val="clustered"/>
        <c:varyColors val="0"/>
        <c:ser>
          <c:idx val="0"/>
          <c:order val="0"/>
          <c:tx>
            <c:strRef>
              <c:f>一般公共预算财政拨款支出决算变动情况</c:f>
              <c:strCache>
                <c:ptCount val="1"/>
                <c:pt idx="0">
                  <c:v>一般公共预算财政拨款支出决算变动情况</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{"2023年","2024年"}</c:f>
              <c:strCache>
                <c:ptCount val="2"/>
                <c:pt idx="0">
                  <c:v>2023年</c:v>
                </c:pt>
                <c:pt idx="1">
                  <c:v>2024年</c:v>
                </c:pt>
              </c:strCache>
            </c:strRef>
          </c:cat>
          <c:val>
            <c:numRef>
              <c:f>{252.57,278.47}</c:f>
              <c:numCache>
                <c:formatCode>General</c:formatCode>
                <c:ptCount val="2"/>
                <c:pt idx="0">
                  <c:v>252.57</c:v>
                </c:pt>
                <c:pt idx="1">
                  <c:v>278.47</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c:spPr>
    </c:plotArea>
    <c:plotVisOnly val="1"/>
    <c:dispBlanksAs val="gap"/>
    <c:showDLblsOverMax val="0"/>
    <c:extLst>
      <c:ext uri="{0b15fc19-7d7d-44ad-8c2d-2c3a37ce22c3}">
        <chartProps xmlns="https://web.wps.cn/et/2018/main" chartId="{5702968f-dbc9-4666-80ba-88c8ce821a3d}"/>
      </c:ext>
    </c:extLst>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700" b="1" i="0" u="none" strike="noStrike" kern="1200" baseline="0">
                <a:solidFill>
                  <a:srgbClr val="000000"/>
                </a:solidFill>
                <a:latin typeface="AR PL UKai CN"/>
                <a:ea typeface="AR PL UKai CN"/>
                <a:cs typeface="Lucida Sans"/>
              </a:defRPr>
            </a:pPr>
            <a:r>
              <a:rPr lang="zh-CN"/>
              <a:t>一般公共预算财政拨款支出决算结构</a:t>
            </a:r>
            <a:endParaRPr lang="zh-CN"/>
          </a:p>
        </c:rich>
      </c:tx>
      <c:layout>
        <c:manualLayout>
          <c:xMode val="edge"/>
          <c:yMode val="edge"/>
          <c:x val="0.118"/>
          <c:y val="0.040123455"/>
        </c:manualLayout>
      </c:layout>
      <c:overlay val="0"/>
      <c:spPr>
        <a:ln>
          <a:noFill/>
        </a:ln>
      </c:spPr>
    </c:title>
    <c:autoTitleDeleted val="0"/>
    <c:plotArea>
      <c:layout/>
      <c:pieChart>
        <c:varyColors val="1"/>
        <c:ser>
          <c:idx val="0"/>
          <c:order val="0"/>
          <c:tx>
            <c:strRef>
              <c:f>一般公共预算财政拨款支出决算结构</c:f>
              <c:strCache>
                <c:ptCount val="1"/>
                <c:pt idx="0">
                  <c:v>一般公共预算财政拨款支出决算结构</c:v>
                </c:pt>
              </c:strCache>
            </c:strRef>
          </c:tx>
          <c:spPr>
            <a:ln>
              <a:noFill/>
            </a:ln>
          </c:spPr>
          <c:explosion val="0"/>
          <c:dPt>
            <c:idx val="0"/>
            <c:bubble3D val="0"/>
            <c:explosion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1"/>
              <c:layout>
                <c:manualLayout>
                  <c:x val="-0.030715441"/>
                  <c:y val="-0.024292432"/>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3947943"/>
                  <c:y val="-0.088616945"/>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650043"/>
                  <c:y val="-0.038926072"/>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{74.15,13.11,5.25,7.49}</c:f>
              <c:numCache>
                <c:formatCode>General</c:formatCode>
                <c:ptCount val="4"/>
                <c:pt idx="0">
                  <c:v>74.15</c:v>
                </c:pt>
                <c:pt idx="1">
                  <c:v>13.11</c:v>
                </c:pt>
                <c:pt idx="2">
                  <c:v>5.25</c:v>
                </c:pt>
                <c:pt idx="3">
                  <c:v>7.49</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b6017f05-16a5-4b61-80de-ab6bad5ebb7f}"/>
      </c:ext>
    </c:extLst>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1127</Words>
  <Characters>1166</Characters>
  <Lines>797</Lines>
  <Paragraphs>402</Paragraphs>
  <TotalTime>17</TotalTime>
  <ScaleCrop>false</ScaleCrop>
  <LinksUpToDate>false</LinksUpToDate>
  <CharactersWithSpaces>1214</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盐星星</cp:lastModifiedBy>
  <cp:lastPrinted>2020-09-29T10:36:00Z</cp:lastPrinted>
  <dcterms:modified xsi:type="dcterms:W3CDTF">2026-04-22T07:54:24Z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C775C5CA1D7D4F579436A1877CDA162C_13</vt:lpwstr>
  </property>
  <property fmtid="{D5CDD505-2E9C-101B-9397-08002B2CF9AE}" pid="4" name="commondata">
    <vt:lpwstr>eyJoZGlkIjoiNmRjOTJlNzJjZmZkOTQxZDA4NjRhMDllMWM3ZmQ2OTgifQ==</vt:lpwstr>
  </property>
  <property fmtid="{D5CDD505-2E9C-101B-9397-08002B2CF9AE}" pid="5" name="KSOTemplateDocerSaveRecord">
    <vt:lpwstr>eyJoZGlkIjoiZDVjZjE1OTBmZTc4M2ZlNjdmNWM1MmQ5OThkMGU1NjEiLCJ1c2VySWQiOiIxMDYwOTQ0NDM1In0=</vt:lpwstr>
  </property>
</Properties>
</file>