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2EB69">
      <w:pPr>
        <w:spacing w:line="600" w:lineRule="exact"/>
        <w:jc w:val="center"/>
        <w:outlineLvl w:val="0"/>
        <w:rPr>
          <w:rFonts w:hint="eastAsia" w:ascii="仿宋_GB2312" w:eastAsia="仿宋_GB2312" w:cs="仿宋_GB2312"/>
          <w:color w:val="000000"/>
          <w:sz w:val="72"/>
          <w:szCs w:val="72"/>
        </w:rPr>
      </w:pPr>
      <w:bookmarkStart w:id="0" w:name="_Toc15306267"/>
      <w:bookmarkStart w:id="220" w:name="_GoBack"/>
      <w:bookmarkEnd w:id="220"/>
    </w:p>
    <w:p w14:paraId="54874667">
      <w:pPr>
        <w:spacing w:line="600" w:lineRule="exact"/>
        <w:jc w:val="center"/>
        <w:outlineLvl w:val="0"/>
        <w:rPr>
          <w:rFonts w:hint="eastAsia" w:ascii="仿宋_GB2312" w:eastAsia="仿宋_GB2312" w:cs="仿宋_GB2312"/>
          <w:color w:val="000000"/>
          <w:sz w:val="72"/>
          <w:szCs w:val="72"/>
        </w:rPr>
      </w:pPr>
    </w:p>
    <w:p w14:paraId="056D4DC2">
      <w:pPr>
        <w:spacing w:line="600" w:lineRule="exact"/>
        <w:jc w:val="center"/>
        <w:outlineLvl w:val="0"/>
        <w:rPr>
          <w:rFonts w:hint="eastAsia" w:ascii="仿宋_GB2312" w:eastAsia="仿宋_GB2312" w:cs="仿宋_GB2312"/>
          <w:color w:val="000000"/>
          <w:sz w:val="72"/>
          <w:szCs w:val="72"/>
        </w:rPr>
      </w:pPr>
    </w:p>
    <w:p w14:paraId="25DF73B0">
      <w:pPr>
        <w:spacing w:line="600" w:lineRule="exact"/>
        <w:jc w:val="center"/>
        <w:outlineLvl w:val="0"/>
        <w:rPr>
          <w:rFonts w:hint="eastAsia" w:ascii="仿宋_GB2312" w:eastAsia="仿宋_GB2312" w:cs="仿宋_GB2312"/>
          <w:color w:val="000000"/>
          <w:sz w:val="72"/>
          <w:szCs w:val="72"/>
        </w:rPr>
      </w:pPr>
    </w:p>
    <w:p w14:paraId="46F3F51E">
      <w:pPr>
        <w:adjustRightInd w:val="0"/>
        <w:snapToGrid w:val="0"/>
        <w:spacing w:line="360" w:lineRule="auto"/>
        <w:jc w:val="center"/>
        <w:outlineLvl w:val="0"/>
        <w:rPr>
          <w:rFonts w:hint="eastAsia" w:ascii="仿宋_GB2312" w:eastAsia="仿宋_GB2312" w:cs="仿宋_GB2312"/>
          <w:color w:val="000000"/>
          <w:sz w:val="72"/>
          <w:szCs w:val="72"/>
        </w:rPr>
      </w:pPr>
      <w:bookmarkStart w:id="1" w:name="_Toc15396475"/>
      <w:bookmarkStart w:id="2" w:name="_Toc15396597"/>
      <w:bookmarkStart w:id="3" w:name="_Toc15377193"/>
      <w:bookmarkStart w:id="4" w:name="_Toc15378441"/>
      <w:bookmarkStart w:id="5" w:name="_Toc2114"/>
      <w:bookmarkStart w:id="6" w:name="_Toc15377425"/>
      <w:r>
        <w:rPr>
          <w:rFonts w:hint="eastAsia" w:ascii="仿宋_GB2312" w:eastAsia="仿宋_GB2312" w:cs="仿宋_GB2312"/>
          <w:color w:val="000000"/>
          <w:sz w:val="72"/>
          <w:szCs w:val="72"/>
          <w:lang w:val="en-US" w:eastAsia="zh-CN"/>
        </w:rPr>
        <w:t>2022年</w:t>
      </w:r>
      <w:r>
        <w:rPr>
          <w:rFonts w:hint="eastAsia" w:ascii="仿宋_GB2312" w:eastAsia="仿宋_GB2312" w:cs="仿宋_GB2312"/>
          <w:color w:val="000000"/>
          <w:sz w:val="72"/>
          <w:szCs w:val="72"/>
        </w:rPr>
        <w:t>度</w:t>
      </w:r>
      <w:bookmarkEnd w:id="1"/>
      <w:bookmarkEnd w:id="2"/>
      <w:bookmarkEnd w:id="3"/>
      <w:bookmarkEnd w:id="4"/>
      <w:bookmarkEnd w:id="5"/>
      <w:bookmarkEnd w:id="6"/>
    </w:p>
    <w:bookmarkEnd w:id="0"/>
    <w:p w14:paraId="19C9C3D1">
      <w:pPr>
        <w:adjustRightInd w:val="0"/>
        <w:snapToGrid w:val="0"/>
        <w:spacing w:line="360" w:lineRule="auto"/>
        <w:jc w:val="center"/>
        <w:outlineLvl w:val="0"/>
        <w:rPr>
          <w:rFonts w:hint="eastAsia" w:ascii="仿宋_GB2312" w:eastAsia="仿宋_GB2312" w:cs="仿宋_GB2312"/>
          <w:color w:val="000000"/>
          <w:sz w:val="72"/>
          <w:szCs w:val="72"/>
          <w:lang w:val="en-US" w:eastAsia="zh-CN"/>
        </w:rPr>
      </w:pPr>
      <w:bookmarkStart w:id="7" w:name="_Toc15396598"/>
      <w:bookmarkStart w:id="8" w:name="_Toc15377426"/>
      <w:bookmarkStart w:id="9" w:name="_Toc15396476"/>
      <w:bookmarkStart w:id="10" w:name="_Toc15378442"/>
      <w:bookmarkStart w:id="11" w:name="_Toc15377194"/>
      <w:r>
        <w:rPr>
          <w:rFonts w:hint="eastAsia" w:ascii="仿宋_GB2312" w:eastAsia="仿宋_GB2312" w:cs="仿宋_GB2312"/>
          <w:color w:val="000000"/>
          <w:sz w:val="72"/>
          <w:szCs w:val="72"/>
          <w:lang w:val="en-US" w:eastAsia="zh-CN"/>
        </w:rPr>
        <w:t>四川省阿坝州</w:t>
      </w:r>
      <w:bookmarkStart w:id="12" w:name="_Toc15306268"/>
      <w:r>
        <w:rPr>
          <w:rFonts w:hint="eastAsia" w:ascii="仿宋_GB2312" w:eastAsia="仿宋_GB2312" w:cs="仿宋_GB2312"/>
          <w:color w:val="000000"/>
          <w:sz w:val="72"/>
          <w:szCs w:val="72"/>
          <w:lang w:val="en-US" w:eastAsia="zh-CN"/>
        </w:rPr>
        <w:t>中共金川县委机构编制委员会办公室决算</w:t>
      </w:r>
      <w:bookmarkEnd w:id="7"/>
      <w:bookmarkEnd w:id="8"/>
      <w:bookmarkEnd w:id="9"/>
      <w:bookmarkEnd w:id="10"/>
      <w:bookmarkEnd w:id="11"/>
      <w:bookmarkEnd w:id="12"/>
    </w:p>
    <w:p w14:paraId="0F11A01F">
      <w:pPr>
        <w:widowControl/>
        <w:jc w:val="center"/>
        <w:rPr>
          <w:rFonts w:hint="eastAsia" w:ascii="仿宋_GB2312" w:eastAsia="仿宋_GB2312" w:cs="仿宋_GB2312"/>
          <w:color w:val="000000"/>
          <w:sz w:val="36"/>
          <w:szCs w:val="36"/>
        </w:rPr>
      </w:pPr>
    </w:p>
    <w:p w14:paraId="56DC884A">
      <w:pPr>
        <w:widowControl/>
        <w:jc w:val="center"/>
        <w:rPr>
          <w:rFonts w:hint="eastAsia" w:ascii="仿宋_GB2312" w:eastAsia="仿宋_GB2312" w:cs="仿宋_GB2312"/>
          <w:color w:val="000000"/>
          <w:sz w:val="36"/>
          <w:szCs w:val="36"/>
        </w:rPr>
      </w:pPr>
    </w:p>
    <w:p w14:paraId="7C1102B1">
      <w:pPr>
        <w:widowControl/>
        <w:jc w:val="center"/>
        <w:rPr>
          <w:rFonts w:hint="eastAsia" w:ascii="仿宋_GB2312" w:eastAsia="仿宋_GB2312" w:cs="仿宋_GB2312"/>
          <w:color w:val="000000"/>
          <w:sz w:val="36"/>
          <w:szCs w:val="36"/>
        </w:rPr>
      </w:pPr>
    </w:p>
    <w:p w14:paraId="34184478">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仿宋_GB2312" w:eastAsia="仿宋_GB2312" w:cs="仿宋_GB2312"/>
          <w:b/>
          <w:bCs/>
          <w:color w:val="000000"/>
          <w:sz w:val="28"/>
          <w:szCs w:val="28"/>
        </w:rPr>
      </w:pPr>
      <w:r>
        <w:rPr>
          <w:rFonts w:hint="eastAsia" w:ascii="仿宋_GB2312" w:eastAsia="仿宋_GB2312" w:cs="仿宋_GB2312"/>
          <w:color w:val="000000"/>
          <w:sz w:val="36"/>
          <w:szCs w:val="36"/>
        </w:rPr>
        <w:br w:type="page"/>
      </w:r>
      <w:r>
        <w:rPr>
          <w:rFonts w:hint="eastAsia" w:ascii="仿宋_GB2312" w:eastAsia="仿宋_GB2312" w:cs="仿宋_GB2312"/>
          <w:b/>
          <w:bCs/>
          <w:color w:val="000000"/>
          <w:sz w:val="28"/>
          <w:szCs w:val="28"/>
        </w:rPr>
        <w:t>目</w:t>
      </w:r>
      <w:r>
        <w:rPr>
          <w:rFonts w:hint="eastAsia" w:ascii="仿宋_GB2312" w:eastAsia="仿宋_GB2312" w:cs="仿宋_GB2312"/>
          <w:b/>
          <w:bCs/>
          <w:color w:val="000000"/>
          <w:sz w:val="28"/>
          <w:szCs w:val="28"/>
          <w:lang w:eastAsia="zh-CN"/>
        </w:rPr>
        <w:t>　</w:t>
      </w:r>
      <w:r>
        <w:rPr>
          <w:rFonts w:hint="eastAsia" w:ascii="仿宋_GB2312" w:eastAsia="仿宋_GB2312" w:cs="仿宋_GB2312"/>
          <w:b/>
          <w:bCs/>
          <w:color w:val="000000"/>
          <w:sz w:val="28"/>
          <w:szCs w:val="28"/>
        </w:rPr>
        <w:t>录</w:t>
      </w:r>
    </w:p>
    <w:p w14:paraId="180B1744">
      <w:pPr>
        <w:pStyle w:val="11"/>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t>公开时间：202</w:t>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t>年</w:t>
      </w:r>
      <w:r>
        <w:rPr>
          <w:rFonts w:hint="eastAsia" w:ascii="仿宋_GB2312" w:eastAsia="仿宋_GB2312" w:cs="仿宋_GB2312"/>
          <w:sz w:val="28"/>
          <w:szCs w:val="28"/>
          <w:lang w:val="en-US" w:eastAsia="zh-CN"/>
        </w:rPr>
        <w:t>8</w:t>
      </w:r>
      <w:r>
        <w:rPr>
          <w:rFonts w:hint="eastAsia" w:ascii="仿宋_GB2312" w:eastAsia="仿宋_GB2312" w:cs="仿宋_GB2312"/>
          <w:sz w:val="28"/>
          <w:szCs w:val="28"/>
        </w:rPr>
        <w:t>月2</w:t>
      </w:r>
      <w:r>
        <w:rPr>
          <w:rFonts w:hint="eastAsia" w:ascii="仿宋_GB2312" w:eastAsia="仿宋_GB2312" w:cs="仿宋_GB2312"/>
          <w:sz w:val="28"/>
          <w:szCs w:val="28"/>
          <w:lang w:val="en-US" w:eastAsia="zh-CN"/>
        </w:rPr>
        <w:t>8</w:t>
      </w:r>
      <w:r>
        <w:rPr>
          <w:rFonts w:hint="eastAsia" w:ascii="仿宋_GB2312" w:eastAsia="仿宋_GB2312" w:cs="仿宋_GB2312"/>
          <w:sz w:val="28"/>
          <w:szCs w:val="28"/>
        </w:rPr>
        <w:t>日</w:t>
      </w:r>
    </w:p>
    <w:p w14:paraId="1C4BA624">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TOC \o "1-4" \f \h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_Toc32052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第一部分 部门概况</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_Toc32052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4A439AA2">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_Toc16321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一、基本职能及主要工作</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_Toc16321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28B8A808">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_Toc14620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（一）主要职能</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_Toc14620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1196B355">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_Toc13944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（二）</w:t>
      </w:r>
      <w:r>
        <w:rPr>
          <w:rFonts w:hint="eastAsia" w:ascii="仿宋_GB2312" w:eastAsia="仿宋_GB2312" w:cs="仿宋_GB2312"/>
          <w:sz w:val="28"/>
          <w:szCs w:val="28"/>
          <w:lang w:val="en-US" w:eastAsia="zh-CN"/>
        </w:rPr>
        <w:t>2022年</w:t>
      </w:r>
      <w:r>
        <w:rPr>
          <w:rFonts w:hint="eastAsia" w:ascii="仿宋_GB2312" w:eastAsia="仿宋_GB2312" w:cs="仿宋_GB2312"/>
          <w:sz w:val="28"/>
          <w:szCs w:val="28"/>
        </w:rPr>
        <w:t>重点工作完成情况</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_Toc13944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7B0D6B68">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_Toc15561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二、机构设置</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_Toc15561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5FDE9DF0">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_Toc16028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 xml:space="preserve">第二部分 </w:t>
      </w:r>
      <w:r>
        <w:rPr>
          <w:rFonts w:hint="eastAsia" w:ascii="仿宋_GB2312" w:eastAsia="仿宋_GB2312" w:cs="仿宋_GB2312"/>
          <w:bCs w:val="0"/>
          <w:sz w:val="28"/>
          <w:szCs w:val="28"/>
          <w:lang w:val="en-US"/>
        </w:rPr>
        <w:t>2022年</w:t>
      </w:r>
      <w:r>
        <w:rPr>
          <w:rFonts w:hint="eastAsia" w:ascii="仿宋_GB2312" w:eastAsia="仿宋_GB2312" w:cs="仿宋_GB2312"/>
          <w:bCs w:val="0"/>
          <w:sz w:val="28"/>
          <w:szCs w:val="28"/>
        </w:rPr>
        <w:t>度部门决算情况说明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_Toc16028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75814F7B">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_Toc2815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一、收入支出决算总体情况说明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_Toc2815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3C807AF8">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_Toc16302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二、收入决算情况说明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_Toc16302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548DDB6A">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_Toc12791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三、支出决算情况说明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_Toc12791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6</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1F4434B9">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_Toc12578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四、财政拨款收入支出决算总体情况说明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_Toc12578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6</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6D0991A8">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_Toc12362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五、一般公共预算财政拨款支出决算情况说明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_Toc12362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7</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71EA2BD2">
      <w:pPr>
        <w:pStyle w:val="12"/>
        <w:keepNext w:val="0"/>
        <w:keepLines w:val="0"/>
        <w:pageBreakBefore w:val="0"/>
        <w:widowControl w:val="0"/>
        <w:tabs>
          <w:tab w:val="right" w:pos="7600"/>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_Toc32220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六、一般公共预算财政拨款基本支出决算情况说明</w:t>
      </w:r>
      <w:r>
        <w:rPr>
          <w:rFonts w:hint="eastAsia" w:ascii="仿宋_GB2312" w:eastAsia="仿宋_GB2312" w:cs="仿宋_GB2312"/>
          <w:sz w:val="28"/>
          <w:szCs w:val="28"/>
          <w:lang w:val="en-US" w:eastAsia="zh-CN"/>
        </w:rPr>
        <w:tab/>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_Toc32220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9</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211164D5">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_Toc6768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七、“三公”经费财政拨款支出决算情况说明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_Toc6768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10</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68926836">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_Toc23109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八、政府性基金预算支出决算情况说明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_Toc23109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69A4F7A6">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_Toc10695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九、国有资本经营预算支出决算情况说明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_Toc10695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3FADE8F7">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_Toc24370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十、预算绩效情况说明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_Toc24370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49B69DDD">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ind w:left="0" w:leftChars="0" w:firstLine="0"/>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t>　　</w:t>
      </w: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_Toc8269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 xml:space="preserve"> 十一、其他重要事项的情况说明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_Toc8269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431DE1C5">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_Toc4440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sz w:val="28"/>
          <w:szCs w:val="28"/>
        </w:rPr>
        <w:t>第三部分 名词解释</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_Toc4440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558B646E">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_Toc22478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 xml:space="preserve">第四部分 </w:t>
      </w:r>
      <w:r>
        <w:rPr>
          <w:rFonts w:hint="eastAsia" w:ascii="仿宋_GB2312" w:eastAsia="仿宋_GB2312" w:cs="仿宋_GB2312"/>
          <w:bCs w:val="0"/>
          <w:sz w:val="28"/>
          <w:szCs w:val="28"/>
          <w:lang w:val="en-US"/>
        </w:rPr>
        <w:t>部门整体支出绩效报告</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_Toc22478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16</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48CC4608">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_Toc21400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第五部分　附表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_Toc21400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3A015D97">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_Toc24291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一、收</w:t>
      </w:r>
      <w:r>
        <w:rPr>
          <w:rFonts w:hint="eastAsia" w:ascii="仿宋_GB2312" w:eastAsia="仿宋_GB2312" w:cs="仿宋_GB2312"/>
          <w:bCs w:val="0"/>
          <w:sz w:val="28"/>
          <w:szCs w:val="28"/>
        </w:rPr>
        <w:t>入支出决算总表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_Toc24291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2274458B">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_Toc15484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二、收</w:t>
      </w:r>
      <w:r>
        <w:rPr>
          <w:rFonts w:hint="eastAsia" w:ascii="仿宋_GB2312" w:eastAsia="仿宋_GB2312" w:cs="仿宋_GB2312"/>
          <w:bCs w:val="0"/>
          <w:sz w:val="28"/>
          <w:szCs w:val="28"/>
        </w:rPr>
        <w:t>入决算表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_Toc15484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6730081A">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_Toc29434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三、</w:t>
      </w:r>
      <w:r>
        <w:rPr>
          <w:rFonts w:hint="eastAsia" w:ascii="仿宋_GB2312" w:eastAsia="仿宋_GB2312" w:cs="仿宋_GB2312"/>
          <w:sz w:val="28"/>
          <w:szCs w:val="28"/>
        </w:rPr>
        <w:t>支</w:t>
      </w:r>
      <w:r>
        <w:rPr>
          <w:rFonts w:hint="eastAsia" w:ascii="仿宋_GB2312" w:eastAsia="仿宋_GB2312" w:cs="仿宋_GB2312"/>
          <w:bCs w:val="0"/>
          <w:sz w:val="28"/>
          <w:szCs w:val="28"/>
        </w:rPr>
        <w:t>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_Toc29434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4F34DADE">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_Toc14484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四、</w:t>
      </w:r>
      <w:r>
        <w:rPr>
          <w:rFonts w:hint="eastAsia" w:ascii="仿宋_GB2312" w:eastAsia="仿宋_GB2312" w:cs="仿宋_GB2312"/>
          <w:sz w:val="28"/>
          <w:szCs w:val="28"/>
        </w:rPr>
        <w:t>财</w:t>
      </w:r>
      <w:r>
        <w:rPr>
          <w:rFonts w:hint="eastAsia" w:ascii="仿宋_GB2312" w:eastAsia="仿宋_GB2312" w:cs="仿宋_GB2312"/>
          <w:bCs w:val="0"/>
          <w:sz w:val="28"/>
          <w:szCs w:val="28"/>
        </w:rPr>
        <w:t>政拨款收入支出决算总表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_Toc14484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5E70E2FB">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_Toc26550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五、</w:t>
      </w:r>
      <w:r>
        <w:rPr>
          <w:rFonts w:hint="eastAsia" w:ascii="仿宋_GB2312" w:eastAsia="仿宋_GB2312" w:cs="仿宋_GB2312"/>
          <w:sz w:val="28"/>
          <w:szCs w:val="28"/>
        </w:rPr>
        <w:t>财</w:t>
      </w:r>
      <w:r>
        <w:rPr>
          <w:rFonts w:hint="eastAsia" w:ascii="仿宋_GB2312" w:eastAsia="仿宋_GB2312" w:cs="仿宋_GB2312"/>
          <w:bCs w:val="0"/>
          <w:sz w:val="28"/>
          <w:szCs w:val="28"/>
        </w:rPr>
        <w:t>政拨款支出决算明细表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_Toc26550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09205D3D">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_Toc26861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六、</w:t>
      </w:r>
      <w:r>
        <w:rPr>
          <w:rFonts w:hint="eastAsia" w:ascii="仿宋_GB2312" w:eastAsia="仿宋_GB2312" w:cs="仿宋_GB2312"/>
          <w:sz w:val="28"/>
          <w:szCs w:val="28"/>
        </w:rPr>
        <w:t>一</w:t>
      </w:r>
      <w:r>
        <w:rPr>
          <w:rFonts w:hint="eastAsia" w:ascii="仿宋_GB2312" w:eastAsia="仿宋_GB2312" w:cs="仿宋_GB2312"/>
          <w:bCs w:val="0"/>
          <w:sz w:val="28"/>
          <w:szCs w:val="28"/>
        </w:rPr>
        <w:t>般公共预算财政拨款支出决算表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_Toc26861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63162A68">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_Toc20001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七、</w:t>
      </w:r>
      <w:r>
        <w:rPr>
          <w:rFonts w:hint="eastAsia" w:ascii="仿宋_GB2312" w:eastAsia="仿宋_GB2312" w:cs="仿宋_GB2312"/>
          <w:sz w:val="28"/>
          <w:szCs w:val="28"/>
        </w:rPr>
        <w:t>一</w:t>
      </w:r>
      <w:r>
        <w:rPr>
          <w:rFonts w:hint="eastAsia" w:ascii="仿宋_GB2312" w:eastAsia="仿宋_GB2312" w:cs="仿宋_GB2312"/>
          <w:bCs w:val="0"/>
          <w:sz w:val="28"/>
          <w:szCs w:val="28"/>
        </w:rPr>
        <w:t>般公共预算财政拨款支出决算明细表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_Toc20001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41B1E515">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_Toc26093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八、</w:t>
      </w:r>
      <w:r>
        <w:rPr>
          <w:rFonts w:hint="eastAsia" w:ascii="仿宋_GB2312" w:eastAsia="仿宋_GB2312" w:cs="仿宋_GB2312"/>
          <w:sz w:val="28"/>
          <w:szCs w:val="28"/>
        </w:rPr>
        <w:t>一</w:t>
      </w:r>
      <w:r>
        <w:rPr>
          <w:rFonts w:hint="eastAsia" w:ascii="仿宋_GB2312" w:eastAsia="仿宋_GB2312" w:cs="仿宋_GB2312"/>
          <w:bCs w:val="0"/>
          <w:sz w:val="28"/>
          <w:szCs w:val="28"/>
        </w:rPr>
        <w:t>般公共预算财政拨款基本支出决算明细表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_Toc26093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30983070">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_Toc639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九、</w:t>
      </w:r>
      <w:r>
        <w:rPr>
          <w:rFonts w:hint="eastAsia" w:ascii="仿宋_GB2312" w:eastAsia="仿宋_GB2312" w:cs="仿宋_GB2312"/>
          <w:sz w:val="28"/>
          <w:szCs w:val="28"/>
        </w:rPr>
        <w:t>一</w:t>
      </w:r>
      <w:r>
        <w:rPr>
          <w:rFonts w:hint="eastAsia" w:ascii="仿宋_GB2312" w:eastAsia="仿宋_GB2312" w:cs="仿宋_GB2312"/>
          <w:bCs w:val="0"/>
          <w:sz w:val="28"/>
          <w:szCs w:val="28"/>
        </w:rPr>
        <w:t>般公共预算财政拨款项目支出决算表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_Toc639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535A4D0F">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_Toc4696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十、</w:t>
      </w:r>
      <w:r>
        <w:rPr>
          <w:rFonts w:hint="eastAsia" w:ascii="仿宋_GB2312" w:eastAsia="仿宋_GB2312" w:cs="仿宋_GB2312"/>
          <w:sz w:val="28"/>
          <w:szCs w:val="28"/>
        </w:rPr>
        <w:t>政</w:t>
      </w:r>
      <w:r>
        <w:rPr>
          <w:rFonts w:hint="eastAsia" w:ascii="仿宋_GB2312" w:eastAsia="仿宋_GB2312" w:cs="仿宋_GB2312"/>
          <w:bCs w:val="0"/>
          <w:sz w:val="28"/>
          <w:szCs w:val="28"/>
        </w:rPr>
        <w:t>府性基金预算财政拨款收入支出决算表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_Toc4696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443CA021">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_Toc15822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十一、</w:t>
      </w:r>
      <w:r>
        <w:rPr>
          <w:rFonts w:hint="eastAsia" w:ascii="仿宋_GB2312" w:eastAsia="仿宋_GB2312" w:cs="仿宋_GB2312"/>
          <w:sz w:val="28"/>
          <w:szCs w:val="28"/>
        </w:rPr>
        <w:t>国</w:t>
      </w:r>
      <w:r>
        <w:rPr>
          <w:rFonts w:hint="eastAsia" w:ascii="仿宋_GB2312" w:eastAsia="仿宋_GB2312" w:cs="仿宋_GB2312"/>
          <w:bCs w:val="0"/>
          <w:sz w:val="28"/>
          <w:szCs w:val="28"/>
        </w:rPr>
        <w:t>有资本经营预算财政拨款收入支出决算表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_Toc15822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4B0AF1B8">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_Toc18261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十二、</w:t>
      </w:r>
      <w:r>
        <w:rPr>
          <w:rFonts w:hint="eastAsia" w:ascii="仿宋_GB2312" w:eastAsia="仿宋_GB2312" w:cs="仿宋_GB2312"/>
          <w:sz w:val="28"/>
          <w:szCs w:val="28"/>
        </w:rPr>
        <w:t>国</w:t>
      </w:r>
      <w:r>
        <w:rPr>
          <w:rFonts w:hint="eastAsia" w:ascii="仿宋_GB2312" w:eastAsia="仿宋_GB2312" w:cs="仿宋_GB2312"/>
          <w:bCs w:val="0"/>
          <w:sz w:val="28"/>
          <w:szCs w:val="28"/>
        </w:rPr>
        <w:t>有资本经营预算财政拨款支出决算表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_Toc18261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6FDA309B">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8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_Toc28727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十三、</w:t>
      </w:r>
      <w:r>
        <w:rPr>
          <w:rFonts w:hint="eastAsia" w:ascii="仿宋_GB2312" w:eastAsia="仿宋_GB2312" w:cs="仿宋_GB2312"/>
          <w:sz w:val="28"/>
          <w:szCs w:val="28"/>
          <w:lang w:val="en-US" w:eastAsia="zh-CN"/>
        </w:rPr>
        <w:t>财政拨款“三公”经费支出决算表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_Toc28727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22</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0CAC8C42">
      <w:pPr>
        <w:pStyle w:val="11"/>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_GB2312" w:eastAsia="仿宋_GB2312" w:cs="仿宋_GB2312"/>
          <w:bCs/>
          <w:kern w:val="2"/>
          <w:szCs w:val="21"/>
          <w:lang w:val="en-US" w:eastAsia="zh-CN" w:bidi="ar-SA"/>
        </w:rPr>
      </w:pPr>
      <w:r>
        <w:rPr>
          <w:rFonts w:hint="eastAsia" w:ascii="仿宋_GB2312" w:eastAsia="仿宋_GB2312" w:cs="仿宋_GB2312"/>
          <w:sz w:val="28"/>
          <w:szCs w:val="28"/>
          <w:lang w:val="en-US" w:eastAsia="zh-CN"/>
        </w:rPr>
        <w:fldChar w:fldCharType="end"/>
      </w:r>
      <w:bookmarkStart w:id="13" w:name="_Toc15377196"/>
      <w:bookmarkStart w:id="14" w:name="_Toc15396599"/>
      <w:bookmarkStart w:id="15" w:name="_Toc8167"/>
      <w:bookmarkStart w:id="16" w:name="_Toc23005"/>
      <w:bookmarkStart w:id="17" w:name="_Toc31727"/>
      <w:bookmarkStart w:id="18" w:name="_Toc15992"/>
    </w:p>
    <w:p w14:paraId="6C6CDF5D">
      <w:pPr>
        <w:pStyle w:val="3"/>
        <w:jc w:val="both"/>
        <w:rPr>
          <w:rFonts w:hint="eastAsia" w:ascii="黑体" w:eastAsia="黑体"/>
          <w:b w:val="0"/>
        </w:rPr>
      </w:pPr>
      <w:r>
        <w:rPr>
          <w:rFonts w:hint="eastAsia" w:ascii="仿宋_GB2312" w:eastAsia="仿宋_GB2312" w:cs="仿宋_GB2312"/>
          <w:b w:val="0"/>
          <w:lang w:eastAsia="zh-CN"/>
        </w:rPr>
        <w:t>　　　</w:t>
      </w:r>
      <w:r>
        <w:rPr>
          <w:rFonts w:hint="eastAsia" w:ascii="黑体" w:eastAsia="黑体"/>
          <w:b w:val="0"/>
          <w:lang w:eastAsia="zh-CN"/>
        </w:rPr>
        <w:t>　</w:t>
      </w:r>
      <w:bookmarkStart w:id="19" w:name="_Toc32052"/>
      <w:r>
        <w:rPr>
          <w:rFonts w:hint="eastAsia" w:ascii="黑体" w:eastAsia="黑体"/>
          <w:b w:val="0"/>
        </w:rPr>
        <w:t>第一部分 部门概况</w:t>
      </w:r>
      <w:bookmarkEnd w:id="13"/>
      <w:bookmarkEnd w:id="14"/>
      <w:bookmarkEnd w:id="15"/>
      <w:bookmarkEnd w:id="16"/>
      <w:bookmarkEnd w:id="17"/>
      <w:bookmarkEnd w:id="18"/>
      <w:bookmarkEnd w:id="19"/>
    </w:p>
    <w:p w14:paraId="7EAF82A4">
      <w:pPr>
        <w:pStyle w:val="4"/>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19"/>
          <w:rFonts w:hint="eastAsia" w:ascii="仿宋_GB2312" w:eastAsia="仿宋_GB2312" w:cs="仿宋_GB2312"/>
          <w:b w:val="0"/>
          <w:bCs w:val="0"/>
        </w:rPr>
      </w:pPr>
      <w:bookmarkStart w:id="20" w:name="_Toc2736"/>
      <w:bookmarkStart w:id="21" w:name="_Toc30841"/>
      <w:bookmarkStart w:id="22" w:name="_Toc4547"/>
      <w:bookmarkStart w:id="23" w:name="_Toc12207"/>
      <w:bookmarkStart w:id="24" w:name="_Toc15396600"/>
      <w:bookmarkStart w:id="25" w:name="_Toc15377197"/>
      <w:r>
        <w:rPr>
          <w:rFonts w:hint="eastAsia" w:ascii="黑体" w:eastAsia="黑体"/>
          <w:b w:val="0"/>
          <w:color w:val="000000"/>
          <w:lang w:eastAsia="zh-CN"/>
        </w:rPr>
        <w:t>　　</w:t>
      </w:r>
      <w:bookmarkStart w:id="26" w:name="_Toc16321"/>
      <w:r>
        <w:rPr>
          <w:rFonts w:hint="eastAsia" w:ascii="黑体" w:eastAsia="黑体"/>
          <w:b w:val="0"/>
          <w:color w:val="000000"/>
        </w:rPr>
        <w:t>一、基本职能及主要工作</w:t>
      </w:r>
      <w:bookmarkEnd w:id="20"/>
      <w:bookmarkEnd w:id="21"/>
      <w:bookmarkEnd w:id="22"/>
      <w:bookmarkEnd w:id="23"/>
      <w:bookmarkEnd w:id="24"/>
      <w:bookmarkEnd w:id="25"/>
      <w:bookmarkEnd w:id="26"/>
      <w:bookmarkStart w:id="27" w:name="_Toc15378445"/>
      <w:bookmarkStart w:id="28" w:name="_Toc15377198"/>
    </w:p>
    <w:p w14:paraId="08A39256">
      <w:pPr>
        <w:pStyle w:val="4"/>
        <w:spacing w:before="0" w:after="0" w:line="240" w:lineRule="auto"/>
        <w:ind w:left="642" w:leftChars="153" w:hanging="321" w:hangingChars="100"/>
        <w:rPr>
          <w:rFonts w:hint="eastAsia" w:ascii="楷体" w:eastAsia="楷体" w:cs="楷体"/>
          <w:color w:val="000000"/>
        </w:rPr>
      </w:pPr>
      <w:bookmarkStart w:id="29" w:name="_Toc23053"/>
      <w:bookmarkStart w:id="30" w:name="_Toc1839"/>
      <w:bookmarkStart w:id="31" w:name="_Toc1651"/>
      <w:bookmarkStart w:id="32" w:name="_Toc5977"/>
      <w:r>
        <w:rPr>
          <w:rFonts w:hint="eastAsia" w:ascii="楷体" w:eastAsia="楷体" w:cs="楷体"/>
          <w:color w:val="000000"/>
          <w:lang w:eastAsia="zh-CN"/>
        </w:rPr>
        <w:t>　</w:t>
      </w:r>
      <w:bookmarkStart w:id="33" w:name="_Toc14620"/>
      <w:r>
        <w:rPr>
          <w:rFonts w:hint="eastAsia" w:ascii="楷体" w:eastAsia="楷体" w:cs="楷体"/>
          <w:color w:val="000000"/>
        </w:rPr>
        <w:t>（一）主要职能</w:t>
      </w:r>
      <w:bookmarkEnd w:id="27"/>
      <w:bookmarkEnd w:id="28"/>
      <w:bookmarkEnd w:id="29"/>
      <w:bookmarkEnd w:id="30"/>
      <w:bookmarkEnd w:id="31"/>
      <w:bookmarkEnd w:id="32"/>
      <w:bookmarkEnd w:id="33"/>
      <w:bookmarkStart w:id="34" w:name="_Toc15377199"/>
      <w:bookmarkStart w:id="35" w:name="_Toc15378446"/>
    </w:p>
    <w:p w14:paraId="3982C8E9">
      <w:pPr>
        <w:snapToGrid w:val="0"/>
        <w:spacing w:line="520" w:lineRule="exact"/>
        <w:ind w:firstLine="632" w:firstLineChars="200"/>
        <w:rPr>
          <w:rFonts w:hint="eastAsia" w:ascii="仿宋_GB2312" w:eastAsia="仿宋_GB2312" w:cs="仿宋_GB2312"/>
          <w:color w:val="000000"/>
          <w:spacing w:val="-2"/>
          <w:kern w:val="2"/>
          <w:sz w:val="32"/>
          <w:szCs w:val="32"/>
          <w:lang w:val="en-US" w:eastAsia="zh-CN" w:bidi="ar-SA"/>
        </w:rPr>
      </w:pPr>
      <w:bookmarkStart w:id="36" w:name="_Toc28227"/>
      <w:bookmarkStart w:id="37" w:name="_Toc9486"/>
      <w:bookmarkStart w:id="38" w:name="_Toc1908"/>
      <w:bookmarkStart w:id="39" w:name="_Toc18962"/>
      <w:r>
        <w:rPr>
          <w:rFonts w:hint="eastAsia" w:ascii="仿宋_GB2312" w:eastAsia="仿宋_GB2312" w:cs="仿宋_GB2312"/>
          <w:color w:val="000000"/>
          <w:spacing w:val="-2"/>
          <w:kern w:val="2"/>
          <w:sz w:val="32"/>
          <w:szCs w:val="32"/>
          <w:lang w:val="en-US" w:eastAsia="zh-CN" w:bidi="ar-SA"/>
        </w:rPr>
        <w:t>金川县委机构编制委员会办公室为县机构编制委员会的办事机构，既是县委的工作机构，又是县政府的工作机构。第一贯彻执行机构编制管理工作的方针、政策和法规，研究拟定我县机构编制管理工作的政策，经批准后组织实施。第二负责草拟行政管理体制、事业单位管理体制和机构改革方案以及机构编制管理规定和办法。第三负责全县各部门有关机构编制请示事宜的审核。第四依法监管全县事业单位，依法管理全县事业单位登记和年检。第五负责县机构编制委员会全体会议材料准备，负责组织实施县机构编制委员会全体会议的各项决定事项，并将实施情况向县机构编制委员会报告。第六负责县级党政群机关和事业单位机构编制的日常管理工作，按管理权限对各部门机构编制工作进行管理和业务指导，承办县机构编制委员会交办的其他工作事项。</w:t>
      </w:r>
    </w:p>
    <w:p w14:paraId="7DF2E34C">
      <w:pPr>
        <w:pStyle w:val="4"/>
        <w:spacing w:before="0" w:after="0" w:line="240" w:lineRule="auto"/>
        <w:ind w:left="642" w:leftChars="153" w:hanging="321" w:hangingChars="100"/>
        <w:rPr>
          <w:rFonts w:hint="eastAsia" w:ascii="楷体" w:eastAsia="楷体" w:cs="楷体"/>
          <w:color w:val="000000"/>
        </w:rPr>
      </w:pPr>
      <w:r>
        <w:rPr>
          <w:rFonts w:hint="eastAsia" w:ascii="楷体" w:eastAsia="楷体" w:cs="楷体"/>
          <w:color w:val="000000"/>
          <w:lang w:eastAsia="zh-CN"/>
        </w:rPr>
        <w:t>　</w:t>
      </w:r>
      <w:bookmarkStart w:id="40" w:name="_Toc13944"/>
      <w:r>
        <w:rPr>
          <w:rFonts w:hint="eastAsia" w:ascii="楷体" w:eastAsia="楷体" w:cs="楷体"/>
          <w:color w:val="000000"/>
        </w:rPr>
        <w:t>（二）</w:t>
      </w:r>
      <w:r>
        <w:rPr>
          <w:rFonts w:hint="eastAsia" w:ascii="楷体" w:eastAsia="楷体" w:cs="楷体"/>
          <w:color w:val="000000"/>
          <w:lang w:val="en-US" w:eastAsia="zh-CN"/>
        </w:rPr>
        <w:t>2022年</w:t>
      </w:r>
      <w:r>
        <w:rPr>
          <w:rFonts w:hint="eastAsia" w:ascii="楷体" w:eastAsia="楷体" w:cs="楷体"/>
          <w:color w:val="000000"/>
        </w:rPr>
        <w:t>重点工作完成情况</w:t>
      </w:r>
      <w:bookmarkEnd w:id="34"/>
      <w:bookmarkEnd w:id="35"/>
      <w:bookmarkEnd w:id="36"/>
      <w:bookmarkEnd w:id="37"/>
      <w:bookmarkEnd w:id="38"/>
      <w:bookmarkEnd w:id="39"/>
      <w:bookmarkEnd w:id="40"/>
    </w:p>
    <w:p w14:paraId="29BC3DD8">
      <w:pPr>
        <w:snapToGrid w:val="0"/>
        <w:spacing w:line="520" w:lineRule="exact"/>
        <w:ind w:firstLine="632" w:firstLineChars="200"/>
        <w:rPr>
          <w:rFonts w:hint="eastAsia" w:ascii="仿宋_GB2312" w:eastAsia="仿宋_GB2312" w:cs="仿宋_GB2312"/>
          <w:color w:val="000000"/>
          <w:spacing w:val="-2"/>
          <w:kern w:val="2"/>
          <w:sz w:val="32"/>
          <w:szCs w:val="32"/>
          <w:lang w:val="en-US" w:eastAsia="zh-CN" w:bidi="ar-SA"/>
        </w:rPr>
      </w:pPr>
      <w:bookmarkStart w:id="41" w:name="_Toc15396601"/>
      <w:bookmarkStart w:id="42" w:name="_Toc11460"/>
      <w:bookmarkStart w:id="43" w:name="_Toc28066"/>
      <w:bookmarkStart w:id="44" w:name="_Toc14136"/>
      <w:bookmarkStart w:id="45" w:name="_Toc6603"/>
      <w:bookmarkStart w:id="46" w:name="_Toc15377200"/>
      <w:r>
        <w:rPr>
          <w:rFonts w:hint="eastAsia" w:ascii="仿宋_GB2312" w:eastAsia="仿宋_GB2312" w:cs="仿宋_GB2312"/>
          <w:color w:val="000000"/>
          <w:spacing w:val="-2"/>
          <w:kern w:val="2"/>
          <w:sz w:val="32"/>
          <w:szCs w:val="32"/>
          <w:lang w:val="en-US" w:eastAsia="zh-CN" w:bidi="ar-SA"/>
        </w:rPr>
        <w:t xml:space="preserve"> 1. 深入开展机关效能整治活动，激发干部职工创先争优的意识，努力创建廉洁、勤政、务实、高效的“服务型”机关，并以此为契机，认真履行机构编制管理职能，完善管理机制，创新管理方法。</w:t>
      </w:r>
    </w:p>
    <w:p w14:paraId="4E2EFD84">
      <w:pPr>
        <w:snapToGrid w:val="0"/>
        <w:spacing w:line="520" w:lineRule="exact"/>
        <w:ind w:firstLine="632" w:firstLineChars="200"/>
        <w:rPr>
          <w:rFonts w:hint="eastAsia" w:ascii="仿宋_GB2312" w:eastAsia="仿宋_GB2312" w:cs="仿宋_GB2312"/>
          <w:color w:val="000000"/>
          <w:spacing w:val="-2"/>
          <w:kern w:val="2"/>
          <w:sz w:val="32"/>
          <w:szCs w:val="32"/>
          <w:lang w:val="en-US" w:eastAsia="zh-CN" w:bidi="ar-SA"/>
        </w:rPr>
      </w:pPr>
      <w:r>
        <w:rPr>
          <w:rFonts w:hint="eastAsia" w:ascii="仿宋_GB2312" w:eastAsia="仿宋_GB2312" w:cs="仿宋_GB2312"/>
          <w:color w:val="000000"/>
          <w:spacing w:val="-2"/>
          <w:kern w:val="2"/>
          <w:sz w:val="32"/>
          <w:szCs w:val="32"/>
          <w:lang w:val="en-US" w:eastAsia="zh-CN" w:bidi="ar-SA"/>
        </w:rPr>
        <w:t>2.按照“严控编制总量、盘活存量、优化结构、增减平衡”的原则，严格控制机构编制的总量，完善动态调整机制，创新管理方式和手段，重点解决好促进经济发展方式转变、保障和改善民生、维护社会和谐稳定等方面的机构编制问题。严格控制机构编制和财政供养人员增长。</w:t>
      </w:r>
    </w:p>
    <w:p w14:paraId="5ACA82B3">
      <w:pPr>
        <w:snapToGrid w:val="0"/>
        <w:spacing w:line="520" w:lineRule="exact"/>
        <w:ind w:firstLine="632" w:firstLineChars="200"/>
        <w:rPr>
          <w:rFonts w:hint="eastAsia" w:ascii="仿宋_GB2312" w:eastAsia="仿宋_GB2312" w:cs="仿宋_GB2312"/>
          <w:color w:val="000000"/>
          <w:spacing w:val="-2"/>
          <w:kern w:val="2"/>
          <w:sz w:val="32"/>
          <w:szCs w:val="32"/>
          <w:lang w:val="en-US" w:eastAsia="zh-CN" w:bidi="ar-SA"/>
        </w:rPr>
      </w:pPr>
      <w:r>
        <w:rPr>
          <w:rFonts w:hint="eastAsia" w:ascii="仿宋_GB2312" w:eastAsia="仿宋_GB2312" w:cs="仿宋_GB2312"/>
          <w:color w:val="000000"/>
          <w:spacing w:val="-2"/>
          <w:kern w:val="2"/>
          <w:sz w:val="32"/>
          <w:szCs w:val="32"/>
          <w:lang w:val="en-US" w:eastAsia="zh-CN" w:bidi="ar-SA"/>
        </w:rPr>
        <w:t>3.加强机构编制日常管理，严肃机构编制纪律。积极研究机构编制宏观管理的方式、方法，逐步建立机构编制管理工作科学决策机制、综合协调机制、与财政预算管理相配套的约束机制，不断完善实现有效管理的制度、手段和措施。加大机构编制的监督检查力度。</w:t>
      </w:r>
    </w:p>
    <w:p w14:paraId="761BFEE2">
      <w:pPr>
        <w:snapToGrid w:val="0"/>
        <w:spacing w:line="520" w:lineRule="exact"/>
        <w:ind w:firstLine="632" w:firstLineChars="200"/>
        <w:rPr>
          <w:rFonts w:hint="eastAsia" w:ascii="仿宋_GB2312" w:eastAsia="仿宋_GB2312" w:cs="仿宋_GB2312"/>
          <w:color w:val="000000"/>
          <w:spacing w:val="-2"/>
          <w:kern w:val="2"/>
          <w:sz w:val="32"/>
          <w:szCs w:val="32"/>
          <w:lang w:val="en-US" w:eastAsia="zh-CN" w:bidi="ar-SA"/>
        </w:rPr>
      </w:pPr>
      <w:r>
        <w:rPr>
          <w:rFonts w:hint="eastAsia" w:ascii="仿宋_GB2312" w:eastAsia="仿宋_GB2312" w:cs="仿宋_GB2312"/>
          <w:color w:val="000000"/>
          <w:spacing w:val="-2"/>
          <w:kern w:val="2"/>
          <w:sz w:val="32"/>
          <w:szCs w:val="32"/>
          <w:lang w:val="en-US" w:eastAsia="zh-CN" w:bidi="ar-SA"/>
        </w:rPr>
        <w:t>4.做好统一社会信用代码的赋码、换证工作。加强事业单位法人登记、变更注销工作。</w:t>
      </w:r>
    </w:p>
    <w:p w14:paraId="6C929091">
      <w:pPr>
        <w:snapToGrid w:val="0"/>
        <w:spacing w:line="520" w:lineRule="exact"/>
        <w:ind w:firstLine="632" w:firstLineChars="200"/>
        <w:rPr>
          <w:rFonts w:hint="eastAsia" w:ascii="仿宋_GB2312" w:eastAsia="仿宋_GB2312" w:cs="仿宋_GB2312"/>
          <w:color w:val="000000"/>
          <w:spacing w:val="-2"/>
          <w:kern w:val="2"/>
          <w:sz w:val="32"/>
          <w:szCs w:val="32"/>
          <w:lang w:val="en-US" w:eastAsia="zh-CN" w:bidi="ar-SA"/>
        </w:rPr>
      </w:pPr>
      <w:r>
        <w:rPr>
          <w:rFonts w:hint="eastAsia" w:ascii="仿宋_GB2312" w:eastAsia="仿宋_GB2312" w:cs="仿宋_GB2312"/>
          <w:color w:val="000000"/>
          <w:spacing w:val="-2"/>
          <w:kern w:val="2"/>
          <w:sz w:val="32"/>
          <w:szCs w:val="32"/>
          <w:lang w:val="en-US" w:eastAsia="zh-CN" w:bidi="ar-SA"/>
        </w:rPr>
        <w:t>5.认真完成县委县政府及上级机构编制部门安排的各项工作任务。</w:t>
      </w:r>
    </w:p>
    <w:p w14:paraId="6FC8C22F">
      <w:pPr>
        <w:spacing w:line="578" w:lineRule="exact"/>
        <w:ind w:firstLine="640" w:firstLineChars="200"/>
        <w:rPr>
          <w:rStyle w:val="19"/>
          <w:rFonts w:hint="eastAsia" w:ascii="黑体" w:eastAsia="黑体"/>
          <w:b w:val="0"/>
          <w:bCs w:val="0"/>
          <w:lang w:eastAsia="zh-CN"/>
        </w:rPr>
      </w:pPr>
      <w:bookmarkStart w:id="47" w:name="_Toc15561"/>
      <w:r>
        <w:rPr>
          <w:rStyle w:val="19"/>
          <w:rFonts w:hint="eastAsia" w:ascii="黑体" w:eastAsia="黑体"/>
          <w:b w:val="0"/>
          <w:bCs w:val="0"/>
        </w:rPr>
        <w:t>二、机构设置</w:t>
      </w:r>
      <w:bookmarkEnd w:id="41"/>
      <w:bookmarkEnd w:id="42"/>
      <w:bookmarkEnd w:id="43"/>
      <w:bookmarkEnd w:id="44"/>
      <w:bookmarkEnd w:id="45"/>
      <w:bookmarkEnd w:id="46"/>
      <w:bookmarkStart w:id="48" w:name="_Toc15396602"/>
      <w:bookmarkStart w:id="49" w:name="_Toc15377204"/>
    </w:p>
    <w:bookmarkEnd w:id="47"/>
    <w:p w14:paraId="56A9A828">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zh-CN" w:eastAsia="zh-CN"/>
        </w:rPr>
        <w:t>金川县委编办独立编制机构数</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val="zh-CN" w:eastAsia="zh-CN"/>
        </w:rPr>
        <w:t>个，独立核算机构数</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val="zh-CN" w:eastAsia="zh-CN"/>
        </w:rPr>
        <w:t>个，单位编制数</w:t>
      </w:r>
      <w:r>
        <w:rPr>
          <w:rFonts w:hint="eastAsia" w:ascii="仿宋_GB2312" w:eastAsia="仿宋_GB2312" w:cs="仿宋_GB2312"/>
          <w:sz w:val="32"/>
          <w:szCs w:val="32"/>
          <w:lang w:val="en-US" w:eastAsia="zh-CN"/>
        </w:rPr>
        <w:t>14</w:t>
      </w:r>
      <w:r>
        <w:rPr>
          <w:rFonts w:hint="eastAsia" w:ascii="仿宋_GB2312" w:eastAsia="仿宋_GB2312" w:cs="仿宋_GB2312"/>
          <w:sz w:val="32"/>
          <w:szCs w:val="32"/>
          <w:lang w:val="zh-CN" w:eastAsia="zh-CN"/>
        </w:rPr>
        <w:t>个，其中：行政编制</w:t>
      </w:r>
      <w:r>
        <w:rPr>
          <w:rFonts w:hint="eastAsia" w:ascii="仿宋_GB2312" w:eastAsia="仿宋_GB2312" w:cs="仿宋_GB2312"/>
          <w:sz w:val="32"/>
          <w:szCs w:val="32"/>
          <w:lang w:val="en-US" w:eastAsia="zh-CN"/>
        </w:rPr>
        <w:t>4个</w:t>
      </w:r>
      <w:r>
        <w:rPr>
          <w:rFonts w:hint="eastAsia" w:ascii="仿宋_GB2312" w:eastAsia="仿宋_GB2312" w:cs="仿宋_GB2312"/>
          <w:sz w:val="32"/>
          <w:szCs w:val="32"/>
          <w:lang w:val="zh-CN" w:eastAsia="zh-CN"/>
        </w:rPr>
        <w:t>、行政工勤编制1个、参公编制</w:t>
      </w:r>
      <w:r>
        <w:rPr>
          <w:rFonts w:hint="eastAsia" w:ascii="仿宋_GB2312" w:eastAsia="仿宋_GB2312" w:cs="仿宋_GB2312"/>
          <w:sz w:val="32"/>
          <w:szCs w:val="32"/>
          <w:lang w:val="en-US" w:eastAsia="zh-CN"/>
        </w:rPr>
        <w:t>6个、</w:t>
      </w:r>
      <w:r>
        <w:rPr>
          <w:rFonts w:hint="eastAsia" w:ascii="仿宋_GB2312" w:eastAsia="仿宋_GB2312" w:cs="仿宋_GB2312"/>
          <w:sz w:val="32"/>
          <w:szCs w:val="32"/>
          <w:lang w:val="zh-CN" w:eastAsia="zh-CN"/>
        </w:rPr>
        <w:t>事业编制</w:t>
      </w:r>
      <w:r>
        <w:rPr>
          <w:rFonts w:hint="eastAsia" w:ascii="仿宋_GB2312" w:eastAsia="仿宋_GB2312" w:cs="仿宋_GB2312"/>
          <w:sz w:val="32"/>
          <w:szCs w:val="32"/>
          <w:lang w:val="en-US" w:eastAsia="zh-CN"/>
        </w:rPr>
        <w:t>3个</w:t>
      </w:r>
      <w:r>
        <w:rPr>
          <w:rFonts w:hint="eastAsia" w:ascii="仿宋_GB2312" w:eastAsia="仿宋_GB2312" w:cs="仿宋_GB2312"/>
          <w:sz w:val="32"/>
          <w:szCs w:val="32"/>
          <w:lang w:val="zh-CN" w:eastAsia="zh-CN"/>
        </w:rPr>
        <w:t>。20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lang w:val="zh-CN" w:eastAsia="zh-CN"/>
        </w:rPr>
        <w:t>年末单位实有人数</w:t>
      </w:r>
      <w:r>
        <w:rPr>
          <w:rFonts w:hint="eastAsia" w:ascii="仿宋_GB2312" w:eastAsia="仿宋_GB2312" w:cs="仿宋_GB2312"/>
          <w:sz w:val="32"/>
          <w:szCs w:val="32"/>
          <w:lang w:val="en-US" w:eastAsia="zh-CN"/>
        </w:rPr>
        <w:t>13</w:t>
      </w:r>
      <w:r>
        <w:rPr>
          <w:rFonts w:hint="eastAsia" w:ascii="仿宋_GB2312" w:eastAsia="仿宋_GB2312" w:cs="仿宋_GB2312"/>
          <w:sz w:val="32"/>
          <w:szCs w:val="32"/>
          <w:lang w:val="zh-CN" w:eastAsia="zh-CN"/>
        </w:rPr>
        <w:t>人，</w:t>
      </w:r>
      <w:r>
        <w:rPr>
          <w:rFonts w:hint="eastAsia" w:ascii="仿宋_GB2312" w:eastAsia="仿宋_GB2312" w:cs="仿宋_GB2312"/>
          <w:sz w:val="32"/>
          <w:szCs w:val="32"/>
          <w:lang w:val="en-US" w:eastAsia="zh-CN"/>
        </w:rPr>
        <w:t>其中行政人员5人（含工勤1人），参公人员5人，事业人员3人。</w:t>
      </w:r>
    </w:p>
    <w:p w14:paraId="154E1195">
      <w:pPr>
        <w:snapToGrid w:val="0"/>
        <w:spacing w:line="360" w:lineRule="auto"/>
        <w:ind w:firstLine="604"/>
        <w:rPr>
          <w:rFonts w:hint="eastAsia" w:ascii="仿宋_GB2312" w:eastAsia="仿宋_GB2312" w:cs="仿宋_GB2312"/>
          <w:sz w:val="30"/>
          <w:szCs w:val="30"/>
        </w:rPr>
      </w:pPr>
    </w:p>
    <w:p w14:paraId="09038FFC">
      <w:pPr>
        <w:snapToGrid w:val="0"/>
        <w:spacing w:line="360" w:lineRule="auto"/>
        <w:ind w:firstLine="604"/>
        <w:rPr>
          <w:rFonts w:hint="eastAsia" w:ascii="仿宋_GB2312" w:eastAsia="仿宋_GB2312" w:cs="仿宋_GB2312"/>
          <w:sz w:val="30"/>
          <w:szCs w:val="30"/>
        </w:rPr>
      </w:pPr>
    </w:p>
    <w:p w14:paraId="33224954">
      <w:pPr>
        <w:pStyle w:val="6"/>
        <w:rPr>
          <w:rFonts w:hint="eastAsia" w:ascii="仿宋_GB2312" w:eastAsia="仿宋_GB2312" w:cs="仿宋_GB2312"/>
          <w:sz w:val="30"/>
          <w:szCs w:val="30"/>
        </w:rPr>
      </w:pPr>
    </w:p>
    <w:p w14:paraId="040D4063">
      <w:pPr>
        <w:pStyle w:val="6"/>
        <w:rPr>
          <w:rFonts w:hint="eastAsia" w:ascii="仿宋_GB2312" w:eastAsia="仿宋_GB2312" w:cs="仿宋_GB2312"/>
          <w:sz w:val="30"/>
          <w:szCs w:val="30"/>
        </w:rPr>
      </w:pPr>
    </w:p>
    <w:p w14:paraId="4FE024BA">
      <w:pPr>
        <w:snapToGrid w:val="0"/>
        <w:spacing w:line="360" w:lineRule="auto"/>
        <w:ind w:firstLine="604"/>
        <w:rPr>
          <w:rFonts w:hint="eastAsia" w:ascii="仿宋_GB2312" w:eastAsia="仿宋_GB2312" w:cs="仿宋_GB2312"/>
          <w:sz w:val="30"/>
          <w:szCs w:val="30"/>
        </w:rPr>
      </w:pPr>
    </w:p>
    <w:p w14:paraId="4D478F8A">
      <w:pPr>
        <w:pStyle w:val="3"/>
        <w:ind w:right="440"/>
        <w:jc w:val="right"/>
        <w:rPr>
          <w:rFonts w:hint="eastAsia" w:ascii="仿宋_GB2312" w:eastAsia="仿宋_GB2312" w:cs="仿宋_GB2312"/>
          <w:b/>
          <w:bCs w:val="0"/>
        </w:rPr>
      </w:pPr>
      <w:bookmarkStart w:id="50" w:name="_Toc26137"/>
      <w:bookmarkStart w:id="51" w:name="_Toc29443"/>
      <w:bookmarkStart w:id="52" w:name="_Toc16028"/>
      <w:bookmarkStart w:id="53" w:name="_Toc27838"/>
      <w:bookmarkStart w:id="54" w:name="_Toc1049"/>
      <w:r>
        <w:rPr>
          <w:rFonts w:hint="eastAsia" w:ascii="仿宋_GB2312" w:eastAsia="仿宋_GB2312" w:cs="仿宋_GB2312"/>
          <w:b/>
          <w:bCs w:val="0"/>
          <w:color w:val="000000"/>
        </w:rPr>
        <w:t xml:space="preserve">第二部分 </w:t>
      </w:r>
      <w:r>
        <w:rPr>
          <w:rStyle w:val="18"/>
          <w:rFonts w:hint="eastAsia" w:ascii="仿宋_GB2312" w:eastAsia="仿宋_GB2312" w:cs="仿宋_GB2312"/>
          <w:b/>
          <w:bCs w:val="0"/>
          <w:lang w:val="en-US"/>
        </w:rPr>
        <w:t>2022年</w:t>
      </w:r>
      <w:r>
        <w:rPr>
          <w:rStyle w:val="18"/>
          <w:rFonts w:hint="eastAsia" w:ascii="仿宋_GB2312" w:eastAsia="仿宋_GB2312" w:cs="仿宋_GB2312"/>
          <w:b/>
          <w:bCs w:val="0"/>
        </w:rPr>
        <w:t>度部门决算情况说明</w:t>
      </w:r>
      <w:bookmarkEnd w:id="48"/>
      <w:bookmarkEnd w:id="49"/>
      <w:bookmarkEnd w:id="50"/>
      <w:bookmarkEnd w:id="51"/>
      <w:bookmarkEnd w:id="52"/>
      <w:bookmarkEnd w:id="53"/>
      <w:bookmarkEnd w:id="54"/>
    </w:p>
    <w:p w14:paraId="05CA8684">
      <w:pPr>
        <w:pStyle w:val="24"/>
        <w:spacing w:line="240" w:lineRule="auto"/>
        <w:outlineLvl w:val="1"/>
        <w:rPr>
          <w:rStyle w:val="19"/>
          <w:rFonts w:hint="eastAsia" w:ascii="仿宋_GB2312" w:eastAsia="仿宋_GB2312" w:cs="仿宋_GB2312"/>
          <w:b w:val="0"/>
          <w:lang w:val="en-US" w:eastAsia="zh-CN"/>
        </w:rPr>
      </w:pPr>
      <w:bookmarkStart w:id="55" w:name="_Toc15377205"/>
      <w:bookmarkStart w:id="56" w:name="_Toc15396603"/>
      <w:bookmarkStart w:id="57" w:name="_Toc30925"/>
      <w:bookmarkStart w:id="58" w:name="_Toc6550"/>
      <w:bookmarkStart w:id="59" w:name="_Toc23404"/>
      <w:bookmarkStart w:id="60" w:name="_Toc6930"/>
      <w:r>
        <w:rPr>
          <w:rStyle w:val="19"/>
          <w:rFonts w:hint="eastAsia" w:ascii="仿宋_GB2312" w:eastAsia="仿宋_GB2312" w:cs="仿宋_GB2312"/>
          <w:b w:val="0"/>
          <w:lang w:eastAsia="zh-CN"/>
        </w:rPr>
        <w:drawing>
          <wp:anchor distT="0" distB="0" distL="114300" distR="114300" simplePos="0" relativeHeight="251659264" behindDoc="0" locked="0" layoutInCell="1" allowOverlap="1">
            <wp:simplePos x="0" y="0"/>
            <wp:positionH relativeFrom="column">
              <wp:posOffset>12700</wp:posOffset>
            </wp:positionH>
            <wp:positionV relativeFrom="paragraph">
              <wp:posOffset>3032760</wp:posOffset>
            </wp:positionV>
            <wp:extent cx="4572000" cy="2612390"/>
            <wp:effectExtent l="0" t="0" r="0" b="0"/>
            <wp:wrapTight wrapText="bothSides">
              <wp:wrapPolygon>
                <wp:start x="-15" y="-42"/>
                <wp:lineTo x="-15" y="21536"/>
                <wp:lineTo x="21584" y="21536"/>
                <wp:lineTo x="21584" y="-42"/>
                <wp:lineTo x="-15" y="-42"/>
              </wp:wrapPolygon>
            </wp:wrapTight>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61" w:name="_Toc2815"/>
      <w:r>
        <w:rPr>
          <w:rStyle w:val="19"/>
          <w:rFonts w:hint="eastAsia" w:ascii="仿宋_GB2312" w:eastAsia="仿宋_GB2312" w:cs="仿宋_GB2312"/>
          <w:b w:val="0"/>
          <w:lang w:val="en-US" w:eastAsia="zh-CN"/>
        </w:rPr>
        <w:t>一、收入支出决算总体情况说明</w:t>
      </w:r>
      <w:bookmarkEnd w:id="55"/>
      <w:bookmarkEnd w:id="56"/>
      <w:bookmarkEnd w:id="57"/>
    </w:p>
    <w:bookmarkEnd w:id="58"/>
    <w:bookmarkEnd w:id="59"/>
    <w:bookmarkEnd w:id="60"/>
    <w:bookmarkEnd w:id="61"/>
    <w:p w14:paraId="1B24A247">
      <w:pPr>
        <w:snapToGrid w:val="0"/>
        <w:spacing w:line="520" w:lineRule="exact"/>
        <w:ind w:firstLine="632" w:firstLineChars="200"/>
        <w:rPr>
          <w:rFonts w:hint="eastAsia" w:ascii="仿宋_GB2312" w:eastAsia="仿宋_GB2312" w:cs="仿宋_GB2312"/>
          <w:color w:val="auto"/>
          <w:spacing w:val="-2"/>
          <w:kern w:val="2"/>
          <w:sz w:val="32"/>
          <w:szCs w:val="32"/>
          <w:lang w:val="en-US" w:eastAsia="zh-CN" w:bidi="ar-SA"/>
        </w:rPr>
      </w:pPr>
      <w:bookmarkStart w:id="62" w:name="_Toc15396604"/>
      <w:bookmarkStart w:id="63" w:name="_Toc15377206"/>
      <w:bookmarkStart w:id="64" w:name="_Toc9817"/>
      <w:bookmarkStart w:id="65" w:name="_Toc10892"/>
      <w:bookmarkStart w:id="66" w:name="_Toc22529"/>
      <w:r>
        <w:rPr>
          <w:rFonts w:hint="eastAsia" w:ascii="仿宋_GB2312" w:eastAsia="仿宋_GB2312" w:cs="仿宋_GB2312"/>
          <w:color w:val="auto"/>
          <w:spacing w:val="-2"/>
          <w:kern w:val="2"/>
          <w:sz w:val="32"/>
          <w:szCs w:val="32"/>
          <w:lang w:val="en-US" w:eastAsia="zh-CN" w:bidi="ar-SA"/>
        </w:rPr>
        <w:t>2022年度总收入250.01万元，较上年收入增加34.03万元，增加15.76%。主要原因是2022年度目标奖纳入工资，人员经费调整。</w:t>
      </w:r>
    </w:p>
    <w:p w14:paraId="56F9C6C8">
      <w:pPr>
        <w:snapToGrid w:val="0"/>
        <w:spacing w:line="520" w:lineRule="exact"/>
        <w:ind w:firstLine="632" w:firstLineChars="200"/>
        <w:rPr>
          <w:rFonts w:hint="eastAsia" w:ascii="仿宋_GB2312" w:eastAsia="仿宋_GB2312" w:cs="仿宋_GB2312"/>
          <w:color w:val="auto"/>
          <w:spacing w:val="-2"/>
          <w:kern w:val="2"/>
          <w:sz w:val="32"/>
          <w:szCs w:val="32"/>
          <w:lang w:val="en-US" w:eastAsia="zh-CN" w:bidi="ar-SA"/>
        </w:rPr>
      </w:pPr>
      <w:bookmarkStart w:id="67" w:name="_Toc32710"/>
      <w:r>
        <w:rPr>
          <w:rFonts w:hint="eastAsia" w:ascii="仿宋_GB2312" w:eastAsia="仿宋_GB2312" w:cs="仿宋_GB2312"/>
          <w:color w:val="auto"/>
          <w:spacing w:val="-2"/>
          <w:kern w:val="2"/>
          <w:sz w:val="32"/>
          <w:szCs w:val="32"/>
          <w:lang w:val="en-US" w:eastAsia="zh-CN" w:bidi="ar-SA"/>
        </w:rPr>
        <w:t>2022年度总支出250.01万元，较上年收入增加34.03万元，增加15.76%。主要原因是2022年度目标奖纳入工资，人员经费调整。</w:t>
      </w:r>
    </w:p>
    <w:p w14:paraId="158A5F53">
      <w:pPr>
        <w:spacing w:line="600" w:lineRule="exact"/>
        <w:rPr>
          <w:rStyle w:val="19"/>
          <w:rFonts w:hint="eastAsia" w:ascii="仿宋_GB2312" w:eastAsia="仿宋_GB2312" w:cs="仿宋_GB2312"/>
          <w:b w:val="0"/>
          <w:lang w:val="en-US" w:eastAsia="zh-CN"/>
        </w:rPr>
      </w:pPr>
      <w:bookmarkStart w:id="68" w:name="_Toc21139"/>
      <w:bookmarkStart w:id="69" w:name="_Toc27085"/>
    </w:p>
    <w:bookmarkEnd w:id="67"/>
    <w:bookmarkEnd w:id="68"/>
    <w:bookmarkEnd w:id="69"/>
    <w:p w14:paraId="5A003BFD">
      <w:pPr>
        <w:spacing w:line="600" w:lineRule="exact"/>
        <w:ind w:firstLine="640" w:firstLineChars="200"/>
        <w:rPr>
          <w:rStyle w:val="19"/>
          <w:rFonts w:hint="eastAsia" w:ascii="仿宋_GB2312" w:eastAsia="仿宋_GB2312" w:cs="仿宋_GB2312"/>
          <w:b w:val="0"/>
          <w:lang w:val="en-US" w:eastAsia="zh-CN"/>
        </w:rPr>
      </w:pPr>
    </w:p>
    <w:p w14:paraId="0313CE10">
      <w:pPr>
        <w:spacing w:line="600" w:lineRule="exact"/>
        <w:ind w:firstLine="640" w:firstLineChars="200"/>
        <w:rPr>
          <w:rStyle w:val="19"/>
          <w:rFonts w:hint="eastAsia" w:ascii="仿宋_GB2312" w:eastAsia="仿宋_GB2312" w:cs="仿宋_GB2312"/>
          <w:b w:val="0"/>
          <w:lang w:val="en-US" w:eastAsia="zh-CN"/>
        </w:rPr>
      </w:pPr>
    </w:p>
    <w:p w14:paraId="4C568803">
      <w:pPr>
        <w:spacing w:line="600" w:lineRule="exact"/>
        <w:ind w:firstLine="640" w:firstLineChars="200"/>
        <w:rPr>
          <w:rStyle w:val="19"/>
          <w:rFonts w:hint="eastAsia" w:ascii="仿宋_GB2312" w:eastAsia="仿宋_GB2312" w:cs="仿宋_GB2312"/>
          <w:b w:val="0"/>
          <w:lang w:val="en-US" w:eastAsia="zh-CN"/>
        </w:rPr>
      </w:pPr>
    </w:p>
    <w:p w14:paraId="14CBB540">
      <w:pPr>
        <w:spacing w:line="600" w:lineRule="exact"/>
        <w:ind w:firstLine="640" w:firstLineChars="200"/>
        <w:rPr>
          <w:rStyle w:val="19"/>
          <w:rFonts w:hint="eastAsia" w:ascii="仿宋_GB2312" w:eastAsia="仿宋_GB2312" w:cs="仿宋_GB2312"/>
          <w:b w:val="0"/>
          <w:lang w:val="en-US" w:eastAsia="zh-CN"/>
        </w:rPr>
      </w:pPr>
    </w:p>
    <w:p w14:paraId="3430E21B">
      <w:pPr>
        <w:spacing w:line="600" w:lineRule="exact"/>
        <w:ind w:firstLine="640" w:firstLineChars="200"/>
        <w:rPr>
          <w:rStyle w:val="19"/>
          <w:rFonts w:hint="eastAsia" w:ascii="仿宋_GB2312" w:eastAsia="仿宋_GB2312" w:cs="仿宋_GB2312"/>
          <w:b w:val="0"/>
          <w:lang w:val="en-US" w:eastAsia="zh-CN"/>
        </w:rPr>
      </w:pPr>
    </w:p>
    <w:p w14:paraId="345F5B2A">
      <w:pPr>
        <w:spacing w:line="600" w:lineRule="exact"/>
        <w:ind w:firstLine="640" w:firstLineChars="200"/>
        <w:rPr>
          <w:rStyle w:val="19"/>
          <w:rFonts w:hint="eastAsia" w:ascii="仿宋_GB2312" w:eastAsia="仿宋_GB2312" w:cs="仿宋_GB2312"/>
          <w:b w:val="0"/>
          <w:lang w:val="en-US" w:eastAsia="zh-CN"/>
        </w:rPr>
      </w:pPr>
    </w:p>
    <w:p w14:paraId="37119C9E">
      <w:pPr>
        <w:spacing w:line="600" w:lineRule="exact"/>
        <w:ind w:firstLine="640" w:firstLineChars="200"/>
        <w:rPr>
          <w:rStyle w:val="19"/>
          <w:rFonts w:hint="eastAsia" w:ascii="仿宋_GB2312" w:eastAsia="仿宋_GB2312" w:cs="仿宋_GB2312"/>
          <w:b w:val="0"/>
          <w:lang w:val="en-US" w:eastAsia="zh-CN"/>
        </w:rPr>
      </w:pPr>
    </w:p>
    <w:p w14:paraId="240B64E9">
      <w:pPr>
        <w:spacing w:line="600" w:lineRule="exact"/>
        <w:ind w:firstLine="640" w:firstLineChars="200"/>
        <w:rPr>
          <w:rStyle w:val="19"/>
          <w:rFonts w:hint="eastAsia" w:ascii="仿宋_GB2312" w:eastAsia="仿宋_GB2312" w:cs="仿宋_GB2312"/>
          <w:b w:val="0"/>
          <w:lang w:val="en-US" w:eastAsia="zh-CN"/>
        </w:rPr>
      </w:pPr>
    </w:p>
    <w:p w14:paraId="7F33CDCD">
      <w:pPr>
        <w:spacing w:line="600" w:lineRule="exact"/>
        <w:ind w:firstLine="640" w:firstLineChars="200"/>
        <w:rPr>
          <w:rStyle w:val="19"/>
          <w:rFonts w:hint="eastAsia" w:ascii="仿宋_GB2312" w:eastAsia="仿宋_GB2312" w:cs="仿宋_GB2312"/>
          <w:b w:val="0"/>
          <w:lang w:val="en-US" w:eastAsia="zh-CN"/>
        </w:rPr>
      </w:pPr>
      <w:bookmarkStart w:id="70" w:name="_Toc16302"/>
      <w:bookmarkStart w:id="71" w:name="_Toc31756"/>
      <w:r>
        <w:rPr>
          <w:rStyle w:val="19"/>
          <w:rFonts w:hint="eastAsia" w:ascii="仿宋_GB2312" w:eastAsia="仿宋_GB2312" w:cs="仿宋_GB2312"/>
          <w:b w:val="0"/>
          <w:lang w:val="en-US" w:eastAsia="zh-CN"/>
        </w:rPr>
        <w:t>二、收入决算情况说明</w:t>
      </w:r>
      <w:bookmarkEnd w:id="62"/>
      <w:bookmarkEnd w:id="63"/>
    </w:p>
    <w:bookmarkEnd w:id="64"/>
    <w:bookmarkEnd w:id="65"/>
    <w:bookmarkEnd w:id="66"/>
    <w:bookmarkEnd w:id="70"/>
    <w:bookmarkEnd w:id="71"/>
    <w:p w14:paraId="4A14D4B7">
      <w:pPr>
        <w:spacing w:line="600" w:lineRule="exact"/>
        <w:ind w:firstLine="640" w:firstLineChars="200"/>
        <w:outlineLvl w:val="1"/>
        <w:rPr>
          <w:rFonts w:hint="eastAsia" w:ascii="仿宋_GB2312" w:eastAsia="仿宋_GB2312" w:cs="仿宋_GB2312"/>
          <w:color w:val="000000"/>
          <w:sz w:val="32"/>
          <w:szCs w:val="32"/>
          <w:lang w:val="en-US" w:eastAsia="zh-CN"/>
        </w:rPr>
      </w:pPr>
      <w:bookmarkStart w:id="72" w:name="_Toc3536"/>
      <w:bookmarkStart w:id="73" w:name="_Toc21083"/>
      <w:bookmarkStart w:id="74" w:name="_Toc9610"/>
      <w:bookmarkStart w:id="75" w:name="_Toc15377207"/>
      <w:bookmarkStart w:id="76" w:name="_Toc15396605"/>
      <w:bookmarkStart w:id="77" w:name="_Toc25926"/>
      <w:bookmarkStart w:id="78" w:name="_Toc5227"/>
      <w:bookmarkStart w:id="79" w:name="_Toc30988"/>
      <w:r>
        <w:rPr>
          <w:rFonts w:hint="eastAsia" w:ascii="仿宋_GB2312" w:eastAsia="仿宋_GB2312" w:cs="仿宋_GB2312"/>
          <w:color w:val="000000"/>
          <w:sz w:val="32"/>
          <w:szCs w:val="32"/>
          <w:lang w:eastAsia="zh-CN"/>
        </w:rPr>
        <w:t>2022</w:t>
      </w:r>
      <w:r>
        <w:rPr>
          <w:rFonts w:hint="eastAsia" w:ascii="仿宋_GB2312" w:eastAsia="仿宋_GB2312" w:cs="仿宋_GB2312"/>
          <w:color w:val="000000"/>
          <w:sz w:val="32"/>
          <w:szCs w:val="32"/>
        </w:rPr>
        <w:t>年</w:t>
      </w:r>
      <w:r>
        <w:rPr>
          <w:rFonts w:hint="eastAsia" w:ascii="仿宋_GB2312" w:eastAsia="仿宋_GB2312" w:cs="仿宋_GB2312"/>
          <w:color w:val="000000"/>
          <w:sz w:val="32"/>
          <w:szCs w:val="32"/>
          <w:lang w:val="en-US" w:eastAsia="zh-CN"/>
        </w:rPr>
        <w:t>总</w:t>
      </w:r>
      <w:r>
        <w:rPr>
          <w:rFonts w:hint="eastAsia" w:ascii="仿宋_GB2312" w:eastAsia="仿宋_GB2312" w:cs="仿宋_GB2312"/>
          <w:color w:val="000000"/>
          <w:sz w:val="32"/>
          <w:szCs w:val="32"/>
        </w:rPr>
        <w:t>收入</w:t>
      </w:r>
      <w:r>
        <w:rPr>
          <w:rFonts w:hint="eastAsia" w:ascii="仿宋_GB2312" w:eastAsia="仿宋_GB2312" w:cs="仿宋_GB2312"/>
          <w:color w:val="000000"/>
          <w:sz w:val="32"/>
          <w:szCs w:val="32"/>
          <w:lang w:val="en-US" w:eastAsia="zh-CN"/>
        </w:rPr>
        <w:t>250.01</w:t>
      </w:r>
      <w:r>
        <w:rPr>
          <w:rFonts w:hint="eastAsia" w:ascii="仿宋_GB2312" w:eastAsia="仿宋_GB2312" w:cs="仿宋_GB2312"/>
          <w:color w:val="000000"/>
          <w:sz w:val="32"/>
          <w:szCs w:val="32"/>
        </w:rPr>
        <w:t>万元，其中：一般公共预算财政拨款收入</w:t>
      </w:r>
      <w:r>
        <w:rPr>
          <w:rFonts w:hint="eastAsia" w:ascii="仿宋_GB2312" w:eastAsia="仿宋_GB2312" w:cs="仿宋_GB2312"/>
          <w:color w:val="000000"/>
          <w:sz w:val="32"/>
          <w:szCs w:val="32"/>
          <w:lang w:val="en-US" w:eastAsia="zh-CN"/>
        </w:rPr>
        <w:t>250.01</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%；政府性基金预算财政拨款收入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%；国有资本经营预算财政拨款收入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%；事业收入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%；经营收入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%；附属单位上缴收入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%；其他收入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w:t>
      </w:r>
      <w:bookmarkEnd w:id="72"/>
      <w:bookmarkEnd w:id="73"/>
      <w:bookmarkEnd w:id="74"/>
    </w:p>
    <w:p w14:paraId="3E9B54AE">
      <w:pPr>
        <w:spacing w:line="600" w:lineRule="exact"/>
        <w:ind w:firstLine="640" w:firstLineChars="200"/>
        <w:outlineLvl w:val="1"/>
        <w:rPr>
          <w:rStyle w:val="19"/>
          <w:rFonts w:hint="eastAsia" w:ascii="仿宋_GB2312" w:eastAsia="仿宋_GB2312" w:cs="仿宋_GB2312"/>
          <w:b w:val="0"/>
          <w:lang w:val="en-US" w:eastAsia="zh-CN"/>
        </w:rPr>
      </w:pPr>
      <w:bookmarkStart w:id="80" w:name="_Toc27544"/>
      <w:bookmarkStart w:id="81" w:name="_Toc15579"/>
    </w:p>
    <w:bookmarkEnd w:id="80"/>
    <w:bookmarkEnd w:id="81"/>
    <w:p w14:paraId="449D0DE5">
      <w:pPr>
        <w:spacing w:line="600" w:lineRule="exact"/>
        <w:ind w:firstLine="420" w:firstLineChars="200"/>
        <w:outlineLvl w:val="1"/>
        <w:rPr>
          <w:rStyle w:val="19"/>
          <w:rFonts w:hint="eastAsia" w:ascii="仿宋_GB2312" w:eastAsia="仿宋_GB2312" w:cs="仿宋_GB2312"/>
          <w:b w:val="0"/>
          <w:lang w:val="en-US" w:eastAsia="zh-CN"/>
        </w:rPr>
      </w:pPr>
      <w:r>
        <w:rPr>
          <w:rFonts w:hint="eastAsia" w:ascii="仿宋_GB2312" w:eastAsia="仿宋_GB2312" w:cs="仿宋_GB2312"/>
        </w:rPr>
        <w:drawing>
          <wp:anchor distT="0" distB="0" distL="114300" distR="114300" simplePos="0" relativeHeight="251659264" behindDoc="0" locked="0" layoutInCell="1" allowOverlap="1">
            <wp:simplePos x="0" y="0"/>
            <wp:positionH relativeFrom="column">
              <wp:posOffset>421640</wp:posOffset>
            </wp:positionH>
            <wp:positionV relativeFrom="paragraph">
              <wp:posOffset>45085</wp:posOffset>
            </wp:positionV>
            <wp:extent cx="4615815" cy="2863215"/>
            <wp:effectExtent l="0" t="0" r="0" b="0"/>
            <wp:wrapNone/>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pic:cNvPicPr>
                      <a:picLocks noChangeAspect="1"/>
                    </pic:cNvPicPr>
                  </pic:nvPicPr>
                  <pic:blipFill>
                    <a:blip r:embed="rId7"/>
                    <a:stretch>
                      <a:fillRect/>
                    </a:stretch>
                  </pic:blipFill>
                  <pic:spPr>
                    <a:xfrm>
                      <a:off x="0" y="0"/>
                      <a:ext cx="4615815" cy="2863215"/>
                    </a:xfrm>
                    <a:prstGeom prst="rect">
                      <a:avLst/>
                    </a:prstGeom>
                    <a:noFill/>
                    <a:ln w="9525" cap="flat" cmpd="sng">
                      <a:noFill/>
                      <a:prstDash val="solid"/>
                      <a:round/>
                    </a:ln>
                  </pic:spPr>
                </pic:pic>
              </a:graphicData>
            </a:graphic>
          </wp:anchor>
        </w:drawing>
      </w:r>
      <w:bookmarkStart w:id="82" w:name="_Toc7583"/>
      <w:bookmarkStart w:id="83" w:name="_Toc19987"/>
      <w:bookmarkStart w:id="84" w:name="_Toc26056"/>
    </w:p>
    <w:bookmarkEnd w:id="82"/>
    <w:bookmarkEnd w:id="83"/>
    <w:bookmarkEnd w:id="84"/>
    <w:p w14:paraId="7F46B652">
      <w:pPr>
        <w:spacing w:line="600" w:lineRule="exact"/>
        <w:ind w:firstLine="640" w:firstLineChars="200"/>
        <w:outlineLvl w:val="1"/>
        <w:rPr>
          <w:rStyle w:val="19"/>
          <w:rFonts w:hint="eastAsia" w:ascii="仿宋_GB2312" w:eastAsia="仿宋_GB2312" w:cs="仿宋_GB2312"/>
          <w:b w:val="0"/>
          <w:lang w:val="en-US" w:eastAsia="zh-CN"/>
        </w:rPr>
      </w:pPr>
    </w:p>
    <w:p w14:paraId="63E5EE3C">
      <w:pPr>
        <w:spacing w:line="600" w:lineRule="exact"/>
        <w:ind w:firstLine="640" w:firstLineChars="200"/>
        <w:outlineLvl w:val="1"/>
        <w:rPr>
          <w:rStyle w:val="19"/>
          <w:rFonts w:hint="eastAsia" w:ascii="仿宋_GB2312" w:eastAsia="仿宋_GB2312" w:cs="仿宋_GB2312"/>
          <w:b w:val="0"/>
          <w:lang w:val="en-US" w:eastAsia="zh-CN"/>
        </w:rPr>
      </w:pPr>
    </w:p>
    <w:p w14:paraId="533591D2">
      <w:pPr>
        <w:spacing w:line="600" w:lineRule="exact"/>
        <w:ind w:firstLine="640" w:firstLineChars="200"/>
        <w:outlineLvl w:val="1"/>
        <w:rPr>
          <w:rStyle w:val="19"/>
          <w:rFonts w:hint="eastAsia" w:ascii="仿宋_GB2312" w:eastAsia="仿宋_GB2312" w:cs="仿宋_GB2312"/>
          <w:b w:val="0"/>
          <w:lang w:val="en-US" w:eastAsia="zh-CN"/>
        </w:rPr>
      </w:pPr>
    </w:p>
    <w:p w14:paraId="682511C1">
      <w:pPr>
        <w:spacing w:line="600" w:lineRule="exact"/>
        <w:ind w:firstLine="640" w:firstLineChars="200"/>
        <w:outlineLvl w:val="1"/>
        <w:rPr>
          <w:rStyle w:val="19"/>
          <w:rFonts w:hint="eastAsia" w:ascii="仿宋_GB2312" w:eastAsia="仿宋_GB2312" w:cs="仿宋_GB2312"/>
          <w:b w:val="0"/>
          <w:lang w:val="en-US" w:eastAsia="zh-CN"/>
        </w:rPr>
      </w:pPr>
    </w:p>
    <w:p w14:paraId="70CC8EF7">
      <w:pPr>
        <w:spacing w:line="600" w:lineRule="exact"/>
        <w:ind w:firstLine="640" w:firstLineChars="200"/>
        <w:outlineLvl w:val="1"/>
        <w:rPr>
          <w:rStyle w:val="19"/>
          <w:rFonts w:hint="eastAsia" w:ascii="仿宋_GB2312" w:eastAsia="仿宋_GB2312" w:cs="仿宋_GB2312"/>
          <w:b w:val="0"/>
          <w:lang w:val="en-US" w:eastAsia="zh-CN"/>
        </w:rPr>
      </w:pPr>
    </w:p>
    <w:p w14:paraId="4E800FBF">
      <w:pPr>
        <w:spacing w:line="600" w:lineRule="exact"/>
        <w:ind w:firstLine="640" w:firstLineChars="200"/>
        <w:outlineLvl w:val="1"/>
        <w:rPr>
          <w:rStyle w:val="19"/>
          <w:rFonts w:hint="eastAsia" w:ascii="仿宋_GB2312" w:eastAsia="仿宋_GB2312" w:cs="仿宋_GB2312"/>
          <w:b w:val="0"/>
          <w:lang w:val="en-US" w:eastAsia="zh-CN"/>
        </w:rPr>
      </w:pPr>
    </w:p>
    <w:p w14:paraId="7A30850A">
      <w:pPr>
        <w:spacing w:line="600" w:lineRule="exact"/>
        <w:outlineLvl w:val="1"/>
        <w:rPr>
          <w:rStyle w:val="19"/>
          <w:rFonts w:hint="eastAsia" w:ascii="仿宋_GB2312" w:eastAsia="仿宋_GB2312" w:cs="仿宋_GB2312"/>
          <w:b w:val="0"/>
          <w:lang w:val="en-US" w:eastAsia="zh-CN"/>
        </w:rPr>
      </w:pPr>
    </w:p>
    <w:p w14:paraId="412A9111">
      <w:pPr>
        <w:spacing w:line="600" w:lineRule="exact"/>
        <w:ind w:firstLine="640" w:firstLineChars="200"/>
        <w:outlineLvl w:val="1"/>
        <w:rPr>
          <w:rStyle w:val="19"/>
          <w:rFonts w:hint="eastAsia" w:ascii="仿宋_GB2312" w:eastAsia="仿宋_GB2312" w:cs="仿宋_GB2312"/>
          <w:b w:val="0"/>
          <w:lang w:val="en-US" w:eastAsia="zh-CN"/>
        </w:rPr>
      </w:pPr>
      <w:bookmarkStart w:id="85" w:name="_Toc24478"/>
      <w:bookmarkStart w:id="86" w:name="_Toc12791"/>
      <w:r>
        <w:rPr>
          <w:rStyle w:val="19"/>
          <w:rFonts w:hint="eastAsia" w:ascii="仿宋_GB2312" w:eastAsia="仿宋_GB2312" w:cs="仿宋_GB2312"/>
          <w:b w:val="0"/>
          <w:lang w:val="en-US" w:eastAsia="zh-CN"/>
        </w:rPr>
        <w:t>三、支出决算情况说明</w:t>
      </w:r>
      <w:bookmarkEnd w:id="75"/>
      <w:bookmarkEnd w:id="76"/>
      <w:bookmarkEnd w:id="85"/>
    </w:p>
    <w:bookmarkEnd w:id="77"/>
    <w:bookmarkEnd w:id="78"/>
    <w:bookmarkEnd w:id="79"/>
    <w:bookmarkEnd w:id="86"/>
    <w:p w14:paraId="02BC93DF">
      <w:pPr>
        <w:spacing w:line="600" w:lineRule="exact"/>
        <w:ind w:firstLine="640" w:firstLineChars="200"/>
        <w:outlineLvl w:val="1"/>
        <w:rPr>
          <w:rFonts w:hint="eastAsia" w:ascii="仿宋_GB2312" w:eastAsia="仿宋_GB2312" w:cs="仿宋_GB2312"/>
          <w:color w:val="FF0000"/>
          <w:sz w:val="32"/>
          <w:szCs w:val="32"/>
          <w:lang w:eastAsia="zh-CN"/>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年本年总支出</w:t>
      </w:r>
      <w:r>
        <w:rPr>
          <w:rFonts w:hint="eastAsia" w:ascii="仿宋_GB2312" w:eastAsia="仿宋_GB2312" w:cs="仿宋_GB2312"/>
          <w:color w:val="000000"/>
          <w:sz w:val="32"/>
          <w:szCs w:val="32"/>
          <w:lang w:val="en-US" w:eastAsia="zh-CN"/>
        </w:rPr>
        <w:t>250.01</w:t>
      </w:r>
      <w:r>
        <w:rPr>
          <w:rFonts w:hint="eastAsia" w:ascii="仿宋_GB2312" w:eastAsia="仿宋_GB2312" w:cs="仿宋_GB2312"/>
          <w:color w:val="000000"/>
          <w:sz w:val="32"/>
          <w:szCs w:val="32"/>
        </w:rPr>
        <w:t>万元，其中：基本支出</w:t>
      </w:r>
      <w:r>
        <w:rPr>
          <w:rFonts w:hint="eastAsia" w:ascii="仿宋_GB2312" w:eastAsia="仿宋_GB2312" w:cs="仿宋_GB2312"/>
          <w:color w:val="000000"/>
          <w:sz w:val="32"/>
          <w:szCs w:val="32"/>
          <w:lang w:val="en-US" w:eastAsia="zh-CN"/>
        </w:rPr>
        <w:t>250.01</w:t>
      </w:r>
      <w:r>
        <w:rPr>
          <w:rFonts w:hint="eastAsia" w:ascii="仿宋_GB2312" w:eastAsia="仿宋_GB2312" w:cs="仿宋_GB2312"/>
          <w:color w:val="000000"/>
          <w:sz w:val="32"/>
          <w:szCs w:val="32"/>
        </w:rPr>
        <w:t>万元，占100%；项目支出0万元，占0%；上缴上级支出0万元，占0%；经营支出0万元，占0%；对附属单位补助支出0万元，占0%。</w:t>
      </w:r>
    </w:p>
    <w:p w14:paraId="6B599760">
      <w:pPr>
        <w:spacing w:line="600" w:lineRule="exact"/>
        <w:rPr>
          <w:rFonts w:hint="eastAsia" w:ascii="仿宋_GB2312" w:eastAsia="仿宋_GB2312" w:cs="仿宋_GB2312"/>
          <w:color w:val="FF0000"/>
          <w:sz w:val="32"/>
          <w:szCs w:val="32"/>
          <w:lang w:eastAsia="zh-CN"/>
        </w:rPr>
      </w:pPr>
      <w:r>
        <w:drawing>
          <wp:anchor distT="0" distB="0" distL="114300" distR="114300" simplePos="0" relativeHeight="251659264" behindDoc="0" locked="0" layoutInCell="1" allowOverlap="1">
            <wp:simplePos x="0" y="0"/>
            <wp:positionH relativeFrom="column">
              <wp:posOffset>628650</wp:posOffset>
            </wp:positionH>
            <wp:positionV relativeFrom="paragraph">
              <wp:posOffset>254635</wp:posOffset>
            </wp:positionV>
            <wp:extent cx="4404995" cy="2528570"/>
            <wp:effectExtent l="0" t="0" r="36" b="7"/>
            <wp:wrapSquare wrapText="bothSides"/>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2367A321">
      <w:pPr>
        <w:spacing w:line="600" w:lineRule="exact"/>
        <w:ind w:firstLine="640" w:firstLineChars="200"/>
        <w:rPr>
          <w:rFonts w:hint="eastAsia" w:ascii="仿宋_GB2312" w:eastAsia="仿宋_GB2312" w:cs="仿宋_GB2312"/>
          <w:color w:val="FF0000"/>
          <w:sz w:val="32"/>
          <w:szCs w:val="32"/>
          <w:lang w:eastAsia="zh-CN"/>
        </w:rPr>
      </w:pPr>
    </w:p>
    <w:p w14:paraId="79D384B7">
      <w:pPr>
        <w:spacing w:line="600" w:lineRule="exact"/>
        <w:ind w:firstLine="640" w:firstLineChars="200"/>
        <w:rPr>
          <w:rFonts w:hint="eastAsia" w:ascii="仿宋_GB2312" w:eastAsia="仿宋_GB2312" w:cs="仿宋_GB2312"/>
          <w:color w:val="FF0000"/>
          <w:sz w:val="32"/>
          <w:szCs w:val="32"/>
          <w:lang w:eastAsia="zh-CN"/>
        </w:rPr>
      </w:pPr>
    </w:p>
    <w:p w14:paraId="239E3675">
      <w:pPr>
        <w:spacing w:line="600" w:lineRule="exact"/>
        <w:ind w:firstLine="640" w:firstLineChars="200"/>
        <w:rPr>
          <w:rFonts w:hint="eastAsia" w:ascii="仿宋_GB2312" w:eastAsia="仿宋_GB2312" w:cs="仿宋_GB2312"/>
          <w:color w:val="FF0000"/>
          <w:sz w:val="32"/>
          <w:szCs w:val="32"/>
          <w:lang w:eastAsia="zh-CN"/>
        </w:rPr>
      </w:pPr>
    </w:p>
    <w:p w14:paraId="44FF2B6F">
      <w:pPr>
        <w:spacing w:line="600" w:lineRule="exact"/>
        <w:ind w:firstLine="640" w:firstLineChars="200"/>
        <w:rPr>
          <w:rFonts w:hint="eastAsia" w:ascii="仿宋_GB2312" w:eastAsia="仿宋_GB2312" w:cs="仿宋_GB2312"/>
          <w:color w:val="FF0000"/>
          <w:sz w:val="32"/>
          <w:szCs w:val="32"/>
          <w:lang w:eastAsia="zh-CN"/>
        </w:rPr>
      </w:pPr>
    </w:p>
    <w:p w14:paraId="035D4467">
      <w:pPr>
        <w:spacing w:line="600" w:lineRule="exact"/>
        <w:outlineLvl w:val="1"/>
        <w:rPr>
          <w:rStyle w:val="19"/>
          <w:rFonts w:hint="eastAsia" w:ascii="仿宋_GB2312" w:eastAsia="仿宋_GB2312" w:cs="仿宋_GB2312"/>
          <w:b w:val="0"/>
        </w:rPr>
      </w:pPr>
      <w:bookmarkStart w:id="87" w:name="_Toc15396606"/>
      <w:bookmarkStart w:id="88" w:name="_Toc21662"/>
      <w:bookmarkStart w:id="89" w:name="_Toc15377208"/>
      <w:bookmarkStart w:id="90" w:name="_Toc10840"/>
      <w:bookmarkStart w:id="91" w:name="_Toc26287"/>
      <w:bookmarkStart w:id="92" w:name="_Toc5847"/>
    </w:p>
    <w:p w14:paraId="798FDF27">
      <w:pPr>
        <w:spacing w:line="600" w:lineRule="exact"/>
        <w:ind w:firstLine="640" w:firstLineChars="200"/>
        <w:outlineLvl w:val="1"/>
        <w:rPr>
          <w:rStyle w:val="19"/>
          <w:rFonts w:hint="eastAsia" w:ascii="仿宋_GB2312" w:eastAsia="仿宋_GB2312" w:cs="仿宋_GB2312"/>
          <w:b w:val="0"/>
        </w:rPr>
      </w:pPr>
    </w:p>
    <w:p w14:paraId="6CD924B2">
      <w:pPr>
        <w:spacing w:line="600" w:lineRule="exact"/>
        <w:ind w:firstLine="640" w:firstLineChars="200"/>
        <w:outlineLvl w:val="1"/>
        <w:rPr>
          <w:rStyle w:val="19"/>
          <w:rFonts w:hint="eastAsia" w:ascii="仿宋_GB2312" w:eastAsia="仿宋_GB2312" w:cs="仿宋_GB2312"/>
          <w:b w:val="0"/>
        </w:rPr>
      </w:pPr>
    </w:p>
    <w:p w14:paraId="189B388B">
      <w:pPr>
        <w:spacing w:line="600" w:lineRule="exact"/>
        <w:ind w:firstLine="640" w:firstLineChars="200"/>
        <w:outlineLvl w:val="1"/>
        <w:rPr>
          <w:rStyle w:val="19"/>
          <w:rFonts w:hint="eastAsia" w:ascii="仿宋_GB2312" w:eastAsia="仿宋_GB2312" w:cs="仿宋_GB2312"/>
          <w:b w:val="0"/>
          <w:lang w:val="en-US" w:eastAsia="zh-CN"/>
        </w:rPr>
      </w:pPr>
      <w:bookmarkStart w:id="93" w:name="_Toc12578"/>
      <w:r>
        <w:rPr>
          <w:rStyle w:val="19"/>
          <w:rFonts w:hint="eastAsia" w:ascii="仿宋_GB2312" w:eastAsia="仿宋_GB2312" w:cs="仿宋_GB2312"/>
          <w:b w:val="0"/>
          <w:lang w:val="en-US" w:eastAsia="zh-CN"/>
        </w:rPr>
        <w:t>四、财政拨款收入支出决算总体情况说明</w:t>
      </w:r>
      <w:bookmarkEnd w:id="87"/>
      <w:bookmarkEnd w:id="88"/>
      <w:bookmarkEnd w:id="89"/>
    </w:p>
    <w:bookmarkEnd w:id="90"/>
    <w:bookmarkEnd w:id="91"/>
    <w:bookmarkEnd w:id="92"/>
    <w:bookmarkEnd w:id="93"/>
    <w:p w14:paraId="022947CD">
      <w:pPr>
        <w:snapToGrid w:val="0"/>
        <w:spacing w:line="520" w:lineRule="exact"/>
        <w:ind w:firstLine="632" w:firstLineChars="200"/>
        <w:rPr>
          <w:rFonts w:hint="eastAsia" w:ascii="仿宋_GB2312" w:eastAsia="仿宋_GB2312" w:cs="仿宋_GB2312"/>
          <w:color w:val="auto"/>
          <w:spacing w:val="-2"/>
          <w:kern w:val="2"/>
          <w:sz w:val="32"/>
          <w:szCs w:val="32"/>
          <w:lang w:val="en-US" w:eastAsia="zh-CN" w:bidi="ar-SA"/>
        </w:rPr>
      </w:pPr>
      <w:r>
        <w:rPr>
          <w:rFonts w:hint="eastAsia" w:ascii="仿宋_GB2312" w:eastAsia="仿宋_GB2312" w:cs="仿宋_GB2312"/>
          <w:color w:val="auto"/>
          <w:spacing w:val="-2"/>
          <w:kern w:val="2"/>
          <w:sz w:val="32"/>
          <w:szCs w:val="32"/>
          <w:lang w:val="en-US" w:eastAsia="zh-CN" w:bidi="ar-SA"/>
        </w:rPr>
        <w:t>2022年度总收入250.01万元，较上年收入增加34.03万元，增加15.76%。主要原因是2022年度目标奖纳入工资，人员经费调整。</w:t>
      </w:r>
    </w:p>
    <w:p w14:paraId="0B02EF21">
      <w:pPr>
        <w:snapToGrid w:val="0"/>
        <w:spacing w:line="520" w:lineRule="exact"/>
        <w:ind w:firstLine="640" w:firstLineChars="200"/>
        <w:rPr>
          <w:rStyle w:val="19"/>
          <w:rFonts w:hint="eastAsia" w:ascii="仿宋_GB2312" w:eastAsia="仿宋_GB2312" w:cs="仿宋_GB2312"/>
          <w:b w:val="0"/>
        </w:rPr>
      </w:pPr>
      <w:r>
        <w:rPr>
          <w:rFonts w:hint="eastAsia" w:ascii="仿宋_GB2312" w:eastAsia="仿宋_GB2312" w:cs="仿宋_GB2312"/>
          <w:color w:val="000000"/>
          <w:sz w:val="32"/>
          <w:szCs w:val="32"/>
          <w:lang w:val="en-US" w:eastAsia="zh-CN"/>
        </w:rPr>
        <w:t>2022年财政拨款支出</w:t>
      </w:r>
      <w:r>
        <w:rPr>
          <w:rFonts w:hint="eastAsia" w:ascii="仿宋_GB2312" w:eastAsia="仿宋_GB2312" w:cs="仿宋_GB2312"/>
          <w:color w:val="auto"/>
          <w:spacing w:val="-2"/>
          <w:kern w:val="2"/>
          <w:sz w:val="32"/>
          <w:szCs w:val="32"/>
          <w:lang w:val="en-US" w:eastAsia="zh-CN" w:bidi="ar-SA"/>
        </w:rPr>
        <w:t>250.01万元，较上年收入增加34.03万元，增加15.76%。主要原因是2022年度目标奖纳入工资，人员经费调整。</w:t>
      </w:r>
      <w:bookmarkStart w:id="94" w:name="_Toc15396607"/>
      <w:bookmarkStart w:id="95" w:name="_Toc15377209"/>
      <w:bookmarkStart w:id="96" w:name="_Toc29867"/>
      <w:bookmarkStart w:id="97" w:name="_Toc29357"/>
      <w:bookmarkStart w:id="98" w:name="_Toc14980"/>
    </w:p>
    <w:p w14:paraId="18815245">
      <w:pPr>
        <w:spacing w:line="600" w:lineRule="exact"/>
        <w:ind w:firstLine="420" w:firstLineChars="200"/>
        <w:rPr>
          <w:rStyle w:val="19"/>
          <w:rFonts w:hint="eastAsia" w:ascii="仿宋_GB2312" w:eastAsia="仿宋_GB2312" w:cs="仿宋_GB2312"/>
          <w:b w:val="0"/>
        </w:rPr>
      </w:pPr>
      <w:bookmarkStart w:id="99" w:name="_Toc27654"/>
      <w:bookmarkStart w:id="100" w:name="_Toc7011"/>
      <w:r>
        <w:drawing>
          <wp:anchor distT="0" distB="0" distL="114300" distR="114300" simplePos="0" relativeHeight="251659264" behindDoc="0" locked="0" layoutInCell="1" allowOverlap="1">
            <wp:simplePos x="0" y="0"/>
            <wp:positionH relativeFrom="column">
              <wp:posOffset>231775</wp:posOffset>
            </wp:positionH>
            <wp:positionV relativeFrom="paragraph">
              <wp:posOffset>219075</wp:posOffset>
            </wp:positionV>
            <wp:extent cx="4572000" cy="2293620"/>
            <wp:effectExtent l="0" t="0" r="26" b="35"/>
            <wp:wrapSquare wrapText="bothSides"/>
            <wp:docPr id="6"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101" w:name="_Toc27376"/>
    </w:p>
    <w:bookmarkEnd w:id="99"/>
    <w:bookmarkEnd w:id="100"/>
    <w:bookmarkEnd w:id="101"/>
    <w:p w14:paraId="33FC9E18">
      <w:pPr>
        <w:spacing w:line="600" w:lineRule="exact"/>
        <w:ind w:firstLine="640" w:firstLineChars="200"/>
        <w:rPr>
          <w:rStyle w:val="19"/>
          <w:rFonts w:hint="eastAsia" w:ascii="仿宋_GB2312" w:eastAsia="仿宋_GB2312" w:cs="仿宋_GB2312"/>
          <w:b w:val="0"/>
        </w:rPr>
      </w:pPr>
    </w:p>
    <w:p w14:paraId="18F6765B">
      <w:pPr>
        <w:spacing w:line="600" w:lineRule="exact"/>
        <w:ind w:firstLine="640" w:firstLineChars="200"/>
        <w:rPr>
          <w:rStyle w:val="19"/>
          <w:rFonts w:hint="eastAsia" w:ascii="仿宋_GB2312" w:eastAsia="仿宋_GB2312" w:cs="仿宋_GB2312"/>
          <w:b w:val="0"/>
        </w:rPr>
      </w:pPr>
    </w:p>
    <w:p w14:paraId="0D17C57B">
      <w:pPr>
        <w:spacing w:line="600" w:lineRule="exact"/>
        <w:ind w:firstLine="640" w:firstLineChars="200"/>
        <w:rPr>
          <w:rStyle w:val="19"/>
          <w:rFonts w:hint="eastAsia" w:ascii="仿宋_GB2312" w:eastAsia="仿宋_GB2312" w:cs="仿宋_GB2312"/>
          <w:b w:val="0"/>
        </w:rPr>
      </w:pPr>
    </w:p>
    <w:p w14:paraId="360DD674">
      <w:pPr>
        <w:spacing w:line="600" w:lineRule="exact"/>
        <w:ind w:firstLine="640" w:firstLineChars="200"/>
        <w:rPr>
          <w:rStyle w:val="19"/>
          <w:rFonts w:hint="eastAsia" w:ascii="仿宋_GB2312" w:eastAsia="仿宋_GB2312" w:cs="仿宋_GB2312"/>
          <w:b w:val="0"/>
        </w:rPr>
      </w:pPr>
    </w:p>
    <w:p w14:paraId="7E0F4995">
      <w:pPr>
        <w:spacing w:line="600" w:lineRule="exact"/>
        <w:ind w:firstLine="640" w:firstLineChars="200"/>
        <w:rPr>
          <w:rStyle w:val="19"/>
          <w:rFonts w:hint="eastAsia" w:ascii="仿宋_GB2312" w:eastAsia="仿宋_GB2312" w:cs="仿宋_GB2312"/>
          <w:b w:val="0"/>
        </w:rPr>
      </w:pPr>
    </w:p>
    <w:p w14:paraId="36921B9E">
      <w:pPr>
        <w:spacing w:line="600" w:lineRule="exact"/>
        <w:ind w:firstLine="640" w:firstLineChars="200"/>
        <w:rPr>
          <w:rStyle w:val="19"/>
          <w:rFonts w:hint="eastAsia" w:ascii="仿宋_GB2312" w:eastAsia="仿宋_GB2312" w:cs="仿宋_GB2312"/>
          <w:b w:val="0"/>
        </w:rPr>
      </w:pPr>
      <w:bookmarkStart w:id="102" w:name="_Toc1488"/>
    </w:p>
    <w:p w14:paraId="713401EF">
      <w:pPr>
        <w:spacing w:line="600" w:lineRule="exact"/>
        <w:rPr>
          <w:rStyle w:val="19"/>
          <w:rFonts w:hint="eastAsia" w:ascii="仿宋_GB2312" w:eastAsia="仿宋_GB2312" w:cs="仿宋_GB2312"/>
          <w:b w:val="0"/>
        </w:rPr>
      </w:pPr>
      <w:r>
        <w:rPr>
          <w:rStyle w:val="19"/>
          <w:rFonts w:hint="eastAsia" w:ascii="仿宋_GB2312" w:eastAsia="仿宋_GB2312" w:cs="仿宋_GB2312"/>
          <w:b w:val="0"/>
          <w:lang w:val="en-US"/>
        </w:rPr>
        <w:t xml:space="preserve">  </w:t>
      </w:r>
      <w:r>
        <w:rPr>
          <w:rFonts w:hint="eastAsia" w:ascii="黑体" w:eastAsia="黑体" w:cs="Times New Roman"/>
          <w:b w:val="0"/>
          <w:bCs/>
          <w:color w:val="000000"/>
          <w:kern w:val="2"/>
          <w:sz w:val="32"/>
          <w:szCs w:val="32"/>
          <w:lang w:val="en-US" w:eastAsia="zh-CN" w:bidi="ar-SA"/>
        </w:rPr>
        <w:t xml:space="preserve">  </w:t>
      </w:r>
      <w:bookmarkStart w:id="103" w:name="_Toc12362"/>
      <w:r>
        <w:rPr>
          <w:rStyle w:val="19"/>
          <w:rFonts w:hint="eastAsia" w:ascii="仿宋_GB2312" w:eastAsia="仿宋_GB2312" w:cs="仿宋_GB2312"/>
          <w:b w:val="0"/>
          <w:lang w:val="en-US" w:eastAsia="zh-CN"/>
        </w:rPr>
        <w:t>五、一般公共预算财政拨款支出决算情况说明</w:t>
      </w:r>
      <w:bookmarkEnd w:id="94"/>
      <w:bookmarkEnd w:id="95"/>
    </w:p>
    <w:bookmarkEnd w:id="96"/>
    <w:bookmarkEnd w:id="97"/>
    <w:bookmarkEnd w:id="98"/>
    <w:bookmarkEnd w:id="102"/>
    <w:bookmarkEnd w:id="103"/>
    <w:p w14:paraId="3D871CCF">
      <w:pPr>
        <w:spacing w:line="600" w:lineRule="exact"/>
        <w:ind w:firstLine="643" w:firstLineChars="200"/>
        <w:outlineLvl w:val="2"/>
        <w:rPr>
          <w:rFonts w:hint="eastAsia" w:ascii="仿宋_GB2312" w:eastAsia="仿宋_GB2312" w:cs="仿宋_GB2312"/>
          <w:b/>
          <w:color w:val="000000"/>
          <w:sz w:val="32"/>
          <w:szCs w:val="32"/>
        </w:rPr>
      </w:pPr>
      <w:bookmarkStart w:id="104" w:name="_Toc27391"/>
      <w:bookmarkStart w:id="105" w:name="_Toc15377210"/>
      <w:r>
        <w:rPr>
          <w:rFonts w:hint="eastAsia" w:ascii="仿宋_GB2312" w:eastAsia="仿宋_GB2312" w:cs="仿宋_GB2312"/>
          <w:b/>
          <w:color w:val="000000"/>
          <w:sz w:val="32"/>
          <w:szCs w:val="32"/>
        </w:rPr>
        <w:t>（一）一般公共预算财政拨款支出决算总体情况</w:t>
      </w:r>
      <w:bookmarkEnd w:id="104"/>
      <w:bookmarkEnd w:id="105"/>
    </w:p>
    <w:p w14:paraId="1EFE1159">
      <w:pPr>
        <w:snapToGrid w:val="0"/>
        <w:spacing w:line="520" w:lineRule="exact"/>
        <w:ind w:firstLine="420" w:firstLineChars="200"/>
        <w:rPr>
          <w:rFonts w:hint="eastAsia" w:ascii="仿宋_GB2312" w:eastAsia="仿宋_GB2312" w:cs="仿宋_GB2312"/>
          <w:color w:val="000000"/>
          <w:spacing w:val="-2"/>
          <w:kern w:val="2"/>
          <w:sz w:val="32"/>
          <w:szCs w:val="32"/>
          <w:lang w:val="en-US" w:eastAsia="zh-CN" w:bidi="ar-SA"/>
        </w:rPr>
      </w:pPr>
      <w:r>
        <w:drawing>
          <wp:anchor distT="0" distB="0" distL="114300" distR="114300" simplePos="0" relativeHeight="251659264" behindDoc="0" locked="0" layoutInCell="1" allowOverlap="1">
            <wp:simplePos x="0" y="0"/>
            <wp:positionH relativeFrom="column">
              <wp:posOffset>385445</wp:posOffset>
            </wp:positionH>
            <wp:positionV relativeFrom="paragraph">
              <wp:posOffset>1337310</wp:posOffset>
            </wp:positionV>
            <wp:extent cx="4294505" cy="2268855"/>
            <wp:effectExtent l="0" t="0" r="34" b="35"/>
            <wp:wrapSquare wrapText="bothSides"/>
            <wp:docPr id="7"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eastAsia="仿宋_GB2312" w:cs="仿宋_GB2312"/>
          <w:color w:val="000000"/>
          <w:sz w:val="32"/>
          <w:szCs w:val="32"/>
          <w:lang w:eastAsia="zh-CN"/>
        </w:rPr>
        <w:t>2022</w:t>
      </w:r>
      <w:r>
        <w:rPr>
          <w:rFonts w:hint="eastAsia" w:ascii="仿宋_GB2312" w:eastAsia="仿宋_GB2312" w:cs="仿宋_GB2312"/>
          <w:color w:val="000000"/>
          <w:sz w:val="32"/>
          <w:szCs w:val="32"/>
        </w:rPr>
        <w:t>年</w:t>
      </w:r>
      <w:r>
        <w:rPr>
          <w:rFonts w:hint="eastAsia" w:ascii="仿宋_GB2312" w:eastAsia="仿宋_GB2312" w:cs="仿宋_GB2312"/>
          <w:spacing w:val="-2"/>
          <w:kern w:val="2"/>
          <w:sz w:val="32"/>
          <w:szCs w:val="32"/>
          <w:lang w:val="en-US" w:eastAsia="zh-CN" w:bidi="ar-SA"/>
        </w:rPr>
        <w:t>一般公共预算财政拨款支出250.01万元，</w:t>
      </w:r>
      <w:r>
        <w:rPr>
          <w:rFonts w:hint="eastAsia" w:ascii="仿宋_GB2312" w:eastAsia="仿宋_GB2312" w:cs="仿宋_GB2312"/>
          <w:color w:val="000000"/>
          <w:sz w:val="32"/>
          <w:szCs w:val="32"/>
        </w:rPr>
        <w:t>占本年</w:t>
      </w:r>
      <w:r>
        <w:rPr>
          <w:rFonts w:hint="eastAsia" w:ascii="仿宋_GB2312" w:eastAsia="仿宋_GB2312" w:cs="仿宋_GB2312"/>
          <w:color w:val="000000"/>
          <w:sz w:val="32"/>
          <w:szCs w:val="32"/>
          <w:lang w:val="en-US" w:eastAsia="zh-CN"/>
        </w:rPr>
        <w:t>总</w:t>
      </w:r>
      <w:r>
        <w:rPr>
          <w:rFonts w:hint="eastAsia" w:ascii="仿宋_GB2312" w:eastAsia="仿宋_GB2312" w:cs="仿宋_GB2312"/>
          <w:color w:val="000000"/>
          <w:sz w:val="32"/>
          <w:szCs w:val="32"/>
        </w:rPr>
        <w:t>支出</w:t>
      </w:r>
      <w:r>
        <w:rPr>
          <w:rFonts w:hint="eastAsia" w:ascii="仿宋_GB2312" w:eastAsia="仿宋_GB2312" w:cs="仿宋_GB2312"/>
          <w:color w:val="000000"/>
          <w:sz w:val="32"/>
          <w:szCs w:val="32"/>
          <w:lang w:val="en-US" w:eastAsia="zh-CN"/>
        </w:rPr>
        <w:t>的100</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与</w:t>
      </w:r>
      <w:r>
        <w:rPr>
          <w:rFonts w:hint="eastAsia" w:ascii="仿宋_GB2312" w:eastAsia="仿宋_GB2312" w:cs="仿宋_GB2312"/>
          <w:color w:val="000000"/>
          <w:sz w:val="32"/>
          <w:szCs w:val="32"/>
          <w:lang w:eastAsia="zh-CN"/>
        </w:rPr>
        <w:t>2021</w:t>
      </w:r>
      <w:r>
        <w:rPr>
          <w:rFonts w:hint="eastAsia" w:ascii="仿宋_GB2312" w:eastAsia="仿宋_GB2312" w:cs="仿宋_GB2312"/>
          <w:color w:val="000000"/>
          <w:sz w:val="32"/>
          <w:szCs w:val="32"/>
        </w:rPr>
        <w:t>年相比，</w:t>
      </w:r>
      <w:r>
        <w:rPr>
          <w:rFonts w:hint="eastAsia" w:ascii="仿宋_GB2312" w:eastAsia="仿宋_GB2312" w:cs="仿宋_GB2312"/>
          <w:color w:val="auto"/>
          <w:spacing w:val="-2"/>
          <w:kern w:val="2"/>
          <w:sz w:val="32"/>
          <w:szCs w:val="32"/>
          <w:lang w:val="en-US" w:eastAsia="zh-CN" w:bidi="ar-SA"/>
        </w:rPr>
        <w:t>较上年收入增加34.03万元，增加15.76%。主要原因是2022年度目标奖纳入工资，人员经费调整。</w:t>
      </w:r>
    </w:p>
    <w:p w14:paraId="79B64B46">
      <w:pPr>
        <w:pStyle w:val="6"/>
        <w:rPr>
          <w:rFonts w:hint="eastAsia" w:ascii="仿宋_GB2312" w:eastAsia="仿宋_GB2312" w:cs="仿宋_GB2312"/>
          <w:spacing w:val="-2"/>
          <w:kern w:val="2"/>
          <w:sz w:val="32"/>
          <w:szCs w:val="32"/>
          <w:lang w:val="en-US" w:eastAsia="zh-CN" w:bidi="ar-SA"/>
        </w:rPr>
      </w:pPr>
    </w:p>
    <w:p w14:paraId="1D03899C">
      <w:pPr>
        <w:pStyle w:val="6"/>
        <w:rPr>
          <w:rFonts w:hint="eastAsia" w:ascii="仿宋_GB2312" w:eastAsia="仿宋_GB2312" w:cs="仿宋_GB2312"/>
          <w:spacing w:val="-2"/>
          <w:kern w:val="2"/>
          <w:sz w:val="32"/>
          <w:szCs w:val="32"/>
          <w:lang w:val="en-US" w:eastAsia="zh-CN" w:bidi="ar-SA"/>
        </w:rPr>
      </w:pPr>
    </w:p>
    <w:p w14:paraId="6D2FF0A8">
      <w:pPr>
        <w:pStyle w:val="6"/>
        <w:rPr>
          <w:rFonts w:hint="eastAsia" w:ascii="仿宋_GB2312" w:eastAsia="仿宋_GB2312" w:cs="仿宋_GB2312"/>
          <w:spacing w:val="-2"/>
          <w:kern w:val="2"/>
          <w:sz w:val="32"/>
          <w:szCs w:val="32"/>
          <w:lang w:val="en-US" w:eastAsia="zh-CN" w:bidi="ar-SA"/>
        </w:rPr>
      </w:pPr>
    </w:p>
    <w:p w14:paraId="76F603F0">
      <w:pPr>
        <w:snapToGrid w:val="0"/>
        <w:spacing w:line="520" w:lineRule="exact"/>
        <w:ind w:firstLine="632" w:firstLineChars="200"/>
        <w:rPr>
          <w:rFonts w:hint="eastAsia" w:ascii="仿宋_GB2312" w:eastAsia="仿宋_GB2312" w:cs="仿宋_GB2312"/>
          <w:spacing w:val="-2"/>
          <w:kern w:val="2"/>
          <w:sz w:val="32"/>
          <w:szCs w:val="32"/>
          <w:lang w:val="en-US" w:eastAsia="zh-CN" w:bidi="ar-SA"/>
        </w:rPr>
      </w:pPr>
    </w:p>
    <w:p w14:paraId="5E9769F2">
      <w:pPr>
        <w:snapToGrid w:val="0"/>
        <w:spacing w:line="520" w:lineRule="exact"/>
        <w:ind w:firstLine="643" w:firstLineChars="200"/>
        <w:rPr>
          <w:rFonts w:hint="eastAsia" w:ascii="仿宋_GB2312" w:eastAsia="仿宋_GB2312" w:cs="仿宋_GB2312"/>
          <w:b/>
          <w:color w:val="000000"/>
          <w:sz w:val="32"/>
          <w:szCs w:val="32"/>
        </w:rPr>
      </w:pPr>
      <w:bookmarkStart w:id="106" w:name="_Toc15377211"/>
      <w:r>
        <w:rPr>
          <w:rFonts w:hint="eastAsia" w:ascii="仿宋_GB2312" w:eastAsia="仿宋_GB2312" w:cs="仿宋_GB2312"/>
          <w:b/>
          <w:color w:val="000000"/>
          <w:sz w:val="32"/>
          <w:szCs w:val="32"/>
        </w:rPr>
        <w:t>（二）一般公共预算财政拨款支出决算结构情况</w:t>
      </w:r>
      <w:bookmarkEnd w:id="106"/>
    </w:p>
    <w:p w14:paraId="2C86BFBA">
      <w:pPr>
        <w:spacing w:line="600" w:lineRule="exact"/>
        <w:ind w:firstLine="640"/>
        <w:rPr>
          <w:rFonts w:hint="eastAsia" w:ascii="仿宋_GB2312" w:eastAsia="仿宋_GB2312" w:cs="仿宋_GB2312"/>
          <w:color w:val="000000"/>
          <w:sz w:val="32"/>
          <w:szCs w:val="32"/>
        </w:rPr>
      </w:pPr>
      <w:bookmarkStart w:id="107" w:name="_Toc15377213"/>
      <w:bookmarkStart w:id="108" w:name="_Toc15378460"/>
      <w:bookmarkStart w:id="109" w:name="_Toc15377444"/>
      <w:r>
        <w:rPr>
          <w:rFonts w:hint="eastAsia" w:ascii="仿宋_GB2312" w:eastAsia="仿宋_GB2312" w:cs="仿宋_GB2312"/>
          <w:color w:val="000000"/>
          <w:sz w:val="32"/>
          <w:szCs w:val="32"/>
          <w:lang w:eastAsia="zh-CN"/>
        </w:rPr>
        <w:t>2022</w:t>
      </w:r>
      <w:r>
        <w:rPr>
          <w:rFonts w:hint="eastAsia" w:ascii="仿宋_GB2312" w:eastAsia="仿宋_GB2312" w:cs="仿宋_GB2312"/>
          <w:color w:val="000000"/>
          <w:sz w:val="32"/>
          <w:szCs w:val="32"/>
        </w:rPr>
        <w:t>年一般公共预算财政拨款支出</w:t>
      </w:r>
      <w:r>
        <w:rPr>
          <w:rFonts w:hint="eastAsia" w:ascii="仿宋_GB2312" w:eastAsia="仿宋_GB2312" w:cs="仿宋_GB2312"/>
          <w:color w:val="000000"/>
          <w:sz w:val="32"/>
          <w:szCs w:val="32"/>
          <w:lang w:val="en-US" w:eastAsia="zh-CN"/>
        </w:rPr>
        <w:t>250.01</w:t>
      </w:r>
      <w:r>
        <w:rPr>
          <w:rFonts w:hint="eastAsia" w:ascii="仿宋_GB2312" w:eastAsia="仿宋_GB2312" w:cs="仿宋_GB2312"/>
          <w:color w:val="000000"/>
          <w:sz w:val="32"/>
          <w:szCs w:val="32"/>
        </w:rPr>
        <w:t>万元，主要用于以下方面:</w:t>
      </w:r>
      <w:r>
        <w:rPr>
          <w:rFonts w:hint="eastAsia" w:ascii="仿宋_GB2312" w:eastAsia="仿宋_GB2312" w:cs="仿宋_GB2312"/>
          <w:b/>
          <w:color w:val="000000"/>
          <w:sz w:val="32"/>
          <w:szCs w:val="32"/>
        </w:rPr>
        <w:t>一般公共服务（类）</w:t>
      </w:r>
      <w:r>
        <w:rPr>
          <w:rFonts w:hint="eastAsia" w:ascii="仿宋_GB2312" w:eastAsia="仿宋_GB2312" w:cs="仿宋_GB2312"/>
          <w:color w:val="000000"/>
          <w:sz w:val="32"/>
          <w:szCs w:val="32"/>
        </w:rPr>
        <w:t>支出</w:t>
      </w:r>
      <w:r>
        <w:rPr>
          <w:rFonts w:hint="eastAsia" w:ascii="仿宋_GB2312" w:eastAsia="仿宋_GB2312" w:cs="仿宋_GB2312"/>
          <w:color w:val="000000"/>
          <w:sz w:val="32"/>
          <w:szCs w:val="32"/>
          <w:lang w:val="en-US" w:eastAsia="zh-CN"/>
        </w:rPr>
        <w:t>190.71</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76.28</w:t>
      </w:r>
      <w:r>
        <w:rPr>
          <w:rFonts w:hint="eastAsia" w:ascii="仿宋_GB2312" w:eastAsia="仿宋_GB2312" w:cs="仿宋_GB2312"/>
          <w:color w:val="000000"/>
          <w:sz w:val="32"/>
          <w:szCs w:val="32"/>
        </w:rPr>
        <w:t>%；</w:t>
      </w:r>
      <w:r>
        <w:rPr>
          <w:rFonts w:hint="eastAsia" w:ascii="仿宋_GB2312" w:eastAsia="仿宋_GB2312" w:cs="仿宋_GB2312"/>
          <w:b/>
          <w:color w:val="000000"/>
          <w:sz w:val="32"/>
          <w:szCs w:val="32"/>
        </w:rPr>
        <w:t>社会保障和就业（类）</w:t>
      </w:r>
      <w:r>
        <w:rPr>
          <w:rFonts w:hint="eastAsia" w:ascii="仿宋_GB2312" w:eastAsia="仿宋_GB2312" w:cs="仿宋_GB2312"/>
          <w:color w:val="000000"/>
          <w:sz w:val="32"/>
          <w:szCs w:val="32"/>
        </w:rPr>
        <w:t>支出</w:t>
      </w:r>
      <w:r>
        <w:rPr>
          <w:rFonts w:hint="eastAsia" w:ascii="仿宋_GB2312" w:eastAsia="仿宋_GB2312" w:cs="仿宋_GB2312"/>
          <w:color w:val="000000"/>
          <w:sz w:val="32"/>
          <w:szCs w:val="32"/>
          <w:lang w:val="en-US" w:eastAsia="zh-CN"/>
        </w:rPr>
        <w:t>29.74</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11.90</w:t>
      </w:r>
      <w:r>
        <w:rPr>
          <w:rFonts w:hint="eastAsia" w:ascii="仿宋_GB2312" w:eastAsia="仿宋_GB2312" w:cs="仿宋_GB2312"/>
          <w:color w:val="000000"/>
          <w:sz w:val="32"/>
          <w:szCs w:val="32"/>
        </w:rPr>
        <w:t>%；</w:t>
      </w:r>
      <w:r>
        <w:rPr>
          <w:rFonts w:hint="eastAsia" w:ascii="仿宋_GB2312" w:eastAsia="仿宋_GB2312" w:cs="仿宋_GB2312"/>
          <w:b/>
          <w:bCs/>
          <w:color w:val="000000"/>
          <w:sz w:val="32"/>
          <w:szCs w:val="32"/>
        </w:rPr>
        <w:t>卫生</w:t>
      </w:r>
      <w:r>
        <w:rPr>
          <w:rFonts w:hint="eastAsia" w:ascii="仿宋_GB2312" w:eastAsia="仿宋_GB2312" w:cs="仿宋_GB2312"/>
          <w:b/>
          <w:bCs/>
          <w:color w:val="000000"/>
          <w:sz w:val="32"/>
          <w:szCs w:val="32"/>
          <w:lang w:eastAsia="zh-CN"/>
        </w:rPr>
        <w:t>健康</w:t>
      </w:r>
      <w:r>
        <w:rPr>
          <w:rFonts w:hint="eastAsia" w:ascii="仿宋_GB2312" w:eastAsia="仿宋_GB2312" w:cs="仿宋_GB2312"/>
          <w:b/>
          <w:bCs/>
          <w:color w:val="000000"/>
          <w:sz w:val="32"/>
          <w:szCs w:val="32"/>
        </w:rPr>
        <w:t>支出</w:t>
      </w:r>
      <w:r>
        <w:rPr>
          <w:rFonts w:hint="eastAsia" w:ascii="仿宋_GB2312" w:eastAsia="仿宋_GB2312" w:cs="仿宋_GB2312"/>
          <w:color w:val="000000"/>
          <w:sz w:val="32"/>
          <w:szCs w:val="32"/>
          <w:lang w:val="en-US" w:eastAsia="zh-CN"/>
        </w:rPr>
        <w:t>12.01</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4.80</w:t>
      </w:r>
      <w:r>
        <w:rPr>
          <w:rFonts w:hint="eastAsia" w:ascii="仿宋_GB2312" w:eastAsia="仿宋_GB2312" w:cs="仿宋_GB2312"/>
          <w:color w:val="000000"/>
          <w:sz w:val="32"/>
          <w:szCs w:val="32"/>
        </w:rPr>
        <w:t>%；</w:t>
      </w:r>
      <w:r>
        <w:rPr>
          <w:rFonts w:hint="eastAsia" w:ascii="仿宋_GB2312" w:eastAsia="仿宋_GB2312" w:cs="仿宋_GB2312"/>
          <w:b/>
          <w:bCs/>
          <w:color w:val="000000"/>
          <w:sz w:val="32"/>
          <w:szCs w:val="32"/>
        </w:rPr>
        <w:t>住房保障支出</w:t>
      </w:r>
      <w:r>
        <w:rPr>
          <w:rFonts w:hint="eastAsia" w:ascii="仿宋_GB2312" w:eastAsia="仿宋_GB2312" w:cs="仿宋_GB2312"/>
          <w:color w:val="000000"/>
          <w:sz w:val="32"/>
          <w:szCs w:val="32"/>
          <w:lang w:val="en-US" w:eastAsia="zh-CN"/>
        </w:rPr>
        <w:t>17.55</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7.02</w:t>
      </w:r>
      <w:r>
        <w:rPr>
          <w:rFonts w:hint="eastAsia" w:ascii="仿宋_GB2312" w:eastAsia="仿宋_GB2312" w:cs="仿宋_GB2312"/>
          <w:color w:val="000000"/>
          <w:sz w:val="32"/>
          <w:szCs w:val="32"/>
        </w:rPr>
        <w:t>%。</w:t>
      </w:r>
    </w:p>
    <w:p w14:paraId="3D953DE3">
      <w:pPr>
        <w:spacing w:line="600" w:lineRule="exact"/>
        <w:ind w:firstLine="5460" w:firstLineChars="2600"/>
        <w:outlineLvl w:val="2"/>
        <w:rPr>
          <w:rFonts w:hint="eastAsia" w:ascii="仿宋_GB2312" w:eastAsia="仿宋_GB2312" w:cs="仿宋_GB2312"/>
          <w:b/>
          <w:color w:val="000000"/>
          <w:sz w:val="32"/>
          <w:szCs w:val="32"/>
          <w:lang w:val="en-US" w:eastAsia="zh-CN"/>
        </w:rPr>
      </w:pPr>
      <w:r>
        <w:drawing>
          <wp:anchor distT="0" distB="0" distL="114300" distR="114300" simplePos="0" relativeHeight="251659264" behindDoc="0" locked="0" layoutInCell="1" allowOverlap="1">
            <wp:simplePos x="0" y="0"/>
            <wp:positionH relativeFrom="column">
              <wp:posOffset>299085</wp:posOffset>
            </wp:positionH>
            <wp:positionV relativeFrom="paragraph">
              <wp:posOffset>92075</wp:posOffset>
            </wp:positionV>
            <wp:extent cx="4500880" cy="2784475"/>
            <wp:effectExtent l="0" t="0" r="5" b="21"/>
            <wp:wrapSquare wrapText="bothSides"/>
            <wp:docPr id="8"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65CD9C2">
      <w:pPr>
        <w:spacing w:line="600" w:lineRule="exact"/>
        <w:ind w:firstLine="8353" w:firstLineChars="2600"/>
        <w:outlineLvl w:val="2"/>
        <w:rPr>
          <w:rFonts w:hint="eastAsia" w:ascii="仿宋_GB2312" w:eastAsia="仿宋_GB2312" w:cs="仿宋_GB2312"/>
          <w:b/>
          <w:color w:val="000000"/>
          <w:sz w:val="32"/>
          <w:szCs w:val="32"/>
          <w:lang w:val="en-US" w:eastAsia="zh-CN"/>
        </w:rPr>
      </w:pPr>
    </w:p>
    <w:p w14:paraId="5DF3A518">
      <w:pPr>
        <w:spacing w:line="600" w:lineRule="exact"/>
        <w:ind w:firstLine="8353" w:firstLineChars="2600"/>
        <w:outlineLvl w:val="2"/>
        <w:rPr>
          <w:rFonts w:hint="eastAsia" w:ascii="仿宋_GB2312" w:eastAsia="仿宋_GB2312" w:cs="仿宋_GB2312"/>
          <w:b/>
          <w:color w:val="000000"/>
          <w:sz w:val="32"/>
          <w:szCs w:val="32"/>
          <w:lang w:val="en-US" w:eastAsia="zh-CN"/>
        </w:rPr>
      </w:pPr>
    </w:p>
    <w:p w14:paraId="51DDA371">
      <w:pPr>
        <w:spacing w:line="600" w:lineRule="exact"/>
        <w:ind w:firstLine="8353" w:firstLineChars="2600"/>
        <w:outlineLvl w:val="2"/>
        <w:rPr>
          <w:rFonts w:hint="eastAsia" w:ascii="仿宋_GB2312" w:eastAsia="仿宋_GB2312" w:cs="仿宋_GB2312"/>
          <w:b/>
          <w:color w:val="000000"/>
          <w:sz w:val="32"/>
          <w:szCs w:val="32"/>
          <w:lang w:val="en-US" w:eastAsia="zh-CN"/>
        </w:rPr>
      </w:pPr>
    </w:p>
    <w:p w14:paraId="08EA5723">
      <w:pPr>
        <w:spacing w:line="600" w:lineRule="exact"/>
        <w:ind w:firstLine="8353" w:firstLineChars="2600"/>
        <w:outlineLvl w:val="2"/>
        <w:rPr>
          <w:rFonts w:hint="eastAsia" w:ascii="仿宋_GB2312" w:eastAsia="仿宋_GB2312" w:cs="仿宋_GB2312"/>
          <w:b/>
          <w:color w:val="000000"/>
          <w:sz w:val="32"/>
          <w:szCs w:val="32"/>
          <w:lang w:val="en-US" w:eastAsia="zh-CN"/>
        </w:rPr>
      </w:pPr>
    </w:p>
    <w:p w14:paraId="230A59B4">
      <w:pPr>
        <w:spacing w:line="600" w:lineRule="exact"/>
        <w:outlineLvl w:val="2"/>
        <w:rPr>
          <w:rFonts w:hint="eastAsia" w:ascii="仿宋_GB2312" w:eastAsia="仿宋_GB2312" w:cs="仿宋_GB2312"/>
          <w:b/>
          <w:color w:val="000000"/>
          <w:sz w:val="32"/>
          <w:szCs w:val="32"/>
          <w:lang w:val="en-US" w:eastAsia="zh-CN"/>
        </w:rPr>
      </w:pPr>
    </w:p>
    <w:p w14:paraId="0B1835E7">
      <w:pPr>
        <w:spacing w:line="600" w:lineRule="exact"/>
        <w:outlineLvl w:val="2"/>
        <w:rPr>
          <w:rFonts w:hint="eastAsia" w:ascii="仿宋_GB2312" w:eastAsia="仿宋_GB2312" w:cs="仿宋_GB2312"/>
          <w:b/>
          <w:color w:val="000000"/>
          <w:sz w:val="32"/>
          <w:szCs w:val="32"/>
          <w:lang w:val="en-US" w:eastAsia="zh-CN"/>
        </w:rPr>
      </w:pPr>
    </w:p>
    <w:p w14:paraId="0BAF87E0">
      <w:pPr>
        <w:spacing w:line="600" w:lineRule="exact"/>
        <w:outlineLvl w:val="2"/>
        <w:rPr>
          <w:rFonts w:hint="eastAsia" w:ascii="仿宋_GB2312" w:eastAsia="仿宋_GB2312" w:cs="仿宋_GB2312"/>
          <w:b/>
          <w:color w:val="000000"/>
          <w:sz w:val="32"/>
          <w:szCs w:val="32"/>
          <w:lang w:val="en-US" w:eastAsia="zh-CN"/>
        </w:rPr>
      </w:pPr>
    </w:p>
    <w:p w14:paraId="521C9475">
      <w:pPr>
        <w:numPr>
          <w:ilvl w:val="0"/>
          <w:numId w:val="1"/>
        </w:numPr>
        <w:spacing w:line="600" w:lineRule="exact"/>
        <w:ind w:left="0" w:firstLine="643" w:firstLineChars="200"/>
        <w:outlineLvl w:val="2"/>
        <w:rPr>
          <w:rFonts w:hint="eastAsia" w:ascii="仿宋_GB2312" w:eastAsia="仿宋_GB2312" w:cs="仿宋_GB2312"/>
          <w:b/>
          <w:color w:val="000000"/>
          <w:sz w:val="32"/>
          <w:szCs w:val="32"/>
          <w:lang w:val="en-US" w:eastAsia="zh-CN"/>
        </w:rPr>
      </w:pPr>
      <w:bookmarkStart w:id="110" w:name="_Toc15377212"/>
      <w:bookmarkStart w:id="111" w:name="_Toc13152"/>
      <w:r>
        <w:rPr>
          <w:rFonts w:hint="eastAsia" w:ascii="仿宋_GB2312" w:eastAsia="仿宋_GB2312" w:cs="仿宋_GB2312"/>
          <w:b/>
          <w:color w:val="000000"/>
          <w:sz w:val="32"/>
          <w:szCs w:val="32"/>
        </w:rPr>
        <w:t>一般公共预算财政拨款支出决算具体情况</w:t>
      </w:r>
      <w:bookmarkEnd w:id="110"/>
      <w:bookmarkEnd w:id="111"/>
    </w:p>
    <w:p w14:paraId="6DB70403">
      <w:pPr>
        <w:spacing w:line="600" w:lineRule="exact"/>
        <w:outlineLvl w:val="2"/>
        <w:rPr>
          <w:rFonts w:hint="eastAsia" w:ascii="仿宋_GB2312" w:eastAsia="仿宋_GB2312" w:cs="仿宋_GB2312"/>
          <w:b w:val="0"/>
          <w:bCs/>
          <w:color w:val="000000"/>
          <w:sz w:val="32"/>
          <w:szCs w:val="32"/>
        </w:rPr>
      </w:pPr>
      <w:r>
        <w:rPr>
          <w:rFonts w:hint="eastAsia" w:ascii="仿宋_GB2312" w:eastAsia="仿宋_GB2312" w:cs="仿宋_GB2312"/>
          <w:b w:val="0"/>
          <w:bCs/>
          <w:color w:val="000000"/>
          <w:sz w:val="32"/>
          <w:szCs w:val="32"/>
          <w:lang w:val="en-US" w:eastAsia="zh-CN"/>
        </w:rPr>
        <w:t xml:space="preserve">    </w:t>
      </w:r>
      <w:bookmarkEnd w:id="107"/>
      <w:bookmarkEnd w:id="108"/>
      <w:bookmarkEnd w:id="109"/>
      <w:bookmarkStart w:id="112" w:name="_Toc15377214"/>
      <w:bookmarkStart w:id="113" w:name="_Toc15396608"/>
      <w:r>
        <w:rPr>
          <w:rFonts w:hint="eastAsia" w:ascii="仿宋_GB2312" w:eastAsia="仿宋_GB2312" w:cs="仿宋_GB2312"/>
          <w:b w:val="0"/>
          <w:bCs/>
          <w:color w:val="000000"/>
          <w:sz w:val="32"/>
          <w:szCs w:val="32"/>
          <w:lang w:val="en-US" w:eastAsia="zh-CN"/>
        </w:rPr>
        <w:t xml:space="preserve"> </w:t>
      </w:r>
      <w:bookmarkStart w:id="114" w:name="_Toc25815"/>
      <w:bookmarkStart w:id="115" w:name="_Toc10153"/>
      <w:bookmarkStart w:id="116" w:name="_Toc29261"/>
      <w:r>
        <w:rPr>
          <w:rFonts w:hint="eastAsia" w:ascii="仿宋_GB2312" w:eastAsia="仿宋_GB2312" w:cs="仿宋_GB2312"/>
          <w:b w:val="0"/>
          <w:bCs/>
          <w:color w:val="000000"/>
          <w:sz w:val="32"/>
          <w:szCs w:val="32"/>
          <w:lang w:eastAsia="zh-CN"/>
        </w:rPr>
        <w:t>2022</w:t>
      </w:r>
      <w:r>
        <w:rPr>
          <w:rFonts w:hint="eastAsia" w:ascii="仿宋_GB2312" w:eastAsia="仿宋_GB2312" w:cs="仿宋_GB2312"/>
          <w:b w:val="0"/>
          <w:bCs/>
          <w:color w:val="000000"/>
          <w:sz w:val="32"/>
          <w:szCs w:val="32"/>
        </w:rPr>
        <w:t>年</w:t>
      </w:r>
      <w:r>
        <w:rPr>
          <w:rFonts w:hint="eastAsia" w:ascii="仿宋_GB2312" w:eastAsia="仿宋_GB2312" w:cs="仿宋_GB2312"/>
          <w:b w:val="0"/>
          <w:bCs/>
          <w:color w:val="000000"/>
          <w:sz w:val="32"/>
          <w:szCs w:val="32"/>
          <w:lang w:eastAsia="zh-CN"/>
        </w:rPr>
        <w:t>一</w:t>
      </w:r>
      <w:r>
        <w:rPr>
          <w:rFonts w:hint="eastAsia" w:ascii="仿宋_GB2312" w:eastAsia="仿宋_GB2312" w:cs="仿宋_GB2312"/>
          <w:b w:val="0"/>
          <w:bCs/>
          <w:color w:val="000000"/>
          <w:sz w:val="32"/>
          <w:szCs w:val="32"/>
        </w:rPr>
        <w:t>般公共预算</w:t>
      </w:r>
      <w:r>
        <w:rPr>
          <w:rFonts w:hint="eastAsia" w:ascii="仿宋_GB2312" w:eastAsia="仿宋_GB2312" w:cs="仿宋_GB2312"/>
          <w:b w:val="0"/>
          <w:bCs/>
          <w:color w:val="000000"/>
          <w:sz w:val="32"/>
          <w:szCs w:val="32"/>
          <w:lang w:val="en-US" w:eastAsia="zh-CN"/>
        </w:rPr>
        <w:t>数为250.01万元，</w:t>
      </w:r>
      <w:r>
        <w:rPr>
          <w:rFonts w:hint="eastAsia" w:ascii="仿宋_GB2312" w:eastAsia="仿宋_GB2312" w:cs="仿宋_GB2312"/>
          <w:b w:val="0"/>
          <w:bCs/>
          <w:color w:val="000000"/>
          <w:sz w:val="32"/>
          <w:szCs w:val="32"/>
        </w:rPr>
        <w:t>支出决算数为</w:t>
      </w:r>
      <w:r>
        <w:rPr>
          <w:rFonts w:hint="eastAsia" w:ascii="仿宋_GB2312" w:eastAsia="仿宋_GB2312" w:cs="仿宋_GB2312"/>
          <w:b w:val="0"/>
          <w:bCs/>
          <w:color w:val="000000"/>
          <w:sz w:val="32"/>
          <w:szCs w:val="32"/>
          <w:lang w:val="en-US" w:eastAsia="zh-CN"/>
        </w:rPr>
        <w:t>250.01万元</w:t>
      </w:r>
      <w:r>
        <w:rPr>
          <w:rFonts w:hint="eastAsia" w:ascii="仿宋_GB2312" w:eastAsia="仿宋_GB2312" w:cs="仿宋_GB2312"/>
          <w:b w:val="0"/>
          <w:bCs/>
          <w:color w:val="000000"/>
          <w:sz w:val="32"/>
          <w:szCs w:val="32"/>
        </w:rPr>
        <w:t>，完</w:t>
      </w:r>
      <w:r>
        <w:rPr>
          <w:rStyle w:val="16"/>
          <w:rFonts w:hint="eastAsia" w:ascii="仿宋_GB2312" w:eastAsia="仿宋_GB2312" w:cs="仿宋_GB2312"/>
          <w:b w:val="0"/>
          <w:bCs/>
          <w:color w:val="000000"/>
          <w:sz w:val="32"/>
          <w:szCs w:val="32"/>
        </w:rPr>
        <w:t>成预算</w:t>
      </w:r>
      <w:r>
        <w:rPr>
          <w:rStyle w:val="16"/>
          <w:rFonts w:hint="eastAsia" w:ascii="仿宋_GB2312" w:eastAsia="仿宋_GB2312" w:cs="仿宋_GB2312"/>
          <w:b w:val="0"/>
          <w:bCs/>
          <w:color w:val="000000"/>
          <w:sz w:val="32"/>
          <w:szCs w:val="32"/>
          <w:lang w:val="en-US" w:eastAsia="zh-CN"/>
        </w:rPr>
        <w:t>100</w:t>
      </w:r>
      <w:r>
        <w:rPr>
          <w:rStyle w:val="16"/>
          <w:rFonts w:hint="eastAsia" w:ascii="仿宋_GB2312" w:eastAsia="仿宋_GB2312" w:cs="仿宋_GB2312"/>
          <w:b w:val="0"/>
          <w:bCs/>
          <w:color w:val="000000"/>
          <w:sz w:val="32"/>
          <w:szCs w:val="32"/>
        </w:rPr>
        <w:t>%。</w:t>
      </w:r>
      <w:r>
        <w:rPr>
          <w:rStyle w:val="16"/>
          <w:rFonts w:hint="eastAsia" w:ascii="仿宋_GB2312" w:eastAsia="仿宋_GB2312" w:cs="仿宋_GB2312"/>
          <w:b w:val="0"/>
          <w:bCs/>
          <w:color w:val="000000"/>
          <w:sz w:val="32"/>
          <w:szCs w:val="32"/>
          <w:lang w:val="en-US" w:eastAsia="zh-CN"/>
        </w:rPr>
        <w:t>结转下年0万元。</w:t>
      </w:r>
      <w:r>
        <w:rPr>
          <w:rStyle w:val="16"/>
          <w:rFonts w:hint="eastAsia" w:ascii="仿宋_GB2312" w:eastAsia="仿宋_GB2312" w:cs="仿宋_GB2312"/>
          <w:b w:val="0"/>
          <w:bCs/>
          <w:color w:val="000000"/>
          <w:sz w:val="32"/>
          <w:szCs w:val="32"/>
        </w:rPr>
        <w:t>其中：</w:t>
      </w:r>
      <w:bookmarkEnd w:id="114"/>
      <w:bookmarkEnd w:id="115"/>
      <w:bookmarkEnd w:id="116"/>
    </w:p>
    <w:p w14:paraId="091CAF04">
      <w:pPr>
        <w:spacing w:line="600" w:lineRule="exact"/>
        <w:ind w:left="0" w:firstLine="643" w:firstLineChars="200"/>
        <w:rPr>
          <w:rStyle w:val="16"/>
          <w:rFonts w:hint="eastAsia" w:ascii="仿宋_GB2312" w:eastAsia="仿宋_GB2312" w:cs="仿宋_GB2312"/>
          <w:b w:val="0"/>
          <w:bCs/>
          <w:color w:val="000000"/>
          <w:sz w:val="32"/>
          <w:szCs w:val="32"/>
          <w:lang w:val="en-US" w:eastAsia="zh-CN"/>
        </w:rPr>
      </w:pPr>
      <w:bookmarkStart w:id="117" w:name="_Toc31827"/>
      <w:bookmarkStart w:id="118" w:name="_Toc16119"/>
      <w:bookmarkStart w:id="119" w:name="_Toc30846"/>
      <w:bookmarkStart w:id="120" w:name="_Toc11997"/>
      <w:r>
        <w:rPr>
          <w:rStyle w:val="16"/>
          <w:rFonts w:hint="eastAsia" w:ascii="仿宋_GB2312" w:eastAsia="仿宋_GB2312" w:cs="仿宋_GB2312"/>
          <w:b/>
          <w:bCs w:val="0"/>
          <w:color w:val="000000"/>
          <w:sz w:val="32"/>
          <w:szCs w:val="32"/>
          <w:lang w:val="en-US" w:eastAsia="zh-CN"/>
        </w:rPr>
        <w:t xml:space="preserve">1.一般公共服务支出（类）组织事务（款）行政运行（项）: </w:t>
      </w:r>
      <w:r>
        <w:rPr>
          <w:rStyle w:val="16"/>
          <w:rFonts w:hint="eastAsia" w:ascii="仿宋_GB2312" w:eastAsia="仿宋_GB2312" w:cs="仿宋_GB2312"/>
          <w:b w:val="0"/>
          <w:bCs/>
          <w:color w:val="000000"/>
          <w:sz w:val="32"/>
          <w:szCs w:val="32"/>
          <w:lang w:val="en-US" w:eastAsia="zh-CN"/>
        </w:rPr>
        <w:t>支出决算为145.76万元，完成预算100%。</w:t>
      </w:r>
    </w:p>
    <w:p w14:paraId="1D7105E0">
      <w:pPr>
        <w:spacing w:line="600" w:lineRule="exact"/>
        <w:ind w:left="0" w:firstLine="643" w:firstLineChars="200"/>
        <w:rPr>
          <w:rStyle w:val="16"/>
          <w:rFonts w:hint="eastAsia" w:ascii="仿宋_GB2312" w:eastAsia="仿宋_GB2312" w:cs="仿宋_GB2312"/>
          <w:b w:val="0"/>
          <w:bCs/>
          <w:color w:val="000000"/>
          <w:sz w:val="32"/>
          <w:szCs w:val="32"/>
          <w:lang w:val="en-US" w:eastAsia="zh-CN"/>
        </w:rPr>
      </w:pPr>
      <w:r>
        <w:rPr>
          <w:rStyle w:val="16"/>
          <w:rFonts w:hint="eastAsia" w:ascii="仿宋_GB2312" w:eastAsia="仿宋_GB2312" w:cs="仿宋_GB2312"/>
          <w:b/>
          <w:bCs w:val="0"/>
          <w:color w:val="000000"/>
          <w:sz w:val="32"/>
          <w:szCs w:val="32"/>
          <w:lang w:val="en-US" w:eastAsia="zh-CN"/>
        </w:rPr>
        <w:t xml:space="preserve">2.一般公共服务支出（类）组织事务（款）事业运行（项）: </w:t>
      </w:r>
      <w:r>
        <w:rPr>
          <w:rStyle w:val="16"/>
          <w:rFonts w:hint="eastAsia" w:ascii="仿宋_GB2312" w:eastAsia="仿宋_GB2312" w:cs="仿宋_GB2312"/>
          <w:b w:val="0"/>
          <w:bCs/>
          <w:color w:val="000000"/>
          <w:sz w:val="32"/>
          <w:szCs w:val="32"/>
          <w:lang w:val="en-US" w:eastAsia="zh-CN"/>
        </w:rPr>
        <w:t>支出决算为44.95万元，完成预算100%。</w:t>
      </w:r>
    </w:p>
    <w:p w14:paraId="218CFCA9">
      <w:pPr>
        <w:spacing w:line="600" w:lineRule="exact"/>
        <w:ind w:left="0" w:firstLine="643" w:firstLineChars="200"/>
        <w:rPr>
          <w:rStyle w:val="16"/>
          <w:rFonts w:hint="eastAsia" w:ascii="仿宋_GB2312" w:eastAsia="仿宋_GB2312" w:cs="仿宋_GB2312"/>
          <w:b w:val="0"/>
          <w:bCs/>
          <w:color w:val="000000"/>
          <w:sz w:val="32"/>
          <w:szCs w:val="32"/>
          <w:lang w:val="en-US" w:eastAsia="zh-CN"/>
        </w:rPr>
      </w:pPr>
      <w:r>
        <w:rPr>
          <w:rStyle w:val="16"/>
          <w:rFonts w:hint="eastAsia" w:ascii="仿宋_GB2312" w:eastAsia="仿宋_GB2312" w:cs="仿宋_GB2312"/>
          <w:b/>
          <w:bCs w:val="0"/>
          <w:color w:val="000000"/>
          <w:sz w:val="32"/>
          <w:szCs w:val="32"/>
          <w:lang w:val="en-US" w:eastAsia="zh-CN"/>
        </w:rPr>
        <w:t>3. 社会保障和就业（类）行政事业单位离退休（款）机关事业单位基本养老保险缴费支出（项）:</w:t>
      </w:r>
      <w:r>
        <w:rPr>
          <w:rStyle w:val="16"/>
          <w:rFonts w:hint="eastAsia" w:ascii="仿宋_GB2312" w:eastAsia="仿宋_GB2312" w:cs="仿宋_GB2312"/>
          <w:b w:val="0"/>
          <w:bCs/>
          <w:color w:val="000000"/>
          <w:sz w:val="32"/>
          <w:szCs w:val="32"/>
          <w:lang w:val="en-US" w:eastAsia="zh-CN"/>
        </w:rPr>
        <w:t xml:space="preserve"> 支出决算为19.83万元，完成预算100%。</w:t>
      </w:r>
    </w:p>
    <w:p w14:paraId="79B6712B">
      <w:pPr>
        <w:spacing w:line="600" w:lineRule="exact"/>
        <w:ind w:left="0" w:firstLine="643" w:firstLineChars="200"/>
        <w:rPr>
          <w:rStyle w:val="16"/>
          <w:rFonts w:hint="eastAsia" w:ascii="仿宋_GB2312" w:eastAsia="仿宋_GB2312" w:cs="仿宋_GB2312"/>
          <w:b w:val="0"/>
          <w:bCs/>
          <w:color w:val="000000"/>
          <w:sz w:val="32"/>
          <w:szCs w:val="32"/>
          <w:lang w:val="en-US" w:eastAsia="zh-CN"/>
        </w:rPr>
      </w:pPr>
      <w:r>
        <w:rPr>
          <w:rStyle w:val="16"/>
          <w:rFonts w:hint="eastAsia" w:ascii="仿宋_GB2312" w:eastAsia="仿宋_GB2312" w:cs="仿宋_GB2312"/>
          <w:b/>
          <w:bCs w:val="0"/>
          <w:color w:val="000000"/>
          <w:sz w:val="32"/>
          <w:szCs w:val="32"/>
          <w:lang w:val="en-US" w:eastAsia="zh-CN"/>
        </w:rPr>
        <w:t>4.社会保障和就业（类）行政事业单位离退休（款）机关事业单位基本职业年金缴费支出（项）:</w:t>
      </w:r>
      <w:r>
        <w:rPr>
          <w:rStyle w:val="16"/>
          <w:rFonts w:hint="eastAsia" w:ascii="仿宋_GB2312" w:eastAsia="仿宋_GB2312" w:cs="仿宋_GB2312"/>
          <w:b w:val="0"/>
          <w:bCs/>
          <w:color w:val="000000"/>
          <w:sz w:val="32"/>
          <w:szCs w:val="32"/>
          <w:lang w:val="en-US" w:eastAsia="zh-CN"/>
        </w:rPr>
        <w:t>支出决算为9.91万元，完成预算100%。</w:t>
      </w:r>
    </w:p>
    <w:p w14:paraId="20F90208">
      <w:pPr>
        <w:spacing w:line="600" w:lineRule="exact"/>
        <w:ind w:left="0" w:firstLine="643" w:firstLineChars="200"/>
        <w:rPr>
          <w:rStyle w:val="16"/>
          <w:rFonts w:hint="eastAsia" w:ascii="仿宋_GB2312" w:eastAsia="仿宋_GB2312" w:cs="仿宋_GB2312"/>
          <w:b w:val="0"/>
          <w:bCs/>
          <w:color w:val="000000"/>
          <w:sz w:val="32"/>
          <w:szCs w:val="32"/>
          <w:lang w:val="en-US" w:eastAsia="zh-CN"/>
        </w:rPr>
      </w:pPr>
      <w:r>
        <w:rPr>
          <w:rStyle w:val="16"/>
          <w:rFonts w:hint="eastAsia" w:ascii="仿宋_GB2312" w:eastAsia="仿宋_GB2312" w:cs="仿宋_GB2312"/>
          <w:b/>
          <w:bCs w:val="0"/>
          <w:color w:val="000000"/>
          <w:sz w:val="32"/>
          <w:szCs w:val="32"/>
          <w:lang w:val="en-US" w:eastAsia="zh-CN"/>
        </w:rPr>
        <w:t>5.卫生健康支出（类）行政事业单位医疗（款）行政单位医疗（项）:</w:t>
      </w:r>
      <w:r>
        <w:rPr>
          <w:rStyle w:val="16"/>
          <w:rFonts w:hint="eastAsia" w:ascii="仿宋_GB2312" w:eastAsia="仿宋_GB2312" w:cs="仿宋_GB2312"/>
          <w:b w:val="0"/>
          <w:bCs/>
          <w:color w:val="000000"/>
          <w:sz w:val="32"/>
          <w:szCs w:val="32"/>
          <w:lang w:val="en-US" w:eastAsia="zh-CN"/>
        </w:rPr>
        <w:t>支出决算为7.50万元，完成预算100%。</w:t>
      </w:r>
    </w:p>
    <w:p w14:paraId="07B814BF">
      <w:pPr>
        <w:spacing w:line="600" w:lineRule="exact"/>
        <w:ind w:firstLine="643" w:firstLineChars="200"/>
        <w:rPr>
          <w:rFonts w:hint="eastAsia"/>
          <w:color w:val="000000"/>
          <w:lang w:val="en-US" w:eastAsia="zh-CN"/>
        </w:rPr>
      </w:pPr>
      <w:r>
        <w:rPr>
          <w:rStyle w:val="16"/>
          <w:rFonts w:hint="eastAsia" w:ascii="仿宋_GB2312" w:eastAsia="仿宋_GB2312" w:cs="仿宋_GB2312"/>
          <w:b/>
          <w:bCs w:val="0"/>
          <w:color w:val="000000"/>
          <w:sz w:val="32"/>
          <w:szCs w:val="32"/>
          <w:lang w:val="en-US" w:eastAsia="zh-CN"/>
        </w:rPr>
        <w:t>6.</w:t>
      </w:r>
      <w:r>
        <w:rPr>
          <w:rStyle w:val="16"/>
          <w:rFonts w:hint="eastAsia" w:ascii="仿宋_GB2312" w:eastAsia="仿宋_GB2312" w:cs="仿宋_GB2312"/>
          <w:bCs/>
          <w:color w:val="000000"/>
          <w:sz w:val="32"/>
          <w:szCs w:val="32"/>
          <w:lang w:eastAsia="zh-CN"/>
        </w:rPr>
        <w:t>卫生健康支出</w:t>
      </w:r>
      <w:r>
        <w:rPr>
          <w:rStyle w:val="16"/>
          <w:rFonts w:hint="eastAsia" w:ascii="仿宋_GB2312" w:eastAsia="仿宋_GB2312" w:cs="仿宋_GB2312"/>
          <w:bCs/>
          <w:color w:val="000000"/>
          <w:sz w:val="32"/>
          <w:szCs w:val="32"/>
        </w:rPr>
        <w:t>（类）</w:t>
      </w:r>
      <w:r>
        <w:rPr>
          <w:rStyle w:val="16"/>
          <w:rFonts w:hint="eastAsia" w:ascii="仿宋_GB2312" w:eastAsia="仿宋_GB2312" w:cs="仿宋_GB2312"/>
          <w:bCs/>
          <w:color w:val="000000"/>
          <w:sz w:val="32"/>
          <w:szCs w:val="32"/>
          <w:lang w:val="en-US" w:eastAsia="zh-CN"/>
        </w:rPr>
        <w:t>行政事业单位医疗</w:t>
      </w:r>
      <w:r>
        <w:rPr>
          <w:rStyle w:val="16"/>
          <w:rFonts w:hint="eastAsia" w:ascii="仿宋_GB2312" w:eastAsia="仿宋_GB2312" w:cs="仿宋_GB2312"/>
          <w:bCs/>
          <w:color w:val="000000"/>
          <w:sz w:val="32"/>
          <w:szCs w:val="32"/>
        </w:rPr>
        <w:t>（款）</w:t>
      </w:r>
      <w:r>
        <w:rPr>
          <w:rStyle w:val="16"/>
          <w:rFonts w:hint="eastAsia" w:ascii="仿宋_GB2312" w:eastAsia="仿宋_GB2312" w:cs="仿宋_GB2312"/>
          <w:bCs/>
          <w:color w:val="000000"/>
          <w:sz w:val="32"/>
          <w:szCs w:val="32"/>
          <w:lang w:val="en-US" w:eastAsia="zh-CN"/>
        </w:rPr>
        <w:t>事业单位医疗</w:t>
      </w:r>
      <w:r>
        <w:rPr>
          <w:rStyle w:val="16"/>
          <w:rFonts w:hint="eastAsia" w:ascii="仿宋_GB2312" w:eastAsia="仿宋_GB2312" w:cs="仿宋_GB2312"/>
          <w:bCs/>
          <w:color w:val="000000"/>
          <w:sz w:val="32"/>
          <w:szCs w:val="32"/>
        </w:rPr>
        <w:t>（项）:</w:t>
      </w:r>
      <w:r>
        <w:rPr>
          <w:rStyle w:val="16"/>
          <w:rFonts w:hint="eastAsia" w:ascii="仿宋_GB2312" w:eastAsia="仿宋_GB2312" w:cs="仿宋_GB2312"/>
          <w:b w:val="0"/>
          <w:bCs/>
          <w:color w:val="000000"/>
          <w:sz w:val="32"/>
          <w:szCs w:val="32"/>
        </w:rPr>
        <w:t>支出决算为</w:t>
      </w:r>
      <w:r>
        <w:rPr>
          <w:rStyle w:val="16"/>
          <w:rFonts w:hint="eastAsia" w:ascii="仿宋_GB2312" w:eastAsia="仿宋_GB2312" w:cs="仿宋_GB2312"/>
          <w:b w:val="0"/>
          <w:bCs/>
          <w:color w:val="000000"/>
          <w:sz w:val="32"/>
          <w:szCs w:val="32"/>
          <w:lang w:val="en-US" w:eastAsia="zh-CN"/>
        </w:rPr>
        <w:t>2.20</w:t>
      </w:r>
      <w:r>
        <w:rPr>
          <w:rStyle w:val="16"/>
          <w:rFonts w:hint="eastAsia" w:ascii="仿宋_GB2312" w:eastAsia="仿宋_GB2312" w:cs="仿宋_GB2312"/>
          <w:b w:val="0"/>
          <w:bCs/>
          <w:color w:val="000000"/>
          <w:sz w:val="32"/>
          <w:szCs w:val="32"/>
        </w:rPr>
        <w:t>万元，完成预算</w:t>
      </w:r>
      <w:r>
        <w:rPr>
          <w:rStyle w:val="16"/>
          <w:rFonts w:hint="eastAsia" w:ascii="仿宋_GB2312" w:eastAsia="仿宋_GB2312" w:cs="仿宋_GB2312"/>
          <w:b w:val="0"/>
          <w:bCs/>
          <w:color w:val="000000"/>
          <w:sz w:val="32"/>
          <w:szCs w:val="32"/>
          <w:lang w:val="en-US" w:eastAsia="zh-CN"/>
        </w:rPr>
        <w:t>100</w:t>
      </w:r>
      <w:r>
        <w:rPr>
          <w:rStyle w:val="16"/>
          <w:rFonts w:hint="eastAsia" w:ascii="仿宋_GB2312" w:eastAsia="仿宋_GB2312" w:cs="仿宋_GB2312"/>
          <w:b w:val="0"/>
          <w:bCs/>
          <w:color w:val="000000"/>
          <w:sz w:val="32"/>
          <w:szCs w:val="32"/>
        </w:rPr>
        <w:t>%。</w:t>
      </w:r>
    </w:p>
    <w:p w14:paraId="69E0F8BA">
      <w:pPr>
        <w:spacing w:line="600" w:lineRule="exact"/>
        <w:ind w:left="0" w:firstLine="643" w:firstLineChars="200"/>
        <w:rPr>
          <w:rStyle w:val="16"/>
          <w:rFonts w:hint="eastAsia" w:ascii="仿宋_GB2312" w:eastAsia="仿宋_GB2312" w:cs="仿宋_GB2312"/>
          <w:b w:val="0"/>
          <w:bCs/>
          <w:color w:val="000000"/>
          <w:sz w:val="32"/>
          <w:szCs w:val="32"/>
          <w:lang w:val="en-US" w:eastAsia="zh-CN"/>
        </w:rPr>
      </w:pPr>
      <w:r>
        <w:rPr>
          <w:rStyle w:val="16"/>
          <w:rFonts w:hint="eastAsia" w:ascii="仿宋_GB2312" w:eastAsia="仿宋_GB2312" w:cs="仿宋_GB2312"/>
          <w:b/>
          <w:bCs w:val="0"/>
          <w:color w:val="000000"/>
          <w:sz w:val="32"/>
          <w:szCs w:val="32"/>
          <w:lang w:val="en-US" w:eastAsia="zh-CN"/>
        </w:rPr>
        <w:t>7.卫生健康支出（类）行政事业单位医疗（款）公务员医疗补助（项）:</w:t>
      </w:r>
      <w:r>
        <w:rPr>
          <w:rStyle w:val="16"/>
          <w:rFonts w:hint="eastAsia" w:ascii="仿宋_GB2312" w:eastAsia="仿宋_GB2312" w:cs="仿宋_GB2312"/>
          <w:b w:val="0"/>
          <w:bCs/>
          <w:color w:val="000000"/>
          <w:sz w:val="32"/>
          <w:szCs w:val="32"/>
          <w:lang w:val="en-US" w:eastAsia="zh-CN"/>
        </w:rPr>
        <w:t>支出决算为1.81万元，完成预算100%。</w:t>
      </w:r>
    </w:p>
    <w:p w14:paraId="5564A1B8">
      <w:pPr>
        <w:spacing w:line="600" w:lineRule="exact"/>
        <w:ind w:firstLine="643" w:firstLineChars="200"/>
        <w:rPr>
          <w:rFonts w:hint="eastAsia"/>
          <w:color w:val="000000"/>
          <w:lang w:val="en-US" w:eastAsia="zh-CN"/>
        </w:rPr>
      </w:pPr>
      <w:r>
        <w:rPr>
          <w:rStyle w:val="16"/>
          <w:rFonts w:hint="eastAsia" w:ascii="仿宋_GB2312" w:eastAsia="仿宋_GB2312" w:cs="仿宋_GB2312"/>
          <w:b/>
          <w:bCs w:val="0"/>
          <w:color w:val="000000"/>
          <w:sz w:val="32"/>
          <w:szCs w:val="32"/>
          <w:lang w:val="en-US" w:eastAsia="zh-CN"/>
        </w:rPr>
        <w:t>8.</w:t>
      </w:r>
      <w:r>
        <w:rPr>
          <w:rStyle w:val="16"/>
          <w:rFonts w:hint="eastAsia" w:ascii="仿宋_GB2312" w:eastAsia="仿宋_GB2312" w:cs="仿宋_GB2312"/>
          <w:bCs/>
          <w:color w:val="000000"/>
          <w:sz w:val="32"/>
          <w:szCs w:val="32"/>
          <w:lang w:eastAsia="zh-CN"/>
        </w:rPr>
        <w:t>卫生健康支出</w:t>
      </w:r>
      <w:r>
        <w:rPr>
          <w:rStyle w:val="16"/>
          <w:rFonts w:hint="eastAsia" w:ascii="仿宋_GB2312" w:eastAsia="仿宋_GB2312" w:cs="仿宋_GB2312"/>
          <w:bCs/>
          <w:color w:val="000000"/>
          <w:sz w:val="32"/>
          <w:szCs w:val="32"/>
        </w:rPr>
        <w:t>（类）</w:t>
      </w:r>
      <w:r>
        <w:rPr>
          <w:rStyle w:val="16"/>
          <w:rFonts w:hint="eastAsia" w:ascii="仿宋_GB2312" w:eastAsia="仿宋_GB2312" w:cs="仿宋_GB2312"/>
          <w:bCs/>
          <w:color w:val="000000"/>
          <w:sz w:val="32"/>
          <w:szCs w:val="32"/>
          <w:lang w:val="en-US" w:eastAsia="zh-CN"/>
        </w:rPr>
        <w:t>行政事业单位医疗</w:t>
      </w:r>
      <w:r>
        <w:rPr>
          <w:rStyle w:val="16"/>
          <w:rFonts w:hint="eastAsia" w:ascii="仿宋_GB2312" w:eastAsia="仿宋_GB2312" w:cs="仿宋_GB2312"/>
          <w:bCs/>
          <w:color w:val="000000"/>
          <w:sz w:val="32"/>
          <w:szCs w:val="32"/>
        </w:rPr>
        <w:t>（款）</w:t>
      </w:r>
      <w:r>
        <w:rPr>
          <w:rStyle w:val="16"/>
          <w:rFonts w:hint="eastAsia" w:ascii="仿宋_GB2312" w:eastAsia="仿宋_GB2312" w:cs="仿宋_GB2312"/>
          <w:bCs/>
          <w:color w:val="000000"/>
          <w:sz w:val="32"/>
          <w:szCs w:val="32"/>
          <w:lang w:val="en-US" w:eastAsia="zh-CN"/>
        </w:rPr>
        <w:t>其他行政事业单位医疗支出</w:t>
      </w:r>
      <w:r>
        <w:rPr>
          <w:rStyle w:val="16"/>
          <w:rFonts w:hint="eastAsia" w:ascii="仿宋_GB2312" w:eastAsia="仿宋_GB2312" w:cs="仿宋_GB2312"/>
          <w:bCs/>
          <w:color w:val="000000"/>
          <w:sz w:val="32"/>
          <w:szCs w:val="32"/>
        </w:rPr>
        <w:t>（项）:</w:t>
      </w:r>
      <w:r>
        <w:rPr>
          <w:rStyle w:val="16"/>
          <w:rFonts w:hint="eastAsia" w:ascii="仿宋_GB2312" w:eastAsia="仿宋_GB2312" w:cs="仿宋_GB2312"/>
          <w:b w:val="0"/>
          <w:bCs/>
          <w:color w:val="000000"/>
          <w:sz w:val="32"/>
          <w:szCs w:val="32"/>
        </w:rPr>
        <w:t>支出决算为</w:t>
      </w:r>
      <w:r>
        <w:rPr>
          <w:rStyle w:val="16"/>
          <w:rFonts w:hint="eastAsia" w:ascii="仿宋_GB2312" w:eastAsia="仿宋_GB2312" w:cs="仿宋_GB2312"/>
          <w:b w:val="0"/>
          <w:bCs/>
          <w:color w:val="000000"/>
          <w:sz w:val="32"/>
          <w:szCs w:val="32"/>
          <w:lang w:val="en-US" w:eastAsia="zh-CN"/>
        </w:rPr>
        <w:t>0.50</w:t>
      </w:r>
      <w:r>
        <w:rPr>
          <w:rStyle w:val="16"/>
          <w:rFonts w:hint="eastAsia" w:ascii="仿宋_GB2312" w:eastAsia="仿宋_GB2312" w:cs="仿宋_GB2312"/>
          <w:b w:val="0"/>
          <w:bCs/>
          <w:color w:val="000000"/>
          <w:sz w:val="32"/>
          <w:szCs w:val="32"/>
        </w:rPr>
        <w:t>万元，完成预算</w:t>
      </w:r>
      <w:r>
        <w:rPr>
          <w:rStyle w:val="16"/>
          <w:rFonts w:hint="eastAsia" w:ascii="仿宋_GB2312" w:eastAsia="仿宋_GB2312" w:cs="仿宋_GB2312"/>
          <w:b w:val="0"/>
          <w:bCs/>
          <w:color w:val="000000"/>
          <w:sz w:val="32"/>
          <w:szCs w:val="32"/>
          <w:lang w:val="en-US" w:eastAsia="zh-CN"/>
        </w:rPr>
        <w:t>100</w:t>
      </w:r>
      <w:r>
        <w:rPr>
          <w:rStyle w:val="16"/>
          <w:rFonts w:hint="eastAsia" w:ascii="仿宋_GB2312" w:eastAsia="仿宋_GB2312" w:cs="仿宋_GB2312"/>
          <w:b w:val="0"/>
          <w:bCs/>
          <w:color w:val="000000"/>
          <w:sz w:val="32"/>
          <w:szCs w:val="32"/>
        </w:rPr>
        <w:t>%。</w:t>
      </w:r>
    </w:p>
    <w:p w14:paraId="1925C643">
      <w:pPr>
        <w:spacing w:line="600" w:lineRule="exact"/>
        <w:ind w:left="0" w:firstLine="643" w:firstLineChars="200"/>
        <w:rPr>
          <w:rStyle w:val="16"/>
          <w:rFonts w:hint="eastAsia" w:ascii="仿宋_GB2312" w:eastAsia="仿宋_GB2312" w:cs="仿宋_GB2312"/>
          <w:b w:val="0"/>
          <w:bCs/>
          <w:color w:val="000000"/>
          <w:sz w:val="32"/>
          <w:szCs w:val="32"/>
          <w:lang w:val="en-US" w:eastAsia="zh-CN"/>
        </w:rPr>
      </w:pPr>
      <w:r>
        <w:rPr>
          <w:rStyle w:val="16"/>
          <w:rFonts w:hint="eastAsia" w:ascii="仿宋_GB2312" w:eastAsia="仿宋_GB2312" w:cs="仿宋_GB2312"/>
          <w:b/>
          <w:bCs w:val="0"/>
          <w:color w:val="000000"/>
          <w:sz w:val="32"/>
          <w:szCs w:val="32"/>
          <w:lang w:val="en-US" w:eastAsia="zh-CN"/>
        </w:rPr>
        <w:t>9.住房保障（类）住房改革支出（款）住房公积金（项）：</w:t>
      </w:r>
      <w:r>
        <w:rPr>
          <w:rStyle w:val="16"/>
          <w:rFonts w:hint="eastAsia" w:ascii="仿宋_GB2312" w:eastAsia="仿宋_GB2312" w:cs="仿宋_GB2312"/>
          <w:b w:val="0"/>
          <w:bCs/>
          <w:color w:val="000000"/>
          <w:sz w:val="32"/>
          <w:szCs w:val="32"/>
          <w:lang w:val="en-US" w:eastAsia="zh-CN"/>
        </w:rPr>
        <w:t>支出决算为17.55万元，完成预算100%。</w:t>
      </w:r>
    </w:p>
    <w:p w14:paraId="0778720B">
      <w:pPr>
        <w:spacing w:line="600" w:lineRule="exact"/>
        <w:rPr>
          <w:rStyle w:val="19"/>
          <w:rFonts w:hint="eastAsia" w:ascii="仿宋_GB2312" w:eastAsia="仿宋_GB2312" w:cs="仿宋_GB2312"/>
          <w:b w:val="0"/>
          <w:lang w:val="en-US" w:eastAsia="zh-CN"/>
        </w:rPr>
      </w:pPr>
      <w:r>
        <w:rPr>
          <w:rFonts w:hint="eastAsia" w:ascii="黑体" w:eastAsia="黑体" w:cs="Times New Roman"/>
          <w:b w:val="0"/>
          <w:bCs/>
          <w:color w:val="000000"/>
          <w:kern w:val="2"/>
          <w:sz w:val="32"/>
          <w:szCs w:val="32"/>
          <w:lang w:val="en-US" w:eastAsia="zh-CN" w:bidi="ar-SA"/>
        </w:rPr>
        <w:t xml:space="preserve"> </w:t>
      </w:r>
      <w:bookmarkStart w:id="121" w:name="_Toc32220"/>
      <w:r>
        <w:rPr>
          <w:rStyle w:val="19"/>
          <w:rFonts w:hint="eastAsia" w:ascii="仿宋_GB2312" w:eastAsia="仿宋_GB2312" w:cs="仿宋_GB2312"/>
          <w:b w:val="0"/>
          <w:lang w:val="en-US" w:eastAsia="zh-CN"/>
        </w:rPr>
        <w:t xml:space="preserve">  六、一般公共预算财政拨款基本支出决算情况说明</w:t>
      </w:r>
      <w:bookmarkEnd w:id="112"/>
      <w:bookmarkEnd w:id="113"/>
      <w:r>
        <w:rPr>
          <w:rStyle w:val="19"/>
          <w:rFonts w:hint="eastAsia" w:ascii="仿宋_GB2312" w:eastAsia="仿宋_GB2312" w:cs="仿宋_GB2312"/>
          <w:b w:val="0"/>
          <w:lang w:val="en-US" w:eastAsia="zh-CN"/>
        </w:rPr>
        <w:tab/>
      </w:r>
    </w:p>
    <w:bookmarkEnd w:id="117"/>
    <w:bookmarkEnd w:id="118"/>
    <w:bookmarkEnd w:id="119"/>
    <w:bookmarkEnd w:id="120"/>
    <w:bookmarkEnd w:id="121"/>
    <w:p w14:paraId="0F0A3504">
      <w:pPr>
        <w:spacing w:line="600" w:lineRule="exact"/>
        <w:ind w:left="0" w:firstLine="640" w:firstLineChars="200"/>
        <w:rPr>
          <w:rStyle w:val="16"/>
          <w:rFonts w:hint="eastAsia" w:ascii="仿宋_GB2312" w:eastAsia="仿宋_GB2312" w:cs="仿宋_GB2312"/>
          <w:b w:val="0"/>
          <w:bCs/>
          <w:color w:val="000000"/>
          <w:sz w:val="32"/>
          <w:szCs w:val="32"/>
          <w:lang w:val="en-US" w:eastAsia="zh-CN"/>
        </w:rPr>
      </w:pPr>
      <w:r>
        <w:rPr>
          <w:rStyle w:val="16"/>
          <w:rFonts w:hint="eastAsia" w:ascii="仿宋_GB2312" w:eastAsia="仿宋_GB2312" w:cs="仿宋_GB2312"/>
          <w:b w:val="0"/>
          <w:bCs/>
          <w:color w:val="000000"/>
          <w:sz w:val="32"/>
          <w:szCs w:val="32"/>
          <w:lang w:val="en-US" w:eastAsia="zh-CN"/>
        </w:rPr>
        <w:t>2022年一般公共预算财政拨款基本支出250.01万元，其中：</w:t>
      </w:r>
    </w:p>
    <w:p w14:paraId="7FB337C7">
      <w:pPr>
        <w:spacing w:line="600" w:lineRule="exact"/>
        <w:ind w:firstLine="645"/>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rPr>
        <w:t>人员经费</w:t>
      </w:r>
      <w:r>
        <w:rPr>
          <w:rFonts w:hint="eastAsia" w:ascii="仿宋_GB2312" w:eastAsia="仿宋_GB2312" w:cs="仿宋_GB2312"/>
          <w:color w:val="auto"/>
          <w:sz w:val="32"/>
          <w:szCs w:val="32"/>
          <w:lang w:val="en-US" w:eastAsia="zh-CN"/>
        </w:rPr>
        <w:t>240.93</w:t>
      </w:r>
      <w:r>
        <w:rPr>
          <w:rFonts w:hint="eastAsia" w:ascii="仿宋_GB2312" w:eastAsia="仿宋_GB2312" w:cs="仿宋_GB2312"/>
          <w:color w:val="auto"/>
          <w:sz w:val="32"/>
          <w:szCs w:val="32"/>
        </w:rPr>
        <w:t>万元，主要包括：基本工资</w:t>
      </w:r>
      <w:r>
        <w:rPr>
          <w:rFonts w:hint="eastAsia" w:ascii="仿宋_GB2312" w:eastAsia="仿宋_GB2312" w:cs="仿宋_GB2312"/>
          <w:color w:val="auto"/>
          <w:sz w:val="32"/>
          <w:szCs w:val="32"/>
          <w:lang w:val="en-US" w:eastAsia="zh-CN"/>
        </w:rPr>
        <w:t>48.44</w:t>
      </w:r>
      <w:r>
        <w:rPr>
          <w:rStyle w:val="16"/>
          <w:rFonts w:hint="eastAsia" w:ascii="仿宋_GB2312" w:eastAsia="仿宋_GB2312" w:cs="仿宋_GB2312"/>
          <w:b w:val="0"/>
          <w:bCs/>
          <w:color w:val="000000"/>
          <w:sz w:val="32"/>
          <w:szCs w:val="32"/>
          <w:lang w:val="en-US" w:eastAsia="zh-CN"/>
        </w:rPr>
        <w:t>万元</w:t>
      </w:r>
      <w:r>
        <w:rPr>
          <w:rFonts w:hint="eastAsia" w:ascii="仿宋_GB2312" w:eastAsia="仿宋_GB2312" w:cs="仿宋_GB2312"/>
          <w:color w:val="auto"/>
          <w:sz w:val="32"/>
          <w:szCs w:val="32"/>
        </w:rPr>
        <w:t>、津贴补贴</w:t>
      </w:r>
      <w:r>
        <w:rPr>
          <w:rFonts w:hint="eastAsia" w:ascii="仿宋_GB2312" w:eastAsia="仿宋_GB2312" w:cs="仿宋_GB2312"/>
          <w:color w:val="auto"/>
          <w:sz w:val="32"/>
          <w:szCs w:val="32"/>
          <w:lang w:val="en-US" w:eastAsia="zh-CN"/>
        </w:rPr>
        <w:t>50.67万元</w:t>
      </w:r>
      <w:r>
        <w:rPr>
          <w:rFonts w:hint="eastAsia" w:ascii="仿宋_GB2312" w:eastAsia="仿宋_GB2312" w:cs="仿宋_GB2312"/>
          <w:color w:val="auto"/>
          <w:sz w:val="32"/>
          <w:szCs w:val="32"/>
        </w:rPr>
        <w:t>、奖金</w:t>
      </w:r>
      <w:r>
        <w:rPr>
          <w:rFonts w:hint="eastAsia" w:ascii="仿宋_GB2312" w:eastAsia="仿宋_GB2312" w:cs="仿宋_GB2312"/>
          <w:color w:val="auto"/>
          <w:sz w:val="32"/>
          <w:szCs w:val="32"/>
          <w:lang w:val="en-US" w:eastAsia="zh-CN"/>
        </w:rPr>
        <w:t>44.53万元</w:t>
      </w:r>
      <w:r>
        <w:rPr>
          <w:rFonts w:hint="eastAsia" w:ascii="仿宋_GB2312" w:eastAsia="仿宋_GB2312" w:cs="仿宋_GB2312"/>
          <w:color w:val="auto"/>
          <w:sz w:val="32"/>
          <w:szCs w:val="32"/>
        </w:rPr>
        <w:t>、伙食补助费</w:t>
      </w:r>
      <w:r>
        <w:rPr>
          <w:rFonts w:hint="eastAsia" w:ascii="仿宋_GB2312" w:eastAsia="仿宋_GB2312" w:cs="仿宋_GB2312"/>
          <w:color w:val="auto"/>
          <w:sz w:val="32"/>
          <w:szCs w:val="32"/>
          <w:lang w:val="en-US" w:eastAsia="zh-CN"/>
        </w:rPr>
        <w:t>0万元</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绩效工资</w:t>
      </w:r>
      <w:r>
        <w:rPr>
          <w:rFonts w:hint="eastAsia" w:ascii="仿宋_GB2312" w:eastAsia="仿宋_GB2312" w:cs="仿宋_GB2312"/>
          <w:color w:val="auto"/>
          <w:sz w:val="32"/>
          <w:szCs w:val="32"/>
          <w:lang w:val="en-US" w:eastAsia="zh-CN"/>
        </w:rPr>
        <w:t>8.97万元、</w:t>
      </w:r>
      <w:r>
        <w:rPr>
          <w:rFonts w:hint="eastAsia" w:ascii="仿宋_GB2312" w:eastAsia="仿宋_GB2312" w:cs="仿宋_GB2312"/>
          <w:color w:val="auto"/>
          <w:sz w:val="32"/>
          <w:szCs w:val="32"/>
        </w:rPr>
        <w:t>机关事业单位基本养老保险缴费</w:t>
      </w:r>
      <w:r>
        <w:rPr>
          <w:rFonts w:hint="eastAsia" w:ascii="仿宋_GB2312" w:eastAsia="仿宋_GB2312" w:cs="仿宋_GB2312"/>
          <w:color w:val="auto"/>
          <w:sz w:val="32"/>
          <w:szCs w:val="32"/>
          <w:lang w:val="en-US" w:eastAsia="zh-CN"/>
        </w:rPr>
        <w:t>19.83万元</w:t>
      </w:r>
      <w:r>
        <w:rPr>
          <w:rFonts w:hint="eastAsia" w:ascii="仿宋_GB2312" w:eastAsia="仿宋_GB2312" w:cs="仿宋_GB2312"/>
          <w:color w:val="auto"/>
          <w:sz w:val="32"/>
          <w:szCs w:val="32"/>
        </w:rPr>
        <w:t>、职业年金缴费</w:t>
      </w:r>
      <w:r>
        <w:rPr>
          <w:rFonts w:hint="eastAsia" w:ascii="仿宋_GB2312" w:eastAsia="仿宋_GB2312" w:cs="仿宋_GB2312"/>
          <w:color w:val="auto"/>
          <w:sz w:val="32"/>
          <w:szCs w:val="32"/>
          <w:lang w:val="en-US" w:eastAsia="zh-CN"/>
        </w:rPr>
        <w:t>9.91万元</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生活补助</w:t>
      </w:r>
      <w:r>
        <w:rPr>
          <w:rFonts w:hint="eastAsia" w:ascii="仿宋_GB2312" w:eastAsia="仿宋_GB2312" w:cs="仿宋_GB2312"/>
          <w:color w:val="auto"/>
          <w:sz w:val="32"/>
          <w:szCs w:val="32"/>
          <w:lang w:val="en-US" w:eastAsia="zh-CN"/>
        </w:rPr>
        <w:t>0万元、职工基本医疗保险缴费9.70万元、公务员医疗补助缴费1.81万元、</w:t>
      </w:r>
      <w:r>
        <w:rPr>
          <w:rFonts w:hint="eastAsia" w:ascii="仿宋_GB2312" w:eastAsia="仿宋_GB2312" w:cs="仿宋_GB2312"/>
          <w:color w:val="auto"/>
          <w:sz w:val="32"/>
          <w:szCs w:val="32"/>
        </w:rPr>
        <w:t>其他社会保障缴费</w:t>
      </w:r>
      <w:r>
        <w:rPr>
          <w:rFonts w:hint="eastAsia" w:ascii="仿宋_GB2312" w:eastAsia="仿宋_GB2312" w:cs="仿宋_GB2312"/>
          <w:color w:val="auto"/>
          <w:sz w:val="32"/>
          <w:szCs w:val="32"/>
          <w:lang w:val="en-US" w:eastAsia="zh-CN"/>
        </w:rPr>
        <w:t>2.41万元</w:t>
      </w:r>
      <w:r>
        <w:rPr>
          <w:rFonts w:hint="eastAsia" w:ascii="仿宋_GB2312" w:eastAsia="仿宋_GB2312" w:cs="仿宋_GB2312"/>
          <w:color w:val="auto"/>
          <w:sz w:val="32"/>
          <w:szCs w:val="32"/>
        </w:rPr>
        <w:t>、其他工资福利支出</w:t>
      </w:r>
      <w:r>
        <w:rPr>
          <w:rFonts w:hint="eastAsia" w:ascii="仿宋_GB2312" w:eastAsia="仿宋_GB2312" w:cs="仿宋_GB2312"/>
          <w:color w:val="auto"/>
          <w:sz w:val="32"/>
          <w:szCs w:val="32"/>
          <w:lang w:val="en-US" w:eastAsia="zh-CN"/>
        </w:rPr>
        <w:t>0万元</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抚恤金</w:t>
      </w:r>
      <w:r>
        <w:rPr>
          <w:rFonts w:hint="eastAsia" w:ascii="仿宋_GB2312" w:eastAsia="仿宋_GB2312" w:cs="仿宋_GB2312"/>
          <w:color w:val="auto"/>
          <w:sz w:val="32"/>
          <w:szCs w:val="32"/>
          <w:lang w:val="en-US" w:eastAsia="zh-CN"/>
        </w:rPr>
        <w:t>0万元、</w:t>
      </w:r>
      <w:r>
        <w:rPr>
          <w:rFonts w:hint="eastAsia" w:ascii="仿宋_GB2312" w:eastAsia="仿宋_GB2312" w:cs="仿宋_GB2312"/>
          <w:color w:val="auto"/>
          <w:sz w:val="32"/>
          <w:szCs w:val="32"/>
        </w:rPr>
        <w:t>住房公积金</w:t>
      </w:r>
      <w:r>
        <w:rPr>
          <w:rFonts w:hint="eastAsia" w:ascii="仿宋_GB2312" w:eastAsia="仿宋_GB2312" w:cs="仿宋_GB2312"/>
          <w:color w:val="auto"/>
          <w:sz w:val="32"/>
          <w:szCs w:val="32"/>
          <w:lang w:val="en-US" w:eastAsia="zh-CN"/>
        </w:rPr>
        <w:t>17.55万元</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奖励金</w:t>
      </w:r>
      <w:r>
        <w:rPr>
          <w:rFonts w:hint="eastAsia" w:ascii="仿宋_GB2312" w:eastAsia="仿宋_GB2312" w:cs="仿宋_GB2312"/>
          <w:color w:val="auto"/>
          <w:sz w:val="32"/>
          <w:szCs w:val="32"/>
          <w:lang w:val="en-US" w:eastAsia="zh-CN"/>
        </w:rPr>
        <w:t>26.21万元、生活补助0.90万元</w:t>
      </w:r>
      <w:r>
        <w:rPr>
          <w:rFonts w:hint="eastAsia" w:ascii="仿宋_GB2312" w:eastAsia="仿宋_GB2312" w:cs="仿宋_GB2312"/>
          <w:color w:val="auto"/>
          <w:sz w:val="32"/>
          <w:szCs w:val="32"/>
        </w:rPr>
        <w:t>。</w:t>
      </w:r>
    </w:p>
    <w:p w14:paraId="71323075">
      <w:pPr>
        <w:spacing w:line="600" w:lineRule="exact"/>
        <w:ind w:firstLine="645"/>
        <w:rPr>
          <w:rFonts w:ascii="仿宋" w:eastAsia="仿宋"/>
          <w:color w:val="000000"/>
          <w:sz w:val="32"/>
          <w:szCs w:val="32"/>
        </w:rPr>
      </w:pPr>
      <w:r>
        <w:rPr>
          <w:rFonts w:hint="eastAsia" w:ascii="仿宋_GB2312" w:eastAsia="仿宋_GB2312" w:cs="仿宋_GB2312"/>
          <w:color w:val="auto"/>
          <w:sz w:val="32"/>
          <w:szCs w:val="32"/>
        </w:rPr>
        <w:t>公用经费</w:t>
      </w:r>
      <w:r>
        <w:rPr>
          <w:rFonts w:hint="eastAsia" w:ascii="仿宋_GB2312" w:eastAsia="仿宋_GB2312" w:cs="仿宋_GB2312"/>
          <w:color w:val="auto"/>
          <w:sz w:val="32"/>
          <w:szCs w:val="32"/>
          <w:lang w:val="en-US" w:eastAsia="zh-CN"/>
        </w:rPr>
        <w:t>9.08</w:t>
      </w:r>
      <w:r>
        <w:rPr>
          <w:rFonts w:hint="eastAsia" w:ascii="仿宋_GB2312" w:eastAsia="仿宋_GB2312" w:cs="仿宋_GB2312"/>
          <w:color w:val="auto"/>
          <w:sz w:val="32"/>
          <w:szCs w:val="32"/>
        </w:rPr>
        <w:t>万元，主要包括：办公费</w:t>
      </w:r>
      <w:r>
        <w:rPr>
          <w:rFonts w:hint="eastAsia" w:ascii="仿宋_GB2312" w:eastAsia="仿宋_GB2312" w:cs="仿宋_GB2312"/>
          <w:color w:val="auto"/>
          <w:sz w:val="32"/>
          <w:szCs w:val="32"/>
          <w:lang w:val="en-US" w:eastAsia="zh-CN"/>
        </w:rPr>
        <w:t>3.56万元</w:t>
      </w:r>
      <w:r>
        <w:rPr>
          <w:rFonts w:hint="eastAsia" w:ascii="仿宋_GB2312" w:eastAsia="仿宋_GB2312" w:cs="仿宋_GB2312"/>
          <w:color w:val="auto"/>
          <w:sz w:val="32"/>
          <w:szCs w:val="32"/>
        </w:rPr>
        <w:t>、</w:t>
      </w:r>
      <w:r>
        <w:rPr>
          <w:rFonts w:hint="eastAsia" w:ascii="仿宋" w:eastAsia="仿宋"/>
          <w:color w:val="000000"/>
          <w:sz w:val="32"/>
          <w:szCs w:val="32"/>
        </w:rPr>
        <w:t>手续费0万元、印刷费</w:t>
      </w:r>
      <w:r>
        <w:rPr>
          <w:rFonts w:hint="eastAsia" w:ascii="仿宋" w:eastAsia="仿宋"/>
          <w:color w:val="000000"/>
          <w:sz w:val="32"/>
          <w:szCs w:val="32"/>
          <w:lang w:val="en-US" w:eastAsia="zh-CN"/>
        </w:rPr>
        <w:t>0.21</w:t>
      </w:r>
      <w:r>
        <w:rPr>
          <w:rFonts w:hint="eastAsia" w:ascii="仿宋" w:eastAsia="仿宋"/>
          <w:color w:val="000000"/>
          <w:sz w:val="32"/>
          <w:szCs w:val="32"/>
        </w:rPr>
        <w:t>万元、水费0.10万元、电费0.30万元、邮电费</w:t>
      </w:r>
      <w:r>
        <w:rPr>
          <w:rFonts w:hint="eastAsia" w:ascii="仿宋" w:eastAsia="仿宋"/>
          <w:color w:val="000000"/>
          <w:sz w:val="32"/>
          <w:szCs w:val="32"/>
          <w:lang w:val="en-US" w:eastAsia="zh-CN"/>
        </w:rPr>
        <w:t>0.60</w:t>
      </w:r>
      <w:r>
        <w:rPr>
          <w:rFonts w:hint="eastAsia" w:ascii="仿宋" w:eastAsia="仿宋"/>
          <w:color w:val="000000"/>
          <w:sz w:val="32"/>
          <w:szCs w:val="32"/>
        </w:rPr>
        <w:t>万元、物业管理费0万元、差旅费</w:t>
      </w:r>
      <w:r>
        <w:rPr>
          <w:rFonts w:hint="eastAsia" w:ascii="仿宋" w:eastAsia="仿宋"/>
          <w:color w:val="000000"/>
          <w:sz w:val="32"/>
          <w:szCs w:val="32"/>
          <w:lang w:val="en-US" w:eastAsia="zh-CN"/>
        </w:rPr>
        <w:t>1.83</w:t>
      </w:r>
      <w:r>
        <w:rPr>
          <w:rFonts w:hint="eastAsia" w:ascii="仿宋" w:eastAsia="仿宋"/>
          <w:color w:val="000000"/>
          <w:sz w:val="32"/>
          <w:szCs w:val="32"/>
        </w:rPr>
        <w:t>万元、因公出国（境）费用0万元、维修（护）费0万元、租赁费0万元、会议费0万元、培训费0万元、公务接待费</w:t>
      </w:r>
      <w:r>
        <w:rPr>
          <w:rFonts w:hint="eastAsia" w:ascii="仿宋" w:eastAsia="仿宋"/>
          <w:color w:val="000000"/>
          <w:sz w:val="32"/>
          <w:szCs w:val="32"/>
          <w:lang w:val="en-US" w:eastAsia="zh-CN"/>
        </w:rPr>
        <w:t>0.19</w:t>
      </w:r>
      <w:r>
        <w:rPr>
          <w:rFonts w:hint="eastAsia" w:ascii="仿宋" w:eastAsia="仿宋"/>
          <w:color w:val="000000"/>
          <w:sz w:val="32"/>
          <w:szCs w:val="32"/>
        </w:rPr>
        <w:t>万元、福利费</w:t>
      </w:r>
      <w:r>
        <w:rPr>
          <w:rFonts w:hint="eastAsia" w:ascii="仿宋" w:eastAsia="仿宋"/>
          <w:color w:val="000000"/>
          <w:sz w:val="32"/>
          <w:szCs w:val="32"/>
          <w:lang w:val="en-US" w:eastAsia="zh-CN"/>
        </w:rPr>
        <w:t>0.73</w:t>
      </w:r>
      <w:r>
        <w:rPr>
          <w:rFonts w:hint="eastAsia" w:ascii="仿宋" w:eastAsia="仿宋"/>
          <w:color w:val="000000"/>
          <w:sz w:val="32"/>
          <w:szCs w:val="32"/>
        </w:rPr>
        <w:t>万元、公务用车运行维护费0万元、其他交通费用</w:t>
      </w:r>
      <w:r>
        <w:rPr>
          <w:rFonts w:hint="eastAsia" w:ascii="仿宋" w:eastAsia="仿宋"/>
          <w:color w:val="000000"/>
          <w:sz w:val="32"/>
          <w:szCs w:val="32"/>
          <w:lang w:val="en-US" w:eastAsia="zh-CN"/>
        </w:rPr>
        <w:t>1.56</w:t>
      </w:r>
      <w:r>
        <w:rPr>
          <w:rFonts w:hint="eastAsia" w:ascii="仿宋" w:eastAsia="仿宋"/>
          <w:color w:val="000000"/>
          <w:sz w:val="32"/>
          <w:szCs w:val="32"/>
        </w:rPr>
        <w:t>万元、其他商品和服务支出0万元、办公设备购置</w:t>
      </w:r>
      <w:r>
        <w:rPr>
          <w:rFonts w:hint="eastAsia" w:ascii="仿宋" w:eastAsia="仿宋"/>
          <w:color w:val="000000"/>
          <w:sz w:val="32"/>
          <w:szCs w:val="32"/>
          <w:lang w:val="en-US" w:eastAsia="zh-CN"/>
        </w:rPr>
        <w:t>0</w:t>
      </w:r>
      <w:r>
        <w:rPr>
          <w:rFonts w:hint="eastAsia" w:ascii="仿宋" w:eastAsia="仿宋"/>
          <w:color w:val="000000"/>
          <w:sz w:val="32"/>
          <w:szCs w:val="32"/>
        </w:rPr>
        <w:t>万元、无形资产购置0万元等。</w:t>
      </w:r>
    </w:p>
    <w:p w14:paraId="422CD227">
      <w:pPr>
        <w:spacing w:line="600" w:lineRule="exact"/>
        <w:rPr>
          <w:rStyle w:val="19"/>
          <w:rFonts w:hint="eastAsia" w:ascii="仿宋_GB2312" w:eastAsia="仿宋_GB2312" w:cs="仿宋_GB2312"/>
          <w:b w:val="0"/>
          <w:lang w:val="en-US" w:eastAsia="zh-CN"/>
        </w:rPr>
      </w:pPr>
      <w:bookmarkStart w:id="122" w:name="_Toc15377215"/>
      <w:bookmarkStart w:id="123" w:name="_Toc15396609"/>
      <w:bookmarkStart w:id="124" w:name="_Toc26242"/>
      <w:bookmarkStart w:id="125" w:name="_Toc6732"/>
      <w:bookmarkStart w:id="126" w:name="_Toc28477"/>
      <w:bookmarkStart w:id="127" w:name="_Toc20641"/>
      <w:r>
        <w:rPr>
          <w:rFonts w:hint="eastAsia" w:ascii="黑体" w:eastAsia="黑体" w:cs="Times New Roman"/>
          <w:b w:val="0"/>
          <w:bCs/>
          <w:color w:val="000000"/>
          <w:kern w:val="2"/>
          <w:sz w:val="32"/>
          <w:szCs w:val="32"/>
          <w:lang w:val="en-US" w:eastAsia="zh-CN" w:bidi="ar-SA"/>
        </w:rPr>
        <w:t xml:space="preserve">  　</w:t>
      </w:r>
      <w:bookmarkStart w:id="128" w:name="_Toc6768"/>
      <w:r>
        <w:rPr>
          <w:rStyle w:val="19"/>
          <w:rFonts w:hint="eastAsia" w:ascii="仿宋_GB2312" w:eastAsia="仿宋_GB2312" w:cs="仿宋_GB2312"/>
          <w:b w:val="0"/>
          <w:lang w:val="en-US" w:eastAsia="zh-CN"/>
        </w:rPr>
        <w:t>七、“三公”经费财政拨款支出决算情况说明</w:t>
      </w:r>
      <w:bookmarkEnd w:id="122"/>
      <w:bookmarkEnd w:id="123"/>
      <w:bookmarkEnd w:id="124"/>
    </w:p>
    <w:bookmarkEnd w:id="125"/>
    <w:bookmarkEnd w:id="126"/>
    <w:bookmarkEnd w:id="127"/>
    <w:bookmarkEnd w:id="128"/>
    <w:p w14:paraId="73C59913">
      <w:pPr>
        <w:spacing w:line="600" w:lineRule="exact"/>
        <w:ind w:firstLine="640"/>
        <w:outlineLvl w:val="2"/>
        <w:rPr>
          <w:rFonts w:hint="eastAsia" w:ascii="仿宋_GB2312" w:eastAsia="仿宋_GB2312" w:cs="仿宋_GB2312"/>
          <w:b/>
          <w:color w:val="000000"/>
          <w:sz w:val="32"/>
          <w:szCs w:val="32"/>
        </w:rPr>
      </w:pPr>
      <w:bookmarkStart w:id="129" w:name="_Toc15377216"/>
      <w:bookmarkStart w:id="130" w:name="_Toc11137"/>
      <w:r>
        <w:rPr>
          <w:rFonts w:hint="eastAsia" w:ascii="仿宋_GB2312" w:eastAsia="仿宋_GB2312" w:cs="仿宋_GB2312"/>
          <w:b/>
          <w:color w:val="000000"/>
          <w:sz w:val="32"/>
          <w:szCs w:val="32"/>
        </w:rPr>
        <w:t>（一）“三公”经费财政拨款支出决算总体情况说明</w:t>
      </w:r>
      <w:bookmarkEnd w:id="129"/>
      <w:bookmarkEnd w:id="130"/>
    </w:p>
    <w:p w14:paraId="64B212A8">
      <w:pPr>
        <w:spacing w:line="600" w:lineRule="exact"/>
        <w:ind w:firstLine="640"/>
        <w:rPr>
          <w:rFonts w:hint="eastAsia" w:ascii="仿宋_GB2312" w:eastAsia="仿宋_GB2312" w:cs="仿宋_GB2312"/>
          <w:color w:val="000000"/>
          <w:sz w:val="32"/>
          <w:szCs w:val="32"/>
          <w:lang w:val="en-US" w:eastAsia="zh-CN"/>
        </w:rPr>
      </w:pPr>
      <w:r>
        <w:rPr>
          <w:rFonts w:hint="eastAsia" w:ascii="仿宋_GB2312" w:eastAsia="仿宋_GB2312" w:cs="仿宋_GB2312"/>
          <w:color w:val="000000"/>
          <w:sz w:val="32"/>
          <w:szCs w:val="32"/>
          <w:lang w:eastAsia="zh-CN"/>
        </w:rPr>
        <w:t>2022年</w:t>
      </w:r>
      <w:r>
        <w:rPr>
          <w:rFonts w:hint="eastAsia" w:ascii="仿宋_GB2312" w:eastAsia="仿宋_GB2312" w:cs="仿宋_GB2312"/>
          <w:color w:val="000000"/>
          <w:sz w:val="32"/>
          <w:szCs w:val="32"/>
        </w:rPr>
        <w:t>“三公”经费财政拨款支出决算为</w:t>
      </w:r>
      <w:r>
        <w:rPr>
          <w:rFonts w:hint="eastAsia" w:ascii="仿宋_GB2312" w:eastAsia="仿宋_GB2312" w:cs="仿宋_GB2312"/>
          <w:color w:val="000000"/>
          <w:sz w:val="32"/>
          <w:szCs w:val="32"/>
          <w:lang w:val="en-US" w:eastAsia="zh-CN"/>
        </w:rPr>
        <w:t>0.19</w:t>
      </w:r>
      <w:r>
        <w:rPr>
          <w:rFonts w:hint="eastAsia" w:ascii="仿宋_GB2312" w:eastAsia="仿宋_GB2312" w:cs="仿宋_GB2312"/>
          <w:color w:val="000000"/>
          <w:sz w:val="32"/>
          <w:szCs w:val="32"/>
        </w:rPr>
        <w:t>万元，完成预算</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 w:eastAsia="仿宋"/>
          <w:sz w:val="32"/>
          <w:szCs w:val="32"/>
        </w:rPr>
        <w:t>决算数与预算数持平。</w:t>
      </w:r>
    </w:p>
    <w:p w14:paraId="0470F544">
      <w:pPr>
        <w:spacing w:line="600" w:lineRule="exact"/>
        <w:ind w:firstLine="640"/>
        <w:outlineLvl w:val="2"/>
        <w:rPr>
          <w:rFonts w:hint="eastAsia" w:ascii="仿宋_GB2312" w:eastAsia="仿宋_GB2312" w:cs="仿宋_GB2312"/>
          <w:b/>
          <w:color w:val="000000"/>
          <w:sz w:val="32"/>
          <w:szCs w:val="32"/>
        </w:rPr>
      </w:pPr>
      <w:bookmarkStart w:id="131" w:name="_Toc15377217"/>
      <w:bookmarkStart w:id="132" w:name="_Toc23984"/>
      <w:r>
        <w:rPr>
          <w:rFonts w:hint="eastAsia" w:ascii="仿宋_GB2312" w:eastAsia="仿宋_GB2312" w:cs="仿宋_GB2312"/>
          <w:b/>
          <w:color w:val="000000"/>
          <w:sz w:val="32"/>
          <w:szCs w:val="32"/>
        </w:rPr>
        <w:t>（二）“三公”经费财政拨款支出决算具体情况说明</w:t>
      </w:r>
      <w:bookmarkEnd w:id="131"/>
      <w:bookmarkEnd w:id="132"/>
    </w:p>
    <w:p w14:paraId="5FFD8978">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eastAsia="zh-CN"/>
        </w:rPr>
        <w:t>2022年</w:t>
      </w:r>
      <w:r>
        <w:rPr>
          <w:rFonts w:hint="eastAsia" w:ascii="仿宋_GB2312" w:eastAsia="仿宋_GB2312" w:cs="仿宋_GB2312"/>
          <w:color w:val="000000"/>
          <w:sz w:val="32"/>
          <w:szCs w:val="32"/>
        </w:rPr>
        <w:t>“三公”经费财政拨款支出</w:t>
      </w:r>
      <w:r>
        <w:rPr>
          <w:rFonts w:hint="eastAsia" w:ascii="仿宋_GB2312" w:eastAsia="仿宋_GB2312" w:cs="仿宋_GB2312"/>
          <w:color w:val="auto"/>
          <w:sz w:val="32"/>
          <w:szCs w:val="32"/>
        </w:rPr>
        <w:t>决算</w:t>
      </w:r>
      <w:r>
        <w:rPr>
          <w:rFonts w:hint="eastAsia" w:ascii="仿宋_GB2312" w:eastAsia="仿宋_GB2312" w:cs="仿宋_GB2312"/>
          <w:color w:val="auto"/>
          <w:sz w:val="32"/>
          <w:szCs w:val="32"/>
          <w:lang w:val="en-US" w:eastAsia="zh-CN"/>
        </w:rPr>
        <w:t>0.19万元</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其中：</w:t>
      </w:r>
      <w:r>
        <w:rPr>
          <w:rFonts w:hint="eastAsia" w:ascii="仿宋_GB2312" w:eastAsia="仿宋_GB2312" w:cs="仿宋_GB2312"/>
          <w:color w:val="000000"/>
          <w:sz w:val="32"/>
          <w:szCs w:val="32"/>
        </w:rPr>
        <w:t>因公出国（境）费支出决算</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%；公务用车购置及运行维护费支出决算</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%；公务接待费支出决算</w:t>
      </w:r>
      <w:r>
        <w:rPr>
          <w:rFonts w:hint="eastAsia" w:ascii="仿宋_GB2312" w:eastAsia="仿宋_GB2312" w:cs="仿宋_GB2312"/>
          <w:color w:val="000000"/>
          <w:sz w:val="32"/>
          <w:szCs w:val="32"/>
          <w:lang w:val="en-US" w:eastAsia="zh-CN"/>
        </w:rPr>
        <w:t>0.19</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%。具体情况如下：</w:t>
      </w:r>
    </w:p>
    <w:p w14:paraId="03C6DB80">
      <w:pPr>
        <w:spacing w:line="600" w:lineRule="exact"/>
        <w:ind w:firstLine="640"/>
        <w:rPr>
          <w:rFonts w:hint="eastAsia" w:ascii="仿宋_GB2312" w:eastAsia="仿宋_GB2312" w:cs="仿宋_GB2312"/>
          <w:color w:val="000000"/>
          <w:sz w:val="32"/>
          <w:szCs w:val="32"/>
        </w:rPr>
      </w:pPr>
    </w:p>
    <w:p w14:paraId="36EABD1D">
      <w:pPr>
        <w:spacing w:line="600" w:lineRule="exact"/>
        <w:ind w:firstLine="640"/>
        <w:rPr>
          <w:rFonts w:hint="eastAsia" w:ascii="仿宋_GB2312" w:eastAsia="仿宋_GB2312" w:cs="仿宋_GB2312"/>
          <w:color w:val="000000"/>
          <w:sz w:val="32"/>
          <w:szCs w:val="32"/>
          <w:lang w:eastAsia="zh-CN"/>
        </w:rPr>
      </w:pPr>
    </w:p>
    <w:p w14:paraId="7E1D7DB1">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rPr>
        <w:drawing>
          <wp:anchor distT="0" distB="0" distL="114300" distR="114300" simplePos="0" relativeHeight="251659264" behindDoc="0" locked="0" layoutInCell="1" allowOverlap="1">
            <wp:simplePos x="0" y="0"/>
            <wp:positionH relativeFrom="column">
              <wp:posOffset>304800</wp:posOffset>
            </wp:positionH>
            <wp:positionV relativeFrom="paragraph">
              <wp:posOffset>272415</wp:posOffset>
            </wp:positionV>
            <wp:extent cx="4727575" cy="2131695"/>
            <wp:effectExtent l="0" t="0" r="9" b="33"/>
            <wp:wrapSquare wrapText="bothSides"/>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2"/>
                    <a:stretch>
                      <a:fillRect/>
                    </a:stretch>
                  </pic:blipFill>
                  <pic:spPr>
                    <a:xfrm>
                      <a:off x="0" y="0"/>
                      <a:ext cx="4727575" cy="2131695"/>
                    </a:xfrm>
                    <a:prstGeom prst="rect">
                      <a:avLst/>
                    </a:prstGeom>
                    <a:noFill/>
                    <a:ln w="9525" cap="flat" cmpd="sng">
                      <a:noFill/>
                      <a:prstDash val="solid"/>
                      <a:round/>
                    </a:ln>
                  </pic:spPr>
                </pic:pic>
              </a:graphicData>
            </a:graphic>
          </wp:anchor>
        </w:drawing>
      </w:r>
      <w:r>
        <w:rPr>
          <w:rFonts w:hint="eastAsia" w:ascii="仿宋_GB2312" w:eastAsia="仿宋_GB2312" w:cs="仿宋_GB2312"/>
          <w:b/>
          <w:color w:val="000000"/>
          <w:sz w:val="32"/>
          <w:szCs w:val="32"/>
          <w:lang w:val="en-US" w:eastAsia="zh-CN"/>
        </w:rPr>
        <w:t>1.</w:t>
      </w:r>
      <w:r>
        <w:rPr>
          <w:rFonts w:hint="eastAsia" w:ascii="仿宋_GB2312" w:eastAsia="仿宋_GB2312" w:cs="仿宋_GB2312"/>
          <w:b/>
          <w:color w:val="000000"/>
          <w:sz w:val="32"/>
          <w:szCs w:val="32"/>
        </w:rPr>
        <w:t>因公出国（境）经费支出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w:t>
      </w:r>
      <w:r>
        <w:rPr>
          <w:rStyle w:val="16"/>
          <w:rFonts w:hint="eastAsia" w:ascii="仿宋_GB2312" w:eastAsia="仿宋_GB2312" w:cs="仿宋_GB2312"/>
          <w:b w:val="0"/>
          <w:bCs/>
          <w:color w:val="000000"/>
          <w:sz w:val="32"/>
          <w:szCs w:val="32"/>
        </w:rPr>
        <w:t>完成预算</w:t>
      </w:r>
      <w:r>
        <w:rPr>
          <w:rStyle w:val="16"/>
          <w:rFonts w:hint="eastAsia" w:ascii="仿宋_GB2312" w:eastAsia="仿宋_GB2312" w:cs="仿宋_GB2312"/>
          <w:b w:val="0"/>
          <w:bCs/>
          <w:color w:val="000000"/>
          <w:sz w:val="32"/>
          <w:szCs w:val="32"/>
          <w:lang w:val="en-US" w:eastAsia="zh-CN"/>
        </w:rPr>
        <w:t>0。</w:t>
      </w:r>
      <w:r>
        <w:rPr>
          <w:rFonts w:hint="eastAsia" w:ascii="仿宋_GB2312" w:eastAsia="仿宋_GB2312" w:cs="仿宋_GB2312"/>
          <w:color w:val="auto"/>
          <w:sz w:val="32"/>
          <w:szCs w:val="32"/>
        </w:rPr>
        <w:t>全年安排因公出国（境）团组</w:t>
      </w:r>
      <w:r>
        <w:rPr>
          <w:rFonts w:hint="eastAsia" w:ascii="仿宋_GB2312" w:eastAsia="仿宋_GB2312" w:cs="仿宋_GB2312"/>
          <w:color w:val="auto"/>
          <w:sz w:val="32"/>
          <w:szCs w:val="32"/>
          <w:lang w:val="en-US" w:eastAsia="zh-CN"/>
        </w:rPr>
        <w:t>0</w:t>
      </w:r>
      <w:r>
        <w:rPr>
          <w:rFonts w:hint="eastAsia" w:ascii="仿宋_GB2312" w:eastAsia="仿宋_GB2312" w:cs="仿宋_GB2312"/>
          <w:color w:val="auto"/>
          <w:sz w:val="32"/>
          <w:szCs w:val="32"/>
        </w:rPr>
        <w:t>次，出国（境）</w:t>
      </w:r>
      <w:r>
        <w:rPr>
          <w:rFonts w:hint="eastAsia" w:ascii="仿宋_GB2312" w:eastAsia="仿宋_GB2312" w:cs="仿宋_GB2312"/>
          <w:color w:val="auto"/>
          <w:sz w:val="32"/>
          <w:szCs w:val="32"/>
          <w:lang w:val="en-US" w:eastAsia="zh-CN"/>
        </w:rPr>
        <w:t>0</w:t>
      </w:r>
      <w:r>
        <w:rPr>
          <w:rFonts w:hint="eastAsia" w:ascii="仿宋_GB2312" w:eastAsia="仿宋_GB2312" w:cs="仿宋_GB2312"/>
          <w:color w:val="auto"/>
          <w:sz w:val="32"/>
          <w:szCs w:val="32"/>
        </w:rPr>
        <w:t>人。因</w:t>
      </w:r>
      <w:r>
        <w:rPr>
          <w:rFonts w:hint="eastAsia" w:ascii="仿宋_GB2312" w:eastAsia="仿宋_GB2312" w:cs="仿宋_GB2312"/>
          <w:color w:val="000000"/>
          <w:sz w:val="32"/>
          <w:szCs w:val="32"/>
        </w:rPr>
        <w:t>公出国（境）支出决算比</w:t>
      </w:r>
      <w:r>
        <w:rPr>
          <w:rFonts w:hint="eastAsia" w:ascii="仿宋_GB2312" w:eastAsia="仿宋_GB2312" w:cs="仿宋_GB2312"/>
          <w:color w:val="000000"/>
          <w:sz w:val="32"/>
          <w:szCs w:val="32"/>
          <w:lang w:eastAsia="zh-CN"/>
        </w:rPr>
        <w:t>2021年</w:t>
      </w:r>
      <w:r>
        <w:rPr>
          <w:rFonts w:hint="eastAsia" w:ascii="仿宋_GB2312" w:eastAsia="仿宋_GB2312" w:cs="仿宋_GB2312"/>
          <w:color w:val="000000"/>
          <w:sz w:val="32"/>
          <w:szCs w:val="32"/>
          <w:lang w:val="en-US" w:eastAsia="zh-CN"/>
        </w:rPr>
        <w:t>增加0万元。</w:t>
      </w:r>
    </w:p>
    <w:p w14:paraId="3C708FCB">
      <w:pPr>
        <w:spacing w:line="600" w:lineRule="exact"/>
        <w:ind w:firstLine="640"/>
        <w:rPr>
          <w:rFonts w:hint="eastAsia" w:ascii="仿宋_GB2312" w:eastAsia="仿宋_GB2312" w:cs="仿宋_GB2312"/>
          <w:b/>
          <w:color w:val="auto"/>
          <w:sz w:val="32"/>
          <w:szCs w:val="32"/>
        </w:rPr>
      </w:pPr>
      <w:r>
        <w:rPr>
          <w:rFonts w:hint="eastAsia" w:ascii="仿宋_GB2312" w:eastAsia="仿宋_GB2312" w:cs="仿宋_GB2312"/>
          <w:b/>
          <w:color w:val="000000"/>
          <w:sz w:val="32"/>
          <w:szCs w:val="32"/>
        </w:rPr>
        <w:t>2.</w:t>
      </w:r>
      <w:r>
        <w:rPr>
          <w:rFonts w:hint="eastAsia" w:ascii="仿宋_GB2312" w:eastAsia="仿宋_GB2312" w:cs="仿宋_GB2312"/>
          <w:b/>
          <w:color w:val="000000"/>
          <w:sz w:val="32"/>
          <w:szCs w:val="32"/>
          <w:lang w:val="en-US" w:eastAsia="zh-CN"/>
        </w:rPr>
        <w:t>公务</w:t>
      </w:r>
      <w:r>
        <w:rPr>
          <w:rFonts w:hint="eastAsia" w:ascii="仿宋_GB2312" w:eastAsia="仿宋_GB2312" w:cs="仿宋_GB2312"/>
          <w:b/>
          <w:color w:val="auto"/>
          <w:sz w:val="32"/>
          <w:szCs w:val="32"/>
          <w:shd w:val="clear" w:color="auto" w:fill="auto"/>
        </w:rPr>
        <w:t>用车</w:t>
      </w:r>
      <w:r>
        <w:rPr>
          <w:rFonts w:hint="eastAsia" w:ascii="仿宋_GB2312" w:eastAsia="仿宋_GB2312" w:cs="仿宋_GB2312"/>
          <w:b/>
          <w:color w:val="000000"/>
          <w:sz w:val="32"/>
          <w:szCs w:val="32"/>
          <w:shd w:val="clear" w:color="auto" w:fill="auto"/>
        </w:rPr>
        <w:t>购置</w:t>
      </w:r>
      <w:r>
        <w:rPr>
          <w:rFonts w:hint="eastAsia" w:ascii="仿宋_GB2312" w:eastAsia="仿宋_GB2312" w:cs="仿宋_GB2312"/>
          <w:b/>
          <w:color w:val="000000"/>
          <w:sz w:val="32"/>
          <w:szCs w:val="32"/>
        </w:rPr>
        <w:t>及运行维护费支出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w:t>
      </w:r>
      <w:r>
        <w:rPr>
          <w:rStyle w:val="16"/>
          <w:rFonts w:hint="eastAsia" w:ascii="仿宋_GB2312" w:eastAsia="仿宋_GB2312" w:cs="仿宋_GB2312"/>
          <w:b w:val="0"/>
          <w:bCs/>
          <w:color w:val="000000"/>
          <w:sz w:val="32"/>
          <w:szCs w:val="32"/>
        </w:rPr>
        <w:t>完成预算</w:t>
      </w:r>
      <w:r>
        <w:rPr>
          <w:rStyle w:val="16"/>
          <w:rFonts w:hint="eastAsia" w:ascii="仿宋_GB2312" w:eastAsia="仿宋_GB2312" w:cs="仿宋_GB2312"/>
          <w:b w:val="0"/>
          <w:bCs/>
          <w:color w:val="000000"/>
          <w:sz w:val="32"/>
          <w:szCs w:val="32"/>
          <w:lang w:val="en-US" w:eastAsia="zh-CN"/>
        </w:rPr>
        <w:t>0</w:t>
      </w:r>
      <w:r>
        <w:rPr>
          <w:rStyle w:val="16"/>
          <w:rFonts w:hint="eastAsia" w:ascii="仿宋_GB2312" w:eastAsia="仿宋_GB2312" w:cs="仿宋_GB2312"/>
          <w:b w:val="0"/>
          <w:bCs/>
          <w:color w:val="000000"/>
          <w:sz w:val="32"/>
          <w:szCs w:val="32"/>
        </w:rPr>
        <w:t>。</w:t>
      </w:r>
      <w:r>
        <w:rPr>
          <w:rFonts w:hint="eastAsia" w:ascii="仿宋_GB2312" w:eastAsia="仿宋_GB2312" w:cs="仿宋_GB2312"/>
          <w:color w:val="000000"/>
          <w:sz w:val="32"/>
          <w:szCs w:val="32"/>
        </w:rPr>
        <w:t>公务用车购置及运行维护费支出决算比</w:t>
      </w:r>
      <w:r>
        <w:rPr>
          <w:rFonts w:hint="eastAsia" w:ascii="仿宋_GB2312" w:eastAsia="仿宋_GB2312" w:cs="仿宋_GB2312"/>
          <w:color w:val="000000"/>
          <w:sz w:val="32"/>
          <w:szCs w:val="32"/>
          <w:lang w:eastAsia="zh-CN"/>
        </w:rPr>
        <w:t>2021年增加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w:t>
      </w:r>
      <w:r>
        <w:rPr>
          <w:rFonts w:hint="eastAsia" w:ascii="仿宋_GB2312" w:eastAsia="仿宋_GB2312" w:cs="仿宋_GB2312"/>
          <w:color w:val="auto"/>
          <w:sz w:val="32"/>
          <w:szCs w:val="32"/>
        </w:rPr>
        <w:t>。</w:t>
      </w:r>
    </w:p>
    <w:p w14:paraId="01C4FC01">
      <w:pPr>
        <w:autoSpaceDE w:val="0"/>
        <w:autoSpaceDN w:val="0"/>
        <w:adjustRightInd w:val="0"/>
        <w:spacing w:line="600" w:lineRule="exact"/>
        <w:ind w:firstLine="640" w:firstLineChars="200"/>
        <w:jc w:val="left"/>
        <w:rPr>
          <w:rFonts w:hint="eastAsia" w:ascii="仿宋_GB2312" w:eastAsia="仿宋_GB2312" w:cs="仿宋_GB2312"/>
          <w:b/>
          <w:color w:val="000000"/>
          <w:sz w:val="32"/>
          <w:szCs w:val="32"/>
          <w:lang w:val="en-US" w:eastAsia="zh-CN"/>
        </w:rPr>
      </w:pPr>
      <w:r>
        <w:rPr>
          <w:rFonts w:hint="eastAsia" w:ascii="仿宋_GB2312" w:eastAsia="仿宋_GB2312" w:cs="仿宋_GB2312"/>
          <w:color w:val="000000"/>
          <w:sz w:val="32"/>
          <w:szCs w:val="32"/>
        </w:rPr>
        <w:t>其中：</w:t>
      </w:r>
      <w:r>
        <w:rPr>
          <w:rFonts w:hint="eastAsia" w:ascii="仿宋_GB2312" w:eastAsia="仿宋_GB2312" w:cs="仿宋_GB2312"/>
          <w:b/>
          <w:color w:val="000000"/>
          <w:sz w:val="32"/>
          <w:szCs w:val="32"/>
        </w:rPr>
        <w:t>公务用车购置支出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万元。全年按规定更新购置公务用车</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辆。截至</w:t>
      </w:r>
      <w:r>
        <w:rPr>
          <w:rFonts w:hint="eastAsia" w:ascii="仿宋_GB2312" w:eastAsia="仿宋_GB2312" w:cs="仿宋_GB2312"/>
          <w:color w:val="000000"/>
          <w:sz w:val="32"/>
          <w:szCs w:val="32"/>
          <w:lang w:eastAsia="zh-CN"/>
        </w:rPr>
        <w:t>2022年</w:t>
      </w:r>
      <w:r>
        <w:rPr>
          <w:rFonts w:hint="eastAsia" w:ascii="仿宋_GB2312" w:eastAsia="仿宋_GB2312" w:cs="仿宋_GB2312"/>
          <w:color w:val="000000"/>
          <w:sz w:val="32"/>
          <w:szCs w:val="32"/>
        </w:rPr>
        <w:t>12月31日，共有车辆</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辆，其中：部级领导干部用车0辆、主要领导干部用车</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辆、机要通信用车</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辆、应急保障用车</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辆、执法执勤用车</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辆、特种专业技术用车</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辆、离退休干部用车</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辆、其他用车</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w:t>
      </w:r>
      <w:r>
        <w:rPr>
          <w:rFonts w:hint="eastAsia" w:ascii="仿宋_GB2312" w:eastAsia="仿宋_GB2312" w:cs="仿宋_GB2312"/>
          <w:color w:val="000000"/>
          <w:sz w:val="32"/>
          <w:szCs w:val="32"/>
          <w:lang w:eastAsia="zh-CN"/>
        </w:rPr>
        <w:t>；</w:t>
      </w:r>
    </w:p>
    <w:p w14:paraId="3C882252">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b/>
          <w:color w:val="000000"/>
          <w:sz w:val="32"/>
          <w:szCs w:val="32"/>
        </w:rPr>
        <w:t>公务用车运行维护费支出</w:t>
      </w:r>
      <w:r>
        <w:rPr>
          <w:rFonts w:hint="eastAsia" w:ascii="仿宋_GB2312" w:eastAsia="仿宋_GB2312" w:cs="仿宋_GB2312"/>
          <w:color w:val="auto"/>
          <w:sz w:val="32"/>
          <w:szCs w:val="32"/>
          <w:lang w:val="en-US" w:eastAsia="zh-CN"/>
        </w:rPr>
        <w:t>0</w:t>
      </w:r>
      <w:r>
        <w:rPr>
          <w:rFonts w:hint="eastAsia" w:ascii="仿宋_GB2312" w:eastAsia="仿宋_GB2312" w:cs="仿宋_GB2312"/>
          <w:color w:val="auto"/>
          <w:sz w:val="32"/>
          <w:szCs w:val="32"/>
        </w:rPr>
        <w:t>万元</w:t>
      </w:r>
      <w:r>
        <w:rPr>
          <w:rFonts w:hint="eastAsia" w:ascii="仿宋_GB2312" w:eastAsia="仿宋_GB2312" w:cs="仿宋_GB2312"/>
          <w:color w:val="000000"/>
          <w:sz w:val="32"/>
          <w:szCs w:val="32"/>
        </w:rPr>
        <w:t>。</w:t>
      </w:r>
    </w:p>
    <w:p w14:paraId="68B5F87F">
      <w:pPr>
        <w:autoSpaceDE w:val="0"/>
        <w:autoSpaceDN w:val="0"/>
        <w:adjustRightInd w:val="0"/>
        <w:spacing w:line="600" w:lineRule="exact"/>
        <w:ind w:firstLine="643" w:firstLineChars="200"/>
        <w:jc w:val="left"/>
        <w:rPr>
          <w:rFonts w:hint="eastAsia" w:ascii="仿宋_GB2312" w:eastAsia="仿宋_GB2312" w:cs="仿宋_GB2312"/>
          <w:color w:val="000000"/>
          <w:sz w:val="32"/>
          <w:szCs w:val="32"/>
          <w:lang w:val="en-US" w:eastAsia="zh-CN"/>
        </w:rPr>
      </w:pPr>
      <w:bookmarkStart w:id="133" w:name="_Toc15396610"/>
      <w:bookmarkStart w:id="134" w:name="_Toc15377218"/>
      <w:bookmarkStart w:id="135" w:name="_Toc26072"/>
      <w:bookmarkStart w:id="136" w:name="_Toc27667"/>
      <w:bookmarkStart w:id="137" w:name="_Toc11583"/>
      <w:r>
        <w:rPr>
          <w:rFonts w:hint="eastAsia" w:ascii="仿宋_GB2312" w:eastAsia="仿宋_GB2312" w:cs="仿宋_GB2312"/>
          <w:b/>
          <w:color w:val="000000"/>
          <w:sz w:val="32"/>
          <w:szCs w:val="32"/>
          <w:lang w:val="en-US" w:eastAsia="zh-CN"/>
        </w:rPr>
        <w:t>3.</w:t>
      </w:r>
      <w:r>
        <w:rPr>
          <w:rFonts w:hint="eastAsia" w:ascii="仿宋_GB2312" w:eastAsia="仿宋_GB2312" w:cs="仿宋_GB2312"/>
          <w:b/>
          <w:color w:val="000000"/>
          <w:sz w:val="32"/>
          <w:szCs w:val="32"/>
        </w:rPr>
        <w:t>公务接待费支出</w:t>
      </w:r>
      <w:r>
        <w:rPr>
          <w:rFonts w:hint="eastAsia" w:ascii="仿宋_GB2312" w:eastAsia="仿宋_GB2312" w:cs="仿宋_GB2312"/>
          <w:color w:val="000000"/>
          <w:sz w:val="32"/>
          <w:szCs w:val="32"/>
          <w:lang w:val="en-US" w:eastAsia="zh-CN"/>
        </w:rPr>
        <w:t>0.19</w:t>
      </w:r>
      <w:r>
        <w:rPr>
          <w:rFonts w:hint="eastAsia" w:ascii="仿宋_GB2312" w:eastAsia="仿宋_GB2312" w:cs="仿宋_GB2312"/>
          <w:color w:val="000000"/>
          <w:sz w:val="32"/>
          <w:szCs w:val="32"/>
        </w:rPr>
        <w:t>万元，完成预算</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公务接待费0.19万元，较上年减少0.01万元，减少5%，</w:t>
      </w:r>
      <w:r>
        <w:rPr>
          <w:rFonts w:hint="eastAsia" w:ascii="仿宋_GB2312" w:eastAsia="仿宋_GB2312" w:cs="仿宋_GB2312"/>
          <w:color w:val="000000"/>
          <w:spacing w:val="-2"/>
          <w:kern w:val="2"/>
          <w:sz w:val="32"/>
          <w:szCs w:val="32"/>
          <w:lang w:val="en-US" w:eastAsia="zh-CN" w:bidi="ar-SA"/>
        </w:rPr>
        <w:t>主要原因是节约开支。</w:t>
      </w:r>
    </w:p>
    <w:p w14:paraId="28994FF1">
      <w:pPr>
        <w:spacing w:line="600" w:lineRule="exact"/>
        <w:ind w:firstLine="640" w:firstLineChars="200"/>
        <w:rPr>
          <w:rFonts w:ascii="仿宋_GB2312" w:eastAsia="仿宋_GB2312"/>
          <w:color w:val="000000"/>
          <w:sz w:val="32"/>
          <w:szCs w:val="32"/>
        </w:rPr>
      </w:pPr>
      <w:bookmarkStart w:id="138" w:name="_Toc13522"/>
      <w:bookmarkStart w:id="139" w:name="_Toc25115"/>
      <w:bookmarkStart w:id="140" w:name="_Toc16183"/>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0.19</w:t>
      </w:r>
      <w:r>
        <w:rPr>
          <w:rFonts w:hint="eastAsia" w:ascii="仿宋_GB2312" w:eastAsia="仿宋_GB2312"/>
          <w:color w:val="000000"/>
          <w:sz w:val="32"/>
          <w:szCs w:val="32"/>
        </w:rPr>
        <w:t>万元。</w:t>
      </w:r>
    </w:p>
    <w:p w14:paraId="3AA796AD">
      <w:pPr>
        <w:spacing w:line="600" w:lineRule="exact"/>
        <w:ind w:firstLine="640"/>
        <w:outlineLvl w:val="1"/>
        <w:rPr>
          <w:rFonts w:hint="eastAsia" w:ascii="仿宋_GB2312" w:eastAsia="仿宋_GB2312" w:cs="仿宋_GB2312"/>
          <w:color w:val="000000"/>
          <w:sz w:val="32"/>
          <w:szCs w:val="32"/>
        </w:rPr>
      </w:pPr>
      <w:r>
        <w:rPr>
          <w:rFonts w:hint="eastAsia" w:ascii="仿宋_GB2312" w:eastAsia="仿宋_GB2312" w:cs="仿宋_GB2312"/>
          <w:b/>
          <w:color w:val="000000"/>
          <w:sz w:val="32"/>
          <w:szCs w:val="32"/>
          <w:lang w:val="en-US" w:eastAsia="zh-CN"/>
        </w:rPr>
        <w:t>4.</w:t>
      </w:r>
      <w:r>
        <w:rPr>
          <w:rFonts w:hint="eastAsia" w:ascii="仿宋_GB2312" w:eastAsia="仿宋_GB2312" w:cs="仿宋_GB2312"/>
          <w:b/>
          <w:color w:val="000000"/>
          <w:sz w:val="32"/>
          <w:szCs w:val="32"/>
        </w:rPr>
        <w:t>外事接待支出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万元，外事接待</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批次，</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人，共计支出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w:t>
      </w:r>
      <w:bookmarkEnd w:id="138"/>
      <w:bookmarkEnd w:id="139"/>
      <w:bookmarkEnd w:id="140"/>
    </w:p>
    <w:p w14:paraId="5A660E3D">
      <w:pPr>
        <w:spacing w:line="600" w:lineRule="exact"/>
        <w:rPr>
          <w:rStyle w:val="19"/>
          <w:rFonts w:hint="eastAsia" w:ascii="仿宋_GB2312" w:eastAsia="仿宋_GB2312" w:cs="仿宋_GB2312"/>
          <w:b w:val="0"/>
          <w:lang w:val="en-US" w:eastAsia="zh-CN"/>
        </w:rPr>
      </w:pPr>
      <w:bookmarkStart w:id="141" w:name="_Toc21196"/>
      <w:r>
        <w:rPr>
          <w:rFonts w:hint="eastAsia" w:ascii="黑体" w:eastAsia="黑体" w:cs="Times New Roman"/>
          <w:b w:val="0"/>
          <w:bCs/>
          <w:color w:val="000000"/>
          <w:kern w:val="2"/>
          <w:sz w:val="32"/>
          <w:szCs w:val="32"/>
          <w:lang w:val="en-US" w:eastAsia="zh-CN" w:bidi="ar-SA"/>
        </w:rPr>
        <w:t xml:space="preserve">   </w:t>
      </w:r>
      <w:bookmarkStart w:id="142" w:name="_Toc23109"/>
      <w:r>
        <w:rPr>
          <w:rStyle w:val="19"/>
          <w:rFonts w:hint="eastAsia" w:ascii="仿宋_GB2312" w:eastAsia="仿宋_GB2312" w:cs="仿宋_GB2312"/>
          <w:b w:val="0"/>
          <w:lang w:val="en-US" w:eastAsia="zh-CN"/>
        </w:rPr>
        <w:t>八、政府性基金预算支出决算情况说明</w:t>
      </w:r>
      <w:bookmarkEnd w:id="133"/>
      <w:bookmarkEnd w:id="134"/>
      <w:bookmarkEnd w:id="141"/>
    </w:p>
    <w:bookmarkEnd w:id="135"/>
    <w:bookmarkEnd w:id="136"/>
    <w:bookmarkEnd w:id="137"/>
    <w:bookmarkEnd w:id="142"/>
    <w:p w14:paraId="567BF3BC">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eastAsia="zh-CN"/>
        </w:rPr>
        <w:t>2022年</w:t>
      </w:r>
      <w:r>
        <w:rPr>
          <w:rFonts w:hint="eastAsia" w:ascii="仿宋_GB2312" w:eastAsia="仿宋_GB2312" w:cs="仿宋_GB2312"/>
          <w:color w:val="000000"/>
          <w:sz w:val="32"/>
          <w:szCs w:val="32"/>
        </w:rPr>
        <w:t>政府性基金预算拨款支出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w:t>
      </w:r>
    </w:p>
    <w:p w14:paraId="2AD325F2">
      <w:pPr>
        <w:spacing w:line="600" w:lineRule="exact"/>
        <w:rPr>
          <w:rStyle w:val="19"/>
          <w:rFonts w:hint="eastAsia" w:ascii="仿宋_GB2312" w:eastAsia="仿宋_GB2312" w:cs="仿宋_GB2312"/>
          <w:b w:val="0"/>
          <w:lang w:val="en-US" w:eastAsia="zh-CN"/>
        </w:rPr>
      </w:pPr>
      <w:bookmarkStart w:id="143" w:name="_Toc15377219"/>
      <w:bookmarkStart w:id="144" w:name="_Toc15396611"/>
      <w:bookmarkStart w:id="145" w:name="_Toc2417"/>
      <w:bookmarkStart w:id="146" w:name="_Toc13305"/>
      <w:bookmarkStart w:id="147" w:name="_Toc7769"/>
      <w:bookmarkStart w:id="148" w:name="_Toc12200"/>
      <w:r>
        <w:rPr>
          <w:rFonts w:hint="eastAsia" w:ascii="黑体" w:eastAsia="黑体" w:cs="Times New Roman"/>
          <w:b w:val="0"/>
          <w:bCs/>
          <w:color w:val="000000"/>
          <w:kern w:val="2"/>
          <w:sz w:val="32"/>
          <w:szCs w:val="32"/>
          <w:lang w:val="en-US" w:eastAsia="zh-CN" w:bidi="ar-SA"/>
        </w:rPr>
        <w:t xml:space="preserve">   </w:t>
      </w:r>
      <w:bookmarkStart w:id="149" w:name="_Toc10695"/>
      <w:r>
        <w:rPr>
          <w:rStyle w:val="19"/>
          <w:rFonts w:hint="eastAsia" w:ascii="仿宋_GB2312" w:eastAsia="仿宋_GB2312" w:cs="仿宋_GB2312"/>
          <w:b w:val="0"/>
          <w:lang w:val="en-US" w:eastAsia="zh-CN"/>
        </w:rPr>
        <w:t>九、国有资本经营预算支出决算情况说明</w:t>
      </w:r>
      <w:bookmarkEnd w:id="143"/>
      <w:bookmarkEnd w:id="144"/>
      <w:bookmarkEnd w:id="145"/>
    </w:p>
    <w:bookmarkEnd w:id="146"/>
    <w:bookmarkEnd w:id="147"/>
    <w:bookmarkEnd w:id="148"/>
    <w:bookmarkEnd w:id="149"/>
    <w:p w14:paraId="6DA2972F">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eastAsia="zh-CN"/>
        </w:rPr>
        <w:t>2022年</w:t>
      </w:r>
      <w:r>
        <w:rPr>
          <w:rFonts w:hint="eastAsia" w:ascii="仿宋_GB2312" w:eastAsia="仿宋_GB2312" w:cs="仿宋_GB2312"/>
          <w:color w:val="000000"/>
          <w:sz w:val="32"/>
          <w:szCs w:val="32"/>
        </w:rPr>
        <w:t>国有资本经营预算拨款支出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w:t>
      </w:r>
    </w:p>
    <w:p w14:paraId="1DAE44DC">
      <w:pPr>
        <w:spacing w:line="600" w:lineRule="exact"/>
        <w:rPr>
          <w:rFonts w:hint="eastAsia" w:ascii="黑体" w:eastAsia="黑体" w:cs="Times New Roman"/>
          <w:b w:val="0"/>
          <w:bCs/>
          <w:color w:val="000000"/>
          <w:kern w:val="2"/>
          <w:sz w:val="32"/>
          <w:szCs w:val="32"/>
          <w:lang w:val="en-US" w:eastAsia="zh-CN" w:bidi="ar-SA"/>
        </w:rPr>
      </w:pPr>
      <w:bookmarkStart w:id="150" w:name="_Toc14416"/>
      <w:bookmarkStart w:id="151" w:name="_Toc26917"/>
      <w:bookmarkStart w:id="152" w:name="_Toc5045"/>
      <w:bookmarkStart w:id="153" w:name="_Toc953"/>
      <w:r>
        <w:rPr>
          <w:rFonts w:hint="eastAsia" w:ascii="黑体" w:eastAsia="黑体" w:cs="Times New Roman"/>
          <w:b w:val="0"/>
          <w:bCs/>
          <w:color w:val="000000"/>
          <w:kern w:val="2"/>
          <w:sz w:val="32"/>
          <w:szCs w:val="32"/>
          <w:lang w:val="en-US" w:eastAsia="zh-CN" w:bidi="ar-SA"/>
        </w:rPr>
        <w:t xml:space="preserve">  </w:t>
      </w:r>
      <w:bookmarkStart w:id="154" w:name="_Toc24370"/>
      <w:r>
        <w:rPr>
          <w:rStyle w:val="19"/>
          <w:rFonts w:hint="eastAsia" w:ascii="仿宋_GB2312" w:eastAsia="仿宋_GB2312" w:cs="仿宋_GB2312"/>
          <w:b w:val="0"/>
          <w:lang w:val="en-US" w:eastAsia="zh-CN"/>
        </w:rPr>
        <w:t xml:space="preserve"> 十、预算绩效情况说明</w:t>
      </w:r>
      <w:bookmarkEnd w:id="154"/>
    </w:p>
    <w:bookmarkEnd w:id="150"/>
    <w:bookmarkEnd w:id="151"/>
    <w:bookmarkEnd w:id="152"/>
    <w:bookmarkEnd w:id="153"/>
    <w:p w14:paraId="6F629671">
      <w:pPr>
        <w:numPr>
          <w:ilvl w:val="0"/>
          <w:numId w:val="2"/>
        </w:numPr>
        <w:spacing w:line="580" w:lineRule="exact"/>
        <w:ind w:left="0" w:firstLine="643" w:firstLineChars="200"/>
        <w:rPr>
          <w:rFonts w:hint="eastAsia" w:ascii="仿宋_GB2312" w:eastAsia="仿宋_GB2312" w:cs="仿宋_GB2312"/>
          <w:b/>
          <w:bCs/>
          <w:sz w:val="32"/>
          <w:szCs w:val="32"/>
        </w:rPr>
      </w:pPr>
      <w:r>
        <w:rPr>
          <w:rFonts w:hint="eastAsia" w:ascii="仿宋_GB2312" w:eastAsia="仿宋_GB2312" w:cs="仿宋_GB2312"/>
          <w:b/>
          <w:bCs/>
          <w:sz w:val="32"/>
          <w:szCs w:val="32"/>
        </w:rPr>
        <w:t>预算绩效管理工作开展情况。</w:t>
      </w:r>
    </w:p>
    <w:p w14:paraId="6D99FE8A">
      <w:pPr>
        <w:rPr>
          <w:rFonts w:hint="eastAsia" w:ascii="仿宋_GB2312" w:eastAsia="仿宋_GB2312" w:cs="仿宋_GB2312"/>
          <w:lang w:eastAsia="zh-CN"/>
        </w:rPr>
      </w:pPr>
      <w:r>
        <w:rPr>
          <w:rFonts w:hint="eastAsia" w:ascii="仿宋_GB2312" w:eastAsia="仿宋_GB2312" w:cs="仿宋_GB2312"/>
          <w:color w:val="FF0000"/>
          <w:sz w:val="32"/>
          <w:szCs w:val="32"/>
          <w:lang w:eastAsia="zh-CN"/>
        </w:rPr>
        <w:t>　　</w:t>
      </w:r>
      <w:r>
        <w:rPr>
          <w:rFonts w:hint="eastAsia" w:ascii="仿宋_GB2312" w:eastAsia="仿宋_GB2312" w:cs="仿宋_GB2312"/>
          <w:color w:val="auto"/>
          <w:sz w:val="32"/>
          <w:szCs w:val="32"/>
        </w:rPr>
        <w:t>根据预算绩效管理要求，</w:t>
      </w:r>
      <w:r>
        <w:rPr>
          <w:rFonts w:hint="eastAsia" w:ascii="仿宋_GB2312" w:eastAsia="仿宋_GB2312" w:cs="仿宋_GB2312"/>
          <w:sz w:val="32"/>
          <w:szCs w:val="32"/>
          <w:lang w:val="en-US" w:eastAsia="zh-CN"/>
        </w:rPr>
        <w:t>我</w:t>
      </w:r>
      <w:r>
        <w:rPr>
          <w:rFonts w:hint="eastAsia" w:ascii="仿宋_GB2312" w:eastAsia="仿宋_GB2312" w:cs="仿宋_GB2312"/>
          <w:sz w:val="32"/>
          <w:szCs w:val="32"/>
        </w:rPr>
        <w:t>单位在年初预算编制阶段，开展了预算事前绩效评估，编制了</w:t>
      </w:r>
      <w:r>
        <w:rPr>
          <w:rFonts w:hint="eastAsia" w:ascii="仿宋_GB2312" w:eastAsia="仿宋_GB2312" w:cs="仿宋_GB2312"/>
          <w:sz w:val="32"/>
          <w:szCs w:val="32"/>
          <w:lang w:eastAsia="zh-CN"/>
        </w:rPr>
        <w:t>部门整体</w:t>
      </w:r>
      <w:r>
        <w:rPr>
          <w:rFonts w:hint="eastAsia" w:ascii="仿宋_GB2312" w:eastAsia="仿宋_GB2312" w:cs="仿宋_GB2312"/>
          <w:sz w:val="32"/>
          <w:szCs w:val="32"/>
        </w:rPr>
        <w:t>绩效目标</w:t>
      </w:r>
      <w:r>
        <w:rPr>
          <w:rFonts w:hint="eastAsia" w:ascii="仿宋_GB2312" w:eastAsia="仿宋_GB2312" w:cs="仿宋_GB2312"/>
          <w:sz w:val="32"/>
          <w:szCs w:val="32"/>
          <w:lang w:eastAsia="zh-CN"/>
        </w:rPr>
        <w:t>。</w:t>
      </w:r>
    </w:p>
    <w:p w14:paraId="4CCC349E">
      <w:pPr>
        <w:numPr>
          <w:ilvl w:val="0"/>
          <w:numId w:val="2"/>
        </w:numPr>
        <w:spacing w:line="580" w:lineRule="exact"/>
        <w:ind w:left="0" w:firstLine="643" w:firstLineChars="200"/>
        <w:rPr>
          <w:rFonts w:hint="eastAsia" w:ascii="仿宋_GB2312" w:eastAsia="仿宋_GB2312" w:cs="仿宋_GB2312"/>
          <w:sz w:val="32"/>
          <w:szCs w:val="32"/>
        </w:rPr>
      </w:pPr>
      <w:r>
        <w:rPr>
          <w:rFonts w:hint="eastAsia" w:ascii="仿宋_GB2312" w:eastAsia="仿宋_GB2312" w:cs="仿宋_GB2312"/>
          <w:b/>
          <w:bCs/>
          <w:sz w:val="32"/>
          <w:szCs w:val="32"/>
        </w:rPr>
        <w:t>部门开展绩效评价结果。</w:t>
      </w:r>
    </w:p>
    <w:p w14:paraId="1B366FA5">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w:t>
      </w:r>
      <w:r>
        <w:rPr>
          <w:rFonts w:hint="eastAsia" w:ascii="仿宋_GB2312" w:eastAsia="仿宋_GB2312" w:cs="仿宋_GB2312"/>
          <w:sz w:val="32"/>
          <w:szCs w:val="32"/>
        </w:rPr>
        <w:t>部门整体支出绩效评价情况开展自评，《</w:t>
      </w:r>
      <w:r>
        <w:rPr>
          <w:rFonts w:hint="eastAsia" w:ascii="仿宋_GB2312" w:eastAsia="仿宋_GB2312"/>
          <w:sz w:val="32"/>
          <w:szCs w:val="32"/>
        </w:rPr>
        <w:t>中共金川县委机构编制委员会办公室202</w:t>
      </w:r>
      <w:r>
        <w:rPr>
          <w:rFonts w:hint="eastAsia" w:ascii="仿宋_GB2312" w:eastAsia="仿宋_GB2312"/>
          <w:sz w:val="32"/>
          <w:szCs w:val="32"/>
          <w:lang w:val="en-US" w:eastAsia="zh-CN"/>
        </w:rPr>
        <w:t>2</w:t>
      </w:r>
      <w:r>
        <w:rPr>
          <w:rFonts w:hint="eastAsia" w:ascii="仿宋_GB2312" w:eastAsia="仿宋_GB2312"/>
          <w:sz w:val="32"/>
          <w:szCs w:val="32"/>
        </w:rPr>
        <w:t>年部门预算整体支出绩效评价报告</w:t>
      </w:r>
      <w:r>
        <w:rPr>
          <w:rFonts w:hint="eastAsia" w:ascii="仿宋_GB2312" w:eastAsia="仿宋_GB2312" w:cs="仿宋_GB2312"/>
          <w:sz w:val="32"/>
          <w:szCs w:val="32"/>
        </w:rPr>
        <w:t>》见附件。</w:t>
      </w:r>
    </w:p>
    <w:p w14:paraId="09CB12F0">
      <w:pPr>
        <w:spacing w:line="600" w:lineRule="exact"/>
        <w:rPr>
          <w:rStyle w:val="19"/>
          <w:rFonts w:hint="eastAsia" w:ascii="仿宋_GB2312" w:eastAsia="仿宋_GB2312" w:cs="仿宋_GB2312"/>
          <w:b w:val="0"/>
          <w:lang w:val="en-US" w:eastAsia="zh-CN"/>
        </w:rPr>
      </w:pPr>
      <w:bookmarkStart w:id="155" w:name="_Toc15396612"/>
      <w:bookmarkStart w:id="156" w:name="_Toc15377221"/>
      <w:bookmarkStart w:id="157" w:name="_Toc2669"/>
      <w:r>
        <w:rPr>
          <w:rFonts w:hint="eastAsia" w:ascii="黑体" w:eastAsia="黑体" w:cs="Times New Roman"/>
          <w:b w:val="0"/>
          <w:bCs/>
          <w:color w:val="000000"/>
          <w:kern w:val="2"/>
          <w:sz w:val="32"/>
          <w:szCs w:val="32"/>
          <w:lang w:val="en-US" w:eastAsia="zh-CN" w:bidi="ar-SA"/>
        </w:rPr>
        <w:t xml:space="preserve">  </w:t>
      </w:r>
      <w:bookmarkStart w:id="158" w:name="_Toc8269"/>
      <w:r>
        <w:rPr>
          <w:rStyle w:val="19"/>
          <w:rFonts w:hint="eastAsia" w:ascii="仿宋_GB2312" w:eastAsia="仿宋_GB2312" w:cs="仿宋_GB2312"/>
          <w:b w:val="0"/>
          <w:lang w:val="en-US" w:eastAsia="zh-CN"/>
        </w:rPr>
        <w:t xml:space="preserve"> 十一、其他重要事项的情况说明</w:t>
      </w:r>
      <w:bookmarkEnd w:id="155"/>
      <w:bookmarkEnd w:id="156"/>
      <w:bookmarkEnd w:id="157"/>
    </w:p>
    <w:bookmarkEnd w:id="158"/>
    <w:p w14:paraId="1A2E56A6">
      <w:pPr>
        <w:spacing w:line="600" w:lineRule="exact"/>
        <w:ind w:firstLine="643" w:firstLineChars="200"/>
        <w:outlineLvl w:val="2"/>
        <w:rPr>
          <w:rFonts w:hint="eastAsia" w:ascii="仿宋_GB2312" w:eastAsia="仿宋_GB2312" w:cs="仿宋_GB2312"/>
          <w:color w:val="000000"/>
          <w:sz w:val="32"/>
          <w:szCs w:val="32"/>
        </w:rPr>
      </w:pPr>
      <w:bookmarkStart w:id="159" w:name="_Toc25882"/>
      <w:bookmarkStart w:id="160" w:name="_Toc15377222"/>
      <w:r>
        <w:rPr>
          <w:rFonts w:hint="eastAsia" w:ascii="仿宋_GB2312" w:eastAsia="仿宋_GB2312" w:cs="仿宋_GB2312"/>
          <w:b/>
          <w:color w:val="000000"/>
          <w:sz w:val="32"/>
          <w:szCs w:val="32"/>
        </w:rPr>
        <w:t>（一）机关运行经费支出情况</w:t>
      </w:r>
      <w:bookmarkEnd w:id="159"/>
      <w:bookmarkEnd w:id="160"/>
    </w:p>
    <w:p w14:paraId="18EAD708">
      <w:pPr>
        <w:spacing w:line="600" w:lineRule="exact"/>
        <w:ind w:firstLine="640" w:firstLineChars="200"/>
        <w:rPr>
          <w:rFonts w:ascii="仿宋_GB2312" w:eastAsia="仿宋_GB2312"/>
          <w:sz w:val="32"/>
          <w:szCs w:val="32"/>
        </w:rPr>
      </w:pPr>
      <w:bookmarkStart w:id="161" w:name="_Toc23145"/>
      <w:bookmarkStart w:id="162" w:name="_Toc15377223"/>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年，县委编办运行经费支出</w:t>
      </w:r>
      <w:r>
        <w:rPr>
          <w:rFonts w:hint="eastAsia" w:ascii="仿宋_GB2312" w:eastAsia="仿宋_GB2312"/>
          <w:color w:val="000000"/>
          <w:sz w:val="32"/>
          <w:szCs w:val="32"/>
          <w:lang w:val="en-US" w:eastAsia="zh-CN"/>
        </w:rPr>
        <w:t>7.93</w:t>
      </w:r>
      <w:r>
        <w:rPr>
          <w:rFonts w:hint="eastAsia" w:ascii="仿宋_GB2312" w:eastAsia="仿宋_GB2312"/>
          <w:color w:val="000000"/>
          <w:sz w:val="32"/>
          <w:szCs w:val="32"/>
        </w:rPr>
        <w:t>万元，比202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5.79</w:t>
      </w:r>
      <w:r>
        <w:rPr>
          <w:rFonts w:hint="eastAsia" w:ascii="仿宋_GB2312" w:eastAsia="仿宋_GB2312"/>
          <w:color w:val="000000"/>
          <w:sz w:val="32"/>
          <w:szCs w:val="32"/>
        </w:rPr>
        <w:t>万元，减少</w:t>
      </w:r>
      <w:r>
        <w:rPr>
          <w:rFonts w:hint="eastAsia" w:ascii="仿宋_GB2312" w:eastAsia="仿宋_GB2312"/>
          <w:color w:val="000000"/>
          <w:sz w:val="32"/>
          <w:szCs w:val="32"/>
          <w:lang w:val="en-US" w:eastAsia="zh-CN"/>
        </w:rPr>
        <w:t>42.20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主要原因是人员减少。</w:t>
      </w:r>
    </w:p>
    <w:p w14:paraId="69D72BA4">
      <w:pPr>
        <w:autoSpaceDE w:val="0"/>
        <w:autoSpaceDN w:val="0"/>
        <w:adjustRightInd w:val="0"/>
        <w:spacing w:line="600" w:lineRule="exact"/>
        <w:ind w:firstLine="643" w:firstLineChars="200"/>
        <w:jc w:val="left"/>
        <w:outlineLvl w:val="2"/>
        <w:rPr>
          <w:rFonts w:hint="eastAsia" w:ascii="仿宋_GB2312" w:eastAsia="仿宋_GB2312" w:cs="仿宋_GB2312"/>
          <w:b/>
          <w:color w:val="000000"/>
          <w:sz w:val="32"/>
          <w:szCs w:val="32"/>
        </w:rPr>
      </w:pPr>
      <w:r>
        <w:rPr>
          <w:rFonts w:hint="eastAsia" w:ascii="仿宋_GB2312" w:eastAsia="仿宋_GB2312" w:cs="仿宋_GB2312"/>
          <w:b/>
          <w:color w:val="000000"/>
          <w:sz w:val="32"/>
          <w:szCs w:val="32"/>
        </w:rPr>
        <w:t>（二）政府采购支出情况</w:t>
      </w:r>
      <w:bookmarkEnd w:id="161"/>
      <w:bookmarkEnd w:id="162"/>
    </w:p>
    <w:p w14:paraId="126C279D">
      <w:pPr>
        <w:spacing w:line="600" w:lineRule="exact"/>
        <w:ind w:firstLine="640" w:firstLineChars="200"/>
        <w:rPr>
          <w:rFonts w:hint="eastAsia" w:ascii="仿宋_GB2312" w:eastAsia="仿宋_GB2312" w:cs="仿宋_GB2312"/>
          <w:b/>
          <w:color w:val="auto"/>
          <w:sz w:val="32"/>
          <w:szCs w:val="32"/>
          <w:lang w:val="en-US" w:eastAsia="zh-CN"/>
        </w:rPr>
      </w:pPr>
      <w:r>
        <w:rPr>
          <w:rFonts w:hint="eastAsia" w:ascii="仿宋_GB2312" w:eastAsia="仿宋_GB2312" w:cs="仿宋_GB2312"/>
          <w:color w:val="000000"/>
          <w:sz w:val="32"/>
          <w:szCs w:val="32"/>
          <w:lang w:eastAsia="zh-CN"/>
        </w:rPr>
        <w:t>2022年</w:t>
      </w:r>
      <w:r>
        <w:rPr>
          <w:rFonts w:hint="eastAsia" w:ascii="仿宋_GB2312" w:eastAsia="仿宋_GB2312" w:cs="仿宋_GB2312"/>
          <w:color w:val="000000"/>
          <w:sz w:val="32"/>
          <w:szCs w:val="32"/>
        </w:rPr>
        <w:t>，政府采购支出总额</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万元，其中：政府采购货物支出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万元、政府采购服务支出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w:t>
      </w:r>
    </w:p>
    <w:p w14:paraId="7344AD37">
      <w:pPr>
        <w:autoSpaceDE w:val="0"/>
        <w:autoSpaceDN w:val="0"/>
        <w:adjustRightInd w:val="0"/>
        <w:spacing w:line="600" w:lineRule="exact"/>
        <w:ind w:firstLine="643" w:firstLineChars="200"/>
        <w:jc w:val="left"/>
        <w:outlineLvl w:val="2"/>
        <w:rPr>
          <w:rFonts w:hint="eastAsia" w:ascii="仿宋_GB2312" w:eastAsia="仿宋_GB2312" w:cs="仿宋_GB2312"/>
          <w:b/>
          <w:color w:val="000000"/>
          <w:sz w:val="32"/>
          <w:szCs w:val="32"/>
        </w:rPr>
      </w:pPr>
      <w:bookmarkStart w:id="163" w:name="_Toc15377224"/>
      <w:bookmarkStart w:id="164" w:name="_Toc13674"/>
      <w:r>
        <w:rPr>
          <w:rFonts w:hint="eastAsia" w:ascii="仿宋_GB2312" w:eastAsia="仿宋_GB2312" w:cs="仿宋_GB2312"/>
          <w:b/>
          <w:color w:val="000000"/>
          <w:sz w:val="32"/>
          <w:szCs w:val="32"/>
        </w:rPr>
        <w:t>（三）国有资产占有使用情况</w:t>
      </w:r>
      <w:bookmarkEnd w:id="163"/>
      <w:bookmarkEnd w:id="164"/>
    </w:p>
    <w:p w14:paraId="04F4C374">
      <w:pPr>
        <w:widowControl/>
        <w:ind w:firstLine="640" w:firstLineChars="200"/>
        <w:jc w:val="left"/>
        <w:rPr>
          <w:rFonts w:hint="eastAsia" w:ascii="仿宋_GB2312" w:eastAsia="仿宋_GB2312" w:cs="仿宋_GB2312"/>
          <w:b/>
          <w:color w:val="000000"/>
          <w:sz w:val="32"/>
          <w:szCs w:val="32"/>
          <w:lang w:val="en-US" w:eastAsia="zh-CN"/>
        </w:rPr>
      </w:pPr>
      <w:r>
        <w:rPr>
          <w:rFonts w:hint="eastAsia" w:ascii="仿宋_GB2312" w:eastAsia="仿宋_GB2312" w:cs="仿宋_GB2312"/>
          <w:color w:val="000000"/>
          <w:sz w:val="32"/>
          <w:szCs w:val="32"/>
        </w:rPr>
        <w:t>截至</w:t>
      </w:r>
      <w:r>
        <w:rPr>
          <w:rFonts w:hint="eastAsia" w:ascii="仿宋_GB2312" w:eastAsia="仿宋_GB2312" w:cs="仿宋_GB2312"/>
          <w:color w:val="000000"/>
          <w:sz w:val="32"/>
          <w:szCs w:val="32"/>
          <w:lang w:eastAsia="zh-CN"/>
        </w:rPr>
        <w:t>2022年</w:t>
      </w:r>
      <w:r>
        <w:rPr>
          <w:rFonts w:hint="eastAsia" w:ascii="仿宋_GB2312" w:eastAsia="仿宋_GB2312" w:cs="仿宋_GB2312"/>
          <w:color w:val="000000"/>
          <w:sz w:val="32"/>
          <w:szCs w:val="32"/>
        </w:rPr>
        <w:t>12月31日，共有车辆</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w:t>
      </w:r>
      <w:r>
        <w:rPr>
          <w:rFonts w:hint="eastAsia" w:ascii="仿宋_GB2312" w:eastAsia="仿宋_GB2312" w:cs="仿宋_GB2312"/>
          <w:color w:val="000000"/>
          <w:sz w:val="32"/>
          <w:szCs w:val="32"/>
          <w:lang w:eastAsia="zh-CN"/>
        </w:rPr>
        <w:t>。</w:t>
      </w:r>
      <w:r>
        <w:rPr>
          <w:rFonts w:hint="eastAsia" w:ascii="仿宋_GB2312" w:eastAsia="仿宋_GB2312" w:cs="仿宋_GB2312"/>
          <w:b/>
          <w:color w:val="000000"/>
          <w:sz w:val="32"/>
          <w:szCs w:val="32"/>
          <w:lang w:val="en-US" w:eastAsia="zh-CN"/>
        </w:rPr>
        <w:t xml:space="preserve">    </w:t>
      </w:r>
    </w:p>
    <w:p w14:paraId="72A6179D">
      <w:pPr>
        <w:widowControl/>
        <w:jc w:val="left"/>
        <w:rPr>
          <w:rFonts w:hint="eastAsia" w:ascii="仿宋_GB2312" w:eastAsia="仿宋_GB2312" w:cs="仿宋_GB2312"/>
          <w:b/>
          <w:color w:val="000000"/>
          <w:sz w:val="32"/>
          <w:szCs w:val="32"/>
          <w:lang w:val="en-US" w:eastAsia="zh-CN"/>
        </w:rPr>
      </w:pPr>
    </w:p>
    <w:p w14:paraId="47B68922">
      <w:pPr>
        <w:pStyle w:val="2"/>
        <w:rPr>
          <w:rFonts w:hint="eastAsia"/>
          <w:lang w:val="en-US" w:eastAsia="zh-CN"/>
        </w:rPr>
      </w:pPr>
    </w:p>
    <w:p w14:paraId="4F70EE52">
      <w:pPr>
        <w:numPr>
          <w:ilvl w:val="0"/>
          <w:numId w:val="3"/>
        </w:numPr>
        <w:spacing w:line="600" w:lineRule="exact"/>
        <w:ind w:left="0" w:firstLine="663" w:firstLineChars="150"/>
        <w:jc w:val="center"/>
        <w:outlineLvl w:val="0"/>
        <w:rPr>
          <w:rStyle w:val="18"/>
          <w:rFonts w:hint="eastAsia" w:ascii="仿宋_GB2312" w:eastAsia="仿宋_GB2312" w:cs="仿宋_GB2312"/>
          <w:b/>
          <w:bCs/>
        </w:rPr>
      </w:pPr>
      <w:bookmarkStart w:id="165" w:name="_Toc15396613"/>
      <w:bookmarkStart w:id="166" w:name="_Toc15377225"/>
      <w:bookmarkStart w:id="167" w:name="_Toc4580"/>
      <w:bookmarkStart w:id="168" w:name="_Toc31705"/>
      <w:bookmarkStart w:id="169" w:name="_Toc4440"/>
      <w:r>
        <w:rPr>
          <w:rStyle w:val="18"/>
          <w:rFonts w:hint="eastAsia" w:ascii="仿宋_GB2312" w:eastAsia="仿宋_GB2312" w:cs="仿宋_GB2312"/>
          <w:b/>
          <w:bCs/>
        </w:rPr>
        <w:t>名词解释</w:t>
      </w:r>
      <w:bookmarkEnd w:id="165"/>
      <w:bookmarkEnd w:id="166"/>
      <w:bookmarkEnd w:id="167"/>
    </w:p>
    <w:bookmarkEnd w:id="168"/>
    <w:bookmarkEnd w:id="169"/>
    <w:p w14:paraId="6190CA5B">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1.财政拨款收入：指单位从同级财政部门取得的财政预算资金。</w:t>
      </w:r>
    </w:p>
    <w:p w14:paraId="23070739">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2.事业收入：指事业单位开展专业业务活动及辅助活动取得的收入。</w:t>
      </w:r>
    </w:p>
    <w:p w14:paraId="318B1C01">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3.经营收入：指事业单位在专业业务活动及其辅助活动之外开展非独立核算经营活动取得的收入。</w:t>
      </w:r>
    </w:p>
    <w:p w14:paraId="1354B7E3">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4.其他收入：指单位取得的除上述收入以外的各项收入。主要是</w:t>
      </w:r>
      <w:r>
        <w:rPr>
          <w:rFonts w:hint="eastAsia" w:ascii="仿宋_GB2312" w:eastAsia="仿宋_GB2312" w:cs="仿宋_GB2312"/>
          <w:sz w:val="32"/>
          <w:szCs w:val="32"/>
          <w:lang w:val="en-US" w:eastAsia="zh-CN"/>
        </w:rPr>
        <w:t>银行存款利息和伙食团缴费</w:t>
      </w:r>
      <w:r>
        <w:rPr>
          <w:rFonts w:hint="eastAsia" w:ascii="仿宋_GB2312" w:eastAsia="仿宋_GB2312" w:cs="仿宋_GB2312"/>
          <w:sz w:val="32"/>
          <w:szCs w:val="32"/>
        </w:rPr>
        <w:t xml:space="preserve">等。 </w:t>
      </w:r>
    </w:p>
    <w:p w14:paraId="368F3E89">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 xml:space="preserve">5. 年初结转和结余：指以前年度尚未完成、结转到本年按有关规定继续使用的资金。 </w:t>
      </w:r>
    </w:p>
    <w:p w14:paraId="63F6DD77">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.结余分配：指事业单位按照事业单位会计制度的规定从非财政补助结余中分配的事业基金和职工福利基金等。</w:t>
      </w:r>
    </w:p>
    <w:p w14:paraId="34651E73">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、年末结转和结余：指单位按有关规定结转到下年或以后年度继续使用的资金。</w:t>
      </w:r>
    </w:p>
    <w:p w14:paraId="05DEFE4C">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8</w:t>
      </w:r>
      <w:r>
        <w:rPr>
          <w:rFonts w:hint="eastAsia" w:ascii="仿宋_GB2312" w:eastAsia="仿宋_GB2312" w:cs="仿宋_GB2312"/>
          <w:color w:val="000000"/>
          <w:sz w:val="32"/>
          <w:szCs w:val="32"/>
        </w:rPr>
        <w:t>.</w:t>
      </w:r>
      <w:r>
        <w:rPr>
          <w:rFonts w:hint="eastAsia" w:ascii="仿宋_GB2312" w:eastAsia="仿宋_GB2312" w:cs="仿宋_GB2312"/>
          <w:color w:val="000000"/>
          <w:kern w:val="0"/>
          <w:sz w:val="32"/>
          <w:szCs w:val="32"/>
          <w:lang w:val="en-US" w:eastAsia="zh-CN" w:bidi="ar-SA"/>
        </w:rPr>
        <w:t>一般公共服务支出（类）政府办公厅（室）及相关机构事务（款）事业运行（项）：指事业单位的基本支出</w:t>
      </w:r>
      <w:r>
        <w:rPr>
          <w:rFonts w:hint="eastAsia" w:ascii="仿宋_GB2312" w:eastAsia="仿宋_GB2312" w:cs="仿宋_GB2312"/>
          <w:color w:val="000000"/>
          <w:sz w:val="32"/>
          <w:szCs w:val="32"/>
        </w:rPr>
        <w:t>。</w:t>
      </w:r>
    </w:p>
    <w:p w14:paraId="50F1DA48">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w:t>
      </w:r>
      <w:r>
        <w:rPr>
          <w:rFonts w:hint="eastAsia" w:ascii="仿宋_GB2312" w:eastAsia="仿宋_GB2312" w:cs="仿宋_GB2312"/>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s="仿宋_GB2312"/>
          <w:color w:val="000000"/>
          <w:sz w:val="32"/>
          <w:szCs w:val="32"/>
        </w:rPr>
        <w:t>指</w:t>
      </w:r>
      <w:r>
        <w:rPr>
          <w:rFonts w:hint="eastAsia" w:ascii="仿宋_GB2312" w:eastAsia="仿宋_GB2312" w:cs="仿宋_GB2312"/>
          <w:color w:val="000000"/>
          <w:sz w:val="32"/>
          <w:szCs w:val="32"/>
          <w:lang w:val="en-US" w:eastAsia="zh-CN"/>
        </w:rPr>
        <w:t>单位为职工缴纳的基本养老保险费</w:t>
      </w:r>
      <w:r>
        <w:rPr>
          <w:rFonts w:hint="eastAsia" w:ascii="仿宋_GB2312" w:eastAsia="仿宋_GB2312" w:cs="仿宋_GB2312"/>
          <w:color w:val="000000"/>
          <w:sz w:val="32"/>
          <w:szCs w:val="32"/>
        </w:rPr>
        <w:t>。</w:t>
      </w:r>
    </w:p>
    <w:p w14:paraId="69BD8A1D">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10</w:t>
      </w:r>
      <w:r>
        <w:rPr>
          <w:rFonts w:hint="eastAsia" w:ascii="仿宋_GB2312" w:eastAsia="仿宋_GB2312" w:cs="仿宋_GB2312"/>
          <w:color w:val="000000"/>
          <w:sz w:val="32"/>
          <w:szCs w:val="32"/>
        </w:rPr>
        <w:t>.</w:t>
      </w:r>
      <w:r>
        <w:rPr>
          <w:rFonts w:hint="eastAsia" w:ascii="仿宋_GB2312" w:eastAsia="仿宋_GB2312" w:cs="仿宋_GB2312"/>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s="仿宋_GB2312"/>
          <w:color w:val="000000"/>
          <w:sz w:val="32"/>
          <w:szCs w:val="32"/>
        </w:rPr>
        <w:t>指</w:t>
      </w:r>
      <w:r>
        <w:rPr>
          <w:rFonts w:hint="eastAsia" w:ascii="仿宋_GB2312" w:eastAsia="仿宋_GB2312" w:cs="仿宋_GB2312"/>
          <w:color w:val="000000"/>
          <w:sz w:val="32"/>
          <w:szCs w:val="32"/>
          <w:lang w:val="en-US" w:eastAsia="zh-CN"/>
        </w:rPr>
        <w:t>单位为职工实际缴纳的职业年金</w:t>
      </w:r>
      <w:r>
        <w:rPr>
          <w:rFonts w:hint="eastAsia" w:ascii="仿宋_GB2312" w:eastAsia="仿宋_GB2312" w:cs="仿宋_GB2312"/>
          <w:color w:val="000000"/>
          <w:sz w:val="32"/>
          <w:szCs w:val="32"/>
        </w:rPr>
        <w:t>。</w:t>
      </w:r>
    </w:p>
    <w:p w14:paraId="50AD455A">
      <w:pPr>
        <w:ind w:firstLine="640" w:firstLineChars="200"/>
        <w:rPr>
          <w:rFonts w:hint="eastAsia" w:ascii="仿宋_GB2312" w:eastAsia="仿宋_GB2312" w:cs="仿宋_GB2312"/>
          <w:color w:val="000000"/>
          <w:sz w:val="32"/>
          <w:szCs w:val="32"/>
          <w:lang w:val="en-US" w:eastAsia="zh-CN"/>
        </w:rPr>
      </w:pPr>
      <w:r>
        <w:rPr>
          <w:rFonts w:hint="eastAsia" w:ascii="仿宋_GB2312" w:eastAsia="仿宋_GB2312" w:cs="仿宋_GB2312"/>
          <w:color w:val="000000"/>
          <w:sz w:val="32"/>
          <w:szCs w:val="32"/>
          <w:lang w:val="en-US" w:eastAsia="zh-CN"/>
        </w:rPr>
        <w:t>11.</w:t>
      </w:r>
      <w:r>
        <w:rPr>
          <w:rFonts w:hint="eastAsia" w:ascii="仿宋_GB2312" w:eastAsia="仿宋_GB2312" w:cs="仿宋_GB2312"/>
          <w:color w:val="000000"/>
          <w:sz w:val="32"/>
          <w:szCs w:val="32"/>
        </w:rPr>
        <w:t>卫生</w:t>
      </w:r>
      <w:r>
        <w:rPr>
          <w:rFonts w:hint="eastAsia" w:ascii="仿宋_GB2312" w:eastAsia="仿宋_GB2312" w:cs="仿宋_GB2312"/>
          <w:color w:val="000000"/>
          <w:sz w:val="32"/>
          <w:szCs w:val="32"/>
          <w:lang w:eastAsia="zh-CN"/>
        </w:rPr>
        <w:t>健康支出</w:t>
      </w:r>
      <w:r>
        <w:rPr>
          <w:rFonts w:hint="eastAsia" w:ascii="仿宋_GB2312" w:eastAsia="仿宋_GB2312" w:cs="仿宋_GB2312"/>
          <w:color w:val="000000"/>
          <w:sz w:val="32"/>
          <w:szCs w:val="32"/>
        </w:rPr>
        <w:t>（类）</w:t>
      </w:r>
      <w:r>
        <w:rPr>
          <w:rFonts w:hint="eastAsia" w:ascii="仿宋_GB2312" w:eastAsia="仿宋_GB2312" w:cs="仿宋_GB2312"/>
          <w:color w:val="000000"/>
          <w:sz w:val="32"/>
          <w:szCs w:val="32"/>
          <w:lang w:eastAsia="zh-CN"/>
        </w:rPr>
        <w:t>公共卫生</w:t>
      </w:r>
      <w:r>
        <w:rPr>
          <w:rFonts w:hint="eastAsia" w:ascii="仿宋_GB2312" w:eastAsia="仿宋_GB2312" w:cs="仿宋_GB2312"/>
          <w:color w:val="000000"/>
          <w:sz w:val="32"/>
          <w:szCs w:val="32"/>
        </w:rPr>
        <w:t>（款）</w:t>
      </w:r>
      <w:r>
        <w:rPr>
          <w:rFonts w:hint="eastAsia" w:ascii="仿宋_GB2312" w:eastAsia="仿宋_GB2312" w:cs="仿宋_GB2312"/>
          <w:color w:val="000000"/>
          <w:sz w:val="32"/>
          <w:szCs w:val="32"/>
          <w:lang w:val="en-US" w:eastAsia="zh-CN"/>
        </w:rPr>
        <w:t>突发公共卫生事件应急处理</w:t>
      </w:r>
      <w:r>
        <w:rPr>
          <w:rFonts w:hint="eastAsia" w:ascii="仿宋_GB2312" w:eastAsia="仿宋_GB2312" w:cs="仿宋_GB2312"/>
          <w:color w:val="000000"/>
          <w:sz w:val="32"/>
          <w:szCs w:val="32"/>
        </w:rPr>
        <w:t>（项）：</w:t>
      </w:r>
      <w:r>
        <w:rPr>
          <w:rFonts w:hint="eastAsia" w:ascii="仿宋_GB2312" w:eastAsia="仿宋_GB2312" w:cs="仿宋_GB2312"/>
          <w:color w:val="000000"/>
          <w:sz w:val="32"/>
          <w:szCs w:val="32"/>
          <w:lang w:eastAsia="zh-CN"/>
        </w:rPr>
        <w:t>反映用于突发公共卫生事件应急处理的支出。</w:t>
      </w:r>
    </w:p>
    <w:p w14:paraId="5D30ED34">
      <w:pPr>
        <w:ind w:firstLine="640" w:firstLineChars="200"/>
        <w:rPr>
          <w:rFonts w:hint="eastAsia" w:ascii="仿宋_GB2312" w:eastAsia="仿宋_GB2312" w:cs="仿宋_GB2312"/>
          <w:color w:val="000000"/>
          <w:sz w:val="32"/>
          <w:szCs w:val="32"/>
          <w:lang w:val="en-US" w:eastAsia="zh-CN"/>
        </w:rPr>
      </w:pPr>
      <w:r>
        <w:rPr>
          <w:rFonts w:hint="eastAsia" w:ascii="仿宋_GB2312" w:eastAsia="仿宋_GB2312" w:cs="仿宋_GB2312"/>
          <w:color w:val="000000"/>
          <w:sz w:val="32"/>
          <w:szCs w:val="32"/>
          <w:lang w:val="en-US" w:eastAsia="zh-CN"/>
        </w:rPr>
        <w:t>12</w:t>
      </w:r>
      <w:r>
        <w:rPr>
          <w:rFonts w:hint="eastAsia" w:ascii="仿宋_GB2312" w:eastAsia="仿宋_GB2312" w:cs="仿宋_GB2312"/>
          <w:color w:val="000000"/>
          <w:sz w:val="32"/>
          <w:szCs w:val="32"/>
        </w:rPr>
        <w:t>.卫生</w:t>
      </w:r>
      <w:r>
        <w:rPr>
          <w:rFonts w:hint="eastAsia" w:ascii="仿宋_GB2312" w:eastAsia="仿宋_GB2312" w:cs="仿宋_GB2312"/>
          <w:color w:val="000000"/>
          <w:sz w:val="32"/>
          <w:szCs w:val="32"/>
          <w:lang w:eastAsia="zh-CN"/>
        </w:rPr>
        <w:t>健康支出</w:t>
      </w:r>
      <w:r>
        <w:rPr>
          <w:rFonts w:hint="eastAsia" w:ascii="仿宋_GB2312" w:eastAsia="仿宋_GB2312" w:cs="仿宋_GB2312"/>
          <w:color w:val="000000"/>
          <w:sz w:val="32"/>
          <w:szCs w:val="32"/>
        </w:rPr>
        <w:t>（类）</w:t>
      </w:r>
      <w:r>
        <w:rPr>
          <w:rFonts w:hint="eastAsia" w:ascii="仿宋_GB2312" w:eastAsia="仿宋_GB2312" w:cs="仿宋_GB2312"/>
          <w:color w:val="000000"/>
          <w:sz w:val="32"/>
          <w:szCs w:val="32"/>
          <w:lang w:val="en-US" w:eastAsia="zh-CN"/>
        </w:rPr>
        <w:t>行政事业单位医疗</w:t>
      </w:r>
      <w:r>
        <w:rPr>
          <w:rFonts w:hint="eastAsia" w:ascii="仿宋_GB2312" w:eastAsia="仿宋_GB2312" w:cs="仿宋_GB2312"/>
          <w:color w:val="000000"/>
          <w:sz w:val="32"/>
          <w:szCs w:val="32"/>
        </w:rPr>
        <w:t>（款）</w:t>
      </w:r>
      <w:r>
        <w:rPr>
          <w:rFonts w:hint="eastAsia" w:ascii="仿宋_GB2312" w:eastAsia="仿宋_GB2312" w:cs="仿宋_GB2312"/>
          <w:color w:val="000000"/>
          <w:sz w:val="32"/>
          <w:szCs w:val="32"/>
          <w:lang w:val="en-US" w:eastAsia="zh-CN"/>
        </w:rPr>
        <w:t>事业单位医疗</w:t>
      </w:r>
      <w:r>
        <w:rPr>
          <w:rFonts w:hint="eastAsia" w:ascii="仿宋_GB2312" w:eastAsia="仿宋_GB2312" w:cs="仿宋_GB2312"/>
          <w:color w:val="000000"/>
          <w:sz w:val="32"/>
          <w:szCs w:val="32"/>
        </w:rPr>
        <w:t>（项）：指</w:t>
      </w:r>
      <w:r>
        <w:rPr>
          <w:rFonts w:hint="eastAsia" w:ascii="仿宋_GB2312" w:eastAsia="仿宋_GB2312" w:cs="仿宋_GB2312"/>
          <w:color w:val="000000"/>
          <w:sz w:val="32"/>
          <w:szCs w:val="32"/>
          <w:lang w:val="en-US" w:eastAsia="zh-CN"/>
        </w:rPr>
        <w:t>反映财政部门安排的事业单位基本医疗保险缴纳费经费，未参加医疗保险的事业单位的公费医疗经费，按照国家规定享受离休人员待遇的医疗经费。</w:t>
      </w:r>
    </w:p>
    <w:p w14:paraId="289F2433">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13</w:t>
      </w:r>
      <w:r>
        <w:rPr>
          <w:rFonts w:hint="eastAsia" w:ascii="仿宋_GB2312" w:eastAsia="仿宋_GB2312" w:cs="仿宋_GB2312"/>
          <w:color w:val="000000"/>
          <w:sz w:val="32"/>
          <w:szCs w:val="32"/>
        </w:rPr>
        <w:t>.卫生</w:t>
      </w:r>
      <w:r>
        <w:rPr>
          <w:rFonts w:hint="eastAsia" w:ascii="仿宋_GB2312" w:eastAsia="仿宋_GB2312" w:cs="仿宋_GB2312"/>
          <w:color w:val="000000"/>
          <w:sz w:val="32"/>
          <w:szCs w:val="32"/>
          <w:lang w:eastAsia="zh-CN"/>
        </w:rPr>
        <w:t>健康支出</w:t>
      </w:r>
      <w:r>
        <w:rPr>
          <w:rFonts w:hint="eastAsia" w:ascii="仿宋_GB2312" w:eastAsia="仿宋_GB2312" w:cs="仿宋_GB2312"/>
          <w:color w:val="000000"/>
          <w:sz w:val="32"/>
          <w:szCs w:val="32"/>
        </w:rPr>
        <w:t>（类）</w:t>
      </w:r>
      <w:r>
        <w:rPr>
          <w:rFonts w:hint="eastAsia" w:ascii="仿宋_GB2312" w:eastAsia="仿宋_GB2312" w:cs="仿宋_GB2312"/>
          <w:color w:val="000000"/>
          <w:sz w:val="32"/>
          <w:szCs w:val="32"/>
          <w:lang w:val="en-US" w:eastAsia="zh-CN"/>
        </w:rPr>
        <w:t>行政事业单位医疗</w:t>
      </w:r>
      <w:r>
        <w:rPr>
          <w:rFonts w:hint="eastAsia" w:ascii="仿宋_GB2312" w:eastAsia="仿宋_GB2312" w:cs="仿宋_GB2312"/>
          <w:color w:val="000000"/>
          <w:sz w:val="32"/>
          <w:szCs w:val="32"/>
        </w:rPr>
        <w:t>（款）</w:t>
      </w:r>
      <w:r>
        <w:rPr>
          <w:rFonts w:hint="eastAsia" w:ascii="仿宋_GB2312" w:eastAsia="仿宋_GB2312" w:cs="仿宋_GB2312"/>
          <w:color w:val="000000"/>
          <w:sz w:val="32"/>
          <w:szCs w:val="32"/>
          <w:lang w:val="en-US" w:eastAsia="zh-CN"/>
        </w:rPr>
        <w:t>其他行政事业单位医疗支出</w:t>
      </w:r>
      <w:r>
        <w:rPr>
          <w:rFonts w:hint="eastAsia" w:ascii="仿宋_GB2312" w:eastAsia="仿宋_GB2312" w:cs="仿宋_GB2312"/>
          <w:color w:val="000000"/>
          <w:sz w:val="32"/>
          <w:szCs w:val="32"/>
        </w:rPr>
        <w:t>（项）：</w:t>
      </w:r>
      <w:r>
        <w:rPr>
          <w:rFonts w:hint="eastAsia" w:ascii="仿宋_GB2312" w:eastAsia="仿宋_GB2312" w:cs="仿宋_GB2312"/>
          <w:color w:val="000000"/>
          <w:sz w:val="32"/>
          <w:szCs w:val="32"/>
          <w:lang w:eastAsia="zh-CN"/>
        </w:rPr>
        <w:t>反映除上述项目以外的其他用于行政事业单位医疗方面的支出</w:t>
      </w:r>
      <w:r>
        <w:rPr>
          <w:rFonts w:hint="eastAsia" w:ascii="仿宋_GB2312" w:eastAsia="仿宋_GB2312" w:cs="仿宋_GB2312"/>
          <w:color w:val="000000"/>
          <w:sz w:val="32"/>
          <w:szCs w:val="32"/>
        </w:rPr>
        <w:t>。</w:t>
      </w:r>
    </w:p>
    <w:p w14:paraId="787F676F">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14</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住房保障（类）住房改革支出（款）住房公积金（项）</w:t>
      </w:r>
      <w:r>
        <w:rPr>
          <w:rFonts w:hint="eastAsia" w:ascii="仿宋_GB2312" w:eastAsia="仿宋_GB2312" w:cs="仿宋_GB2312"/>
          <w:color w:val="000000"/>
          <w:sz w:val="32"/>
          <w:szCs w:val="32"/>
        </w:rPr>
        <w:t>：指</w:t>
      </w:r>
      <w:r>
        <w:rPr>
          <w:rFonts w:hint="eastAsia" w:ascii="仿宋_GB2312" w:eastAsia="仿宋_GB2312" w:cs="仿宋_GB2312"/>
          <w:color w:val="000000"/>
          <w:sz w:val="32"/>
          <w:szCs w:val="32"/>
          <w:lang w:val="en-US" w:eastAsia="zh-CN"/>
        </w:rPr>
        <w:t>单位按规定为职工缴纳的住房公积金</w:t>
      </w:r>
      <w:r>
        <w:rPr>
          <w:rFonts w:hint="eastAsia" w:ascii="仿宋_GB2312" w:eastAsia="仿宋_GB2312" w:cs="仿宋_GB2312"/>
          <w:color w:val="000000"/>
          <w:sz w:val="32"/>
          <w:szCs w:val="32"/>
        </w:rPr>
        <w:t>。</w:t>
      </w:r>
    </w:p>
    <w:p w14:paraId="4719F37A">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15</w:t>
      </w:r>
      <w:r>
        <w:rPr>
          <w:rFonts w:hint="eastAsia" w:ascii="仿宋_GB2312" w:eastAsia="仿宋_GB2312" w:cs="仿宋_GB2312"/>
          <w:color w:val="000000"/>
          <w:sz w:val="32"/>
          <w:szCs w:val="32"/>
        </w:rPr>
        <w:t>.基本支出：指为保障机构正常运转、完成日常工作任务而发生的人员支出和公用支出。</w:t>
      </w:r>
    </w:p>
    <w:p w14:paraId="2548E105">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16</w:t>
      </w:r>
      <w:r>
        <w:rPr>
          <w:rFonts w:hint="eastAsia" w:ascii="仿宋_GB2312" w:eastAsia="仿宋_GB2312" w:cs="仿宋_GB2312"/>
          <w:color w:val="000000"/>
          <w:sz w:val="32"/>
          <w:szCs w:val="32"/>
        </w:rPr>
        <w:t xml:space="preserve">.项目支出：指在基本支出之外为完成特定行政任务和事业发展目标所发生的支出。 </w:t>
      </w:r>
    </w:p>
    <w:p w14:paraId="67D6DBDD">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17</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8B1191E">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18</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E29213C">
      <w:pPr>
        <w:spacing w:line="600" w:lineRule="exact"/>
        <w:jc w:val="center"/>
        <w:outlineLvl w:val="0"/>
        <w:rPr>
          <w:rFonts w:hint="eastAsia" w:ascii="仿宋_GB2312" w:eastAsia="仿宋_GB2312" w:cs="仿宋_GB2312"/>
          <w:color w:val="000000"/>
          <w:sz w:val="44"/>
          <w:szCs w:val="44"/>
        </w:rPr>
      </w:pPr>
      <w:bookmarkStart w:id="170" w:name="_Toc15396614"/>
      <w:bookmarkStart w:id="171" w:name="_Toc15377226"/>
    </w:p>
    <w:p w14:paraId="414BF6AB">
      <w:pPr>
        <w:spacing w:line="600" w:lineRule="exact"/>
        <w:jc w:val="both"/>
        <w:outlineLvl w:val="0"/>
        <w:rPr>
          <w:rFonts w:hint="eastAsia" w:ascii="仿宋_GB2312" w:eastAsia="仿宋_GB2312" w:cs="仿宋_GB2312"/>
          <w:color w:val="000000"/>
          <w:sz w:val="44"/>
          <w:szCs w:val="44"/>
        </w:rPr>
      </w:pPr>
    </w:p>
    <w:p w14:paraId="7C4F83CE">
      <w:pPr>
        <w:spacing w:line="600" w:lineRule="exact"/>
        <w:jc w:val="center"/>
        <w:outlineLvl w:val="0"/>
        <w:rPr>
          <w:rFonts w:hint="eastAsia" w:ascii="仿宋_GB2312" w:eastAsia="仿宋_GB2312" w:cs="仿宋_GB2312"/>
          <w:color w:val="000000"/>
          <w:sz w:val="44"/>
          <w:szCs w:val="44"/>
        </w:rPr>
      </w:pPr>
    </w:p>
    <w:p w14:paraId="070D9540">
      <w:pPr>
        <w:spacing w:line="600" w:lineRule="exact"/>
        <w:jc w:val="center"/>
        <w:outlineLvl w:val="0"/>
        <w:rPr>
          <w:rFonts w:hint="eastAsia" w:ascii="仿宋_GB2312" w:eastAsia="仿宋_GB2312" w:cs="仿宋_GB2312"/>
          <w:color w:val="000000"/>
          <w:sz w:val="44"/>
          <w:szCs w:val="44"/>
        </w:rPr>
      </w:pPr>
    </w:p>
    <w:p w14:paraId="33B3865E">
      <w:pPr>
        <w:spacing w:line="600" w:lineRule="exact"/>
        <w:jc w:val="center"/>
        <w:outlineLvl w:val="0"/>
        <w:rPr>
          <w:rFonts w:hint="eastAsia" w:ascii="仿宋_GB2312" w:eastAsia="仿宋_GB2312" w:cs="仿宋_GB2312"/>
          <w:color w:val="000000"/>
          <w:sz w:val="44"/>
          <w:szCs w:val="44"/>
        </w:rPr>
      </w:pPr>
    </w:p>
    <w:p w14:paraId="47B8E1A4">
      <w:pPr>
        <w:spacing w:line="600" w:lineRule="exact"/>
        <w:jc w:val="center"/>
        <w:outlineLvl w:val="0"/>
        <w:rPr>
          <w:rFonts w:hint="eastAsia" w:ascii="仿宋_GB2312" w:eastAsia="仿宋_GB2312" w:cs="仿宋_GB2312"/>
          <w:color w:val="000000"/>
          <w:sz w:val="44"/>
          <w:szCs w:val="44"/>
        </w:rPr>
      </w:pPr>
    </w:p>
    <w:p w14:paraId="0EEADB0F">
      <w:pPr>
        <w:spacing w:line="600" w:lineRule="exact"/>
        <w:jc w:val="center"/>
        <w:outlineLvl w:val="0"/>
        <w:rPr>
          <w:rFonts w:hint="eastAsia" w:ascii="仿宋_GB2312" w:eastAsia="仿宋_GB2312" w:cs="仿宋_GB2312"/>
          <w:color w:val="000000"/>
          <w:sz w:val="44"/>
          <w:szCs w:val="44"/>
        </w:rPr>
      </w:pPr>
    </w:p>
    <w:p w14:paraId="6DA7D5D6">
      <w:pPr>
        <w:pStyle w:val="6"/>
        <w:rPr>
          <w:rFonts w:hint="eastAsia" w:ascii="仿宋_GB2312" w:eastAsia="仿宋_GB2312" w:cs="仿宋_GB2312"/>
          <w:color w:val="000000"/>
          <w:sz w:val="44"/>
          <w:szCs w:val="44"/>
        </w:rPr>
      </w:pPr>
    </w:p>
    <w:p w14:paraId="04AC5E44">
      <w:pPr>
        <w:spacing w:line="600" w:lineRule="exact"/>
        <w:jc w:val="center"/>
        <w:outlineLvl w:val="0"/>
        <w:rPr>
          <w:rFonts w:hint="eastAsia" w:ascii="仿宋_GB2312" w:eastAsia="仿宋_GB2312" w:cs="仿宋_GB2312"/>
          <w:color w:val="000000"/>
          <w:sz w:val="44"/>
          <w:szCs w:val="44"/>
        </w:rPr>
      </w:pPr>
    </w:p>
    <w:p w14:paraId="0419567F">
      <w:pPr>
        <w:spacing w:line="600" w:lineRule="exact"/>
        <w:jc w:val="center"/>
        <w:outlineLvl w:val="0"/>
        <w:rPr>
          <w:rFonts w:hint="eastAsia" w:ascii="仿宋_GB2312" w:eastAsia="仿宋_GB2312" w:cs="仿宋_GB2312"/>
          <w:color w:val="000000"/>
          <w:sz w:val="44"/>
          <w:szCs w:val="44"/>
        </w:rPr>
      </w:pPr>
    </w:p>
    <w:p w14:paraId="460F0665">
      <w:pPr>
        <w:spacing w:line="600" w:lineRule="exact"/>
        <w:jc w:val="both"/>
        <w:outlineLvl w:val="0"/>
        <w:rPr>
          <w:rFonts w:hint="eastAsia" w:ascii="仿宋_GB2312" w:eastAsia="仿宋_GB2312" w:cs="仿宋_GB2312"/>
          <w:color w:val="000000"/>
          <w:sz w:val="44"/>
          <w:szCs w:val="44"/>
        </w:rPr>
      </w:pPr>
    </w:p>
    <w:p w14:paraId="478D2FE5">
      <w:pPr>
        <w:pStyle w:val="2"/>
        <w:rPr>
          <w:rFonts w:hint="eastAsia" w:ascii="仿宋_GB2312" w:eastAsia="仿宋_GB2312" w:cs="仿宋_GB2312"/>
          <w:color w:val="000000"/>
          <w:sz w:val="44"/>
          <w:szCs w:val="44"/>
        </w:rPr>
      </w:pPr>
    </w:p>
    <w:p w14:paraId="27C659DB">
      <w:pPr>
        <w:rPr>
          <w:rFonts w:hint="eastAsia" w:ascii="仿宋_GB2312" w:eastAsia="仿宋_GB2312" w:cs="仿宋_GB2312"/>
          <w:color w:val="000000"/>
          <w:sz w:val="44"/>
          <w:szCs w:val="44"/>
        </w:rPr>
      </w:pPr>
    </w:p>
    <w:p w14:paraId="486D3562">
      <w:pPr>
        <w:pStyle w:val="2"/>
        <w:rPr>
          <w:rFonts w:hint="eastAsia" w:ascii="仿宋_GB2312" w:eastAsia="仿宋_GB2312" w:cs="仿宋_GB2312"/>
          <w:color w:val="000000"/>
          <w:sz w:val="44"/>
          <w:szCs w:val="44"/>
        </w:rPr>
      </w:pPr>
    </w:p>
    <w:p w14:paraId="43ACB59B">
      <w:pPr>
        <w:rPr>
          <w:rFonts w:hint="eastAsia" w:ascii="仿宋_GB2312" w:eastAsia="仿宋_GB2312" w:cs="仿宋_GB2312"/>
          <w:color w:val="000000"/>
          <w:sz w:val="44"/>
          <w:szCs w:val="44"/>
        </w:rPr>
      </w:pPr>
    </w:p>
    <w:p w14:paraId="3CBBEB8F">
      <w:pPr>
        <w:pStyle w:val="2"/>
        <w:rPr>
          <w:rFonts w:hint="eastAsia" w:ascii="仿宋_GB2312" w:eastAsia="仿宋_GB2312" w:cs="仿宋_GB2312"/>
          <w:color w:val="000000"/>
          <w:sz w:val="44"/>
          <w:szCs w:val="44"/>
        </w:rPr>
      </w:pPr>
    </w:p>
    <w:p w14:paraId="6CA8C20B">
      <w:pPr>
        <w:rPr>
          <w:rFonts w:hint="eastAsia"/>
        </w:rPr>
      </w:pPr>
    </w:p>
    <w:p w14:paraId="76E27FE2">
      <w:pPr>
        <w:numPr>
          <w:ilvl w:val="0"/>
          <w:numId w:val="3"/>
        </w:numPr>
        <w:spacing w:line="600" w:lineRule="exact"/>
        <w:ind w:left="0" w:firstLine="663" w:firstLineChars="150"/>
        <w:jc w:val="center"/>
        <w:outlineLvl w:val="0"/>
        <w:rPr>
          <w:rStyle w:val="18"/>
          <w:rFonts w:hint="eastAsia" w:ascii="仿宋_GB2312" w:eastAsia="仿宋_GB2312" w:cs="仿宋_GB2312"/>
          <w:b/>
          <w:bCs w:val="0"/>
        </w:rPr>
      </w:pPr>
      <w:bookmarkStart w:id="172" w:name="_Toc26512"/>
      <w:bookmarkStart w:id="173" w:name="_Toc22478"/>
      <w:bookmarkStart w:id="174" w:name="_Toc9035"/>
      <w:bookmarkStart w:id="175" w:name="_Toc5876"/>
      <w:bookmarkStart w:id="176" w:name="_Toc27820"/>
      <w:r>
        <w:rPr>
          <w:rStyle w:val="18"/>
          <w:rFonts w:hint="eastAsia" w:ascii="仿宋_GB2312" w:eastAsia="仿宋_GB2312" w:cs="仿宋_GB2312"/>
          <w:b/>
          <w:bCs w:val="0"/>
          <w:lang w:val="en-US"/>
        </w:rPr>
        <w:t>部门整体支出绩效报告</w:t>
      </w:r>
      <w:bookmarkEnd w:id="170"/>
      <w:bookmarkEnd w:id="172"/>
    </w:p>
    <w:bookmarkEnd w:id="173"/>
    <w:p w14:paraId="0DBF46E8">
      <w:pPr>
        <w:pStyle w:val="6"/>
        <w:rPr>
          <w:rFonts w:hint="eastAsia"/>
          <w:b/>
          <w:bCs w:val="0"/>
        </w:rPr>
      </w:pPr>
    </w:p>
    <w:bookmarkEnd w:id="171"/>
    <w:bookmarkEnd w:id="174"/>
    <w:bookmarkEnd w:id="175"/>
    <w:bookmarkEnd w:id="176"/>
    <w:p w14:paraId="555B974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中共金川县委机构编制委员会办公室</w:t>
      </w:r>
    </w:p>
    <w:p w14:paraId="3D22E35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cs="Times New Roman"/>
          <w:sz w:val="44"/>
          <w:szCs w:val="44"/>
        </w:rPr>
      </w:pPr>
      <w:r>
        <w:rPr>
          <w:rFonts w:hint="eastAsia" w:ascii="方正小标宋简体" w:eastAsia="方正小标宋简体" w:cs="Times New Roman"/>
          <w:sz w:val="44"/>
          <w:szCs w:val="44"/>
        </w:rPr>
        <w:t>202</w:t>
      </w:r>
      <w:r>
        <w:rPr>
          <w:rFonts w:hint="eastAsia" w:ascii="方正小标宋简体" w:eastAsia="方正小标宋简体" w:cs="Times New Roman"/>
          <w:sz w:val="44"/>
          <w:szCs w:val="44"/>
          <w:lang w:val="en-US" w:eastAsia="zh-CN"/>
        </w:rPr>
        <w:t>2</w:t>
      </w:r>
      <w:r>
        <w:rPr>
          <w:rFonts w:hint="eastAsia" w:ascii="方正小标宋简体" w:eastAsia="方正小标宋简体" w:cs="Times New Roman"/>
          <w:sz w:val="44"/>
          <w:szCs w:val="44"/>
        </w:rPr>
        <w:t>年县级部门整体支出绩效评价报告</w:t>
      </w:r>
    </w:p>
    <w:p w14:paraId="72BABF89">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10"/>
          <w:szCs w:val="10"/>
          <w:lang w:val="en-US" w:eastAsia="zh-CN"/>
        </w:rPr>
      </w:pPr>
    </w:p>
    <w:p w14:paraId="22452BA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en-US" w:eastAsia="zh-CN"/>
        </w:rPr>
        <w:t>为深入贯彻落实党中央国务院和省委省政府关于全面实施预算绩效管理决策部署，按照《中共四川省委办公厅四川省人民政府办公厅关于深入实施预算绩效管理的通知》（川委厅〔2022〕5号）、《四川省省级财政预算管理办法》（省政府令第356号）、四川省财政厅《关于开展2023年财政重点绩效评价工作的通知》（川财绩〔2023〕9号）、《关于开展2023年部门、政策和项目支出绩效评价工作的通知》（金财监绩〔2023〕32号）等文件要求，</w:t>
      </w:r>
      <w:r>
        <w:rPr>
          <w:rFonts w:hint="eastAsia" w:ascii="仿宋_GB2312" w:eastAsia="仿宋_GB2312" w:cs="仿宋_GB2312"/>
          <w:sz w:val="32"/>
          <w:szCs w:val="32"/>
          <w:lang w:val="zh-CN" w:eastAsia="zh-CN"/>
        </w:rPr>
        <w:t>我办高度重视，赓即成立了县委编办2023年县级部门整体支出绩效评价工作领导小组，下设绩效评价办公室于财务室，负责评价工作组织、开展、资料收集、评价报告的撰写及上报等日常工作。</w:t>
      </w:r>
    </w:p>
    <w:p w14:paraId="3B0BC74D">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方正小标宋简体" w:eastAsia="方正小标宋简体" w:cs="方正小标宋简体"/>
          <w:b/>
          <w:bCs/>
          <w:sz w:val="32"/>
          <w:szCs w:val="32"/>
          <w:lang w:val="zh-CN" w:eastAsia="zh-CN"/>
        </w:rPr>
      </w:pPr>
      <w:r>
        <w:rPr>
          <w:rFonts w:hint="eastAsia" w:ascii="方正小标宋简体" w:eastAsia="方正小标宋简体" w:cs="方正小标宋简体"/>
          <w:b/>
          <w:bCs/>
          <w:sz w:val="32"/>
          <w:szCs w:val="32"/>
          <w:lang w:val="zh-CN" w:eastAsia="zh-CN"/>
        </w:rPr>
        <w:t>一、部门（单位）概况</w:t>
      </w:r>
    </w:p>
    <w:p w14:paraId="44F4C226">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b/>
          <w:bCs/>
          <w:sz w:val="32"/>
          <w:szCs w:val="32"/>
          <w:lang w:val="zh-CN" w:eastAsia="zh-CN"/>
        </w:rPr>
      </w:pPr>
      <w:r>
        <w:rPr>
          <w:rFonts w:hint="eastAsia" w:ascii="仿宋_GB2312" w:eastAsia="仿宋_GB2312" w:cs="仿宋_GB2312"/>
          <w:b/>
          <w:bCs/>
          <w:sz w:val="32"/>
          <w:szCs w:val="32"/>
          <w:lang w:val="en-US" w:eastAsia="zh-CN"/>
        </w:rPr>
        <w:t xml:space="preserve">  （</w:t>
      </w:r>
      <w:r>
        <w:rPr>
          <w:rFonts w:hint="eastAsia" w:ascii="仿宋_GB2312" w:eastAsia="仿宋_GB2312" w:cs="仿宋_GB2312"/>
          <w:b/>
          <w:bCs/>
          <w:sz w:val="32"/>
          <w:szCs w:val="32"/>
          <w:lang w:val="zh-CN" w:eastAsia="zh-CN"/>
        </w:rPr>
        <w:t>一）机构组成</w:t>
      </w:r>
    </w:p>
    <w:p w14:paraId="05081BB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本部门预算单位</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val="zh-CN" w:eastAsia="zh-CN"/>
        </w:rPr>
        <w:t xml:space="preserve"> 个（</w:t>
      </w:r>
      <w:r>
        <w:rPr>
          <w:rFonts w:hint="eastAsia" w:ascii="仿宋_GB2312" w:eastAsia="仿宋_GB2312" w:cs="仿宋_GB2312"/>
          <w:sz w:val="32"/>
          <w:szCs w:val="32"/>
          <w:lang w:val="en-US" w:eastAsia="zh-CN"/>
        </w:rPr>
        <w:t>中共金川县委机构编制委员会办公室本级，金川县事业登记管理局、中共金川县委机构编制电子政务中心</w:t>
      </w:r>
      <w:r>
        <w:rPr>
          <w:rFonts w:hint="eastAsia" w:ascii="仿宋_GB2312" w:eastAsia="仿宋_GB2312" w:cs="仿宋_GB2312"/>
          <w:sz w:val="32"/>
          <w:szCs w:val="32"/>
          <w:lang w:val="zh-CN" w:eastAsia="zh-CN"/>
        </w:rPr>
        <w:t>）。</w:t>
      </w:r>
    </w:p>
    <w:p w14:paraId="183F0F1E">
      <w:pPr>
        <w:keepNext w:val="0"/>
        <w:keepLines w:val="0"/>
        <w:pageBreakBefore w:val="0"/>
        <w:widowControl w:val="0"/>
        <w:kinsoku/>
        <w:wordWrap/>
        <w:overflowPunct/>
        <w:topLinePunct w:val="0"/>
        <w:autoSpaceDE/>
        <w:autoSpaceDN/>
        <w:bidi w:val="0"/>
        <w:adjustRightInd/>
        <w:snapToGrid/>
        <w:spacing w:line="540" w:lineRule="exact"/>
        <w:ind w:firstLine="321" w:firstLineChars="100"/>
        <w:jc w:val="left"/>
        <w:textAlignment w:val="auto"/>
        <w:rPr>
          <w:rFonts w:hint="eastAsia" w:ascii="仿宋_GB2312" w:eastAsia="仿宋_GB2312" w:cs="仿宋_GB2312"/>
          <w:b/>
          <w:bCs/>
          <w:sz w:val="32"/>
          <w:szCs w:val="32"/>
          <w:lang w:val="zh-CN" w:eastAsia="zh-CN"/>
        </w:rPr>
      </w:pPr>
      <w:r>
        <w:rPr>
          <w:rFonts w:hint="eastAsia" w:ascii="仿宋_GB2312" w:eastAsia="仿宋_GB2312" w:cs="仿宋_GB2312"/>
          <w:b/>
          <w:bCs/>
          <w:sz w:val="32"/>
          <w:szCs w:val="32"/>
          <w:lang w:val="en-US" w:eastAsia="zh-CN"/>
        </w:rPr>
        <w:t xml:space="preserve"> </w:t>
      </w:r>
      <w:r>
        <w:rPr>
          <w:rFonts w:hint="eastAsia" w:ascii="仿宋_GB2312" w:eastAsia="仿宋_GB2312" w:cs="仿宋_GB2312"/>
          <w:b/>
          <w:bCs/>
          <w:sz w:val="32"/>
          <w:szCs w:val="32"/>
          <w:lang w:val="zh-CN" w:eastAsia="zh-CN"/>
        </w:rPr>
        <w:t>（二）机构职能</w:t>
      </w:r>
    </w:p>
    <w:p w14:paraId="6DE8AADC">
      <w:pPr>
        <w:ind w:firstLine="640" w:firstLineChars="200"/>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主要职能：</w:t>
      </w:r>
      <w:r>
        <w:rPr>
          <w:rFonts w:hint="eastAsia" w:ascii="宋体" w:hAnsi="宋体" w:eastAsia="仿宋_GB2312" w:cs="宋体"/>
          <w:color w:val="000000"/>
          <w:spacing w:val="-14"/>
          <w:kern w:val="0"/>
          <w:sz w:val="32"/>
          <w:szCs w:val="32"/>
        </w:rPr>
        <w:t>金川县委机构编制委员会办公室为县机构编制委员会的办事机构，既是县委的工作机构，又是县政府的工作机构。第一贯彻执行机构编制管理工作的方针、政策和法规，研究拟定我县机构编制管理工作的政策，经批准后组织实施。第二负责草拟行政管理体制、事业单位管理体制和机构改革方案以及机构编制管理规定和办法。第三负责全县各部门有关机构编制请示事宜的审核。第四依法监管全县事业单位，依法管理全县事业单位登记和年检。第五负责县机构编制委员会全体会议材料准备，负责组织实施县机构编制委员会全体会议的各项决定事项，并将实施情况向县机构编制委员会报告。第六负责县级党政群机关和事业单位机构编制的日常管理工作，按管理权限对各部门机构编制工作进行管理和业务指导，承办县机构编制委员会交办的其他工作事项。</w:t>
      </w:r>
    </w:p>
    <w:p w14:paraId="52F98780">
      <w:pPr>
        <w:keepNext w:val="0"/>
        <w:keepLines w:val="0"/>
        <w:pageBreakBefore w:val="0"/>
        <w:widowControl w:val="0"/>
        <w:kinsoku/>
        <w:wordWrap/>
        <w:overflowPunct/>
        <w:topLinePunct w:val="0"/>
        <w:autoSpaceDE/>
        <w:autoSpaceDN/>
        <w:bidi w:val="0"/>
        <w:adjustRightInd/>
        <w:snapToGrid/>
        <w:spacing w:line="540" w:lineRule="exact"/>
        <w:ind w:firstLine="321" w:firstLineChars="100"/>
        <w:jc w:val="left"/>
        <w:textAlignment w:val="auto"/>
        <w:rPr>
          <w:rFonts w:hint="eastAsia" w:ascii="仿宋_GB2312" w:eastAsia="仿宋_GB2312" w:cs="仿宋_GB2312"/>
          <w:b/>
          <w:bCs/>
          <w:sz w:val="32"/>
          <w:szCs w:val="32"/>
          <w:lang w:val="zh-CN" w:eastAsia="zh-CN"/>
        </w:rPr>
      </w:pPr>
      <w:r>
        <w:rPr>
          <w:rFonts w:hint="eastAsia" w:ascii="仿宋_GB2312" w:eastAsia="仿宋_GB2312" w:cs="仿宋_GB2312"/>
          <w:b/>
          <w:bCs/>
          <w:sz w:val="32"/>
          <w:szCs w:val="32"/>
          <w:lang w:val="zh-CN" w:eastAsia="zh-CN"/>
        </w:rPr>
        <w:t>（三）人员概况</w:t>
      </w:r>
    </w:p>
    <w:p w14:paraId="511BB47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金川县委编办独立编制机构数</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val="zh-CN" w:eastAsia="zh-CN"/>
        </w:rPr>
        <w:t>个，独立核算机构数</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val="zh-CN" w:eastAsia="zh-CN"/>
        </w:rPr>
        <w:t>个，单位编制数</w:t>
      </w:r>
      <w:r>
        <w:rPr>
          <w:rFonts w:hint="eastAsia" w:ascii="仿宋_GB2312" w:eastAsia="仿宋_GB2312" w:cs="仿宋_GB2312"/>
          <w:sz w:val="32"/>
          <w:szCs w:val="32"/>
          <w:lang w:val="en-US" w:eastAsia="zh-CN"/>
        </w:rPr>
        <w:t>14</w:t>
      </w:r>
      <w:r>
        <w:rPr>
          <w:rFonts w:hint="eastAsia" w:ascii="仿宋_GB2312" w:eastAsia="仿宋_GB2312" w:cs="仿宋_GB2312"/>
          <w:sz w:val="32"/>
          <w:szCs w:val="32"/>
          <w:lang w:val="zh-CN" w:eastAsia="zh-CN"/>
        </w:rPr>
        <w:t>个，其中：行政编制</w:t>
      </w:r>
      <w:r>
        <w:rPr>
          <w:rFonts w:hint="eastAsia" w:ascii="仿宋_GB2312" w:eastAsia="仿宋_GB2312" w:cs="仿宋_GB2312"/>
          <w:sz w:val="32"/>
          <w:szCs w:val="32"/>
          <w:lang w:val="en-US" w:eastAsia="zh-CN"/>
        </w:rPr>
        <w:t>4个</w:t>
      </w:r>
      <w:r>
        <w:rPr>
          <w:rFonts w:hint="eastAsia" w:ascii="仿宋_GB2312" w:eastAsia="仿宋_GB2312" w:cs="仿宋_GB2312"/>
          <w:sz w:val="32"/>
          <w:szCs w:val="32"/>
          <w:lang w:val="zh-CN" w:eastAsia="zh-CN"/>
        </w:rPr>
        <w:t>、行政工勤编制1个、参公编制</w:t>
      </w:r>
      <w:r>
        <w:rPr>
          <w:rFonts w:hint="eastAsia" w:ascii="仿宋_GB2312" w:eastAsia="仿宋_GB2312" w:cs="仿宋_GB2312"/>
          <w:sz w:val="32"/>
          <w:szCs w:val="32"/>
          <w:lang w:val="en-US" w:eastAsia="zh-CN"/>
        </w:rPr>
        <w:t>6个、</w:t>
      </w:r>
      <w:r>
        <w:rPr>
          <w:rFonts w:hint="eastAsia" w:ascii="仿宋_GB2312" w:eastAsia="仿宋_GB2312" w:cs="仿宋_GB2312"/>
          <w:sz w:val="32"/>
          <w:szCs w:val="32"/>
          <w:lang w:val="zh-CN" w:eastAsia="zh-CN"/>
        </w:rPr>
        <w:t>事业编制</w:t>
      </w:r>
      <w:r>
        <w:rPr>
          <w:rFonts w:hint="eastAsia" w:ascii="仿宋_GB2312" w:eastAsia="仿宋_GB2312" w:cs="仿宋_GB2312"/>
          <w:sz w:val="32"/>
          <w:szCs w:val="32"/>
          <w:lang w:val="en-US" w:eastAsia="zh-CN"/>
        </w:rPr>
        <w:t>3个</w:t>
      </w:r>
      <w:r>
        <w:rPr>
          <w:rFonts w:hint="eastAsia" w:ascii="仿宋_GB2312" w:eastAsia="仿宋_GB2312" w:cs="仿宋_GB2312"/>
          <w:sz w:val="32"/>
          <w:szCs w:val="32"/>
          <w:lang w:val="zh-CN" w:eastAsia="zh-CN"/>
        </w:rPr>
        <w:t>。截止20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lang w:val="zh-CN" w:eastAsia="zh-CN"/>
        </w:rPr>
        <w:t>年末，单位实有人数</w:t>
      </w:r>
      <w:r>
        <w:rPr>
          <w:rFonts w:hint="eastAsia" w:ascii="仿宋_GB2312" w:eastAsia="仿宋_GB2312" w:cs="仿宋_GB2312"/>
          <w:sz w:val="32"/>
          <w:szCs w:val="32"/>
          <w:lang w:val="en-US" w:eastAsia="zh-CN"/>
        </w:rPr>
        <w:t>13</w:t>
      </w:r>
      <w:r>
        <w:rPr>
          <w:rFonts w:hint="eastAsia" w:ascii="仿宋_GB2312" w:eastAsia="仿宋_GB2312" w:cs="仿宋_GB2312"/>
          <w:sz w:val="32"/>
          <w:szCs w:val="32"/>
          <w:lang w:val="zh-CN" w:eastAsia="zh-CN"/>
        </w:rPr>
        <w:t>人。</w:t>
      </w:r>
    </w:p>
    <w:p w14:paraId="7AEE6FB3">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方正小标宋简体" w:eastAsia="方正小标宋简体" w:cs="方正小标宋简体"/>
          <w:b/>
          <w:bCs/>
          <w:sz w:val="32"/>
          <w:szCs w:val="32"/>
          <w:lang w:val="zh-CN" w:eastAsia="zh-CN"/>
        </w:rPr>
      </w:pPr>
      <w:r>
        <w:rPr>
          <w:rFonts w:hint="eastAsia" w:ascii="方正小标宋简体" w:eastAsia="方正小标宋简体" w:cs="方正小标宋简体"/>
          <w:b/>
          <w:bCs/>
          <w:sz w:val="32"/>
          <w:szCs w:val="32"/>
          <w:lang w:val="zh-CN" w:eastAsia="zh-CN"/>
        </w:rPr>
        <w:t>二、部门财政资金收支情况</w:t>
      </w:r>
    </w:p>
    <w:p w14:paraId="1BD6900B">
      <w:pPr>
        <w:keepNext w:val="0"/>
        <w:keepLines w:val="0"/>
        <w:pageBreakBefore w:val="0"/>
        <w:widowControl w:val="0"/>
        <w:kinsoku/>
        <w:wordWrap/>
        <w:overflowPunct/>
        <w:topLinePunct w:val="0"/>
        <w:autoSpaceDE/>
        <w:autoSpaceDN/>
        <w:bidi w:val="0"/>
        <w:adjustRightInd/>
        <w:snapToGrid/>
        <w:spacing w:line="540" w:lineRule="exact"/>
        <w:ind w:firstLine="321" w:firstLineChars="100"/>
        <w:jc w:val="left"/>
        <w:textAlignment w:val="auto"/>
        <w:rPr>
          <w:rFonts w:hint="eastAsia" w:ascii="仿宋_GB2312" w:eastAsia="仿宋_GB2312" w:cs="仿宋_GB2312"/>
          <w:b/>
          <w:bCs/>
          <w:sz w:val="32"/>
          <w:szCs w:val="32"/>
          <w:lang w:val="zh-CN" w:eastAsia="zh-CN"/>
        </w:rPr>
      </w:pPr>
      <w:bookmarkStart w:id="177" w:name="_Toc912"/>
      <w:r>
        <w:rPr>
          <w:rFonts w:hint="eastAsia" w:ascii="仿宋_GB2312" w:eastAsia="仿宋_GB2312" w:cs="仿宋_GB2312"/>
          <w:b/>
          <w:bCs/>
          <w:sz w:val="32"/>
          <w:szCs w:val="32"/>
          <w:lang w:val="zh-CN" w:eastAsia="zh-CN"/>
        </w:rPr>
        <w:t>（一）部门财政资金收入情况</w:t>
      </w:r>
      <w:bookmarkEnd w:id="177"/>
    </w:p>
    <w:p w14:paraId="09699E89">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lang w:val="zh-CN" w:eastAsia="zh-CN"/>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val="zh-CN" w:eastAsia="zh-CN"/>
        </w:rPr>
        <w:t>年度财政拨款收入</w:t>
      </w:r>
      <w:r>
        <w:rPr>
          <w:rFonts w:hint="eastAsia" w:ascii="仿宋_GB2312" w:eastAsia="仿宋_GB2312" w:cs="仿宋_GB2312"/>
          <w:sz w:val="32"/>
          <w:szCs w:val="32"/>
          <w:lang w:val="en-US" w:eastAsia="zh-CN"/>
        </w:rPr>
        <w:t>250.01</w:t>
      </w:r>
      <w:r>
        <w:rPr>
          <w:rFonts w:hint="eastAsia" w:ascii="仿宋_GB2312" w:eastAsia="仿宋_GB2312" w:cs="仿宋_GB2312"/>
          <w:sz w:val="32"/>
          <w:szCs w:val="32"/>
          <w:lang w:val="zh-CN" w:eastAsia="zh-CN"/>
        </w:rPr>
        <w:t>万元，上年结转0万元，当年财政拨款收入</w:t>
      </w:r>
      <w:r>
        <w:rPr>
          <w:rFonts w:hint="eastAsia" w:ascii="仿宋_GB2312" w:eastAsia="仿宋_GB2312" w:cs="仿宋_GB2312"/>
          <w:sz w:val="32"/>
          <w:szCs w:val="32"/>
          <w:lang w:val="en-US" w:eastAsia="zh-CN"/>
        </w:rPr>
        <w:t>250.01</w:t>
      </w:r>
      <w:r>
        <w:rPr>
          <w:rFonts w:hint="eastAsia" w:ascii="仿宋_GB2312" w:eastAsia="仿宋_GB2312" w:cs="仿宋_GB2312"/>
          <w:sz w:val="32"/>
          <w:szCs w:val="32"/>
          <w:lang w:val="zh-CN" w:eastAsia="zh-CN"/>
        </w:rPr>
        <w:t xml:space="preserve">万元，其他收入 0万元，上年结转收入 </w:t>
      </w:r>
      <w:r>
        <w:rPr>
          <w:rFonts w:hint="eastAsia" w:ascii="仿宋_GB2312" w:eastAsia="仿宋_GB2312" w:cs="仿宋_GB2312"/>
          <w:sz w:val="32"/>
          <w:szCs w:val="32"/>
          <w:lang w:val="en-US" w:eastAsia="zh-CN"/>
        </w:rPr>
        <w:t>0</w:t>
      </w:r>
      <w:r>
        <w:rPr>
          <w:rFonts w:hint="eastAsia" w:ascii="仿宋_GB2312" w:eastAsia="仿宋_GB2312" w:cs="仿宋_GB2312"/>
          <w:sz w:val="32"/>
          <w:szCs w:val="32"/>
          <w:lang w:val="zh-CN" w:eastAsia="zh-CN"/>
        </w:rPr>
        <w:t>万元。相应安排支出预算</w:t>
      </w:r>
      <w:r>
        <w:rPr>
          <w:rFonts w:hint="eastAsia" w:ascii="仿宋_GB2312" w:eastAsia="仿宋_GB2312" w:cs="仿宋_GB2312"/>
          <w:sz w:val="32"/>
          <w:szCs w:val="32"/>
          <w:lang w:val="en-US" w:eastAsia="zh-CN"/>
        </w:rPr>
        <w:t>250.01</w:t>
      </w:r>
      <w:r>
        <w:rPr>
          <w:rFonts w:hint="eastAsia" w:ascii="仿宋_GB2312" w:eastAsia="仿宋_GB2312" w:cs="仿宋_GB2312"/>
          <w:sz w:val="32"/>
          <w:szCs w:val="32"/>
          <w:lang w:val="zh-CN" w:eastAsia="zh-CN"/>
        </w:rPr>
        <w:t xml:space="preserve">万元。 </w:t>
      </w:r>
    </w:p>
    <w:p w14:paraId="79C8828E">
      <w:pPr>
        <w:keepNext w:val="0"/>
        <w:keepLines w:val="0"/>
        <w:pageBreakBefore w:val="0"/>
        <w:widowControl w:val="0"/>
        <w:kinsoku/>
        <w:wordWrap/>
        <w:overflowPunct/>
        <w:topLinePunct w:val="0"/>
        <w:autoSpaceDE/>
        <w:autoSpaceDN/>
        <w:bidi w:val="0"/>
        <w:adjustRightInd/>
        <w:snapToGrid/>
        <w:spacing w:line="540" w:lineRule="exact"/>
        <w:ind w:firstLine="321" w:firstLineChars="100"/>
        <w:jc w:val="left"/>
        <w:textAlignment w:val="auto"/>
        <w:rPr>
          <w:rFonts w:hint="eastAsia" w:ascii="仿宋_GB2312" w:eastAsia="仿宋_GB2312" w:cs="仿宋_GB2312"/>
          <w:sz w:val="32"/>
          <w:szCs w:val="32"/>
          <w:lang w:val="zh-CN" w:eastAsia="zh-CN"/>
        </w:rPr>
      </w:pPr>
      <w:r>
        <w:rPr>
          <w:rFonts w:hint="eastAsia" w:ascii="仿宋_GB2312" w:eastAsia="仿宋_GB2312" w:cs="仿宋_GB2312"/>
          <w:b/>
          <w:bCs/>
          <w:sz w:val="32"/>
          <w:szCs w:val="32"/>
          <w:lang w:val="zh-CN" w:eastAsia="zh-CN"/>
        </w:rPr>
        <w:t>（二）部门财政资金支出情况。</w:t>
      </w:r>
      <w:r>
        <w:rPr>
          <w:rFonts w:hint="eastAsia" w:ascii="方正小标宋简体" w:eastAsia="方正小标宋简体" w:cs="方正小标宋简体"/>
          <w:b/>
          <w:bCs/>
          <w:sz w:val="32"/>
          <w:szCs w:val="32"/>
          <w:lang w:val="zh-CN" w:eastAsia="zh-CN"/>
        </w:rPr>
        <w:t> </w:t>
      </w:r>
    </w:p>
    <w:p w14:paraId="024F324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val="zh-CN" w:eastAsia="zh-CN"/>
        </w:rPr>
        <w:t>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lang w:val="zh-CN" w:eastAsia="zh-CN"/>
        </w:rPr>
        <w:t>年度一般公共预算财政拨款基本支出</w:t>
      </w:r>
      <w:r>
        <w:rPr>
          <w:rFonts w:hint="eastAsia" w:ascii="仿宋_GB2312" w:eastAsia="仿宋_GB2312" w:cs="仿宋_GB2312"/>
          <w:sz w:val="32"/>
          <w:szCs w:val="32"/>
          <w:lang w:val="en-US" w:eastAsia="zh-CN"/>
        </w:rPr>
        <w:t>250.01</w:t>
      </w:r>
      <w:r>
        <w:rPr>
          <w:rFonts w:hint="eastAsia" w:ascii="仿宋_GB2312" w:eastAsia="仿宋_GB2312" w:cs="仿宋_GB2312"/>
          <w:sz w:val="32"/>
          <w:szCs w:val="32"/>
          <w:lang w:val="zh-CN" w:eastAsia="zh-CN"/>
        </w:rPr>
        <w:t>万元，其中基本支出明细如下：</w:t>
      </w:r>
    </w:p>
    <w:p w14:paraId="21A7FA41">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lang w:val="zh-CN" w:eastAsia="zh-CN"/>
        </w:rPr>
        <w:t>人员经费</w:t>
      </w:r>
      <w:r>
        <w:rPr>
          <w:rFonts w:hint="eastAsia" w:ascii="仿宋_GB2312" w:eastAsia="仿宋_GB2312" w:cs="仿宋_GB2312"/>
          <w:sz w:val="32"/>
          <w:szCs w:val="32"/>
          <w:lang w:val="en-US" w:eastAsia="zh-CN"/>
        </w:rPr>
        <w:t>240.93</w:t>
      </w:r>
      <w:r>
        <w:rPr>
          <w:rFonts w:hint="eastAsia" w:ascii="仿宋_GB2312" w:eastAsia="仿宋_GB2312" w:cs="仿宋_GB2312"/>
          <w:sz w:val="32"/>
          <w:szCs w:val="32"/>
          <w:lang w:val="zh-CN" w:eastAsia="zh-CN"/>
        </w:rPr>
        <w:t>万元，主要包括：基本工资</w:t>
      </w:r>
      <w:r>
        <w:rPr>
          <w:rFonts w:hint="eastAsia" w:ascii="仿宋_GB2312" w:eastAsia="仿宋_GB2312" w:cs="仿宋_GB2312"/>
          <w:sz w:val="32"/>
          <w:szCs w:val="32"/>
          <w:lang w:val="en-US" w:eastAsia="zh-CN"/>
        </w:rPr>
        <w:t>48.44</w:t>
      </w:r>
      <w:r>
        <w:rPr>
          <w:rFonts w:hint="eastAsia" w:ascii="仿宋_GB2312" w:eastAsia="仿宋_GB2312" w:cs="仿宋_GB2312"/>
          <w:sz w:val="32"/>
          <w:szCs w:val="32"/>
          <w:lang w:val="zh-CN" w:eastAsia="zh-CN"/>
        </w:rPr>
        <w:t>万元、津贴补贴</w:t>
      </w:r>
      <w:r>
        <w:rPr>
          <w:rFonts w:hint="eastAsia" w:ascii="仿宋_GB2312" w:eastAsia="仿宋_GB2312" w:cs="仿宋_GB2312"/>
          <w:sz w:val="32"/>
          <w:szCs w:val="32"/>
          <w:lang w:val="en-US" w:eastAsia="zh-CN"/>
        </w:rPr>
        <w:t>50.67</w:t>
      </w:r>
      <w:r>
        <w:rPr>
          <w:rFonts w:hint="eastAsia" w:ascii="仿宋_GB2312" w:eastAsia="仿宋_GB2312" w:cs="仿宋_GB2312"/>
          <w:sz w:val="32"/>
          <w:szCs w:val="32"/>
          <w:lang w:val="zh-CN" w:eastAsia="zh-CN"/>
        </w:rPr>
        <w:t>万元、奖金</w:t>
      </w:r>
      <w:r>
        <w:rPr>
          <w:rFonts w:hint="eastAsia" w:ascii="仿宋_GB2312" w:eastAsia="仿宋_GB2312" w:cs="仿宋_GB2312"/>
          <w:sz w:val="32"/>
          <w:szCs w:val="32"/>
          <w:lang w:val="en-US" w:eastAsia="zh-CN"/>
        </w:rPr>
        <w:t>44.53</w:t>
      </w:r>
      <w:r>
        <w:rPr>
          <w:rFonts w:hint="eastAsia" w:ascii="仿宋_GB2312" w:eastAsia="仿宋_GB2312" w:cs="仿宋_GB2312"/>
          <w:sz w:val="32"/>
          <w:szCs w:val="32"/>
          <w:lang w:val="zh-CN" w:eastAsia="zh-CN"/>
        </w:rPr>
        <w:t>万元、机关事业单位基本养老保险缴费</w:t>
      </w:r>
      <w:r>
        <w:rPr>
          <w:rFonts w:hint="eastAsia" w:ascii="仿宋_GB2312" w:eastAsia="仿宋_GB2312" w:cs="仿宋_GB2312"/>
          <w:sz w:val="32"/>
          <w:szCs w:val="32"/>
          <w:lang w:val="en-US" w:eastAsia="zh-CN"/>
        </w:rPr>
        <w:t>19.83</w:t>
      </w:r>
      <w:r>
        <w:rPr>
          <w:rFonts w:hint="eastAsia" w:ascii="仿宋_GB2312" w:eastAsia="仿宋_GB2312" w:cs="仿宋_GB2312"/>
          <w:sz w:val="32"/>
          <w:szCs w:val="32"/>
          <w:lang w:val="zh-CN" w:eastAsia="zh-CN"/>
        </w:rPr>
        <w:t>万元、职业年金缴</w:t>
      </w:r>
      <w:r>
        <w:rPr>
          <w:rFonts w:hint="eastAsia" w:ascii="仿宋_GB2312" w:eastAsia="仿宋_GB2312" w:cs="仿宋_GB2312"/>
          <w:sz w:val="32"/>
          <w:szCs w:val="32"/>
          <w:lang w:val="en-US" w:eastAsia="zh-CN"/>
        </w:rPr>
        <w:t>9.91</w:t>
      </w:r>
      <w:r>
        <w:rPr>
          <w:rFonts w:hint="eastAsia" w:ascii="仿宋_GB2312" w:eastAsia="仿宋_GB2312" w:cs="仿宋_GB2312"/>
          <w:sz w:val="32"/>
          <w:szCs w:val="32"/>
          <w:lang w:val="zh-CN" w:eastAsia="zh-CN"/>
        </w:rPr>
        <w:t>万元、行政单位医疗</w:t>
      </w:r>
      <w:r>
        <w:rPr>
          <w:rFonts w:hint="eastAsia" w:ascii="仿宋_GB2312" w:eastAsia="仿宋_GB2312" w:cs="仿宋_GB2312"/>
          <w:sz w:val="32"/>
          <w:szCs w:val="32"/>
          <w:lang w:val="en-US" w:eastAsia="zh-CN"/>
        </w:rPr>
        <w:t>7.5</w:t>
      </w:r>
      <w:r>
        <w:rPr>
          <w:rFonts w:hint="eastAsia" w:ascii="仿宋_GB2312" w:eastAsia="仿宋_GB2312" w:cs="仿宋_GB2312"/>
          <w:sz w:val="32"/>
          <w:szCs w:val="32"/>
          <w:lang w:val="zh-CN" w:eastAsia="zh-CN"/>
        </w:rPr>
        <w:t>万元、公务员医疗补助</w:t>
      </w:r>
      <w:r>
        <w:rPr>
          <w:rFonts w:hint="eastAsia" w:ascii="仿宋_GB2312" w:eastAsia="仿宋_GB2312" w:cs="仿宋_GB2312"/>
          <w:sz w:val="32"/>
          <w:szCs w:val="32"/>
          <w:lang w:val="en-US" w:eastAsia="zh-CN"/>
        </w:rPr>
        <w:t>1.81万元、</w:t>
      </w:r>
      <w:r>
        <w:rPr>
          <w:rFonts w:hint="eastAsia" w:ascii="仿宋_GB2312" w:eastAsia="仿宋_GB2312" w:cs="仿宋_GB2312"/>
          <w:sz w:val="32"/>
          <w:szCs w:val="32"/>
          <w:lang w:val="zh-CN" w:eastAsia="zh-CN"/>
        </w:rPr>
        <w:t>住房公积金</w:t>
      </w:r>
      <w:r>
        <w:rPr>
          <w:rFonts w:hint="eastAsia" w:ascii="仿宋_GB2312" w:eastAsia="仿宋_GB2312" w:cs="仿宋_GB2312"/>
          <w:sz w:val="32"/>
          <w:szCs w:val="32"/>
          <w:lang w:val="en-US" w:eastAsia="zh-CN"/>
        </w:rPr>
        <w:t>17.55</w:t>
      </w:r>
      <w:r>
        <w:rPr>
          <w:rFonts w:hint="eastAsia" w:ascii="仿宋_GB2312" w:eastAsia="仿宋_GB2312" w:cs="仿宋_GB2312"/>
          <w:sz w:val="32"/>
          <w:szCs w:val="32"/>
          <w:lang w:val="zh-CN" w:eastAsia="zh-CN"/>
        </w:rPr>
        <w:t>万元、奖励金</w:t>
      </w:r>
      <w:r>
        <w:rPr>
          <w:rFonts w:hint="eastAsia" w:ascii="仿宋_GB2312" w:eastAsia="仿宋_GB2312" w:cs="仿宋_GB2312"/>
          <w:sz w:val="32"/>
          <w:szCs w:val="32"/>
          <w:lang w:val="en-US" w:eastAsia="zh-CN"/>
        </w:rPr>
        <w:t>26.21</w:t>
      </w:r>
      <w:r>
        <w:rPr>
          <w:rFonts w:hint="eastAsia" w:ascii="仿宋_GB2312" w:eastAsia="仿宋_GB2312" w:cs="仿宋_GB2312"/>
          <w:sz w:val="32"/>
          <w:szCs w:val="32"/>
          <w:lang w:val="zh-CN" w:eastAsia="zh-CN"/>
        </w:rPr>
        <w:t>万元、其他社会保障缴费</w:t>
      </w:r>
      <w:r>
        <w:rPr>
          <w:rFonts w:hint="eastAsia" w:ascii="仿宋_GB2312" w:eastAsia="仿宋_GB2312" w:cs="仿宋_GB2312"/>
          <w:sz w:val="32"/>
          <w:szCs w:val="32"/>
          <w:lang w:val="en-US" w:eastAsia="zh-CN"/>
        </w:rPr>
        <w:t>2.41万元、生活补助0.9万元，</w:t>
      </w:r>
      <w:r>
        <w:rPr>
          <w:rFonts w:hint="eastAsia" w:ascii="仿宋_GB2312" w:eastAsia="仿宋_GB2312" w:cs="仿宋_GB2312"/>
          <w:sz w:val="32"/>
          <w:szCs w:val="32"/>
          <w:lang w:val="zh-CN" w:eastAsia="zh-CN"/>
        </w:rPr>
        <w:t>绩效工资</w:t>
      </w:r>
      <w:r>
        <w:rPr>
          <w:rFonts w:hint="eastAsia" w:ascii="仿宋_GB2312" w:eastAsia="仿宋_GB2312" w:cs="仿宋_GB2312"/>
          <w:sz w:val="32"/>
          <w:szCs w:val="32"/>
          <w:lang w:val="en-US" w:eastAsia="zh-CN"/>
        </w:rPr>
        <w:t>8.97万元、</w:t>
      </w:r>
      <w:r>
        <w:rPr>
          <w:rFonts w:hint="eastAsia" w:ascii="仿宋_GB2312" w:eastAsia="仿宋_GB2312" w:cs="仿宋_GB2312"/>
          <w:sz w:val="32"/>
          <w:szCs w:val="32"/>
          <w:lang w:val="zh-CN" w:eastAsia="zh-CN"/>
        </w:rPr>
        <w:t>事业单位医疗</w:t>
      </w:r>
      <w:r>
        <w:rPr>
          <w:rFonts w:hint="eastAsia" w:ascii="仿宋_GB2312" w:eastAsia="仿宋_GB2312" w:cs="仿宋_GB2312"/>
          <w:sz w:val="32"/>
          <w:szCs w:val="32"/>
          <w:lang w:val="en-US" w:eastAsia="zh-CN"/>
        </w:rPr>
        <w:t>2.20</w:t>
      </w:r>
      <w:r>
        <w:rPr>
          <w:rFonts w:hint="eastAsia" w:ascii="仿宋_GB2312" w:eastAsia="仿宋_GB2312" w:cs="仿宋_GB2312"/>
          <w:sz w:val="32"/>
          <w:szCs w:val="32"/>
          <w:lang w:val="zh-CN" w:eastAsia="zh-CN"/>
        </w:rPr>
        <w:t>万元。</w:t>
      </w:r>
      <w:r>
        <w:rPr>
          <w:rFonts w:hint="eastAsia" w:ascii="仿宋_GB2312" w:eastAsia="仿宋_GB2312" w:cs="仿宋_GB2312"/>
          <w:sz w:val="32"/>
          <w:szCs w:val="32"/>
          <w:lang w:val="zh-CN" w:eastAsia="zh-CN"/>
        </w:rPr>
        <w:br w:type="textWrapping"/>
      </w:r>
      <w:r>
        <w:rPr>
          <w:rFonts w:hint="eastAsia" w:ascii="仿宋_GB2312" w:eastAsia="仿宋_GB2312" w:cs="仿宋_GB2312"/>
          <w:sz w:val="32"/>
          <w:szCs w:val="32"/>
          <w:lang w:val="zh-CN" w:eastAsia="zh-CN"/>
        </w:rPr>
        <w:t>　　公用经费</w:t>
      </w:r>
      <w:r>
        <w:rPr>
          <w:rFonts w:hint="eastAsia" w:ascii="仿宋_GB2312" w:eastAsia="仿宋_GB2312" w:cs="仿宋_GB2312"/>
          <w:sz w:val="32"/>
          <w:szCs w:val="32"/>
          <w:lang w:val="en-US" w:eastAsia="zh-CN"/>
        </w:rPr>
        <w:t>9.08</w:t>
      </w:r>
      <w:r>
        <w:rPr>
          <w:rFonts w:hint="eastAsia" w:ascii="仿宋_GB2312" w:eastAsia="仿宋_GB2312" w:cs="仿宋_GB2312"/>
          <w:sz w:val="32"/>
          <w:szCs w:val="32"/>
          <w:lang w:val="zh-CN" w:eastAsia="zh-CN"/>
        </w:rPr>
        <w:t>万元，主要包括：办公费</w:t>
      </w:r>
      <w:r>
        <w:rPr>
          <w:rFonts w:hint="eastAsia" w:ascii="仿宋_GB2312" w:eastAsia="仿宋_GB2312" w:cs="仿宋_GB2312"/>
          <w:sz w:val="32"/>
          <w:szCs w:val="32"/>
          <w:lang w:val="en-US" w:eastAsia="zh-CN"/>
        </w:rPr>
        <w:t>3.56</w:t>
      </w:r>
      <w:r>
        <w:rPr>
          <w:rFonts w:hint="eastAsia" w:ascii="仿宋_GB2312" w:eastAsia="仿宋_GB2312" w:cs="仿宋_GB2312"/>
          <w:sz w:val="32"/>
          <w:szCs w:val="32"/>
          <w:lang w:val="zh-CN" w:eastAsia="zh-CN"/>
        </w:rPr>
        <w:t>万元、电费</w:t>
      </w:r>
      <w:r>
        <w:rPr>
          <w:rFonts w:hint="eastAsia" w:ascii="仿宋_GB2312" w:eastAsia="仿宋_GB2312" w:cs="仿宋_GB2312"/>
          <w:sz w:val="32"/>
          <w:szCs w:val="32"/>
          <w:lang w:val="en-US" w:eastAsia="zh-CN"/>
        </w:rPr>
        <w:t>0.3</w:t>
      </w:r>
      <w:r>
        <w:rPr>
          <w:rFonts w:hint="eastAsia" w:ascii="仿宋_GB2312" w:eastAsia="仿宋_GB2312" w:cs="仿宋_GB2312"/>
          <w:sz w:val="32"/>
          <w:szCs w:val="32"/>
          <w:lang w:val="zh-CN" w:eastAsia="zh-CN"/>
        </w:rPr>
        <w:t>万元、邮电费</w:t>
      </w:r>
      <w:r>
        <w:rPr>
          <w:rFonts w:hint="eastAsia" w:ascii="仿宋_GB2312" w:eastAsia="仿宋_GB2312" w:cs="仿宋_GB2312"/>
          <w:sz w:val="32"/>
          <w:szCs w:val="32"/>
          <w:lang w:val="en-US" w:eastAsia="zh-CN"/>
        </w:rPr>
        <w:t>0.6</w:t>
      </w:r>
      <w:r>
        <w:rPr>
          <w:rFonts w:hint="eastAsia" w:ascii="仿宋_GB2312" w:eastAsia="仿宋_GB2312" w:cs="仿宋_GB2312"/>
          <w:sz w:val="32"/>
          <w:szCs w:val="32"/>
          <w:lang w:val="zh-CN" w:eastAsia="zh-CN"/>
        </w:rPr>
        <w:t>万元、差旅费</w:t>
      </w:r>
      <w:r>
        <w:rPr>
          <w:rFonts w:hint="eastAsia" w:ascii="仿宋_GB2312" w:eastAsia="仿宋_GB2312" w:cs="仿宋_GB2312"/>
          <w:sz w:val="32"/>
          <w:szCs w:val="32"/>
          <w:lang w:val="en-US" w:eastAsia="zh-CN"/>
        </w:rPr>
        <w:t>1.83</w:t>
      </w:r>
      <w:r>
        <w:rPr>
          <w:rFonts w:hint="eastAsia" w:ascii="仿宋_GB2312" w:eastAsia="仿宋_GB2312" w:cs="仿宋_GB2312"/>
          <w:sz w:val="32"/>
          <w:szCs w:val="32"/>
          <w:lang w:val="zh-CN" w:eastAsia="zh-CN"/>
        </w:rPr>
        <w:t>万元、水费</w:t>
      </w:r>
      <w:r>
        <w:rPr>
          <w:rFonts w:hint="eastAsia" w:ascii="仿宋_GB2312" w:eastAsia="仿宋_GB2312" w:cs="仿宋_GB2312"/>
          <w:sz w:val="32"/>
          <w:szCs w:val="32"/>
          <w:lang w:val="en-US" w:eastAsia="zh-CN"/>
        </w:rPr>
        <w:t>0.1</w:t>
      </w:r>
      <w:r>
        <w:rPr>
          <w:rFonts w:hint="eastAsia" w:ascii="仿宋_GB2312" w:eastAsia="仿宋_GB2312" w:cs="仿宋_GB2312"/>
          <w:sz w:val="32"/>
          <w:szCs w:val="32"/>
          <w:lang w:val="zh-CN" w:eastAsia="zh-CN"/>
        </w:rPr>
        <w:t>万元，印刷费</w:t>
      </w:r>
      <w:r>
        <w:rPr>
          <w:rFonts w:hint="eastAsia" w:ascii="仿宋_GB2312" w:eastAsia="仿宋_GB2312" w:cs="仿宋_GB2312"/>
          <w:sz w:val="32"/>
          <w:szCs w:val="32"/>
          <w:lang w:val="en-US" w:eastAsia="zh-CN"/>
        </w:rPr>
        <w:t>0.21万元、公务接待费0.19元、福利费0.73元、其他交通费用1.56元。</w:t>
      </w:r>
    </w:p>
    <w:p w14:paraId="656478B5">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方正小标宋简体" w:eastAsia="方正小标宋简体" w:cs="方正小标宋简体"/>
          <w:b/>
          <w:bCs/>
          <w:sz w:val="32"/>
          <w:szCs w:val="32"/>
          <w:lang w:val="en-US" w:eastAsia="zh-CN"/>
        </w:rPr>
      </w:pPr>
      <w:r>
        <w:rPr>
          <w:rFonts w:hint="eastAsia" w:ascii="方正小标宋简体" w:eastAsia="方正小标宋简体" w:cs="方正小标宋简体"/>
          <w:b/>
          <w:bCs/>
          <w:sz w:val="32"/>
          <w:szCs w:val="32"/>
          <w:lang w:val="en-US" w:eastAsia="zh-CN"/>
        </w:rPr>
        <w:t xml:space="preserve">  三、部门整体预算绩效管理情况</w:t>
      </w:r>
    </w:p>
    <w:p w14:paraId="496CA31D">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b/>
          <w:bCs/>
          <w:sz w:val="32"/>
          <w:szCs w:val="32"/>
          <w:lang w:val="zh-CN" w:eastAsia="zh-CN"/>
        </w:rPr>
      </w:pPr>
      <w:r>
        <w:rPr>
          <w:rFonts w:hint="eastAsia" w:ascii="仿宋_GB2312" w:eastAsia="仿宋_GB2312" w:cs="仿宋_GB2312"/>
          <w:b/>
          <w:bCs/>
          <w:sz w:val="32"/>
          <w:szCs w:val="32"/>
          <w:lang w:val="zh-CN" w:eastAsia="zh-CN"/>
        </w:rPr>
        <w:t>　　（一）预算编制情况。</w:t>
      </w:r>
    </w:p>
    <w:p w14:paraId="0F600FE4">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按照综合预算的编制原则，保证预算编制质量，金川县委编办所有收入和支出均纳入财政预算管理，公用经费按人员数进行编制，其它经费严格按照有关预算法执行。　　</w:t>
      </w:r>
    </w:p>
    <w:p w14:paraId="5B43A935">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en-US" w:eastAsia="zh-CN"/>
        </w:rPr>
        <w:t>　</w:t>
      </w:r>
      <w:r>
        <w:rPr>
          <w:rFonts w:hint="eastAsia" w:ascii="仿宋_GB2312" w:eastAsia="仿宋_GB2312" w:cs="仿宋_GB2312"/>
          <w:b/>
          <w:bCs/>
          <w:sz w:val="32"/>
          <w:szCs w:val="32"/>
          <w:lang w:val="en-US" w:eastAsia="zh-CN"/>
        </w:rPr>
        <w:t>　</w:t>
      </w:r>
      <w:r>
        <w:rPr>
          <w:rFonts w:hint="eastAsia" w:ascii="仿宋_GB2312" w:eastAsia="仿宋_GB2312" w:cs="仿宋_GB2312"/>
          <w:b/>
          <w:bCs/>
          <w:sz w:val="32"/>
          <w:szCs w:val="32"/>
          <w:lang w:val="zh-CN" w:eastAsia="zh-CN"/>
        </w:rPr>
        <w:t>（二）执行管理情况。</w:t>
      </w:r>
      <w:r>
        <w:rPr>
          <w:rFonts w:hint="eastAsia" w:ascii="仿宋_GB2312" w:eastAsia="仿宋_GB2312" w:cs="仿宋_GB2312"/>
          <w:sz w:val="32"/>
          <w:szCs w:val="32"/>
          <w:lang w:val="zh-CN" w:eastAsia="zh-CN"/>
        </w:rPr>
        <w:tab/>
      </w:r>
    </w:p>
    <w:p w14:paraId="0F684E82">
      <w:pPr>
        <w:spacing w:line="560" w:lineRule="exact"/>
        <w:ind w:firstLine="645"/>
        <w:rPr>
          <w:rFonts w:ascii="仿宋_GB2312" w:eastAsia="仿宋_GB2312" w:cs="仿宋_GB2312"/>
          <w:color w:val="000000"/>
          <w:kern w:val="0"/>
          <w:sz w:val="32"/>
          <w:szCs w:val="32"/>
          <w:lang w:val="zh-CN"/>
        </w:rPr>
      </w:pPr>
      <w:r>
        <w:rPr>
          <w:rFonts w:hint="eastAsia" w:ascii="仿宋_GB2312" w:eastAsia="仿宋_GB2312" w:cs="仿宋_GB2312"/>
          <w:color w:val="000000"/>
          <w:kern w:val="0"/>
          <w:sz w:val="32"/>
          <w:szCs w:val="32"/>
          <w:lang w:val="zh-CN"/>
        </w:rPr>
        <w:t>1、预算执行情况：所有预算严格按照预算法执行，我办由于人员少，存在预算下达后增加人员，后勤保障工作涉及面广，临时工作多。年初预算和当年决算数相比人员经费和公用经费没有达到只减不增要求，预算经费中人员经费是按月拨付，公用经费在预算指标内按需求拨付。</w:t>
      </w:r>
    </w:p>
    <w:p w14:paraId="73E3C9CB">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en-US" w:eastAsia="zh-CN"/>
        </w:rPr>
      </w:pPr>
      <w:r>
        <w:rPr>
          <w:rFonts w:hint="eastAsia" w:ascii="仿宋_GB2312" w:eastAsia="仿宋_GB2312" w:cs="仿宋_GB2312"/>
          <w:color w:val="000000"/>
          <w:kern w:val="0"/>
          <w:sz w:val="32"/>
          <w:szCs w:val="32"/>
          <w:lang w:val="en-US" w:eastAsia="zh-CN"/>
        </w:rPr>
        <w:t xml:space="preserve">    </w:t>
      </w:r>
      <w:r>
        <w:rPr>
          <w:rFonts w:hint="eastAsia" w:ascii="仿宋_GB2312" w:eastAsia="仿宋_GB2312" w:cs="仿宋_GB2312"/>
          <w:color w:val="000000"/>
          <w:kern w:val="0"/>
          <w:sz w:val="32"/>
          <w:szCs w:val="32"/>
          <w:lang w:val="zh-CN"/>
        </w:rPr>
        <w:t>2、中期评估:根据《</w:t>
      </w:r>
      <w:r>
        <w:rPr>
          <w:rFonts w:ascii="仿宋_GB2312" w:eastAsia="仿宋_GB2312" w:cs="仿宋_GB2312"/>
          <w:color w:val="000000"/>
          <w:kern w:val="0"/>
          <w:sz w:val="32"/>
          <w:szCs w:val="32"/>
          <w:lang w:val="zh-CN"/>
        </w:rPr>
        <w:t>中华人民共和国</w:t>
      </w:r>
      <w:r>
        <w:rPr>
          <w:rFonts w:hint="eastAsia" w:ascii="仿宋_GB2312" w:eastAsia="仿宋_GB2312" w:cs="仿宋_GB2312"/>
          <w:color w:val="000000"/>
          <w:kern w:val="0"/>
          <w:sz w:val="32"/>
          <w:szCs w:val="32"/>
          <w:lang w:val="zh-CN"/>
        </w:rPr>
        <w:t>预算法》以及部门预算编制重点，结合本单位工作实际，编制本单位三年流动财政规划报表。</w:t>
      </w:r>
    </w:p>
    <w:p w14:paraId="10EF8D82">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2020年编制2020年—2022年三年滚动财政规划表。</w:t>
      </w:r>
    </w:p>
    <w:p w14:paraId="477671F9">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3、节能降耗方面：水、电2021年、2022年预算数差别不大。</w:t>
      </w:r>
    </w:p>
    <w:p w14:paraId="53686F1C">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4、三公经费预算执行情况。</w:t>
      </w:r>
    </w:p>
    <w:p w14:paraId="7796064E">
      <w:pPr>
        <w:spacing w:line="560" w:lineRule="exact"/>
        <w:ind w:firstLine="645"/>
        <w:rPr>
          <w:rFonts w:hint="eastAsia" w:ascii="仿宋_GB2312" w:eastAsia="仿宋_GB2312" w:cs="仿宋_GB2312"/>
          <w:color w:val="000000"/>
          <w:kern w:val="0"/>
          <w:sz w:val="32"/>
          <w:szCs w:val="32"/>
          <w:lang w:val="zh-CN"/>
        </w:rPr>
      </w:pPr>
      <w:r>
        <w:rPr>
          <w:rFonts w:hint="eastAsia" w:ascii="仿宋_GB2312" w:eastAsia="仿宋_GB2312" w:cs="仿宋_GB2312"/>
          <w:color w:val="000000"/>
          <w:kern w:val="0"/>
          <w:sz w:val="32"/>
          <w:szCs w:val="32"/>
          <w:lang w:val="zh-CN"/>
        </w:rPr>
        <w:t>（</w:t>
      </w:r>
      <w:r>
        <w:rPr>
          <w:rFonts w:hint="eastAsia" w:ascii="仿宋_GB2312" w:eastAsia="仿宋_GB2312" w:cs="仿宋_GB2312"/>
          <w:color w:val="000000"/>
          <w:kern w:val="0"/>
          <w:sz w:val="32"/>
          <w:szCs w:val="32"/>
          <w:lang w:val="en-US" w:eastAsia="zh-CN"/>
        </w:rPr>
        <w:t>1）</w:t>
      </w:r>
      <w:r>
        <w:rPr>
          <w:rFonts w:hint="eastAsia" w:ascii="仿宋_GB2312" w:eastAsia="仿宋_GB2312" w:cs="仿宋_GB2312"/>
          <w:color w:val="000000"/>
          <w:kern w:val="0"/>
          <w:sz w:val="32"/>
          <w:szCs w:val="32"/>
          <w:lang w:val="zh-CN"/>
        </w:rPr>
        <w:t>202</w:t>
      </w:r>
      <w:r>
        <w:rPr>
          <w:rFonts w:hint="eastAsia" w:ascii="仿宋_GB2312" w:eastAsia="仿宋_GB2312" w:cs="仿宋_GB2312"/>
          <w:color w:val="000000"/>
          <w:kern w:val="0"/>
          <w:sz w:val="32"/>
          <w:szCs w:val="32"/>
          <w:lang w:val="en-US" w:eastAsia="zh-CN"/>
        </w:rPr>
        <w:t>2</w:t>
      </w:r>
      <w:r>
        <w:rPr>
          <w:rFonts w:hint="eastAsia" w:ascii="仿宋_GB2312" w:eastAsia="仿宋_GB2312" w:cs="仿宋_GB2312"/>
          <w:color w:val="000000"/>
          <w:kern w:val="0"/>
          <w:sz w:val="32"/>
          <w:szCs w:val="32"/>
          <w:lang w:val="zh-CN"/>
        </w:rPr>
        <w:t>年“三公”经费:202</w:t>
      </w:r>
      <w:r>
        <w:rPr>
          <w:rFonts w:hint="eastAsia" w:ascii="仿宋_GB2312" w:eastAsia="仿宋_GB2312" w:cs="仿宋_GB2312"/>
          <w:color w:val="000000"/>
          <w:kern w:val="0"/>
          <w:sz w:val="32"/>
          <w:szCs w:val="32"/>
          <w:lang w:val="en-US" w:eastAsia="zh-CN"/>
        </w:rPr>
        <w:t>2</w:t>
      </w:r>
      <w:r>
        <w:rPr>
          <w:rFonts w:hint="eastAsia" w:ascii="仿宋_GB2312" w:eastAsia="仿宋_GB2312" w:cs="仿宋_GB2312"/>
          <w:color w:val="000000"/>
          <w:kern w:val="0"/>
          <w:sz w:val="32"/>
          <w:szCs w:val="32"/>
          <w:lang w:val="zh-CN"/>
        </w:rPr>
        <w:t>年公务接待费</w:t>
      </w:r>
      <w:r>
        <w:rPr>
          <w:rFonts w:hint="eastAsia" w:ascii="仿宋_GB2312" w:eastAsia="仿宋_GB2312" w:cs="仿宋_GB2312"/>
          <w:color w:val="000000"/>
          <w:kern w:val="0"/>
          <w:sz w:val="32"/>
          <w:szCs w:val="32"/>
          <w:lang w:val="en-US" w:eastAsia="zh-CN"/>
        </w:rPr>
        <w:t>0.19</w:t>
      </w:r>
      <w:r>
        <w:rPr>
          <w:rFonts w:hint="eastAsia" w:ascii="仿宋_GB2312" w:eastAsia="仿宋_GB2312" w:cs="仿宋_GB2312"/>
          <w:color w:val="000000"/>
          <w:kern w:val="0"/>
          <w:sz w:val="32"/>
          <w:szCs w:val="32"/>
          <w:lang w:val="zh-CN"/>
        </w:rPr>
        <w:t>万元，202</w:t>
      </w:r>
      <w:r>
        <w:rPr>
          <w:rFonts w:hint="eastAsia" w:ascii="仿宋_GB2312" w:eastAsia="仿宋_GB2312" w:cs="仿宋_GB2312"/>
          <w:color w:val="000000"/>
          <w:kern w:val="0"/>
          <w:sz w:val="32"/>
          <w:szCs w:val="32"/>
          <w:lang w:val="en-US" w:eastAsia="zh-CN"/>
        </w:rPr>
        <w:t>2</w:t>
      </w:r>
      <w:r>
        <w:rPr>
          <w:rFonts w:hint="eastAsia" w:ascii="仿宋_GB2312" w:eastAsia="仿宋_GB2312" w:cs="仿宋_GB2312"/>
          <w:color w:val="000000"/>
          <w:kern w:val="0"/>
          <w:sz w:val="32"/>
          <w:szCs w:val="32"/>
          <w:lang w:val="zh-CN"/>
        </w:rPr>
        <w:t>年公务用车运行维护费0万元。</w:t>
      </w:r>
    </w:p>
    <w:p w14:paraId="762933CC">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 w:eastAsia="仿宋"/>
          <w:sz w:val="32"/>
          <w:szCs w:val="32"/>
          <w:lang w:eastAsia="zh-CN"/>
        </w:rPr>
      </w:pPr>
      <w:r>
        <w:rPr>
          <w:rFonts w:hint="eastAsia" w:ascii="仿宋_GB2312" w:eastAsia="仿宋_GB2312" w:cs="仿宋_GB2312"/>
          <w:color w:val="000000"/>
          <w:kern w:val="0"/>
          <w:sz w:val="32"/>
          <w:szCs w:val="32"/>
          <w:lang w:val="zh-CN"/>
        </w:rPr>
        <w:t>（2）202</w:t>
      </w:r>
      <w:r>
        <w:rPr>
          <w:rFonts w:hint="eastAsia" w:ascii="仿宋_GB2312" w:eastAsia="仿宋_GB2312" w:cs="仿宋_GB2312"/>
          <w:color w:val="000000"/>
          <w:kern w:val="0"/>
          <w:sz w:val="32"/>
          <w:szCs w:val="32"/>
          <w:lang w:val="en-US" w:eastAsia="zh-CN"/>
        </w:rPr>
        <w:t>2</w:t>
      </w:r>
      <w:r>
        <w:rPr>
          <w:rFonts w:hint="eastAsia" w:ascii="仿宋_GB2312" w:eastAsia="仿宋_GB2312" w:cs="仿宋_GB2312"/>
          <w:color w:val="000000"/>
          <w:kern w:val="0"/>
          <w:sz w:val="32"/>
          <w:szCs w:val="32"/>
          <w:lang w:val="zh-CN"/>
        </w:rPr>
        <w:t>预算公务接待费</w:t>
      </w:r>
      <w:r>
        <w:rPr>
          <w:rFonts w:hint="eastAsia" w:ascii="仿宋_GB2312" w:eastAsia="仿宋_GB2312" w:cs="仿宋_GB2312"/>
          <w:color w:val="000000"/>
          <w:kern w:val="0"/>
          <w:sz w:val="32"/>
          <w:szCs w:val="32"/>
          <w:lang w:val="en-US" w:eastAsia="zh-CN"/>
        </w:rPr>
        <w:t>0.19</w:t>
      </w:r>
      <w:r>
        <w:rPr>
          <w:rFonts w:hint="eastAsia" w:ascii="仿宋_GB2312" w:eastAsia="仿宋_GB2312" w:cs="仿宋_GB2312"/>
          <w:color w:val="000000"/>
          <w:kern w:val="0"/>
          <w:sz w:val="32"/>
          <w:szCs w:val="32"/>
          <w:lang w:val="zh-CN"/>
        </w:rPr>
        <w:t>万元，</w:t>
      </w:r>
      <w:r>
        <w:rPr>
          <w:rFonts w:hint="eastAsia" w:ascii="仿宋_GB2312" w:eastAsia="仿宋_GB2312" w:cs="仿宋_GB2312"/>
          <w:color w:val="000000"/>
          <w:sz w:val="32"/>
          <w:szCs w:val="32"/>
        </w:rPr>
        <w:t>完成预算</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 w:eastAsia="仿宋"/>
          <w:sz w:val="32"/>
          <w:szCs w:val="32"/>
        </w:rPr>
        <w:t>决算数与预算数持平</w:t>
      </w:r>
      <w:r>
        <w:rPr>
          <w:rFonts w:hint="eastAsia" w:ascii="仿宋" w:eastAsia="仿宋"/>
          <w:sz w:val="32"/>
          <w:szCs w:val="32"/>
          <w:lang w:eastAsia="zh-CN"/>
        </w:rPr>
        <w:t>。</w:t>
      </w:r>
    </w:p>
    <w:p w14:paraId="48D893AB">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b/>
          <w:bCs/>
          <w:sz w:val="32"/>
          <w:szCs w:val="32"/>
          <w:lang w:val="zh-CN" w:eastAsia="zh-CN"/>
        </w:rPr>
      </w:pPr>
      <w:r>
        <w:rPr>
          <w:rFonts w:hint="eastAsia" w:ascii="仿宋_GB2312" w:eastAsia="仿宋_GB2312" w:cs="仿宋_GB2312"/>
          <w:b/>
          <w:bCs/>
          <w:sz w:val="32"/>
          <w:szCs w:val="32"/>
          <w:lang w:val="en-US" w:eastAsia="zh-CN"/>
        </w:rPr>
        <w:t xml:space="preserve">  </w:t>
      </w:r>
      <w:r>
        <w:rPr>
          <w:rFonts w:hint="eastAsia" w:ascii="仿宋_GB2312" w:eastAsia="仿宋_GB2312" w:cs="仿宋_GB2312"/>
          <w:b/>
          <w:bCs/>
          <w:sz w:val="32"/>
          <w:szCs w:val="32"/>
          <w:lang w:val="zh-CN" w:eastAsia="zh-CN"/>
        </w:rPr>
        <w:t>（三）综合管理情况。</w:t>
      </w:r>
    </w:p>
    <w:p w14:paraId="4E4C08DD">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　</w:t>
      </w:r>
      <w:r>
        <w:rPr>
          <w:rFonts w:hint="eastAsia" w:ascii="仿宋_GB2312" w:eastAsia="仿宋_GB2312" w:cs="仿宋_GB2312"/>
          <w:b w:val="0"/>
          <w:bCs w:val="0"/>
          <w:sz w:val="32"/>
          <w:szCs w:val="32"/>
          <w:lang w:val="zh-CN" w:eastAsia="zh-CN"/>
        </w:rPr>
        <w:t>　1、基础管理情况</w:t>
      </w:r>
    </w:p>
    <w:p w14:paraId="3EF8C528">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　　我单位制定了《金川县委编办财务管理制度》、主要内容为财务室及账务人员职责，包括分管财务负责人职责、会计人员职责、出纳及审核人员职责、经费开支及记账报销，制定的各项制度得到较好执行。</w:t>
      </w:r>
    </w:p>
    <w:p w14:paraId="4A684D4F">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　　</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val="zh-CN" w:eastAsia="zh-CN"/>
        </w:rPr>
        <w:t>政府债务情况</w:t>
      </w:r>
    </w:p>
    <w:p w14:paraId="24D2088A">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en-US" w:eastAsia="zh-CN"/>
        </w:rPr>
        <w:t>　　2022</w:t>
      </w:r>
      <w:r>
        <w:rPr>
          <w:rFonts w:hint="eastAsia" w:ascii="仿宋_GB2312" w:eastAsia="仿宋_GB2312" w:cs="仿宋_GB2312"/>
          <w:sz w:val="32"/>
          <w:szCs w:val="32"/>
          <w:lang w:val="zh-CN" w:eastAsia="zh-CN"/>
        </w:rPr>
        <w:t>年度我单位政府债务合计0万元。</w:t>
      </w:r>
    </w:p>
    <w:p w14:paraId="5E217965">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　　</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val="zh-CN" w:eastAsia="zh-CN"/>
        </w:rPr>
        <w:t>非税收入执行情况</w:t>
      </w:r>
    </w:p>
    <w:p w14:paraId="4ABA7447">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en-US" w:eastAsia="zh-CN"/>
        </w:rPr>
        <w:t>　　2022</w:t>
      </w:r>
      <w:r>
        <w:rPr>
          <w:rFonts w:hint="eastAsia" w:ascii="仿宋_GB2312" w:eastAsia="仿宋_GB2312" w:cs="仿宋_GB2312"/>
          <w:sz w:val="32"/>
          <w:szCs w:val="32"/>
          <w:lang w:val="zh-CN" w:eastAsia="zh-CN"/>
        </w:rPr>
        <w:t xml:space="preserve">年度我单位非税收入合计0元，上缴财政0万元。 </w:t>
      </w:r>
    </w:p>
    <w:p w14:paraId="7327310E">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　　4、政府采购实施计划</w:t>
      </w:r>
    </w:p>
    <w:p w14:paraId="512BE87A">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　　我单位20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lang w:val="zh-CN" w:eastAsia="zh-CN"/>
        </w:rPr>
        <w:t>年未制定年度政府采购计划。</w:t>
      </w:r>
    </w:p>
    <w:p w14:paraId="4814626B">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en-US" w:eastAsia="zh-CN"/>
        </w:rPr>
        <w:t>　　5、</w:t>
      </w:r>
      <w:r>
        <w:rPr>
          <w:rFonts w:hint="eastAsia" w:ascii="仿宋_GB2312" w:eastAsia="仿宋_GB2312" w:cs="仿宋_GB2312"/>
          <w:sz w:val="32"/>
          <w:szCs w:val="32"/>
          <w:lang w:val="zh-CN" w:eastAsia="zh-CN"/>
        </w:rPr>
        <w:t>资产管理情况</w:t>
      </w:r>
    </w:p>
    <w:p w14:paraId="7F39BA02">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　　我单位已将国有资产纳入资产信息系统管理，并落实专人负责管理维护系统，资产变动已及时把资产变动情况录入系统。系统金额与会计账目金额一致。</w:t>
      </w:r>
    </w:p>
    <w:p w14:paraId="0D8983D5">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lang w:val="zh-CN" w:eastAsia="zh-CN"/>
        </w:rPr>
        <w:t>6、信息公开情况</w:t>
      </w:r>
    </w:p>
    <w:p w14:paraId="0E7B6CCC">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　　金川县委编办</w:t>
      </w:r>
      <w:r>
        <w:rPr>
          <w:rFonts w:hint="eastAsia" w:ascii="仿宋_GB2312" w:eastAsia="仿宋_GB2312" w:cs="仿宋_GB2312"/>
          <w:sz w:val="32"/>
          <w:szCs w:val="32"/>
          <w:lang w:val="en-US" w:eastAsia="zh-CN"/>
        </w:rPr>
        <w:t>2022</w:t>
      </w:r>
      <w:r>
        <w:rPr>
          <w:rFonts w:hint="eastAsia" w:ascii="仿宋_GB2312" w:eastAsia="仿宋_GB2312" w:cs="仿宋_GB2312"/>
          <w:sz w:val="32"/>
          <w:szCs w:val="32"/>
          <w:lang w:val="zh-CN" w:eastAsia="zh-CN"/>
        </w:rPr>
        <w:t>年的预、决算编制说明、“三公”经费预、决算情况，按县财政要求由县财政统一</w:t>
      </w:r>
      <w:r>
        <w:rPr>
          <w:rFonts w:hint="eastAsia" w:ascii="仿宋_GB2312" w:eastAsia="仿宋_GB2312" w:cs="仿宋_GB2312"/>
          <w:sz w:val="32"/>
          <w:szCs w:val="32"/>
          <w:lang w:val="en-US" w:eastAsia="zh-CN"/>
        </w:rPr>
        <w:t>在</w:t>
      </w:r>
      <w:r>
        <w:rPr>
          <w:rFonts w:hint="eastAsia" w:ascii="仿宋_GB2312" w:eastAsia="仿宋_GB2312" w:cs="仿宋_GB2312"/>
          <w:sz w:val="32"/>
          <w:szCs w:val="32"/>
          <w:lang w:val="zh-CN" w:eastAsia="zh-CN"/>
        </w:rPr>
        <w:t>政府网站上公开。</w:t>
      </w:r>
    </w:p>
    <w:p w14:paraId="0806E084">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　　</w:t>
      </w:r>
      <w:r>
        <w:rPr>
          <w:rFonts w:hint="eastAsia" w:ascii="仿宋_GB2312" w:eastAsia="仿宋_GB2312" w:cs="仿宋_GB2312"/>
          <w:b/>
          <w:bCs/>
          <w:sz w:val="32"/>
          <w:szCs w:val="32"/>
          <w:lang w:val="zh-CN" w:eastAsia="zh-CN"/>
        </w:rPr>
        <w:t>（四）整体绩效 </w:t>
      </w:r>
      <w:r>
        <w:rPr>
          <w:rFonts w:hint="eastAsia" w:ascii="仿宋_GB2312" w:eastAsia="仿宋_GB2312" w:cs="仿宋_GB2312"/>
          <w:sz w:val="32"/>
          <w:szCs w:val="32"/>
          <w:lang w:val="zh-CN" w:eastAsia="zh-CN"/>
        </w:rPr>
        <w:br w:type="textWrapping"/>
      </w:r>
      <w:r>
        <w:rPr>
          <w:rFonts w:hint="eastAsia" w:ascii="仿宋_GB2312" w:eastAsia="仿宋_GB2312" w:cs="仿宋_GB2312"/>
          <w:sz w:val="32"/>
          <w:szCs w:val="32"/>
          <w:lang w:val="zh-CN" w:eastAsia="zh-CN"/>
        </w:rPr>
        <w:t xml:space="preserve">    我单位对本部门实施了整体支出绩效评价，按照要求向金川县财政局按时报送自评报告，财政资金支出主要用于保障本部门机构正常运转、更好完成各项日常工作，社会群众对我中心的工作总体较满意。</w:t>
      </w:r>
    </w:p>
    <w:p w14:paraId="45EC4AFC">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　</w:t>
      </w:r>
      <w:r>
        <w:rPr>
          <w:rFonts w:hint="eastAsia" w:ascii="仿宋_GB2312" w:eastAsia="仿宋_GB2312" w:cs="仿宋_GB2312"/>
          <w:b/>
          <w:bCs/>
          <w:sz w:val="32"/>
          <w:szCs w:val="32"/>
          <w:lang w:val="zh-CN" w:eastAsia="zh-CN"/>
        </w:rPr>
        <w:t>　（五）绩效管理工作开展情况 </w:t>
      </w:r>
      <w:r>
        <w:rPr>
          <w:rFonts w:hint="eastAsia" w:ascii="仿宋_GB2312" w:eastAsia="仿宋_GB2312" w:cs="仿宋_GB2312"/>
          <w:sz w:val="32"/>
          <w:szCs w:val="32"/>
          <w:lang w:val="zh-CN" w:eastAsia="zh-CN"/>
        </w:rPr>
        <w:br w:type="textWrapping"/>
      </w:r>
      <w:r>
        <w:rPr>
          <w:rFonts w:hint="eastAsia" w:ascii="仿宋_GB2312" w:eastAsia="仿宋_GB2312" w:cs="仿宋_GB2312"/>
          <w:sz w:val="32"/>
          <w:szCs w:val="32"/>
          <w:lang w:val="zh-CN" w:eastAsia="zh-CN"/>
        </w:rPr>
        <w:t xml:space="preserve">  </w:t>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lang w:val="zh-CN" w:eastAsia="zh-CN"/>
        </w:rPr>
        <w:t>根据金财监绩〔202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val="zh-CN" w:eastAsia="zh-CN"/>
        </w:rPr>
        <w:t>〕</w:t>
      </w:r>
      <w:r>
        <w:rPr>
          <w:rFonts w:hint="eastAsia" w:ascii="仿宋_GB2312" w:eastAsia="仿宋_GB2312" w:cs="仿宋_GB2312"/>
          <w:sz w:val="32"/>
          <w:szCs w:val="32"/>
          <w:lang w:val="en-US" w:eastAsia="zh-CN"/>
        </w:rPr>
        <w:t>32</w:t>
      </w:r>
      <w:r>
        <w:rPr>
          <w:rFonts w:hint="eastAsia" w:ascii="仿宋_GB2312" w:eastAsia="仿宋_GB2312" w:cs="仿宋_GB2312"/>
          <w:sz w:val="32"/>
          <w:szCs w:val="32"/>
          <w:lang w:val="zh-CN" w:eastAsia="zh-CN"/>
        </w:rPr>
        <w:t>号文件要求，我单位对财政资金使用管理情况，按照《关于开展202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val="zh-CN" w:eastAsia="zh-CN"/>
        </w:rPr>
        <w:t>年部门、政策和项目支出绩效评价工作的通知》认真开展自评工作，撰写部门自评报告。 </w:t>
      </w:r>
    </w:p>
    <w:p w14:paraId="3417E092">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方正小标宋简体" w:eastAsia="方正小标宋简体" w:cs="方正小标宋简体"/>
          <w:b/>
          <w:bCs/>
          <w:sz w:val="32"/>
          <w:szCs w:val="32"/>
          <w:lang w:val="en-US" w:eastAsia="zh-CN"/>
        </w:rPr>
      </w:pPr>
      <w:r>
        <w:rPr>
          <w:rFonts w:hint="eastAsia" w:ascii="方正小标宋简体" w:eastAsia="方正小标宋简体" w:cs="方正小标宋简体"/>
          <w:b/>
          <w:bCs/>
          <w:sz w:val="32"/>
          <w:szCs w:val="32"/>
          <w:lang w:val="en-US" w:eastAsia="zh-CN"/>
        </w:rPr>
        <w:t xml:space="preserve"> 四、评价结论及建议</w:t>
      </w:r>
    </w:p>
    <w:p w14:paraId="09A9B2C7">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　</w:t>
      </w:r>
      <w:r>
        <w:rPr>
          <w:rFonts w:hint="eastAsia" w:ascii="仿宋_GB2312" w:eastAsia="仿宋_GB2312" w:cs="仿宋_GB2312"/>
          <w:b/>
          <w:bCs/>
          <w:sz w:val="32"/>
          <w:szCs w:val="32"/>
          <w:lang w:val="zh-CN" w:eastAsia="zh-CN"/>
        </w:rPr>
        <w:t>　（一）评价结论。</w:t>
      </w:r>
    </w:p>
    <w:p w14:paraId="0101B47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pPr>
      <w:r>
        <w:rPr>
          <w:rFonts w:hint="eastAsia" w:ascii="仿宋_GB2312" w:eastAsia="仿宋_GB2312" w:cs="仿宋_GB2312"/>
          <w:sz w:val="32"/>
          <w:szCs w:val="32"/>
          <w:lang w:val="en-US" w:eastAsia="zh-CN"/>
        </w:rPr>
        <w:t>按金财监绩〔2023〕32号文件附件3.2023年县级部门整体支出绩效评价指标体系进行单位自评，圆满完成绩效自评工作，圆满完成中央、省、州委和县的重要工作、目标任务。</w:t>
      </w:r>
    </w:p>
    <w:p w14:paraId="141E7EE4">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b/>
          <w:bCs/>
          <w:sz w:val="32"/>
          <w:szCs w:val="32"/>
          <w:lang w:val="zh-CN" w:eastAsia="zh-CN"/>
        </w:rPr>
      </w:pPr>
      <w:r>
        <w:rPr>
          <w:rFonts w:hint="eastAsia" w:ascii="仿宋_GB2312" w:eastAsia="仿宋_GB2312" w:cs="仿宋_GB2312"/>
          <w:b/>
          <w:bCs/>
          <w:sz w:val="32"/>
          <w:szCs w:val="32"/>
          <w:lang w:val="zh-CN" w:eastAsia="zh-CN"/>
        </w:rPr>
        <w:t>　　（二）存在问题。</w:t>
      </w:r>
    </w:p>
    <w:p w14:paraId="1A35CE08">
      <w:pPr>
        <w:spacing w:line="560" w:lineRule="exact"/>
        <w:ind w:firstLine="645"/>
        <w:rPr>
          <w:rFonts w:ascii="仿宋_GB2312" w:eastAsia="仿宋_GB2312" w:cs="仿宋_GB2312"/>
          <w:color w:val="000000"/>
          <w:kern w:val="0"/>
          <w:sz w:val="32"/>
          <w:szCs w:val="32"/>
          <w:lang w:val="zh-CN"/>
        </w:rPr>
      </w:pPr>
      <w:r>
        <w:rPr>
          <w:rFonts w:hint="eastAsia" w:ascii="仿宋_GB2312" w:eastAsia="仿宋_GB2312" w:cs="仿宋_GB2312"/>
          <w:color w:val="000000"/>
          <w:kern w:val="0"/>
          <w:sz w:val="32"/>
          <w:szCs w:val="32"/>
          <w:lang w:val="zh-CN"/>
        </w:rPr>
        <w:t>综合单位情况，收发文件、传递文件还不够及时；资产管理和节能工作力度还应加强；财务管理制度有待加强。</w:t>
      </w:r>
    </w:p>
    <w:p w14:paraId="4EDF87CF">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　　</w:t>
      </w:r>
      <w:r>
        <w:rPr>
          <w:rFonts w:hint="eastAsia" w:ascii="仿宋_GB2312" w:eastAsia="仿宋_GB2312" w:cs="仿宋_GB2312"/>
          <w:b/>
          <w:bCs/>
          <w:sz w:val="32"/>
          <w:szCs w:val="32"/>
          <w:lang w:val="zh-CN" w:eastAsia="zh-CN"/>
        </w:rPr>
        <w:t>（三）改进建议。</w:t>
      </w:r>
    </w:p>
    <w:p w14:paraId="155A6D70">
      <w:pPr>
        <w:spacing w:line="560" w:lineRule="exact"/>
        <w:ind w:firstLine="645"/>
        <w:rPr>
          <w:rFonts w:ascii="仿宋_GB2312" w:eastAsia="仿宋_GB2312" w:cs="仿宋_GB2312"/>
          <w:color w:val="000000"/>
          <w:kern w:val="0"/>
          <w:sz w:val="32"/>
          <w:szCs w:val="32"/>
          <w:lang w:val="zh-CN"/>
        </w:rPr>
      </w:pPr>
      <w:r>
        <w:rPr>
          <w:rFonts w:hint="eastAsia" w:ascii="仿宋_GB2312" w:eastAsia="仿宋_GB2312" w:cs="仿宋_GB2312"/>
          <w:color w:val="000000"/>
          <w:kern w:val="0"/>
          <w:sz w:val="32"/>
          <w:szCs w:val="32"/>
          <w:lang w:val="zh-CN"/>
        </w:rPr>
        <w:t>1、严格按照《</w:t>
      </w:r>
      <w:r>
        <w:rPr>
          <w:rFonts w:ascii="仿宋_GB2312" w:eastAsia="仿宋_GB2312" w:cs="仿宋_GB2312"/>
          <w:color w:val="000000"/>
          <w:kern w:val="0"/>
          <w:sz w:val="32"/>
          <w:szCs w:val="32"/>
          <w:lang w:val="zh-CN"/>
        </w:rPr>
        <w:t>中华人民共和国</w:t>
      </w:r>
      <w:r>
        <w:rPr>
          <w:rFonts w:hint="eastAsia" w:ascii="仿宋_GB2312" w:eastAsia="仿宋_GB2312" w:cs="仿宋_GB2312"/>
          <w:color w:val="000000"/>
          <w:kern w:val="0"/>
          <w:sz w:val="32"/>
          <w:szCs w:val="32"/>
          <w:lang w:val="zh-CN"/>
        </w:rPr>
        <w:t>会计法》、《行政单位会计制度》、《行政单位财务规则》等规定执行财务核算，并结合实际情况，完整、准确地披露相关信息，尽可能地做到决算与预算相衔接。</w:t>
      </w:r>
    </w:p>
    <w:p w14:paraId="021ACFF7">
      <w:pPr>
        <w:spacing w:line="560" w:lineRule="exact"/>
        <w:ind w:firstLine="645"/>
        <w:rPr>
          <w:rFonts w:ascii="仿宋_GB2312" w:eastAsia="仿宋_GB2312" w:cs="仿宋_GB2312"/>
          <w:color w:val="000000"/>
          <w:kern w:val="0"/>
          <w:sz w:val="32"/>
          <w:szCs w:val="32"/>
          <w:lang w:val="zh-CN"/>
        </w:rPr>
      </w:pPr>
      <w:r>
        <w:rPr>
          <w:rFonts w:hint="eastAsia" w:ascii="仿宋_GB2312" w:eastAsia="仿宋_GB2312" w:cs="仿宋_GB2312"/>
          <w:color w:val="000000"/>
          <w:kern w:val="0"/>
          <w:sz w:val="32"/>
          <w:szCs w:val="32"/>
          <w:lang w:val="zh-CN"/>
        </w:rPr>
        <w:t xml:space="preserve">2、进一步加强内部控制，加强内部管理；注重资金管理的事前、事中、事后的全过程监督，加强资金使用效率。 </w:t>
      </w:r>
    </w:p>
    <w:p w14:paraId="589BE95C">
      <w:pPr>
        <w:spacing w:line="560" w:lineRule="exact"/>
        <w:ind w:firstLine="645"/>
        <w:rPr>
          <w:rFonts w:ascii="仿宋_GB2312" w:eastAsia="仿宋_GB2312" w:cs="仿宋_GB2312"/>
          <w:color w:val="000000"/>
          <w:kern w:val="0"/>
          <w:sz w:val="32"/>
          <w:szCs w:val="32"/>
          <w:lang w:val="zh-CN"/>
        </w:rPr>
      </w:pPr>
      <w:r>
        <w:rPr>
          <w:rFonts w:hint="eastAsia" w:ascii="仿宋_GB2312" w:eastAsia="仿宋_GB2312" w:cs="仿宋_GB2312"/>
          <w:color w:val="000000"/>
          <w:kern w:val="0"/>
          <w:sz w:val="32"/>
          <w:szCs w:val="32"/>
          <w:lang w:val="zh-CN"/>
        </w:rPr>
        <w:t>3、加强会计核算和财务管理能力，请财政局多指导我单位的工作，不规范的收支请及给我们指出，及时与财政局相关科室对接工作，提升工作效率。</w:t>
      </w:r>
    </w:p>
    <w:p w14:paraId="7E5E6A30">
      <w:pPr>
        <w:spacing w:line="600" w:lineRule="exact"/>
        <w:jc w:val="center"/>
        <w:outlineLvl w:val="0"/>
        <w:rPr>
          <w:rFonts w:ascii="黑体" w:eastAsia="黑体"/>
          <w:color w:val="000000"/>
          <w:sz w:val="44"/>
          <w:szCs w:val="44"/>
        </w:rPr>
      </w:pPr>
    </w:p>
    <w:p w14:paraId="741B5EF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rPr>
      </w:pPr>
    </w:p>
    <w:p w14:paraId="740800F3">
      <w:pPr>
        <w:widowControl/>
        <w:adjustRightInd w:val="0"/>
        <w:snapToGrid w:val="0"/>
        <w:spacing w:line="560" w:lineRule="exact"/>
        <w:jc w:val="left"/>
        <w:rPr>
          <w:rFonts w:hint="eastAsia" w:ascii="仿宋_GB2312" w:eastAsia="仿宋_GB2312" w:cs="仿宋_GB2312"/>
          <w:sz w:val="32"/>
          <w:szCs w:val="32"/>
          <w:lang w:eastAsia="zh-CN"/>
        </w:rPr>
      </w:pPr>
    </w:p>
    <w:p w14:paraId="62CB3E36">
      <w:pPr>
        <w:pStyle w:val="6"/>
        <w:rPr>
          <w:rFonts w:hint="eastAsia" w:ascii="仿宋_GB2312" w:eastAsia="仿宋_GB2312" w:cs="仿宋_GB2312"/>
          <w:sz w:val="32"/>
          <w:szCs w:val="32"/>
          <w:lang w:eastAsia="zh-CN"/>
        </w:rPr>
      </w:pPr>
    </w:p>
    <w:p w14:paraId="475B1807">
      <w:pPr>
        <w:pStyle w:val="6"/>
        <w:rPr>
          <w:rFonts w:hint="eastAsia" w:ascii="仿宋_GB2312" w:eastAsia="仿宋_GB2312" w:cs="仿宋_GB2312"/>
          <w:sz w:val="32"/>
          <w:szCs w:val="32"/>
          <w:lang w:eastAsia="zh-CN"/>
        </w:rPr>
      </w:pPr>
    </w:p>
    <w:p w14:paraId="52842E04">
      <w:pPr>
        <w:pageBreakBefore w:val="0"/>
        <w:widowControl w:val="0"/>
        <w:kinsoku/>
        <w:wordWrap/>
        <w:overflowPunct/>
        <w:topLinePunct w:val="0"/>
        <w:bidi w:val="0"/>
        <w:spacing w:line="576" w:lineRule="exact"/>
        <w:jc w:val="center"/>
        <w:outlineLvl w:val="0"/>
        <w:rPr>
          <w:rStyle w:val="18"/>
          <w:rFonts w:hint="eastAsia" w:eastAsia="黑体" w:cs="Times New Roman"/>
          <w:b/>
          <w:bCs w:val="0"/>
        </w:rPr>
      </w:pPr>
      <w:bookmarkStart w:id="178" w:name="_Toc26843625"/>
      <w:bookmarkStart w:id="179" w:name="_Toc15396618"/>
    </w:p>
    <w:p w14:paraId="3D1AB74C">
      <w:pPr>
        <w:pageBreakBefore w:val="0"/>
        <w:widowControl w:val="0"/>
        <w:kinsoku/>
        <w:wordWrap/>
        <w:overflowPunct/>
        <w:topLinePunct w:val="0"/>
        <w:bidi w:val="0"/>
        <w:spacing w:line="576" w:lineRule="exact"/>
        <w:jc w:val="center"/>
        <w:outlineLvl w:val="0"/>
        <w:rPr>
          <w:rStyle w:val="18"/>
          <w:rFonts w:hint="eastAsia" w:eastAsia="黑体" w:cs="Times New Roman"/>
          <w:b/>
          <w:bCs w:val="0"/>
        </w:rPr>
      </w:pPr>
    </w:p>
    <w:p w14:paraId="6C2D8A0F">
      <w:pPr>
        <w:pageBreakBefore w:val="0"/>
        <w:widowControl w:val="0"/>
        <w:kinsoku/>
        <w:wordWrap/>
        <w:overflowPunct/>
        <w:topLinePunct w:val="0"/>
        <w:bidi w:val="0"/>
        <w:spacing w:line="576" w:lineRule="exact"/>
        <w:jc w:val="center"/>
        <w:outlineLvl w:val="0"/>
        <w:rPr>
          <w:rStyle w:val="18"/>
          <w:rFonts w:hint="eastAsia" w:eastAsia="黑体" w:cs="Times New Roman"/>
          <w:b/>
          <w:bCs w:val="0"/>
        </w:rPr>
      </w:pPr>
    </w:p>
    <w:p w14:paraId="59D97CDB">
      <w:pPr>
        <w:pageBreakBefore w:val="0"/>
        <w:widowControl w:val="0"/>
        <w:kinsoku/>
        <w:wordWrap/>
        <w:overflowPunct/>
        <w:topLinePunct w:val="0"/>
        <w:bidi w:val="0"/>
        <w:spacing w:line="576" w:lineRule="exact"/>
        <w:jc w:val="center"/>
        <w:outlineLvl w:val="0"/>
        <w:rPr>
          <w:rStyle w:val="18"/>
          <w:rFonts w:hint="eastAsia" w:eastAsia="黑体" w:cs="Times New Roman"/>
          <w:b/>
          <w:bCs w:val="0"/>
        </w:rPr>
      </w:pPr>
    </w:p>
    <w:p w14:paraId="489F2185">
      <w:pPr>
        <w:pageBreakBefore w:val="0"/>
        <w:widowControl w:val="0"/>
        <w:kinsoku/>
        <w:wordWrap/>
        <w:overflowPunct/>
        <w:topLinePunct w:val="0"/>
        <w:bidi w:val="0"/>
        <w:spacing w:line="576" w:lineRule="exact"/>
        <w:jc w:val="center"/>
        <w:outlineLvl w:val="0"/>
        <w:rPr>
          <w:rStyle w:val="18"/>
          <w:rFonts w:hint="eastAsia" w:eastAsia="黑体" w:cs="Times New Roman"/>
          <w:b/>
          <w:bCs w:val="0"/>
        </w:rPr>
      </w:pPr>
    </w:p>
    <w:p w14:paraId="3198CDE1">
      <w:pPr>
        <w:pageBreakBefore w:val="0"/>
        <w:widowControl w:val="0"/>
        <w:kinsoku/>
        <w:wordWrap/>
        <w:overflowPunct/>
        <w:topLinePunct w:val="0"/>
        <w:bidi w:val="0"/>
        <w:spacing w:line="576" w:lineRule="exact"/>
        <w:jc w:val="center"/>
        <w:outlineLvl w:val="0"/>
        <w:rPr>
          <w:rStyle w:val="18"/>
          <w:rFonts w:hint="eastAsia" w:eastAsia="黑体" w:cs="Times New Roman"/>
          <w:b/>
          <w:bCs w:val="0"/>
        </w:rPr>
      </w:pPr>
    </w:p>
    <w:p w14:paraId="35EA3AF5">
      <w:pPr>
        <w:pageBreakBefore w:val="0"/>
        <w:widowControl w:val="0"/>
        <w:kinsoku/>
        <w:wordWrap/>
        <w:overflowPunct/>
        <w:topLinePunct w:val="0"/>
        <w:bidi w:val="0"/>
        <w:spacing w:line="576" w:lineRule="exact"/>
        <w:jc w:val="center"/>
        <w:outlineLvl w:val="0"/>
        <w:rPr>
          <w:rStyle w:val="18"/>
          <w:rFonts w:hint="eastAsia" w:eastAsia="黑体" w:cs="Times New Roman"/>
          <w:b/>
          <w:bCs w:val="0"/>
        </w:rPr>
      </w:pPr>
    </w:p>
    <w:p w14:paraId="35D9D2D8">
      <w:pPr>
        <w:pageBreakBefore w:val="0"/>
        <w:widowControl w:val="0"/>
        <w:kinsoku/>
        <w:wordWrap/>
        <w:overflowPunct/>
        <w:topLinePunct w:val="0"/>
        <w:bidi w:val="0"/>
        <w:spacing w:line="576" w:lineRule="exact"/>
        <w:jc w:val="center"/>
        <w:outlineLvl w:val="0"/>
        <w:rPr>
          <w:rStyle w:val="18"/>
          <w:rFonts w:hint="eastAsia" w:eastAsia="黑体" w:cs="Times New Roman"/>
          <w:b/>
          <w:bCs w:val="0"/>
        </w:rPr>
      </w:pPr>
    </w:p>
    <w:p w14:paraId="0A37BB4E">
      <w:pPr>
        <w:pageBreakBefore w:val="0"/>
        <w:widowControl w:val="0"/>
        <w:kinsoku/>
        <w:wordWrap/>
        <w:overflowPunct/>
        <w:topLinePunct w:val="0"/>
        <w:bidi w:val="0"/>
        <w:spacing w:line="576" w:lineRule="exact"/>
        <w:jc w:val="center"/>
        <w:outlineLvl w:val="0"/>
        <w:rPr>
          <w:rStyle w:val="18"/>
          <w:rFonts w:hint="eastAsia" w:eastAsia="黑体" w:cs="Times New Roman"/>
          <w:b/>
          <w:bCs w:val="0"/>
        </w:rPr>
      </w:pPr>
    </w:p>
    <w:p w14:paraId="14E70BEF">
      <w:pPr>
        <w:pageBreakBefore w:val="0"/>
        <w:widowControl w:val="0"/>
        <w:kinsoku/>
        <w:wordWrap/>
        <w:overflowPunct/>
        <w:topLinePunct w:val="0"/>
        <w:bidi w:val="0"/>
        <w:spacing w:line="576" w:lineRule="exact"/>
        <w:jc w:val="center"/>
        <w:outlineLvl w:val="0"/>
        <w:rPr>
          <w:rStyle w:val="18"/>
          <w:rFonts w:hint="eastAsia" w:eastAsia="黑体" w:cs="Times New Roman"/>
          <w:b/>
          <w:bCs w:val="0"/>
        </w:rPr>
      </w:pPr>
    </w:p>
    <w:p w14:paraId="37C04DD3">
      <w:pPr>
        <w:pageBreakBefore w:val="0"/>
        <w:widowControl w:val="0"/>
        <w:kinsoku/>
        <w:wordWrap/>
        <w:overflowPunct/>
        <w:topLinePunct w:val="0"/>
        <w:bidi w:val="0"/>
        <w:spacing w:line="576" w:lineRule="exact"/>
        <w:jc w:val="center"/>
        <w:outlineLvl w:val="0"/>
        <w:rPr>
          <w:rStyle w:val="18"/>
          <w:rFonts w:hint="eastAsia" w:eastAsia="黑体" w:cs="Times New Roman"/>
          <w:b/>
          <w:bCs w:val="0"/>
        </w:rPr>
      </w:pPr>
    </w:p>
    <w:p w14:paraId="07B26D2B">
      <w:pPr>
        <w:pageBreakBefore w:val="0"/>
        <w:widowControl w:val="0"/>
        <w:kinsoku/>
        <w:wordWrap/>
        <w:overflowPunct/>
        <w:topLinePunct w:val="0"/>
        <w:bidi w:val="0"/>
        <w:spacing w:line="576" w:lineRule="exact"/>
        <w:jc w:val="center"/>
        <w:outlineLvl w:val="0"/>
        <w:rPr>
          <w:rStyle w:val="18"/>
          <w:rFonts w:hint="eastAsia" w:eastAsia="黑体" w:cs="Times New Roman"/>
          <w:b/>
          <w:bCs w:val="0"/>
        </w:rPr>
      </w:pPr>
    </w:p>
    <w:p w14:paraId="273B28B2">
      <w:pPr>
        <w:pageBreakBefore w:val="0"/>
        <w:widowControl w:val="0"/>
        <w:kinsoku/>
        <w:wordWrap/>
        <w:overflowPunct/>
        <w:topLinePunct w:val="0"/>
        <w:bidi w:val="0"/>
        <w:spacing w:line="576" w:lineRule="exact"/>
        <w:jc w:val="center"/>
        <w:outlineLvl w:val="0"/>
        <w:rPr>
          <w:rFonts w:ascii="Times New Roman" w:hAnsi="Times New Roman" w:eastAsia="仿宋" w:cs="Times New Roman"/>
          <w:b/>
          <w:bCs w:val="0"/>
        </w:rPr>
      </w:pPr>
      <w:bookmarkStart w:id="180" w:name="_Toc21400"/>
      <w:r>
        <w:rPr>
          <w:rStyle w:val="18"/>
          <w:rFonts w:hint="eastAsia" w:eastAsia="黑体" w:cs="Times New Roman"/>
          <w:b/>
          <w:bCs w:val="0"/>
        </w:rPr>
        <w:t>第五部分　</w:t>
      </w:r>
      <w:r>
        <w:rPr>
          <w:rStyle w:val="18"/>
          <w:rFonts w:ascii="Times New Roman" w:hAnsi="Times New Roman" w:eastAsia="黑体" w:cs="Times New Roman"/>
          <w:b/>
          <w:bCs w:val="0"/>
        </w:rPr>
        <w:t>附表</w:t>
      </w:r>
      <w:bookmarkEnd w:id="178"/>
      <w:bookmarkEnd w:id="179"/>
      <w:bookmarkEnd w:id="180"/>
      <w:bookmarkStart w:id="181" w:name="_Toc15396619"/>
    </w:p>
    <w:bookmarkEnd w:id="181"/>
    <w:p w14:paraId="49F5587C">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82" w:name="_Toc24291"/>
      <w:bookmarkStart w:id="183" w:name="_Toc26843626"/>
      <w:r>
        <w:rPr>
          <w:rFonts w:ascii="Times New Roman" w:hAnsi="Times New Roman" w:eastAsia="仿宋" w:cs="Times New Roman"/>
          <w:b w:val="0"/>
        </w:rPr>
        <w:t>一、收</w:t>
      </w:r>
      <w:r>
        <w:rPr>
          <w:rStyle w:val="19"/>
          <w:rFonts w:ascii="Times New Roman" w:hAnsi="Times New Roman" w:eastAsia="仿宋" w:cs="Times New Roman"/>
          <w:b w:val="0"/>
          <w:bCs w:val="0"/>
        </w:rPr>
        <w:t>入支出决算总表</w:t>
      </w:r>
      <w:bookmarkEnd w:id="182"/>
      <w:bookmarkEnd w:id="183"/>
    </w:p>
    <w:p w14:paraId="497936DF">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84" w:name="_Toc15396620"/>
      <w:bookmarkStart w:id="185" w:name="_Toc26843627"/>
      <w:bookmarkStart w:id="186" w:name="_Toc15484"/>
      <w:r>
        <w:rPr>
          <w:rFonts w:ascii="Times New Roman" w:hAnsi="Times New Roman" w:eastAsia="仿宋" w:cs="Times New Roman"/>
          <w:b w:val="0"/>
        </w:rPr>
        <w:t>二、收</w:t>
      </w:r>
      <w:r>
        <w:rPr>
          <w:rStyle w:val="19"/>
          <w:rFonts w:ascii="Times New Roman" w:hAnsi="Times New Roman" w:eastAsia="仿宋" w:cs="Times New Roman"/>
          <w:b w:val="0"/>
          <w:bCs w:val="0"/>
        </w:rPr>
        <w:t>入决算表</w:t>
      </w:r>
      <w:bookmarkEnd w:id="184"/>
      <w:bookmarkEnd w:id="185"/>
      <w:bookmarkEnd w:id="186"/>
    </w:p>
    <w:p w14:paraId="20053700">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87" w:name="_Toc26843628"/>
      <w:bookmarkStart w:id="188" w:name="_Toc15396621"/>
      <w:bookmarkStart w:id="189" w:name="_Toc29434"/>
      <w:r>
        <w:rPr>
          <w:rStyle w:val="19"/>
          <w:rFonts w:ascii="Times New Roman" w:hAnsi="Times New Roman" w:eastAsia="仿宋" w:cs="Times New Roman"/>
          <w:b w:val="0"/>
          <w:bCs w:val="0"/>
        </w:rPr>
        <w:t>三、</w:t>
      </w:r>
      <w:r>
        <w:rPr>
          <w:rFonts w:ascii="Times New Roman" w:hAnsi="Times New Roman" w:eastAsia="仿宋" w:cs="Times New Roman"/>
          <w:b w:val="0"/>
        </w:rPr>
        <w:t>支</w:t>
      </w:r>
      <w:r>
        <w:rPr>
          <w:rStyle w:val="19"/>
          <w:rFonts w:ascii="Times New Roman" w:hAnsi="Times New Roman" w:eastAsia="仿宋" w:cs="Times New Roman"/>
          <w:b w:val="0"/>
          <w:bCs w:val="0"/>
        </w:rPr>
        <w:t>出决算表</w:t>
      </w:r>
      <w:bookmarkEnd w:id="187"/>
      <w:bookmarkEnd w:id="188"/>
      <w:bookmarkEnd w:id="189"/>
    </w:p>
    <w:p w14:paraId="16407285">
      <w:pPr>
        <w:pStyle w:val="4"/>
        <w:keepNext/>
        <w:keepLines/>
        <w:pageBreakBefore w:val="0"/>
        <w:widowControl w:val="0"/>
        <w:kinsoku/>
        <w:wordWrap/>
        <w:overflowPunct/>
        <w:topLinePunct w:val="0"/>
        <w:bidi w:val="0"/>
        <w:spacing w:line="576" w:lineRule="exact"/>
        <w:rPr>
          <w:rFonts w:ascii="Times New Roman" w:hAnsi="Times New Roman" w:eastAsia="仿宋" w:cs="Times New Roman"/>
          <w:b w:val="0"/>
        </w:rPr>
      </w:pPr>
      <w:bookmarkStart w:id="190" w:name="_Toc15396622"/>
      <w:bookmarkStart w:id="191" w:name="_Toc26843629"/>
      <w:bookmarkStart w:id="192" w:name="_Toc14484"/>
      <w:r>
        <w:rPr>
          <w:rStyle w:val="19"/>
          <w:rFonts w:ascii="Times New Roman" w:hAnsi="Times New Roman" w:eastAsia="仿宋" w:cs="Times New Roman"/>
          <w:b w:val="0"/>
          <w:bCs w:val="0"/>
        </w:rPr>
        <w:t>四、</w:t>
      </w:r>
      <w:r>
        <w:rPr>
          <w:rFonts w:ascii="Times New Roman" w:hAnsi="Times New Roman" w:eastAsia="仿宋" w:cs="Times New Roman"/>
          <w:b w:val="0"/>
        </w:rPr>
        <w:t>财</w:t>
      </w:r>
      <w:r>
        <w:rPr>
          <w:rStyle w:val="19"/>
          <w:rFonts w:ascii="Times New Roman" w:hAnsi="Times New Roman" w:eastAsia="仿宋" w:cs="Times New Roman"/>
          <w:b w:val="0"/>
          <w:bCs w:val="0"/>
        </w:rPr>
        <w:t>政拨款收入支出决算总表</w:t>
      </w:r>
      <w:bookmarkEnd w:id="190"/>
      <w:bookmarkEnd w:id="191"/>
      <w:bookmarkEnd w:id="192"/>
    </w:p>
    <w:p w14:paraId="16752E89">
      <w:pPr>
        <w:pStyle w:val="4"/>
        <w:keepNext/>
        <w:keepLines/>
        <w:pageBreakBefore w:val="0"/>
        <w:widowControl w:val="0"/>
        <w:kinsoku/>
        <w:wordWrap/>
        <w:overflowPunct/>
        <w:topLinePunct w:val="0"/>
        <w:bidi w:val="0"/>
        <w:spacing w:line="576" w:lineRule="exact"/>
        <w:rPr>
          <w:rStyle w:val="19"/>
          <w:rFonts w:ascii="Times New Roman" w:hAnsi="Times New Roman" w:eastAsia="仿宋" w:cs="Times New Roman"/>
          <w:b w:val="0"/>
          <w:bCs w:val="0"/>
        </w:rPr>
      </w:pPr>
      <w:bookmarkStart w:id="193" w:name="_Toc26550"/>
      <w:bookmarkStart w:id="194" w:name="_Toc26843630"/>
      <w:bookmarkStart w:id="195" w:name="_Toc15396623"/>
      <w:r>
        <w:rPr>
          <w:rStyle w:val="19"/>
          <w:rFonts w:ascii="Times New Roman" w:hAnsi="Times New Roman" w:eastAsia="仿宋" w:cs="Times New Roman"/>
          <w:b w:val="0"/>
          <w:bCs w:val="0"/>
        </w:rPr>
        <w:t>五、</w:t>
      </w:r>
      <w:r>
        <w:rPr>
          <w:rFonts w:ascii="Times New Roman" w:hAnsi="Times New Roman" w:eastAsia="仿宋" w:cs="Times New Roman"/>
          <w:b w:val="0"/>
        </w:rPr>
        <w:t>财</w:t>
      </w:r>
      <w:r>
        <w:rPr>
          <w:rStyle w:val="19"/>
          <w:rFonts w:ascii="Times New Roman" w:hAnsi="Times New Roman" w:eastAsia="仿宋" w:cs="Times New Roman"/>
          <w:b w:val="0"/>
          <w:bCs w:val="0"/>
        </w:rPr>
        <w:t>政拨款支出决算明细表</w:t>
      </w:r>
      <w:bookmarkEnd w:id="193"/>
      <w:bookmarkEnd w:id="194"/>
      <w:bookmarkEnd w:id="195"/>
      <w:bookmarkStart w:id="196" w:name="_Toc15396624"/>
    </w:p>
    <w:p w14:paraId="76C98211">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97" w:name="_Toc26843631"/>
      <w:bookmarkStart w:id="198" w:name="_Toc26861"/>
      <w:r>
        <w:rPr>
          <w:rStyle w:val="19"/>
          <w:rFonts w:ascii="Times New Roman" w:hAnsi="Times New Roman" w:eastAsia="仿宋" w:cs="Times New Roman"/>
          <w:b w:val="0"/>
          <w:bCs w:val="0"/>
        </w:rPr>
        <w:t>六、</w:t>
      </w:r>
      <w:r>
        <w:rPr>
          <w:rFonts w:ascii="Times New Roman" w:hAnsi="Times New Roman" w:eastAsia="仿宋" w:cs="Times New Roman"/>
          <w:b w:val="0"/>
        </w:rPr>
        <w:t>一</w:t>
      </w:r>
      <w:r>
        <w:rPr>
          <w:rStyle w:val="19"/>
          <w:rFonts w:ascii="Times New Roman" w:hAnsi="Times New Roman" w:eastAsia="仿宋" w:cs="Times New Roman"/>
          <w:b w:val="0"/>
          <w:bCs w:val="0"/>
        </w:rPr>
        <w:t>般公共预算财政拨款支出决算表</w:t>
      </w:r>
      <w:bookmarkEnd w:id="196"/>
      <w:bookmarkEnd w:id="197"/>
      <w:bookmarkEnd w:id="198"/>
    </w:p>
    <w:p w14:paraId="42F0FC0E">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99" w:name="_Toc20001"/>
      <w:bookmarkStart w:id="200" w:name="_Toc15396625"/>
      <w:bookmarkStart w:id="201" w:name="_Toc26843632"/>
      <w:r>
        <w:rPr>
          <w:rStyle w:val="19"/>
          <w:rFonts w:ascii="Times New Roman" w:hAnsi="Times New Roman" w:eastAsia="仿宋" w:cs="Times New Roman"/>
          <w:b w:val="0"/>
          <w:bCs w:val="0"/>
        </w:rPr>
        <w:t>七、</w:t>
      </w:r>
      <w:r>
        <w:rPr>
          <w:rFonts w:ascii="Times New Roman" w:hAnsi="Times New Roman" w:eastAsia="仿宋" w:cs="Times New Roman"/>
          <w:b w:val="0"/>
        </w:rPr>
        <w:t>一</w:t>
      </w:r>
      <w:r>
        <w:rPr>
          <w:rStyle w:val="19"/>
          <w:rFonts w:ascii="Times New Roman" w:hAnsi="Times New Roman" w:eastAsia="仿宋" w:cs="Times New Roman"/>
          <w:b w:val="0"/>
          <w:bCs w:val="0"/>
        </w:rPr>
        <w:t>般公共预算财政拨款支出决算明细表</w:t>
      </w:r>
      <w:bookmarkEnd w:id="199"/>
      <w:bookmarkEnd w:id="200"/>
      <w:bookmarkEnd w:id="201"/>
    </w:p>
    <w:p w14:paraId="2593FDE8">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202" w:name="_Toc26843633"/>
      <w:bookmarkStart w:id="203" w:name="_Toc26093"/>
      <w:bookmarkStart w:id="204" w:name="_Toc15396626"/>
      <w:r>
        <w:rPr>
          <w:rStyle w:val="19"/>
          <w:rFonts w:ascii="Times New Roman" w:hAnsi="Times New Roman" w:eastAsia="仿宋" w:cs="Times New Roman"/>
          <w:b w:val="0"/>
          <w:bCs w:val="0"/>
        </w:rPr>
        <w:t>八、</w:t>
      </w:r>
      <w:r>
        <w:rPr>
          <w:rFonts w:ascii="Times New Roman" w:hAnsi="Times New Roman" w:eastAsia="仿宋" w:cs="Times New Roman"/>
          <w:b w:val="0"/>
        </w:rPr>
        <w:t>一</w:t>
      </w:r>
      <w:r>
        <w:rPr>
          <w:rStyle w:val="19"/>
          <w:rFonts w:ascii="Times New Roman" w:hAnsi="Times New Roman" w:eastAsia="仿宋" w:cs="Times New Roman"/>
          <w:b w:val="0"/>
          <w:bCs w:val="0"/>
        </w:rPr>
        <w:t>般公共预算财政拨款基本支出决算明细表</w:t>
      </w:r>
      <w:bookmarkEnd w:id="202"/>
      <w:bookmarkEnd w:id="203"/>
      <w:bookmarkEnd w:id="204"/>
    </w:p>
    <w:p w14:paraId="74D99C0B">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205" w:name="_Toc15396627"/>
      <w:bookmarkStart w:id="206" w:name="_Toc26843634"/>
      <w:bookmarkStart w:id="207" w:name="_Toc639"/>
      <w:r>
        <w:rPr>
          <w:rStyle w:val="19"/>
          <w:rFonts w:ascii="Times New Roman" w:hAnsi="Times New Roman" w:eastAsia="仿宋" w:cs="Times New Roman"/>
          <w:b w:val="0"/>
          <w:bCs w:val="0"/>
        </w:rPr>
        <w:t>九、</w:t>
      </w:r>
      <w:r>
        <w:rPr>
          <w:rFonts w:ascii="Times New Roman" w:hAnsi="Times New Roman" w:eastAsia="仿宋" w:cs="Times New Roman"/>
          <w:b w:val="0"/>
        </w:rPr>
        <w:t>一</w:t>
      </w:r>
      <w:r>
        <w:rPr>
          <w:rStyle w:val="19"/>
          <w:rFonts w:ascii="Times New Roman" w:hAnsi="Times New Roman" w:eastAsia="仿宋" w:cs="Times New Roman"/>
          <w:b w:val="0"/>
          <w:bCs w:val="0"/>
        </w:rPr>
        <w:t>般公共预算财政拨款项目支出决算表</w:t>
      </w:r>
      <w:bookmarkEnd w:id="205"/>
      <w:bookmarkEnd w:id="206"/>
      <w:bookmarkEnd w:id="207"/>
    </w:p>
    <w:p w14:paraId="1A950F27">
      <w:pPr>
        <w:pStyle w:val="4"/>
        <w:keepNext/>
        <w:keepLines/>
        <w:pageBreakBefore w:val="0"/>
        <w:widowControl w:val="0"/>
        <w:kinsoku/>
        <w:wordWrap/>
        <w:overflowPunct/>
        <w:topLinePunct w:val="0"/>
        <w:bidi w:val="0"/>
        <w:spacing w:line="576" w:lineRule="exact"/>
        <w:rPr>
          <w:rStyle w:val="19"/>
          <w:rFonts w:ascii="Times New Roman" w:hAnsi="Times New Roman" w:eastAsia="仿宋" w:cs="Times New Roman"/>
          <w:b w:val="0"/>
          <w:bCs w:val="0"/>
        </w:rPr>
      </w:pPr>
      <w:bookmarkStart w:id="208" w:name="_Toc26843635"/>
      <w:bookmarkStart w:id="209" w:name="_Toc15396628"/>
      <w:bookmarkStart w:id="210" w:name="_Toc4696"/>
      <w:r>
        <w:rPr>
          <w:rStyle w:val="19"/>
          <w:rFonts w:ascii="Times New Roman" w:hAnsi="Times New Roman" w:eastAsia="仿宋" w:cs="Times New Roman"/>
          <w:b w:val="0"/>
          <w:bCs w:val="0"/>
        </w:rPr>
        <w:t>十、</w:t>
      </w:r>
      <w:bookmarkEnd w:id="208"/>
      <w:bookmarkEnd w:id="209"/>
      <w:bookmarkStart w:id="211" w:name="_Toc26843636"/>
      <w:bookmarkStart w:id="212" w:name="_Toc15396629"/>
      <w:r>
        <w:rPr>
          <w:rFonts w:ascii="Times New Roman" w:hAnsi="Times New Roman" w:eastAsia="仿宋" w:cs="Times New Roman"/>
          <w:b w:val="0"/>
        </w:rPr>
        <w:t>政</w:t>
      </w:r>
      <w:r>
        <w:rPr>
          <w:rStyle w:val="19"/>
          <w:rFonts w:ascii="Times New Roman" w:hAnsi="Times New Roman" w:eastAsia="仿宋" w:cs="Times New Roman"/>
          <w:b w:val="0"/>
          <w:bCs w:val="0"/>
        </w:rPr>
        <w:t>府性基金预算财政拨款收入支出决算表</w:t>
      </w:r>
      <w:bookmarkEnd w:id="210"/>
    </w:p>
    <w:p w14:paraId="615DE54A">
      <w:pPr>
        <w:pStyle w:val="4"/>
        <w:keepNext/>
        <w:keepLines/>
        <w:pageBreakBefore w:val="0"/>
        <w:widowControl w:val="0"/>
        <w:kinsoku/>
        <w:wordWrap/>
        <w:overflowPunct/>
        <w:topLinePunct w:val="0"/>
        <w:bidi w:val="0"/>
        <w:spacing w:line="576" w:lineRule="exact"/>
        <w:rPr>
          <w:rStyle w:val="19"/>
          <w:rFonts w:ascii="Times New Roman" w:hAnsi="Times New Roman" w:eastAsia="仿宋" w:cs="Times New Roman"/>
          <w:b w:val="0"/>
          <w:bCs w:val="0"/>
        </w:rPr>
      </w:pPr>
      <w:bookmarkStart w:id="213" w:name="_Toc15822"/>
      <w:r>
        <w:rPr>
          <w:rStyle w:val="19"/>
          <w:rFonts w:ascii="Times New Roman" w:hAnsi="Times New Roman" w:eastAsia="仿宋" w:cs="Times New Roman"/>
          <w:b w:val="0"/>
          <w:bCs w:val="0"/>
        </w:rPr>
        <w:t>十一、</w:t>
      </w:r>
      <w:bookmarkEnd w:id="211"/>
      <w:bookmarkEnd w:id="212"/>
      <w:bookmarkStart w:id="214" w:name="_Toc15396630"/>
      <w:bookmarkStart w:id="215" w:name="_Toc26843637"/>
      <w:r>
        <w:rPr>
          <w:rFonts w:ascii="Times New Roman" w:hAnsi="Times New Roman" w:eastAsia="仿宋" w:cs="Times New Roman"/>
          <w:b w:val="0"/>
        </w:rPr>
        <w:t>国</w:t>
      </w:r>
      <w:r>
        <w:rPr>
          <w:rStyle w:val="19"/>
          <w:rFonts w:ascii="Times New Roman" w:hAnsi="Times New Roman" w:eastAsia="仿宋" w:cs="Times New Roman"/>
          <w:b w:val="0"/>
          <w:bCs w:val="0"/>
        </w:rPr>
        <w:t>有资本经营预算财政拨款收入支出决算表</w:t>
      </w:r>
      <w:bookmarkEnd w:id="213"/>
    </w:p>
    <w:p w14:paraId="616B862A">
      <w:pPr>
        <w:pStyle w:val="4"/>
        <w:keepNext/>
        <w:keepLines/>
        <w:pageBreakBefore w:val="0"/>
        <w:widowControl w:val="0"/>
        <w:kinsoku/>
        <w:wordWrap/>
        <w:overflowPunct/>
        <w:topLinePunct w:val="0"/>
        <w:bidi w:val="0"/>
        <w:spacing w:line="576" w:lineRule="exact"/>
        <w:rPr>
          <w:rStyle w:val="19"/>
          <w:rFonts w:ascii="Times New Roman" w:hAnsi="Times New Roman" w:eastAsia="仿宋" w:cs="Times New Roman"/>
          <w:b w:val="0"/>
          <w:bCs w:val="0"/>
        </w:rPr>
      </w:pPr>
      <w:bookmarkStart w:id="216" w:name="_Toc18261"/>
      <w:r>
        <w:rPr>
          <w:rStyle w:val="19"/>
          <w:rFonts w:ascii="Times New Roman" w:hAnsi="Times New Roman" w:eastAsia="仿宋" w:cs="Times New Roman"/>
          <w:b w:val="0"/>
          <w:bCs w:val="0"/>
        </w:rPr>
        <w:t>十二、</w:t>
      </w:r>
      <w:bookmarkEnd w:id="214"/>
      <w:bookmarkEnd w:id="215"/>
      <w:bookmarkStart w:id="217" w:name="_Toc15396631"/>
      <w:bookmarkStart w:id="218" w:name="_Toc26843638"/>
      <w:r>
        <w:rPr>
          <w:rFonts w:ascii="Times New Roman" w:hAnsi="Times New Roman" w:eastAsia="仿宋" w:cs="Times New Roman"/>
          <w:b w:val="0"/>
        </w:rPr>
        <w:t>国</w:t>
      </w:r>
      <w:r>
        <w:rPr>
          <w:rStyle w:val="19"/>
          <w:rFonts w:ascii="Times New Roman" w:hAnsi="Times New Roman" w:eastAsia="仿宋" w:cs="Times New Roman"/>
          <w:b w:val="0"/>
          <w:bCs w:val="0"/>
        </w:rPr>
        <w:t>有资本经营预算财政拨款支出决算表</w:t>
      </w:r>
      <w:bookmarkEnd w:id="216"/>
    </w:p>
    <w:p w14:paraId="5019DAA2">
      <w:pPr>
        <w:pStyle w:val="4"/>
        <w:keepNext/>
        <w:keepLines/>
        <w:pageBreakBefore w:val="0"/>
        <w:widowControl w:val="0"/>
        <w:kinsoku/>
        <w:wordWrap/>
        <w:overflowPunct/>
        <w:topLinePunct w:val="0"/>
        <w:bidi w:val="0"/>
        <w:spacing w:line="576" w:lineRule="exact"/>
        <w:rPr>
          <w:rStyle w:val="19"/>
          <w:rFonts w:ascii="Times New Roman" w:hAnsi="Times New Roman" w:eastAsia="仿宋" w:cs="Times New Roman"/>
          <w:b w:val="0"/>
          <w:bCs w:val="0"/>
          <w:lang w:val="en-US" w:eastAsia="zh-CN"/>
        </w:rPr>
      </w:pPr>
      <w:bookmarkStart w:id="219" w:name="_Toc28727"/>
      <w:r>
        <w:rPr>
          <w:rStyle w:val="19"/>
          <w:rFonts w:ascii="Times New Roman" w:hAnsi="Times New Roman" w:eastAsia="仿宋" w:cs="Times New Roman"/>
          <w:b w:val="0"/>
          <w:bCs w:val="0"/>
        </w:rPr>
        <w:t>十三、</w:t>
      </w:r>
      <w:bookmarkEnd w:id="217"/>
      <w:bookmarkEnd w:id="218"/>
      <w:r>
        <w:rPr>
          <w:rFonts w:hint="eastAsia" w:ascii="Times New Roman" w:hAnsi="Times New Roman" w:eastAsia="仿宋" w:cs="Times New Roman"/>
          <w:b w:val="0"/>
          <w:lang w:val="en-US" w:eastAsia="zh-CN"/>
        </w:rPr>
        <w:t>财政拨款“三公”经费支出决算表</w:t>
      </w:r>
      <w:bookmarkEnd w:id="219"/>
    </w:p>
    <w:p w14:paraId="148930B8">
      <w:pPr>
        <w:pStyle w:val="6"/>
        <w:rPr>
          <w:rFonts w:hint="eastAsia" w:ascii="仿宋_GB2312" w:eastAsia="仿宋_GB2312" w:cs="仿宋_GB2312"/>
          <w:sz w:val="32"/>
          <w:szCs w:val="32"/>
          <w:lang w:eastAsia="zh-CN"/>
        </w:rPr>
      </w:pPr>
    </w:p>
    <w:p w14:paraId="2BB61937">
      <w:pPr>
        <w:pStyle w:val="6"/>
        <w:rPr>
          <w:rFonts w:hint="eastAsia" w:ascii="仿宋_GB2312" w:eastAsia="仿宋_GB2312" w:cs="仿宋_GB2312"/>
          <w:sz w:val="32"/>
          <w:szCs w:val="32"/>
          <w:lang w:eastAsia="zh-CN"/>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 w:name="KSOF439F63AF">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3605240"/>
      <w:docPartList>
        <w:docPartGallery w:val="autotext"/>
      </w:docPartList>
    </w:sdtPr>
    <w:sdtContent>
      <w:p w14:paraId="4BB326D6">
        <w:pPr>
          <w:pStyle w:val="9"/>
          <w:jc w:val="center"/>
        </w:pPr>
        <w:r>
          <w:fldChar w:fldCharType="begin"/>
        </w:r>
        <w:r>
          <w:instrText xml:space="preserve">PAGE   \* MERGEFORMAT</w:instrText>
        </w:r>
        <w:r>
          <w:fldChar w:fldCharType="separate"/>
        </w:r>
        <w:r>
          <w:rPr>
            <w:lang w:val="zh-CN"/>
          </w:rPr>
          <w:t>10</w:t>
        </w:r>
        <w:r>
          <w:fldChar w:fldCharType="end"/>
        </w:r>
      </w:p>
    </w:sdtContent>
  </w:sdt>
  <w:p w14:paraId="72DD487F">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F09E7">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1">
    <w:nsid w:val="EC0BEF30"/>
    <w:multiLevelType w:val="singleLevel"/>
    <w:tmpl w:val="EC0BEF30"/>
    <w:lvl w:ilvl="0" w:tentative="0">
      <w:start w:val="1"/>
      <w:numFmt w:val="chineseCounting"/>
      <w:suff w:val="nothing"/>
      <w:lvlText w:val="（%1）"/>
      <w:lvlJc w:val="left"/>
      <w:pPr>
        <w:ind w:left="0" w:firstLine="0"/>
      </w:pPr>
      <w:rPr>
        <w:rFonts w:hint="eastAsia" w:ascii="楷体_GB2312" w:hAnsi="楷体_GB2312" w:eastAsia="楷体_GB2312" w:cs="楷体_GB2312"/>
        <w:b/>
        <w:bCs/>
        <w:sz w:val="32"/>
        <w:szCs w:val="32"/>
      </w:rPr>
    </w:lvl>
  </w:abstractNum>
  <w:abstractNum w:abstractNumId="2">
    <w:nsid w:val="746F7071"/>
    <w:multiLevelType w:val="singleLevel"/>
    <w:tmpl w:val="746F7071"/>
    <w:lvl w:ilvl="0" w:tentative="0">
      <w:start w:val="3"/>
      <w:numFmt w:val="chineseCounting"/>
      <w:suff w:val="nothing"/>
      <w:lvlText w:val="（%1）"/>
      <w:lvlJc w:val="left"/>
      <w:pPr>
        <w:ind w:left="0"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mRjOTJlNzJjZmZkOTQxZDA4NjRhMDllMWM3ZmQ2OTgifQ=="/>
  </w:docVars>
  <w:rsids>
    <w:rsidRoot w:val="00000000"/>
    <w:rsid w:val="060402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19"/>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uiPriority w:val="0"/>
    <w:pPr>
      <w:keepNext/>
      <w:keepLines/>
      <w:widowControl w:val="0"/>
      <w:spacing w:before="260" w:after="260" w:line="415" w:lineRule="auto"/>
      <w:outlineLvl w:val="2"/>
    </w:pPr>
    <w:rPr>
      <w:b/>
      <w:bCs/>
      <w:sz w:val="32"/>
      <w:szCs w:val="32"/>
    </w:rPr>
  </w:style>
  <w:style w:type="character" w:default="1" w:styleId="15">
    <w:name w:val="Default Paragraph Font"/>
    <w:qFormat/>
    <w:uiPriority w:val="0"/>
  </w:style>
  <w:style w:type="table" w:default="1" w:styleId="14">
    <w:name w:val="Normal Table"/>
    <w:semiHidden/>
    <w:uiPriority w:val="0"/>
    <w:tblPr>
      <w:tblCellMar>
        <w:top w:w="0" w:type="dxa"/>
        <w:left w:w="108" w:type="dxa"/>
        <w:bottom w:w="0" w:type="dxa"/>
        <w:right w:w="108" w:type="dxa"/>
      </w:tblCellMar>
    </w:tblPr>
  </w:style>
  <w:style w:type="paragraph" w:styleId="2">
    <w:name w:val="Normal Indent"/>
    <w:basedOn w:val="1"/>
    <w:next w:val="1"/>
    <w:qFormat/>
    <w:uiPriority w:val="0"/>
    <w:pPr>
      <w:ind w:firstLine="200" w:firstLineChars="200"/>
    </w:p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0"/>
    <w:pPr>
      <w:widowControl/>
      <w:spacing w:before="100" w:beforeAutospacing="1" w:after="100" w:afterAutospacing="1"/>
      <w:jc w:val="left"/>
    </w:pPr>
    <w:rPr>
      <w:rFonts w:ascii="宋体" w:cs="宋体"/>
      <w:kern w:val="0"/>
      <w:sz w:val="24"/>
    </w:rPr>
  </w:style>
  <w:style w:type="character" w:styleId="16">
    <w:name w:val="Strong"/>
    <w:basedOn w:val="15"/>
    <w:uiPriority w:val="0"/>
    <w:rPr>
      <w:b/>
    </w:rPr>
  </w:style>
  <w:style w:type="character" w:styleId="17">
    <w:name w:val="Hyperlink"/>
    <w:basedOn w:val="15"/>
    <w:qFormat/>
    <w:uiPriority w:val="0"/>
    <w:rPr>
      <w:color w:val="0000FF"/>
      <w:u w:val="single"/>
    </w:rPr>
  </w:style>
  <w:style w:type="character" w:customStyle="1" w:styleId="18">
    <w:name w:val="heading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heading 2 Char"/>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uiPriority w:val="0"/>
    <w:rPr>
      <w:rFonts w:ascii="Times New Roman" w:hAnsi="Times New Roman"/>
      <w:sz w:val="18"/>
      <w:szCs w:val="18"/>
    </w:rPr>
  </w:style>
  <w:style w:type="character" w:customStyle="1" w:styleId="22">
    <w:name w:val="Body Text Char"/>
    <w:basedOn w:val="15"/>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4">
    <w:name w:val="List Paragraph"/>
    <w:basedOn w:val="1"/>
    <w:uiPriority w:val="0"/>
    <w:pPr>
      <w:ind w:firstLine="200" w:firstLineChars="200"/>
    </w:pPr>
  </w:style>
  <w:style w:type="paragraph" w:customStyle="1" w:styleId="25">
    <w:name w:val="TOC Heading"/>
    <w:basedOn w:val="3"/>
    <w:next w:val="1"/>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image" Target="media/image1.png"/><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2.png"/><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收、支决算结构图</a:t>
            </a:r>
            <a:endParaRPr lang="zh-CN"/>
          </a:p>
        </c:rich>
      </c:tx>
      <c:layout/>
      <c:overlay val="0"/>
      <c:spPr>
        <a:ln>
          <a:noFill/>
        </a:ln>
      </c:spPr>
    </c:title>
    <c:autoTitleDeleted val="0"/>
    <c:plotArea>
      <c:layout/>
      <c:barChart>
        <c:barDir val="col"/>
        <c:grouping val="clustered"/>
        <c:varyColors val="0"/>
        <c:ser>
          <c:idx val="0"/>
          <c:order val="0"/>
          <c:tx>
            <c:strRef>
              <c:f>收入</c:f>
              <c:strCache>
                <c:ptCount val="1"/>
                <c:pt idx="0">
                  <c:v>收入</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{"2021年","2022年"}</c:f>
              <c:strCache>
                <c:ptCount val="2"/>
                <c:pt idx="0">
                  <c:v>2021年</c:v>
                </c:pt>
                <c:pt idx="1">
                  <c:v>2022年</c:v>
                </c:pt>
              </c:strCache>
            </c:strRef>
          </c:cat>
          <c:val>
            <c:numRef>
              <c:f>{215.98,250.01}</c:f>
              <c:numCache>
                <c:formatCode>General</c:formatCode>
                <c:ptCount val="2"/>
                <c:pt idx="0">
                  <c:v>215.98</c:v>
                </c:pt>
                <c:pt idx="1">
                  <c:v>250.01</c:v>
                </c:pt>
              </c:numCache>
            </c:numRef>
          </c:val>
        </c:ser>
        <c:ser>
          <c:idx val="1"/>
          <c:order val="1"/>
          <c:tx>
            <c:strRef>
              <c:f>支出</c:f>
              <c:strCache>
                <c:ptCount val="1"/>
                <c:pt idx="0">
                  <c:v>支出</c:v>
                </c:pt>
              </c:strCache>
            </c:strRef>
          </c:tx>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{"2021年","2022年"}</c:f>
              <c:strCache>
                <c:ptCount val="2"/>
                <c:pt idx="0">
                  <c:v>2021年</c:v>
                </c:pt>
                <c:pt idx="1">
                  <c:v>2022年</c:v>
                </c:pt>
              </c:strCache>
            </c:strRef>
          </c:cat>
          <c:val>
            <c:numRef>
              <c:f>{215.98,250.01}</c:f>
              <c:numCache>
                <c:formatCode>General</c:formatCode>
                <c:ptCount val="2"/>
                <c:pt idx="0">
                  <c:v>215.98</c:v>
                </c:pt>
                <c:pt idx="1">
                  <c:v>250.01</c:v>
                </c:pt>
              </c:numCache>
            </c:numRef>
          </c:val>
        </c:ser>
        <c:dLbls>
          <c:showLegendKey val="0"/>
          <c:showVal val="1"/>
          <c:showCatName val="0"/>
          <c:showSerName val="0"/>
          <c:showPercent val="0"/>
          <c:showBubbleSize val="0"/>
        </c:dLbls>
        <c:gapWidth val="150"/>
        <c:axId val="0"/>
        <c:axId val="1"/>
      </c:barChart>
      <c:catAx>
        <c:axId val="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gap"/>
    <c:showDLblsOverMax val="0"/>
    <c:extLst>
      <c:ext uri="{0b15fc19-7d7d-44ad-8c2d-2c3a37ce22c3}">
        <chartProps xmlns="https://web.wps.cn/et/2018/main" chartId="{5f3f47a9-0c8d-4eb2-a332-53523a26ee1d}"/>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支出决算结构图</a:t>
            </a:r>
            <a:endParaRPr lang="zh-CN"/>
          </a:p>
        </c:rich>
      </c:tx>
      <c:layout>
        <c:manualLayout>
          <c:xMode val="edge"/>
          <c:yMode val="edge"/>
          <c:x val="0.3838889"/>
          <c:y val="0.0069444445"/>
        </c:manualLayout>
      </c:layout>
      <c:overlay val="0"/>
      <c:spPr>
        <a:ln>
          <a:noFill/>
        </a:ln>
      </c:spPr>
    </c:title>
    <c:autoTitleDeleted val="0"/>
    <c:view3D>
      <c:rotX val="30"/>
      <c:rotY val="0"/>
      <c:depthPercent val="100"/>
      <c:rAngAx val="0"/>
      <c:hPercent val="100"/>
      <c:perspective val="0"/>
    </c:view3D>
    <c:floor>
      <c:thickness val="0"/>
      <c:spPr>
        <a:ln w="6350">
          <a:solidFill>
            <a:srgbClr val="898989"/>
          </a:solidFill>
          <a:prstDash val="solid"/>
        </a:ln>
      </c:spPr>
    </c:floor>
    <c:sideWall>
      <c:thickness val="0"/>
      <c:spPr>
        <a:ln>
          <a:noFill/>
        </a:ln>
      </c:spPr>
    </c:sideWall>
    <c:backWall>
      <c:thickness val="0"/>
      <c:spPr>
        <a:ln>
          <a:noFill/>
        </a:ln>
      </c:spPr>
    </c:backWall>
    <c:plotArea>
      <c:layout/>
      <c:pie3DChart>
        <c:varyColors val="1"/>
        <c:ser>
          <c:idx val="0"/>
          <c:order val="0"/>
          <c:tx>
            <c:strRef>
              <c:f>支出决算结构图</c:f>
              <c:strCache>
                <c:ptCount val="1"/>
                <c:pt idx="0">
                  <c:v>支出决算结构图</c:v>
                </c:pt>
              </c:strCache>
            </c:strRef>
          </c:tx>
          <c:explosion val="0"/>
          <c:dPt>
            <c:idx val="0"/>
            <c:bubble3D val="0"/>
            <c:spPr>
              <a:solidFill>
                <a:srgbClr val="4F81BD"/>
              </a:solidFill>
            </c:spPr>
          </c:dPt>
          <c:dPt>
            <c:idx val="1"/>
            <c:bubble3D val="0"/>
            <c:spPr>
              <a:solidFill>
                <a:srgbClr val="C0504D"/>
              </a:solidFill>
            </c:spPr>
          </c:dPt>
          <c:dLbls>
            <c:dLbl>
              <c:idx val="0"/>
              <c:delete val="1"/>
            </c:dLbl>
            <c:dLbl>
              <c:idx val="1"/>
              <c:delete val="1"/>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{"基本支出","项目支出"}</c:f>
              <c:strCache>
                <c:ptCount val="2"/>
                <c:pt idx="0">
                  <c:v>基本支出</c:v>
                </c:pt>
                <c:pt idx="1">
                  <c:v>项目支出</c:v>
                </c:pt>
              </c:strCache>
            </c:strRef>
          </c:cat>
          <c:val>
            <c:numRef>
              <c:f>{250.01,0}</c:f>
              <c:numCache>
                <c:formatCode>General</c:formatCode>
                <c:ptCount val="2"/>
                <c:pt idx="0">
                  <c:v>250.01</c:v>
                </c:pt>
                <c:pt idx="1">
                  <c:v>0</c:v>
                </c:pt>
              </c:numCache>
            </c:numRef>
          </c:val>
        </c:ser>
        <c:dLbls>
          <c:showLegendKey val="0"/>
          <c:showVal val="0"/>
          <c:showCatName val="0"/>
          <c:showSerName val="0"/>
          <c:showPercent val="0"/>
          <c:showBubbleSize val="0"/>
        </c:dLbls>
      </c:pie3D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extLst>
      <c:ext uri="{0b15fc19-7d7d-44ad-8c2d-2c3a37ce22c3}">
        <chartProps xmlns="https://web.wps.cn/et/2018/main" chartId="{b3cbcad9-be67-4aba-b989-1ef8d247abf4}"/>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7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财政拨款收、支决算总计变动情况</a:t>
            </a:r>
            <a:endParaRPr lang="zh-CN"/>
          </a:p>
        </c:rich>
      </c:tx>
      <c:layout/>
      <c:overlay val="0"/>
      <c:spPr>
        <a:ln>
          <a:noFill/>
        </a:ln>
      </c:spPr>
    </c:title>
    <c:autoTitleDeleted val="0"/>
    <c:plotArea>
      <c:layout/>
      <c:barChart>
        <c:barDir val="col"/>
        <c:grouping val="clustered"/>
        <c:varyColors val="0"/>
        <c:ser>
          <c:idx val="0"/>
          <c:order val="0"/>
          <c:tx>
            <c:strRef>
              <c:f>收入</c:f>
              <c:strCache>
                <c:ptCount val="1"/>
                <c:pt idx="0">
                  <c:v>收入</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{"2021年","2022年"}</c:f>
              <c:strCache>
                <c:ptCount val="2"/>
                <c:pt idx="0">
                  <c:v>2021年</c:v>
                </c:pt>
                <c:pt idx="1">
                  <c:v>2022年</c:v>
                </c:pt>
              </c:strCache>
            </c:strRef>
          </c:cat>
          <c:val>
            <c:numRef>
              <c:f>{215.98,250.01}</c:f>
              <c:numCache>
                <c:formatCode>General</c:formatCode>
                <c:ptCount val="2"/>
                <c:pt idx="0">
                  <c:v>215.98</c:v>
                </c:pt>
                <c:pt idx="1">
                  <c:v>250.01</c:v>
                </c:pt>
              </c:numCache>
            </c:numRef>
          </c:val>
        </c:ser>
        <c:ser>
          <c:idx val="1"/>
          <c:order val="1"/>
          <c:tx>
            <c:strRef>
              <c:f>支出</c:f>
              <c:strCache>
                <c:ptCount val="1"/>
                <c:pt idx="0">
                  <c:v>支出</c:v>
                </c:pt>
              </c:strCache>
            </c:strRef>
          </c:tx>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{"2021年","2022年"}</c:f>
              <c:strCache>
                <c:ptCount val="2"/>
                <c:pt idx="0">
                  <c:v>2021年</c:v>
                </c:pt>
                <c:pt idx="1">
                  <c:v>2022年</c:v>
                </c:pt>
              </c:strCache>
            </c:strRef>
          </c:cat>
          <c:val>
            <c:numRef>
              <c:f>{215.98,250.01}</c:f>
              <c:numCache>
                <c:formatCode>General</c:formatCode>
                <c:ptCount val="2"/>
                <c:pt idx="0">
                  <c:v>215.98</c:v>
                </c:pt>
                <c:pt idx="1">
                  <c:v>250.01</c:v>
                </c:pt>
              </c:numCache>
            </c:numRef>
          </c:val>
        </c:ser>
        <c:dLbls>
          <c:showLegendKey val="0"/>
          <c:showVal val="1"/>
          <c:showCatName val="0"/>
          <c:showSerName val="0"/>
          <c:showPercent val="0"/>
          <c:showBubbleSize val="0"/>
        </c:dLbls>
        <c:gapWidth val="150"/>
        <c:axId val="0"/>
        <c:axId val="1"/>
      </c:barChart>
      <c:catAx>
        <c:axId val="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gap"/>
    <c:showDLblsOverMax val="0"/>
    <c:extLst>
      <c:ext uri="{0b15fc19-7d7d-44ad-8c2d-2c3a37ce22c3}">
        <chartProps xmlns="https://web.wps.cn/et/2018/main" chartId="{e72a5ed7-a21b-443f-90c2-01545ccdecbe}"/>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一般公共预算财政拨款支出决算变动情况</a:t>
            </a:r>
            <a:endParaRPr lang="zh-CN"/>
          </a:p>
        </c:rich>
      </c:tx>
      <c:layout/>
      <c:overlay val="0"/>
      <c:spPr>
        <a:ln>
          <a:noFill/>
        </a:ln>
      </c:spPr>
    </c:title>
    <c:autoTitleDeleted val="0"/>
    <c:plotArea>
      <c:layout/>
      <c:barChart>
        <c:barDir val="col"/>
        <c:grouping val="clustered"/>
        <c:varyColors val="0"/>
        <c:ser>
          <c:idx val="0"/>
          <c:order val="0"/>
          <c:tx>
            <c:strRef>
              <c:f>一般公共预算财政拨款支出决算变动情况</c:f>
              <c:strCache>
                <c:ptCount val="1"/>
                <c:pt idx="0">
                  <c:v>一般公共预算财政拨款支出决算变动情况</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{"2021年","2022年"}</c:f>
              <c:strCache>
                <c:ptCount val="2"/>
                <c:pt idx="0">
                  <c:v>2021年</c:v>
                </c:pt>
                <c:pt idx="1">
                  <c:v>2022年</c:v>
                </c:pt>
              </c:strCache>
            </c:strRef>
          </c:cat>
          <c:val>
            <c:numRef>
              <c:f>{215.98,250.01}</c:f>
              <c:numCache>
                <c:formatCode>General</c:formatCode>
                <c:ptCount val="2"/>
                <c:pt idx="0">
                  <c:v>215.98</c:v>
                </c:pt>
                <c:pt idx="1">
                  <c:v>250.01</c:v>
                </c:pt>
              </c:numCache>
            </c:numRef>
          </c:val>
        </c:ser>
        <c:dLbls>
          <c:showLegendKey val="0"/>
          <c:showVal val="1"/>
          <c:showCatName val="0"/>
          <c:showSerName val="0"/>
          <c:showPercent val="0"/>
          <c:showBubbleSize val="0"/>
        </c:dLbls>
        <c:gapWidth val="150"/>
        <c:axId val="0"/>
        <c:axId val="1"/>
      </c:barChart>
      <c:catAx>
        <c:axId val="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c:spPr>
    </c:plotArea>
    <c:plotVisOnly val="1"/>
    <c:dispBlanksAs val="gap"/>
    <c:showDLblsOverMax val="0"/>
    <c:extLst>
      <c:ext uri="{0b15fc19-7d7d-44ad-8c2d-2c3a37ce22c3}">
        <chartProps xmlns="https://web.wps.cn/et/2018/main" chartId="{e32007a1-a931-40d9-807a-a6a6ae39aae6}"/>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7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一般公共预算财政拨款支出决算结构</a:t>
            </a:r>
            <a:endParaRPr lang="zh-CN"/>
          </a:p>
        </c:rich>
      </c:tx>
      <c:layout>
        <c:manualLayout>
          <c:xMode val="edge"/>
          <c:yMode val="edge"/>
          <c:x val="0.118"/>
          <c:y val="0.086419754"/>
        </c:manualLayout>
      </c:layout>
      <c:overlay val="0"/>
      <c:spPr>
        <a:ln>
          <a:noFill/>
        </a:ln>
      </c:spPr>
    </c:title>
    <c:autoTitleDeleted val="0"/>
    <c:view3D>
      <c:rotX val="30"/>
      <c:rotY val="0"/>
      <c:depthPercent val="100"/>
      <c:rAngAx val="0"/>
      <c:hPercent val="100"/>
      <c:perspective val="0"/>
    </c:view3D>
    <c:floor>
      <c:thickness val="0"/>
      <c:spPr>
        <a:ln w="6350">
          <a:solidFill>
            <a:srgbClr val="898989"/>
          </a:solidFill>
          <a:prstDash val="solid"/>
        </a:ln>
      </c:spPr>
    </c:floor>
    <c:sideWall>
      <c:thickness val="0"/>
      <c:spPr>
        <a:ln>
          <a:noFill/>
        </a:ln>
      </c:spPr>
    </c:sideWall>
    <c:backWall>
      <c:thickness val="0"/>
      <c:spPr>
        <a:ln>
          <a:noFill/>
        </a:ln>
      </c:spPr>
    </c:backWall>
    <c:plotArea>
      <c:layout/>
      <c:pie3DChart>
        <c:varyColors val="1"/>
        <c:ser>
          <c:idx val="0"/>
          <c:order val="0"/>
          <c:tx>
            <c:strRef>
              <c:f>一般公共预算财政拨款支出决算结构</c:f>
              <c:strCache>
                <c:ptCount val="1"/>
                <c:pt idx="0">
                  <c:v>一般公共预算财政拨款支出决算结构</c:v>
                </c:pt>
              </c:strCache>
            </c:strRef>
          </c:tx>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dLbl>
              <c:idx val="1"/>
              <c:layout>
                <c:manualLayout>
                  <c:x val="-0.030715441"/>
                  <c:y val="-0.024292432"/>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43947943"/>
                  <c:y val="-0.088616945"/>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3650043"/>
                  <c:y val="-0.038926072"/>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{"一般公共服务支出","社会保障和就业支出","卫生健康支出","住房保障支出"}</c:f>
              <c:strCache>
                <c:ptCount val="4"/>
                <c:pt idx="0">
                  <c:v>一般公共服务支出</c:v>
                </c:pt>
                <c:pt idx="1">
                  <c:v>社会保障和就业支出</c:v>
                </c:pt>
                <c:pt idx="2">
                  <c:v>卫生健康支出</c:v>
                </c:pt>
                <c:pt idx="3">
                  <c:v>住房保障支出</c:v>
                </c:pt>
              </c:strCache>
            </c:strRef>
          </c:cat>
          <c:val>
            <c:numRef>
              <c:f>{76.28,11.9,4.8,7.02}</c:f>
              <c:numCache>
                <c:formatCode>General</c:formatCode>
                <c:ptCount val="4"/>
                <c:pt idx="0">
                  <c:v>76.28</c:v>
                </c:pt>
                <c:pt idx="1">
                  <c:v>11.9</c:v>
                </c:pt>
                <c:pt idx="2">
                  <c:v>4.8</c:v>
                </c:pt>
                <c:pt idx="3">
                  <c:v>7.02</c:v>
                </c:pt>
              </c:numCache>
            </c:numRef>
          </c:val>
        </c:ser>
        <c:dLbls>
          <c:showLegendKey val="0"/>
          <c:showVal val="1"/>
          <c:showCatName val="0"/>
          <c:showSerName val="0"/>
          <c:showPercent val="0"/>
          <c:showBubbleSize val="0"/>
        </c:dLbls>
      </c:pie3D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extLst>
      <c:ext uri="{0b15fc19-7d7d-44ad-8c2d-2c3a37ce22c3}">
        <chartProps xmlns="https://web.wps.cn/et/2018/main" chartId="{cf114de3-611e-4d3f-8ca0-e7e692f92786}"/>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22</Pages>
  <Words>5003</Words>
  <Characters>5531</Characters>
  <Lines>502</Lines>
  <Paragraphs>193</Paragraphs>
  <TotalTime>4</TotalTime>
  <ScaleCrop>false</ScaleCrop>
  <LinksUpToDate>false</LinksUpToDate>
  <CharactersWithSpaces>5628</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盐星星</cp:lastModifiedBy>
  <cp:lastPrinted>2020-09-29T10:36:00Z</cp:lastPrinted>
  <dcterms:modified xsi:type="dcterms:W3CDTF">2026-04-22T08:32:43Z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26122FE0D8B341708A6BB657F3E72521</vt:lpwstr>
  </property>
  <property fmtid="{D5CDD505-2E9C-101B-9397-08002B2CF9AE}" pid="4" name="commondata">
    <vt:lpwstr>eyJoZGlkIjoiNmRjOTJlNzJjZmZkOTQxZDA4NjRhMDllMWM3ZmQ2OTgifQ==</vt:lpwstr>
  </property>
  <property fmtid="{D5CDD505-2E9C-101B-9397-08002B2CF9AE}" pid="5" name="KSOTemplateDocerSaveRecord">
    <vt:lpwstr>eyJoZGlkIjoiZDVjZjE1OTBmZTc4M2ZlNjdmNWM1MmQ5OThkMGU1NjEiLCJ1c2VySWQiOiIxMDYwOTQ0NDM1In0=</vt:lpwstr>
  </property>
</Properties>
</file>