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0" w:name="_Toc15377193"/>
      <w:bookmarkStart w:id="1" w:name="_Toc15396475"/>
      <w:bookmarkStart w:id="2" w:name="_Toc15377425"/>
      <w:bookmarkStart w:id="3" w:name="_Toc15378441"/>
      <w:bookmarkStart w:id="4" w:name="_Toc15396597"/>
      <w:r>
        <w:rPr>
          <w:rFonts w:hint="eastAsia" w:ascii="黑体" w:eastAsia="黑体"/>
          <w:color w:val="000000"/>
          <w:sz w:val="72"/>
          <w:szCs w:val="72"/>
        </w:rPr>
        <w:t>202</w:t>
      </w:r>
      <w:r>
        <w:rPr>
          <w:rFonts w:hint="eastAsia" w:ascii="黑体" w:eastAsia="黑体"/>
          <w:color w:val="000000"/>
          <w:sz w:val="72"/>
          <w:szCs w:val="72"/>
          <w:lang w:val="en-US" w:eastAsia="zh-CN"/>
        </w:rPr>
        <w:t>2</w:t>
      </w:r>
      <w:r>
        <w:rPr>
          <w:rFonts w:hint="eastAsia" w:ascii="黑体" w:eastAsia="黑体"/>
          <w:color w:val="000000"/>
          <w:sz w:val="72"/>
          <w:szCs w:val="72"/>
        </w:rPr>
        <w:t>年</w:t>
      </w:r>
      <w:r>
        <w:rPr>
          <w:rFonts w:hint="eastAsia" w:ascii="方正小标宋简体" w:eastAsia="方正小标宋简体"/>
          <w:color w:val="000000"/>
          <w:sz w:val="72"/>
          <w:szCs w:val="72"/>
        </w:rPr>
        <w:t>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5" w:name="_Toc15378442"/>
      <w:bookmarkStart w:id="6" w:name="_Toc15396598"/>
      <w:bookmarkStart w:id="7" w:name="_Toc15377426"/>
      <w:bookmarkStart w:id="8" w:name="_Toc15396476"/>
      <w:bookmarkStart w:id="9" w:name="_Toc15377194"/>
      <w:r>
        <w:rPr>
          <w:rFonts w:hint="eastAsia" w:ascii="方正小标宋简体" w:eastAsia="方正小标宋简体"/>
          <w:color w:val="000000"/>
          <w:sz w:val="72"/>
          <w:szCs w:val="72"/>
        </w:rPr>
        <w:t>四川省阿坝州</w:t>
      </w:r>
      <w:bookmarkStart w:id="10" w:name="_Toc15306268"/>
      <w:r>
        <w:rPr>
          <w:rFonts w:hint="eastAsia" w:ascii="方正小标宋简体" w:eastAsia="方正小标宋简体"/>
          <w:color w:val="000000"/>
          <w:sz w:val="72"/>
          <w:szCs w:val="72"/>
        </w:rPr>
        <w:t>中共金川县委机构编制委员会办公室决算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4"/>
          <w:szCs w:val="44"/>
        </w:rPr>
      </w:pPr>
      <w:r>
        <w:rPr>
          <w:rFonts w:ascii="方正小标宋简体" w:eastAsia="方正小标宋简体"/>
          <w:color w:val="000000"/>
          <w:sz w:val="36"/>
          <w:szCs w:val="36"/>
        </w:rPr>
        <w:br w:type="page"/>
      </w:r>
      <w:r>
        <w:rPr>
          <w:rFonts w:hint="eastAsia" w:ascii="黑体" w:eastAsia="黑体"/>
          <w:color w:val="000000"/>
          <w:sz w:val="44"/>
          <w:szCs w:val="44"/>
        </w:rPr>
        <w:t>目录</w:t>
      </w:r>
    </w:p>
    <w:p>
      <w:pPr>
        <w:widowControl/>
        <w:jc w:val="center"/>
        <w:rPr>
          <w:rFonts w:ascii="仿宋" w:eastAsia="仿宋"/>
          <w:sz w:val="24"/>
        </w:rPr>
      </w:pPr>
      <w:r>
        <w:rPr>
          <w:rFonts w:hint="eastAsia" w:ascii="仿宋_GB2312" w:hAnsi="仿宋_GB2312" w:eastAsia="仿宋_GB2312" w:cs="仿宋_GB2312"/>
          <w:sz w:val="32"/>
          <w:szCs w:val="32"/>
        </w:rPr>
        <w:t>公开时间2022年8月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pPr>
        <w:pStyle w:val="8"/>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color w:val="000000"/>
          <w:sz w:val="24"/>
        </w:rPr>
        <w:fldChar w:fldCharType="begin"/>
      </w:r>
      <w:r>
        <w:rPr>
          <w:color w:val="000000"/>
          <w:sz w:val="24"/>
        </w:rPr>
        <w:instrText xml:space="preserve">TOC \o "1-4" \f \h</w:instrText>
      </w:r>
      <w:r>
        <w:rPr>
          <w:color w:val="000000"/>
          <w:sz w:val="24"/>
        </w:rPr>
        <w:fldChar w:fldCharType="separate"/>
      </w:r>
      <w:r>
        <w:rPr>
          <w:color w:val="000000"/>
        </w:rPr>
        <w:fldChar w:fldCharType="begin"/>
      </w:r>
      <w:r>
        <w:instrText xml:space="preserve"> HYPERLINK \l _Toc21352 </w:instrText>
      </w:r>
      <w:r>
        <w:fldChar w:fldCharType="separate"/>
      </w:r>
      <w:r>
        <w:rPr>
          <w:rFonts w:hint="eastAsia" w:ascii="黑体" w:eastAsia="黑体"/>
        </w:rPr>
        <w:t xml:space="preserve">第一部分 </w:t>
      </w:r>
      <w:r>
        <w:rPr>
          <w:rFonts w:hint="eastAsia" w:ascii="黑体" w:eastAsia="黑体"/>
          <w:bCs w:val="0"/>
        </w:rPr>
        <w:t>部门概况</w:t>
      </w:r>
      <w:r>
        <w:tab/>
      </w:r>
      <w:r>
        <w:fldChar w:fldCharType="begin"/>
      </w:r>
      <w:r>
        <w:instrText xml:space="preserve"> PAGEREF _Toc21352 \h </w:instrText>
      </w:r>
      <w:r>
        <w:fldChar w:fldCharType="separate"/>
      </w:r>
      <w:r>
        <w:t>3</w:t>
      </w:r>
      <w:r>
        <w:fldChar w:fldCharType="end"/>
      </w:r>
      <w:r>
        <w:rPr>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_Toc15212 </w:instrText>
      </w:r>
      <w:r>
        <w:rPr>
          <w:rFonts w:ascii="仿宋" w:eastAsia="仿宋"/>
        </w:rPr>
        <w:fldChar w:fldCharType="separate"/>
      </w:r>
      <w:r>
        <w:rPr>
          <w:rFonts w:hint="eastAsia" w:ascii="黑体" w:eastAsia="黑体"/>
        </w:rPr>
        <w:t>一、基</w:t>
      </w:r>
      <w:r>
        <w:rPr>
          <w:rFonts w:hint="eastAsia" w:ascii="黑体" w:eastAsia="黑体"/>
          <w:bCs w:val="0"/>
        </w:rPr>
        <w:t>本职能及主要工作</w:t>
      </w:r>
      <w:r>
        <w:tab/>
      </w:r>
      <w:r>
        <w:fldChar w:fldCharType="begin"/>
      </w:r>
      <w:r>
        <w:instrText xml:space="preserve"> PAGEREF _Toc15212 \h </w:instrText>
      </w:r>
      <w:r>
        <w:fldChar w:fldCharType="separate"/>
      </w:r>
      <w:r>
        <w:t>3</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_Toc26115 </w:instrText>
      </w:r>
      <w:r>
        <w:rPr>
          <w:rFonts w:ascii="仿宋" w:eastAsia="仿宋"/>
        </w:rPr>
        <w:fldChar w:fldCharType="separate"/>
      </w:r>
      <w:r>
        <w:rPr>
          <w:rFonts w:hint="eastAsia" w:ascii="楷体" w:eastAsia="楷体" w:cs="楷体"/>
        </w:rPr>
        <w:t>（一）主要职能</w:t>
      </w:r>
      <w:r>
        <w:tab/>
      </w:r>
      <w:r>
        <w:fldChar w:fldCharType="begin"/>
      </w:r>
      <w:r>
        <w:instrText xml:space="preserve"> PAGEREF _Toc26115 \h </w:instrText>
      </w:r>
      <w:r>
        <w:fldChar w:fldCharType="separate"/>
      </w:r>
      <w:r>
        <w:t>3</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_Toc32714 </w:instrText>
      </w:r>
      <w:r>
        <w:rPr>
          <w:rFonts w:ascii="仿宋" w:eastAsia="仿宋"/>
        </w:rPr>
        <w:fldChar w:fldCharType="separate"/>
      </w:r>
      <w:r>
        <w:rPr>
          <w:rFonts w:hint="eastAsia" w:ascii="楷体" w:eastAsia="楷体" w:cs="楷体"/>
        </w:rPr>
        <w:t>（二）2021年重点工作完成情况</w:t>
      </w:r>
      <w:r>
        <w:tab/>
      </w:r>
      <w:r>
        <w:fldChar w:fldCharType="begin"/>
      </w:r>
      <w:r>
        <w:instrText xml:space="preserve"> PAGEREF _Toc32714 \h </w:instrText>
      </w:r>
      <w:r>
        <w:fldChar w:fldCharType="separate"/>
      </w:r>
      <w:r>
        <w:t>3</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_Toc24963 </w:instrText>
      </w:r>
      <w:r>
        <w:rPr>
          <w:rFonts w:ascii="仿宋" w:eastAsia="仿宋"/>
        </w:rPr>
        <w:fldChar w:fldCharType="separate"/>
      </w:r>
      <w:r>
        <w:rPr>
          <w:rFonts w:hint="eastAsia" w:ascii="黑体" w:eastAsia="黑体"/>
          <w:bCs w:val="0"/>
        </w:rPr>
        <w:t>二、机构设置</w:t>
      </w:r>
      <w:r>
        <w:tab/>
      </w:r>
      <w:r>
        <w:fldChar w:fldCharType="begin"/>
      </w:r>
      <w:r>
        <w:instrText xml:space="preserve"> PAGEREF _Toc24963 \h </w:instrText>
      </w:r>
      <w:r>
        <w:fldChar w:fldCharType="separate"/>
      </w:r>
      <w:r>
        <w:t>4</w:t>
      </w:r>
      <w:r>
        <w:fldChar w:fldCharType="end"/>
      </w:r>
      <w:r>
        <w:rPr>
          <w:rFonts w:ascii="仿宋" w:eastAsia="仿宋"/>
          <w:color w:val="000000"/>
        </w:rPr>
        <w:fldChar w:fldCharType="end"/>
      </w:r>
    </w:p>
    <w:p>
      <w:pPr>
        <w:pStyle w:val="8"/>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_Toc31772 </w:instrText>
      </w:r>
      <w:r>
        <w:rPr>
          <w:rFonts w:ascii="仿宋" w:eastAsia="仿宋"/>
        </w:rPr>
        <w:fldChar w:fldCharType="separate"/>
      </w:r>
      <w:r>
        <w:rPr>
          <w:rFonts w:hint="eastAsia" w:ascii="黑体" w:eastAsia="黑体"/>
        </w:rPr>
        <w:t xml:space="preserve">第二部分 </w:t>
      </w:r>
      <w:r>
        <w:rPr>
          <w:rFonts w:hint="eastAsia" w:ascii="黑体" w:eastAsia="黑体"/>
          <w:bCs w:val="0"/>
        </w:rPr>
        <w:t>2021年度部门决算情况说明</w:t>
      </w:r>
      <w:r>
        <w:tab/>
      </w:r>
      <w:r>
        <w:fldChar w:fldCharType="begin"/>
      </w:r>
      <w:r>
        <w:instrText xml:space="preserve"> PAGEREF _Toc31772 \h </w:instrText>
      </w:r>
      <w:r>
        <w:fldChar w:fldCharType="separate"/>
      </w:r>
      <w:r>
        <w:t>5</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_Toc17971 </w:instrText>
      </w:r>
      <w:r>
        <w:rPr>
          <w:rFonts w:ascii="仿宋" w:eastAsia="仿宋"/>
        </w:rPr>
        <w:fldChar w:fldCharType="separate"/>
      </w:r>
      <w:r>
        <w:rPr>
          <w:rFonts w:hint="eastAsia" w:ascii="黑体" w:eastAsia="黑体"/>
        </w:rPr>
        <w:t>一、收入支出决算总体情况说明</w:t>
      </w:r>
      <w:r>
        <w:tab/>
      </w:r>
      <w:r>
        <w:fldChar w:fldCharType="begin"/>
      </w:r>
      <w:r>
        <w:instrText xml:space="preserve"> PAGEREF _Toc17971 \h </w:instrText>
      </w:r>
      <w:r>
        <w:fldChar w:fldCharType="separate"/>
      </w:r>
      <w:r>
        <w:t>5</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_Toc20150 </w:instrText>
      </w:r>
      <w:r>
        <w:rPr>
          <w:rFonts w:ascii="仿宋" w:eastAsia="仿宋"/>
        </w:rPr>
        <w:fldChar w:fldCharType="separate"/>
      </w:r>
      <w:r>
        <w:tab/>
      </w:r>
      <w:r>
        <w:fldChar w:fldCharType="begin"/>
      </w:r>
      <w:r>
        <w:instrText xml:space="preserve"> PAGEREF _Toc20150 \h </w:instrText>
      </w:r>
      <w:r>
        <w:fldChar w:fldCharType="separate"/>
      </w:r>
      <w:r>
        <w:t>5</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_Toc9091 </w:instrText>
      </w:r>
      <w:r>
        <w:rPr>
          <w:rFonts w:ascii="仿宋" w:eastAsia="仿宋"/>
        </w:rPr>
        <w:fldChar w:fldCharType="separate"/>
      </w:r>
      <w:r>
        <w:rPr>
          <w:rFonts w:hint="eastAsia" w:ascii="黑体" w:eastAsia="黑体"/>
        </w:rPr>
        <w:t>二、收入决算情况说明</w:t>
      </w:r>
      <w:r>
        <w:tab/>
      </w:r>
      <w:r>
        <w:fldChar w:fldCharType="begin"/>
      </w:r>
      <w:r>
        <w:instrText xml:space="preserve"> PAGEREF _Toc9091 \h </w:instrText>
      </w:r>
      <w:r>
        <w:fldChar w:fldCharType="separate"/>
      </w:r>
      <w:r>
        <w:t>5</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_Toc12812 </w:instrText>
      </w:r>
      <w:r>
        <w:rPr>
          <w:rFonts w:ascii="仿宋" w:eastAsia="仿宋"/>
        </w:rPr>
        <w:fldChar w:fldCharType="separate"/>
      </w:r>
      <w:r>
        <w:tab/>
      </w:r>
      <w:r>
        <w:fldChar w:fldCharType="begin"/>
      </w:r>
      <w:r>
        <w:instrText xml:space="preserve"> PAGEREF _Toc12812 \h </w:instrText>
      </w:r>
      <w:r>
        <w:fldChar w:fldCharType="separate"/>
      </w:r>
      <w:r>
        <w:t>6</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_Toc6096 </w:instrText>
      </w:r>
      <w:r>
        <w:rPr>
          <w:rFonts w:ascii="仿宋" w:eastAsia="仿宋"/>
        </w:rPr>
        <w:fldChar w:fldCharType="separate"/>
      </w:r>
      <w:r>
        <w:rPr>
          <w:rFonts w:hint="eastAsia" w:ascii="黑体" w:eastAsia="黑体"/>
        </w:rPr>
        <w:t>三、支出决算情况说明</w:t>
      </w:r>
      <w:r>
        <w:tab/>
      </w:r>
      <w:r>
        <w:fldChar w:fldCharType="begin"/>
      </w:r>
      <w:r>
        <w:instrText xml:space="preserve"> PAGEREF _Toc6096 \h </w:instrText>
      </w:r>
      <w:r>
        <w:fldChar w:fldCharType="separate"/>
      </w:r>
      <w:r>
        <w:t>6</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_Toc18904 </w:instrText>
      </w:r>
      <w:r>
        <w:rPr>
          <w:rFonts w:ascii="仿宋" w:eastAsia="仿宋"/>
        </w:rPr>
        <w:fldChar w:fldCharType="separate"/>
      </w:r>
      <w:r>
        <w:rPr>
          <w:rFonts w:hint="eastAsia" w:ascii="黑体" w:eastAsia="黑体"/>
        </w:rPr>
        <w:t>四、财政拨款收入支出决算总体情况说明</w:t>
      </w:r>
      <w:r>
        <w:tab/>
      </w:r>
      <w:r>
        <w:fldChar w:fldCharType="begin"/>
      </w:r>
      <w:r>
        <w:instrText xml:space="preserve"> PAGEREF _Toc18904 \h </w:instrText>
      </w:r>
      <w:r>
        <w:fldChar w:fldCharType="separate"/>
      </w:r>
      <w:r>
        <w:t>7</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_Toc887 </w:instrText>
      </w:r>
      <w:r>
        <w:rPr>
          <w:rFonts w:ascii="仿宋" w:eastAsia="仿宋"/>
        </w:rPr>
        <w:fldChar w:fldCharType="separate"/>
      </w:r>
      <w:r>
        <w:tab/>
      </w:r>
      <w:r>
        <w:fldChar w:fldCharType="begin"/>
      </w:r>
      <w:r>
        <w:instrText xml:space="preserve"> PAGEREF _Toc887 \h </w:instrText>
      </w:r>
      <w:r>
        <w:fldChar w:fldCharType="separate"/>
      </w:r>
      <w:r>
        <w:t>7</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_Toc14945 </w:instrText>
      </w:r>
      <w:r>
        <w:rPr>
          <w:rFonts w:ascii="仿宋" w:eastAsia="仿宋"/>
        </w:rPr>
        <w:fldChar w:fldCharType="separate"/>
      </w:r>
      <w:r>
        <w:rPr>
          <w:rFonts w:hint="eastAsia" w:ascii="黑体" w:eastAsia="黑体"/>
        </w:rPr>
        <w:t>五、一般公共预算财政拨款支出决算情况说明</w:t>
      </w:r>
      <w:r>
        <w:tab/>
      </w:r>
      <w:r>
        <w:fldChar w:fldCharType="begin"/>
      </w:r>
      <w:r>
        <w:instrText xml:space="preserve"> PAGEREF _Toc14945 \h </w:instrText>
      </w:r>
      <w:r>
        <w:fldChar w:fldCharType="separate"/>
      </w:r>
      <w:r>
        <w:t>7</w:t>
      </w:r>
      <w:r>
        <w:fldChar w:fldCharType="end"/>
      </w:r>
      <w:r>
        <w:rPr>
          <w:rFonts w:ascii="仿宋" w:eastAsia="仿宋"/>
          <w:color w:val="000000"/>
        </w:rPr>
        <w:fldChar w:fldCharType="end"/>
      </w:r>
    </w:p>
    <w:p>
      <w:pPr>
        <w:pStyle w:val="9"/>
        <w:keepNext w:val="0"/>
        <w:keepLines w:val="0"/>
        <w:pageBreakBefore w:val="0"/>
        <w:tabs>
          <w:tab w:val="right" w:pos="7600"/>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_Toc12667 </w:instrText>
      </w:r>
      <w:r>
        <w:rPr>
          <w:rFonts w:ascii="仿宋" w:eastAsia="仿宋"/>
        </w:rPr>
        <w:fldChar w:fldCharType="separate"/>
      </w:r>
      <w:r>
        <w:rPr>
          <w:rFonts w:hint="eastAsia" w:ascii="黑体" w:eastAsia="黑体"/>
        </w:rPr>
        <w:t>六、一般公共预算财政拨款基本支出决算情况说明</w:t>
      </w:r>
      <w:r>
        <w:rPr>
          <w:rFonts w:hint="eastAsia" w:ascii="黑体" w:eastAsia="黑体"/>
        </w:rPr>
        <w:tab/>
      </w:r>
      <w:r>
        <w:tab/>
      </w:r>
      <w:r>
        <w:fldChar w:fldCharType="begin"/>
      </w:r>
      <w:r>
        <w:instrText xml:space="preserve"> PAGEREF _Toc12667 \h </w:instrText>
      </w:r>
      <w:r>
        <w:fldChar w:fldCharType="separate"/>
      </w:r>
      <w:r>
        <w:t>9</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_Toc25366 </w:instrText>
      </w:r>
      <w:r>
        <w:rPr>
          <w:rFonts w:ascii="仿宋" w:eastAsia="仿宋"/>
        </w:rPr>
        <w:fldChar w:fldCharType="separate"/>
      </w:r>
      <w:r>
        <w:rPr>
          <w:rFonts w:hint="eastAsia" w:ascii="黑体" w:eastAsia="黑体"/>
        </w:rPr>
        <w:t>七、“三公”经费财政拨款支出决算情况说明</w:t>
      </w:r>
      <w:r>
        <w:tab/>
      </w:r>
      <w:r>
        <w:fldChar w:fldCharType="begin"/>
      </w:r>
      <w:r>
        <w:instrText xml:space="preserve"> PAGEREF _Toc25366 \h </w:instrText>
      </w:r>
      <w:r>
        <w:fldChar w:fldCharType="separate"/>
      </w:r>
      <w:r>
        <w:t>10</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_Toc2621 </w:instrText>
      </w:r>
      <w:r>
        <w:rPr>
          <w:rFonts w:ascii="仿宋" w:eastAsia="仿宋"/>
        </w:rPr>
        <w:fldChar w:fldCharType="separate"/>
      </w:r>
      <w:r>
        <w:rPr>
          <w:rFonts w:ascii="黑体" w:eastAsia="黑体"/>
        </w:rPr>
        <w:t xml:space="preserve">4. </w:t>
      </w:r>
      <w:r>
        <w:rPr>
          <w:rFonts w:hint="eastAsia" w:ascii="黑体" w:eastAsia="黑体"/>
        </w:rPr>
        <w:t>八、政府性基金预算支出决算情况说明</w:t>
      </w:r>
      <w:r>
        <w:tab/>
      </w:r>
      <w:r>
        <w:fldChar w:fldCharType="begin"/>
      </w:r>
      <w:r>
        <w:instrText xml:space="preserve"> PAGEREF _Toc2621 \h </w:instrText>
      </w:r>
      <w:r>
        <w:fldChar w:fldCharType="separate"/>
      </w:r>
      <w:r>
        <w:t>12</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_Toc7893 </w:instrText>
      </w:r>
      <w:r>
        <w:rPr>
          <w:rFonts w:ascii="仿宋" w:eastAsia="仿宋"/>
        </w:rPr>
        <w:fldChar w:fldCharType="separate"/>
      </w:r>
      <w:r>
        <w:rPr>
          <w:rFonts w:hint="eastAsia" w:ascii="黑体" w:eastAsia="黑体"/>
        </w:rPr>
        <w:t>九、 国有资本经营预算支出决算情况说明</w:t>
      </w:r>
      <w:r>
        <w:tab/>
      </w:r>
      <w:r>
        <w:fldChar w:fldCharType="begin"/>
      </w:r>
      <w:r>
        <w:instrText xml:space="preserve"> PAGEREF _Toc7893 \h </w:instrText>
      </w:r>
      <w:r>
        <w:fldChar w:fldCharType="separate"/>
      </w:r>
      <w:r>
        <w:t>12</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_Toc18713 </w:instrText>
      </w:r>
      <w:r>
        <w:rPr>
          <w:rFonts w:ascii="仿宋" w:eastAsia="仿宋"/>
        </w:rPr>
        <w:fldChar w:fldCharType="separate"/>
      </w:r>
      <w:r>
        <w:rPr>
          <w:rFonts w:hint="default" w:ascii="黑体" w:eastAsia="黑体"/>
        </w:rPr>
        <w:t xml:space="preserve">十、 </w:t>
      </w:r>
      <w:r>
        <w:rPr>
          <w:rFonts w:hint="eastAsia" w:ascii="黑体" w:eastAsia="黑体"/>
        </w:rPr>
        <w:t>预算绩效情况说明</w:t>
      </w:r>
      <w:r>
        <w:tab/>
      </w:r>
      <w:r>
        <w:fldChar w:fldCharType="begin"/>
      </w:r>
      <w:r>
        <w:instrText xml:space="preserve"> PAGEREF _Toc18713 \h </w:instrText>
      </w:r>
      <w:r>
        <w:fldChar w:fldCharType="separate"/>
      </w:r>
      <w:r>
        <w:t>12</w:t>
      </w:r>
      <w:r>
        <w:fldChar w:fldCharType="end"/>
      </w:r>
      <w:r>
        <w:rPr>
          <w:rFonts w:ascii="仿宋" w:eastAsia="仿宋"/>
          <w:color w:val="000000"/>
        </w:rPr>
        <w:fldChar w:fldCharType="end"/>
      </w:r>
    </w:p>
    <w:p>
      <w:pPr>
        <w:pStyle w:val="9"/>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_Toc16278 </w:instrText>
      </w:r>
      <w:r>
        <w:rPr>
          <w:rFonts w:ascii="仿宋" w:eastAsia="仿宋"/>
        </w:rPr>
        <w:fldChar w:fldCharType="separate"/>
      </w:r>
      <w:r>
        <w:rPr>
          <w:rFonts w:hint="default" w:ascii="黑体" w:eastAsia="黑体"/>
        </w:rPr>
        <w:t xml:space="preserve">十一、 </w:t>
      </w:r>
      <w:r>
        <w:rPr>
          <w:rFonts w:hint="eastAsia" w:ascii="黑体" w:eastAsia="黑体"/>
        </w:rPr>
        <w:t>其他重要事项的情况说明</w:t>
      </w:r>
      <w:r>
        <w:tab/>
      </w:r>
      <w:r>
        <w:fldChar w:fldCharType="begin"/>
      </w:r>
      <w:r>
        <w:instrText xml:space="preserve"> PAGEREF _Toc16278 \h </w:instrText>
      </w:r>
      <w:r>
        <w:fldChar w:fldCharType="separate"/>
      </w:r>
      <w:r>
        <w:t>12</w:t>
      </w:r>
      <w:r>
        <w:fldChar w:fldCharType="end"/>
      </w:r>
      <w:r>
        <w:rPr>
          <w:rFonts w:ascii="仿宋" w:eastAsia="仿宋"/>
          <w:color w:val="000000"/>
        </w:rPr>
        <w:fldChar w:fldCharType="end"/>
      </w:r>
    </w:p>
    <w:p>
      <w:pPr>
        <w:pStyle w:val="8"/>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_Toc13298 </w:instrText>
      </w:r>
      <w:r>
        <w:rPr>
          <w:rFonts w:ascii="仿宋" w:eastAsia="仿宋"/>
        </w:rPr>
        <w:fldChar w:fldCharType="separate"/>
      </w:r>
      <w:r>
        <w:rPr>
          <w:rFonts w:hint="eastAsia" w:ascii="黑体" w:eastAsia="黑体"/>
        </w:rPr>
        <w:t xml:space="preserve">第三部分 </w:t>
      </w:r>
      <w:r>
        <w:rPr>
          <w:rFonts w:hint="eastAsia" w:ascii="黑体" w:eastAsia="黑体" w:hAnsiTheme="minorHAnsi" w:cstheme="minorBidi"/>
        </w:rPr>
        <w:t>名词</w:t>
      </w:r>
      <w:r>
        <w:rPr>
          <w:rFonts w:hint="eastAsia" w:ascii="黑体" w:eastAsia="黑体"/>
        </w:rPr>
        <w:t>解释</w:t>
      </w:r>
      <w:r>
        <w:tab/>
      </w:r>
      <w:r>
        <w:fldChar w:fldCharType="begin"/>
      </w:r>
      <w:r>
        <w:instrText xml:space="preserve"> PAGEREF _Toc13298 \h </w:instrText>
      </w:r>
      <w:r>
        <w:fldChar w:fldCharType="separate"/>
      </w:r>
      <w:r>
        <w:t>13</w:t>
      </w:r>
      <w:r>
        <w:fldChar w:fldCharType="end"/>
      </w:r>
      <w:r>
        <w:rPr>
          <w:rFonts w:ascii="仿宋" w:eastAsia="仿宋"/>
          <w:color w:val="000000"/>
        </w:rPr>
        <w:fldChar w:fldCharType="end"/>
      </w:r>
    </w:p>
    <w:p>
      <w:pPr>
        <w:pStyle w:val="8"/>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_Toc26713 </w:instrText>
      </w:r>
      <w:r>
        <w:rPr>
          <w:rFonts w:ascii="仿宋" w:eastAsia="仿宋"/>
        </w:rPr>
        <w:fldChar w:fldCharType="separate"/>
      </w:r>
      <w:r>
        <w:rPr>
          <w:rFonts w:hint="eastAsia" w:ascii="黑体" w:eastAsia="黑体"/>
        </w:rPr>
        <w:t>第四部分 部门整体支出绩效报告</w:t>
      </w:r>
      <w:r>
        <w:tab/>
      </w:r>
      <w:r>
        <w:fldChar w:fldCharType="begin"/>
      </w:r>
      <w:r>
        <w:instrText xml:space="preserve"> PAGEREF _Toc26713 \h </w:instrText>
      </w:r>
      <w:r>
        <w:fldChar w:fldCharType="separate"/>
      </w:r>
      <w:r>
        <w:t>16</w:t>
      </w:r>
      <w:r>
        <w:fldChar w:fldCharType="end"/>
      </w:r>
      <w:r>
        <w:rPr>
          <w:rFonts w:ascii="仿宋" w:eastAsia="仿宋"/>
          <w:color w:val="000000"/>
        </w:rPr>
        <w:fldChar w:fldCharType="end"/>
      </w:r>
    </w:p>
    <w:p>
      <w:pPr>
        <w:pStyle w:val="8"/>
        <w:keepNext w:val="0"/>
        <w:keepLines w:val="0"/>
        <w:pageBreakBefore w:val="0"/>
        <w:tabs>
          <w:tab w:val="right" w:leader="dot" w:pos="8306"/>
          <w:tab w:val="clear" w:pos="8296"/>
        </w:tabs>
        <w:kinsoku/>
        <w:wordWrap/>
        <w:overflowPunct/>
        <w:topLinePunct w:val="0"/>
        <w:autoSpaceDE/>
        <w:autoSpaceDN/>
        <w:bidi w:val="0"/>
        <w:adjustRightInd/>
        <w:snapToGrid/>
        <w:spacing w:line="500" w:lineRule="exact"/>
        <w:textAlignment w:val="auto"/>
      </w:pPr>
      <w:r>
        <w:rPr>
          <w:rFonts w:ascii="仿宋" w:eastAsia="仿宋"/>
          <w:color w:val="000000"/>
        </w:rPr>
        <w:fldChar w:fldCharType="begin"/>
      </w:r>
      <w:r>
        <w:rPr>
          <w:rFonts w:ascii="仿宋" w:eastAsia="仿宋"/>
        </w:rPr>
        <w:instrText xml:space="preserve"> HYPERLINK \l _Toc3041 </w:instrText>
      </w:r>
      <w:r>
        <w:rPr>
          <w:rFonts w:ascii="仿宋" w:eastAsia="仿宋"/>
        </w:rPr>
        <w:fldChar w:fldCharType="separate"/>
      </w:r>
      <w:r>
        <w:rPr>
          <w:rFonts w:hint="eastAsia" w:ascii="仿宋_GB2312" w:hAnsi="仿宋_GB2312" w:eastAsia="仿宋_GB2312" w:cs="仿宋_GB2312"/>
          <w:szCs w:val="32"/>
        </w:rPr>
        <w:t>附件：202</w:t>
      </w:r>
      <w:r>
        <w:rPr>
          <w:rFonts w:hint="eastAsia" w:ascii="仿宋_GB2312" w:hAnsi="仿宋_GB2312" w:eastAsia="仿宋_GB2312" w:cs="仿宋_GB2312"/>
          <w:szCs w:val="32"/>
          <w:lang w:val="en-US" w:eastAsia="zh-CN"/>
        </w:rPr>
        <w:t>1</w:t>
      </w:r>
      <w:r>
        <w:rPr>
          <w:rFonts w:hint="eastAsia" w:ascii="仿宋_GB2312" w:hAnsi="仿宋_GB2312" w:eastAsia="仿宋_GB2312" w:cs="仿宋_GB2312"/>
          <w:szCs w:val="32"/>
        </w:rPr>
        <w:t>年部门整体支出绩效报告</w:t>
      </w:r>
      <w:r>
        <w:tab/>
      </w:r>
      <w:r>
        <w:fldChar w:fldCharType="begin"/>
      </w:r>
      <w:r>
        <w:instrText xml:space="preserve"> PAGEREF _Toc3041 \h </w:instrText>
      </w:r>
      <w:r>
        <w:fldChar w:fldCharType="separate"/>
      </w:r>
      <w:r>
        <w:t>16</w:t>
      </w:r>
      <w:r>
        <w:fldChar w:fldCharType="end"/>
      </w:r>
      <w:r>
        <w:rPr>
          <w:rFonts w:ascii="仿宋" w:eastAsia="仿宋"/>
          <w:color w:val="000000"/>
        </w:rPr>
        <w:fldChar w:fldCharType="end"/>
      </w:r>
    </w:p>
    <w:p>
      <w:pPr>
        <w:keepNext w:val="0"/>
        <w:keepLines w:val="0"/>
        <w:pageBreakBefore w:val="0"/>
        <w:widowControl/>
        <w:kinsoku/>
        <w:wordWrap/>
        <w:overflowPunct/>
        <w:topLinePunct w:val="0"/>
        <w:autoSpaceDE/>
        <w:autoSpaceDN/>
        <w:bidi w:val="0"/>
        <w:adjustRightInd/>
        <w:snapToGrid/>
        <w:spacing w:line="500" w:lineRule="exact"/>
        <w:jc w:val="left"/>
        <w:textAlignment w:val="auto"/>
        <w:rPr>
          <w:rFonts w:ascii="黑体" w:eastAsia="黑体"/>
          <w:bCs/>
          <w:kern w:val="44"/>
          <w:sz w:val="44"/>
          <w:szCs w:val="44"/>
        </w:rPr>
      </w:pPr>
      <w:r>
        <w:rPr>
          <w:rFonts w:ascii="仿宋" w:eastAsia="仿宋"/>
          <w:color w:val="000000"/>
        </w:rPr>
        <w:fldChar w:fldCharType="end"/>
      </w:r>
      <w:bookmarkStart w:id="11" w:name="_Toc15396599"/>
      <w:bookmarkStart w:id="12" w:name="_Toc15377196"/>
    </w:p>
    <w:p>
      <w:pPr>
        <w:pStyle w:val="2"/>
        <w:jc w:val="center"/>
        <w:rPr>
          <w:rFonts w:ascii="黑体" w:eastAsia="黑体"/>
          <w:color w:val="000000"/>
          <w:sz w:val="32"/>
          <w:szCs w:val="32"/>
        </w:rPr>
      </w:pPr>
      <w:bookmarkStart w:id="13" w:name="_Toc16160"/>
      <w:bookmarkStart w:id="14" w:name="_Toc21352"/>
      <w:r>
        <w:rPr>
          <w:rFonts w:hint="eastAsia" w:ascii="黑体" w:eastAsia="黑体"/>
          <w:b w:val="0"/>
        </w:rPr>
        <w:t xml:space="preserve">第一部分 </w:t>
      </w:r>
      <w:r>
        <w:rPr>
          <w:rStyle w:val="14"/>
          <w:rFonts w:hint="eastAsia" w:ascii="黑体" w:eastAsia="黑体"/>
          <w:b w:val="0"/>
          <w:bCs w:val="0"/>
        </w:rPr>
        <w:t>部门概况</w:t>
      </w:r>
      <w:bookmarkEnd w:id="11"/>
      <w:bookmarkEnd w:id="12"/>
      <w:bookmarkEnd w:id="13"/>
      <w:bookmarkEnd w:id="14"/>
    </w:p>
    <w:p>
      <w:pPr>
        <w:pStyle w:val="3"/>
        <w:spacing w:before="0" w:after="0" w:line="240" w:lineRule="auto"/>
        <w:ind w:left="640" w:hanging="640" w:hangingChars="200"/>
        <w:rPr>
          <w:rStyle w:val="15"/>
          <w:rFonts w:ascii="黑体" w:eastAsia="黑体"/>
          <w:b w:val="0"/>
          <w:bCs w:val="0"/>
        </w:rPr>
      </w:pPr>
      <w:bookmarkStart w:id="15" w:name="_Toc15396600"/>
      <w:bookmarkStart w:id="16" w:name="_Toc15377197"/>
      <w:bookmarkStart w:id="17" w:name="_Toc18464"/>
      <w:bookmarkStart w:id="18" w:name="_Toc15212"/>
      <w:r>
        <w:rPr>
          <w:rFonts w:hint="eastAsia" w:ascii="黑体" w:eastAsia="黑体"/>
          <w:b w:val="0"/>
          <w:color w:val="000000"/>
        </w:rPr>
        <w:t>一、基</w:t>
      </w:r>
      <w:r>
        <w:rPr>
          <w:rStyle w:val="15"/>
          <w:rFonts w:hint="eastAsia" w:ascii="黑体" w:eastAsia="黑体"/>
          <w:b w:val="0"/>
          <w:bCs w:val="0"/>
        </w:rPr>
        <w:t>本职能及主要工作</w:t>
      </w:r>
      <w:bookmarkEnd w:id="15"/>
      <w:bookmarkEnd w:id="16"/>
      <w:bookmarkEnd w:id="17"/>
      <w:bookmarkEnd w:id="18"/>
      <w:bookmarkStart w:id="19" w:name="_Toc15378445"/>
      <w:bookmarkStart w:id="20" w:name="_Toc15377198"/>
    </w:p>
    <w:p>
      <w:pPr>
        <w:pStyle w:val="3"/>
        <w:spacing w:before="0" w:after="0" w:line="240" w:lineRule="auto"/>
        <w:ind w:left="642" w:leftChars="153" w:hanging="321" w:hangingChars="100"/>
        <w:rPr>
          <w:rFonts w:ascii="楷体" w:eastAsia="楷体" w:cs="楷体"/>
          <w:color w:val="000000"/>
        </w:rPr>
      </w:pPr>
      <w:bookmarkStart w:id="21" w:name="_Toc26115"/>
      <w:bookmarkStart w:id="22" w:name="_Toc24455"/>
      <w:r>
        <w:rPr>
          <w:rFonts w:hint="eastAsia" w:ascii="楷体" w:eastAsia="楷体" w:cs="楷体"/>
          <w:color w:val="000000"/>
        </w:rPr>
        <w:t>（一）主要职能</w:t>
      </w:r>
      <w:bookmarkEnd w:id="19"/>
      <w:bookmarkEnd w:id="20"/>
      <w:bookmarkEnd w:id="21"/>
      <w:bookmarkEnd w:id="22"/>
      <w:bookmarkStart w:id="23" w:name="_Toc15378446"/>
      <w:bookmarkStart w:id="24" w:name="_Toc15377199"/>
    </w:p>
    <w:p>
      <w:pPr>
        <w:ind w:firstLine="584" w:firstLineChars="200"/>
        <w:rPr>
          <w:rFonts w:eastAsia="仿宋_GB2312"/>
          <w:spacing w:val="-14"/>
          <w:sz w:val="32"/>
          <w:szCs w:val="32"/>
        </w:rPr>
      </w:pPr>
      <w:r>
        <w:rPr>
          <w:rFonts w:hint="eastAsia" w:ascii="宋体" w:hAnsi="宋体" w:eastAsia="仿宋_GB2312" w:cs="宋体"/>
          <w:color w:val="000000"/>
          <w:spacing w:val="-14"/>
          <w:kern w:val="0"/>
          <w:sz w:val="32"/>
          <w:szCs w:val="32"/>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pStyle w:val="3"/>
        <w:spacing w:before="0" w:after="0" w:line="240" w:lineRule="auto"/>
        <w:ind w:firstLine="321" w:firstLineChars="100"/>
        <w:rPr>
          <w:rFonts w:ascii="楷体" w:eastAsia="楷体" w:cs="楷体"/>
          <w:color w:val="000000"/>
        </w:rPr>
      </w:pPr>
      <w:bookmarkStart w:id="25" w:name="_Toc32714"/>
      <w:bookmarkStart w:id="26" w:name="_Toc18118"/>
      <w:r>
        <w:rPr>
          <w:rFonts w:hint="eastAsia" w:ascii="楷体" w:eastAsia="楷体" w:cs="楷体"/>
          <w:color w:val="000000"/>
        </w:rPr>
        <w:t>（二）202</w:t>
      </w:r>
      <w:r>
        <w:rPr>
          <w:rFonts w:hint="eastAsia" w:ascii="楷体" w:eastAsia="楷体" w:cs="楷体"/>
          <w:color w:val="000000"/>
          <w:lang w:val="en-US" w:eastAsia="zh-CN"/>
        </w:rPr>
        <w:t>2</w:t>
      </w:r>
      <w:r>
        <w:rPr>
          <w:rFonts w:hint="eastAsia" w:ascii="楷体" w:eastAsia="楷体" w:cs="楷体"/>
          <w:color w:val="000000"/>
        </w:rPr>
        <w:t>年重点工作完成情况</w:t>
      </w:r>
      <w:bookmarkEnd w:id="23"/>
      <w:bookmarkEnd w:id="24"/>
      <w:bookmarkEnd w:id="25"/>
      <w:bookmarkEnd w:id="26"/>
    </w:p>
    <w:p>
      <w:pPr>
        <w:ind w:firstLine="584" w:firstLineChars="200"/>
        <w:rPr>
          <w:rFonts w:ascii="宋体" w:hAnsi="宋体" w:eastAsia="仿宋_GB2312" w:cs="宋体"/>
          <w:color w:val="000000"/>
          <w:spacing w:val="-14"/>
          <w:kern w:val="0"/>
          <w:sz w:val="32"/>
          <w:szCs w:val="32"/>
        </w:rPr>
      </w:pPr>
      <w:bookmarkStart w:id="27" w:name="_Toc15396601"/>
      <w:bookmarkStart w:id="28" w:name="_Toc15377200"/>
      <w:r>
        <w:rPr>
          <w:rFonts w:hint="eastAsia" w:ascii="宋体" w:hAnsi="宋体" w:eastAsia="仿宋_GB2312" w:cs="宋体"/>
          <w:color w:val="000000"/>
          <w:spacing w:val="-14"/>
          <w:kern w:val="0"/>
          <w:sz w:val="32"/>
          <w:szCs w:val="32"/>
        </w:rPr>
        <w:t xml:space="preserve"> 1. 深入开展机关效能整治活动，激发干部职工创先争优的意识，努力创建廉洁、勤政、务实、高效的“服务型”机关，并以此为契机，认真履行机构编制管理职能，完善管理机制，创新管理方法。</w:t>
      </w:r>
    </w:p>
    <w:p>
      <w:pPr>
        <w:ind w:firstLine="584" w:firstLineChars="200"/>
        <w:rPr>
          <w:rFonts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2.按照“严控编制总量、盘活存量、优化结构、增减平衡”的原则，严格控制机构编制的总量，完善动态调整机制，创新管理方式和手段，重点解决好促进经济发展方式转变、保障和改善民生、维护社会和谐稳定等方面的机构编制问题。严格控制机构编制和财政供养人员增长。</w:t>
      </w:r>
    </w:p>
    <w:p>
      <w:pPr>
        <w:ind w:firstLine="584" w:firstLineChars="200"/>
        <w:rPr>
          <w:rFonts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3.加强机构编制日常管理，严肃机构编制纪律。积极研究机构编制宏观管理的方式、方法，逐步建立机构编制管理工作科学决策机制、综合协调机制、与财政预算管理相配套的约束机制，不断完善实现有效管理的制度、手段和措施。加大机构编制的监督检查力度。</w:t>
      </w:r>
    </w:p>
    <w:p>
      <w:pPr>
        <w:ind w:firstLine="584" w:firstLineChars="200"/>
        <w:rPr>
          <w:rFonts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4.进一步做好责任清单动态管理工作，确保为社会提供较为准确、详实责任清单，有力促进政府放管服工作落到实处，让广大人民群众受惠。做好社会统一信用代码的赋码、换证工作。加强事业单位法人登记、变更注销工作。</w:t>
      </w:r>
    </w:p>
    <w:p>
      <w:pPr>
        <w:ind w:firstLine="584" w:firstLineChars="200"/>
        <w:rPr>
          <w:rFonts w:ascii="宋体" w:hAnsi="宋体" w:eastAsia="仿宋_GB2312" w:cs="宋体"/>
          <w:color w:val="000000"/>
          <w:spacing w:val="-14"/>
          <w:kern w:val="0"/>
          <w:sz w:val="32"/>
          <w:szCs w:val="32"/>
        </w:rPr>
      </w:pPr>
      <w:r>
        <w:rPr>
          <w:rFonts w:hint="eastAsia" w:ascii="宋体" w:hAnsi="宋体" w:eastAsia="仿宋_GB2312" w:cs="宋体"/>
          <w:color w:val="000000"/>
          <w:spacing w:val="-14"/>
          <w:kern w:val="0"/>
          <w:sz w:val="32"/>
          <w:szCs w:val="32"/>
        </w:rPr>
        <w:t>5.认真完成县委县政府及上级机构编制部门安排的各项工作任务。</w:t>
      </w:r>
    </w:p>
    <w:p>
      <w:pPr>
        <w:spacing w:line="578" w:lineRule="exact"/>
        <w:ind w:firstLine="640" w:firstLineChars="200"/>
        <w:rPr>
          <w:rStyle w:val="15"/>
          <w:b w:val="0"/>
          <w:bCs w:val="0"/>
        </w:rPr>
      </w:pPr>
      <w:bookmarkStart w:id="29" w:name="_Toc31390"/>
      <w:bookmarkStart w:id="30" w:name="_Toc24963"/>
      <w:r>
        <w:rPr>
          <w:rStyle w:val="15"/>
          <w:rFonts w:hint="eastAsia" w:ascii="黑体" w:eastAsia="黑体"/>
          <w:b w:val="0"/>
          <w:bCs w:val="0"/>
        </w:rPr>
        <w:t>二、机构设置</w:t>
      </w:r>
      <w:bookmarkEnd w:id="27"/>
      <w:bookmarkEnd w:id="28"/>
    </w:p>
    <w:bookmarkEnd w:id="29"/>
    <w:bookmarkEnd w:id="30"/>
    <w:p>
      <w:pPr>
        <w:widowControl/>
        <w:ind w:firstLine="584" w:firstLineChars="200"/>
        <w:jc w:val="left"/>
      </w:pPr>
      <w:bookmarkStart w:id="31" w:name="_Toc15396602"/>
      <w:bookmarkStart w:id="32" w:name="_Toc3208"/>
      <w:bookmarkStart w:id="33" w:name="_Toc15377204"/>
      <w:r>
        <w:rPr>
          <w:rFonts w:hint="eastAsia" w:ascii="宋体" w:hAnsi="宋体" w:eastAsia="仿宋_GB2312" w:cs="宋体"/>
          <w:color w:val="000000"/>
          <w:spacing w:val="-14"/>
          <w:kern w:val="0"/>
          <w:sz w:val="32"/>
          <w:szCs w:val="32"/>
        </w:rPr>
        <w:t>202</w:t>
      </w:r>
      <w:r>
        <w:rPr>
          <w:rFonts w:hint="eastAsia" w:ascii="宋体" w:hAnsi="宋体" w:eastAsia="仿宋_GB2312" w:cs="宋体"/>
          <w:color w:val="000000"/>
          <w:spacing w:val="-14"/>
          <w:kern w:val="0"/>
          <w:sz w:val="32"/>
          <w:szCs w:val="32"/>
          <w:lang w:val="en-US" w:eastAsia="zh-CN"/>
        </w:rPr>
        <w:t>2</w:t>
      </w:r>
      <w:r>
        <w:rPr>
          <w:rFonts w:hint="eastAsia" w:ascii="宋体" w:hAnsi="宋体" w:eastAsia="仿宋_GB2312" w:cs="宋体"/>
          <w:color w:val="000000"/>
          <w:spacing w:val="-14"/>
          <w:kern w:val="0"/>
          <w:sz w:val="32"/>
          <w:szCs w:val="32"/>
        </w:rPr>
        <w:t>年独立编制单位机构数为1个。财政供养人员编制为14名，其中行政编制4名，行政工勤编制1名，事业编制9名（其中参照公务员法管理人员编制6人）；202</w:t>
      </w:r>
      <w:r>
        <w:rPr>
          <w:rFonts w:hint="eastAsia" w:ascii="宋体" w:hAnsi="宋体" w:eastAsia="仿宋_GB2312" w:cs="宋体"/>
          <w:color w:val="000000"/>
          <w:spacing w:val="-14"/>
          <w:kern w:val="0"/>
          <w:sz w:val="32"/>
          <w:szCs w:val="32"/>
          <w:lang w:val="en-US" w:eastAsia="zh-CN"/>
        </w:rPr>
        <w:t>2</w:t>
      </w:r>
      <w:r>
        <w:rPr>
          <w:rFonts w:hint="eastAsia" w:ascii="宋体" w:hAnsi="宋体" w:eastAsia="仿宋_GB2312" w:cs="宋体"/>
          <w:color w:val="000000"/>
          <w:spacing w:val="-14"/>
          <w:kern w:val="0"/>
          <w:sz w:val="32"/>
          <w:szCs w:val="32"/>
        </w:rPr>
        <w:t>年实际财政供养人员12人，其中：行政3人，行政工勤1人，事业3人，参公5人。</w:t>
      </w:r>
    </w:p>
    <w:p>
      <w:pPr>
        <w:pStyle w:val="2"/>
        <w:ind w:right="440"/>
        <w:jc w:val="right"/>
      </w:pPr>
      <w:bookmarkStart w:id="34" w:name="_Toc31772"/>
      <w:r>
        <w:rPr>
          <w:rFonts w:hint="eastAsia" w:ascii="黑体" w:eastAsia="黑体"/>
          <w:b w:val="0"/>
          <w:color w:val="000000"/>
        </w:rPr>
        <w:t>第二部分</w:t>
      </w:r>
      <w:r>
        <w:rPr>
          <w:rFonts w:hint="eastAsia" w:ascii="黑体" w:eastAsia="黑体"/>
          <w:color w:val="000000"/>
        </w:rPr>
        <w:t xml:space="preserve"> </w:t>
      </w:r>
      <w:r>
        <w:rPr>
          <w:rStyle w:val="14"/>
          <w:rFonts w:hint="eastAsia" w:ascii="黑体" w:eastAsia="黑体"/>
          <w:b w:val="0"/>
          <w:bCs w:val="0"/>
        </w:rPr>
        <w:t>2021年度部门决算情况说明</w:t>
      </w:r>
      <w:bookmarkEnd w:id="31"/>
      <w:bookmarkEnd w:id="32"/>
      <w:bookmarkEnd w:id="33"/>
      <w:bookmarkEnd w:id="34"/>
    </w:p>
    <w:p>
      <w:pPr>
        <w:pStyle w:val="16"/>
        <w:ind w:left="210" w:firstLine="0" w:firstLineChars="0"/>
        <w:outlineLvl w:val="1"/>
        <w:rPr>
          <w:rStyle w:val="15"/>
          <w:rFonts w:ascii="黑体" w:eastAsia="黑体"/>
        </w:rPr>
      </w:pPr>
      <w:bookmarkStart w:id="35" w:name="_Toc15377205"/>
      <w:bookmarkStart w:id="36" w:name="_Toc15396603"/>
      <w:r>
        <w:rPr>
          <w:rFonts w:hint="eastAsia" w:ascii="黑体" w:eastAsia="黑体"/>
          <w:color w:val="000000"/>
          <w:sz w:val="32"/>
          <w:szCs w:val="32"/>
        </w:rPr>
        <w:t>　　</w:t>
      </w:r>
      <w:bookmarkStart w:id="37" w:name="_Toc17971"/>
      <w:bookmarkStart w:id="38" w:name="_Toc20455"/>
      <w:r>
        <w:rPr>
          <w:rStyle w:val="15"/>
          <w:rFonts w:hint="eastAsia" w:ascii="黑体" w:eastAsia="黑体"/>
          <w:b w:val="0"/>
        </w:rPr>
        <w:t>一、</w:t>
      </w:r>
      <w:r>
        <w:rPr>
          <w:rStyle w:val="15"/>
          <w:rFonts w:hint="eastAsia" w:ascii="黑体" w:eastAsia="黑体"/>
        </w:rPr>
        <w:t>收入支出决算总体情况说明</w:t>
      </w:r>
      <w:bookmarkEnd w:id="35"/>
      <w:bookmarkEnd w:id="36"/>
    </w:p>
    <w:bookmarkEnd w:id="37"/>
    <w:bookmarkEnd w:id="38"/>
    <w:p>
      <w:pPr>
        <w:snapToGrid w:val="0"/>
        <w:spacing w:line="520" w:lineRule="exact"/>
        <w:ind w:firstLine="640" w:firstLineChars="200"/>
        <w:rPr>
          <w:rFonts w:ascii="仿宋_GB2312" w:eastAsia="仿宋_GB2312"/>
          <w:color w:val="000000"/>
          <w:spacing w:val="-2"/>
          <w:sz w:val="32"/>
          <w:szCs w:val="32"/>
        </w:rPr>
      </w:pPr>
      <w:bookmarkStart w:id="39" w:name="_Toc15377206"/>
      <w:bookmarkStart w:id="40" w:name="_Toc15396604"/>
      <w:bookmarkStart w:id="41" w:name="_Toc22056"/>
      <w:r>
        <w:rPr>
          <w:rFonts w:hint="eastAsia" w:ascii="仿宋" w:eastAsia="仿宋"/>
          <w:sz w:val="32"/>
          <w:szCs w:val="32"/>
        </w:rPr>
        <w:t>2021年度总收入215.98万元，较上年收入增加30.74</w:t>
      </w:r>
      <w:r>
        <w:rPr>
          <w:rFonts w:hint="eastAsia" w:ascii="仿宋_GB2312" w:eastAsia="仿宋_GB2312"/>
          <w:color w:val="000000"/>
          <w:spacing w:val="-2"/>
          <w:sz w:val="32"/>
          <w:szCs w:val="32"/>
        </w:rPr>
        <w:t>万元，增加16.59%。主要原因是</w:t>
      </w:r>
      <w:r>
        <w:rPr>
          <w:rFonts w:hint="eastAsia" w:ascii="仿宋_GB2312" w:hAnsi="仿宋" w:eastAsia="仿宋_GB2312" w:cs="仿宋"/>
          <w:color w:val="000000"/>
          <w:sz w:val="32"/>
          <w:szCs w:val="32"/>
        </w:rPr>
        <w:t>2020年度目标奖励绩效基数有所提高</w:t>
      </w:r>
      <w:r>
        <w:rPr>
          <w:rFonts w:hint="eastAsia" w:ascii="仿宋_GB2312" w:eastAsia="仿宋_GB2312"/>
          <w:color w:val="000000"/>
          <w:spacing w:val="-2"/>
          <w:sz w:val="32"/>
          <w:szCs w:val="32"/>
        </w:rPr>
        <w:t>。</w:t>
      </w:r>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spacing w:val="-2"/>
          <w:sz w:val="32"/>
          <w:szCs w:val="32"/>
        </w:rPr>
        <w:t>2021年总支出215.98万元，较上年支出增加30.74万元，</w:t>
      </w:r>
      <w:r>
        <w:rPr>
          <w:rFonts w:hint="eastAsia" w:ascii="仿宋_GB2312" w:eastAsia="仿宋_GB2312"/>
          <w:color w:val="000000"/>
          <w:spacing w:val="-2"/>
          <w:sz w:val="32"/>
          <w:szCs w:val="32"/>
        </w:rPr>
        <w:t>增加16.59%。主要原因是</w:t>
      </w:r>
      <w:r>
        <w:rPr>
          <w:rFonts w:hint="eastAsia" w:ascii="仿宋_GB2312" w:hAnsi="仿宋" w:eastAsia="仿宋_GB2312" w:cs="仿宋"/>
          <w:color w:val="000000"/>
          <w:sz w:val="32"/>
          <w:szCs w:val="32"/>
        </w:rPr>
        <w:t>2020年度目标奖励绩效基数有所提高</w:t>
      </w:r>
      <w:r>
        <w:rPr>
          <w:rFonts w:hint="eastAsia" w:ascii="仿宋_GB2312" w:eastAsia="仿宋_GB2312"/>
          <w:color w:val="000000"/>
          <w:spacing w:val="-2"/>
          <w:sz w:val="32"/>
          <w:szCs w:val="32"/>
        </w:rPr>
        <w:t>。</w:t>
      </w:r>
    </w:p>
    <w:p>
      <w:pPr>
        <w:spacing w:line="600" w:lineRule="exact"/>
        <w:ind w:firstLine="640" w:firstLineChars="200"/>
        <w:rPr>
          <w:rStyle w:val="15"/>
          <w:rFonts w:ascii="黑体" w:eastAsia="黑体"/>
          <w:b w:val="0"/>
        </w:rPr>
      </w:pPr>
      <w:r>
        <w:rPr>
          <w:rFonts w:ascii="黑体" w:hAnsi="Cambria" w:eastAsia="黑体"/>
          <w:bCs/>
          <w:sz w:val="32"/>
          <w:szCs w:val="32"/>
        </w:rPr>
        <w:drawing>
          <wp:anchor distT="0" distB="0" distL="114300" distR="114300" simplePos="0" relativeHeight="251660288" behindDoc="0" locked="0" layoutInCell="1" allowOverlap="1">
            <wp:simplePos x="0" y="0"/>
            <wp:positionH relativeFrom="column">
              <wp:posOffset>352425</wp:posOffset>
            </wp:positionH>
            <wp:positionV relativeFrom="paragraph">
              <wp:posOffset>50800</wp:posOffset>
            </wp:positionV>
            <wp:extent cx="4482465" cy="2952750"/>
            <wp:effectExtent l="19050" t="0" r="13335" b="0"/>
            <wp:wrapNone/>
            <wp:docPr id="42" name="图表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42" w:name="_Toc20150"/>
    </w:p>
    <w:bookmarkEnd w:id="42"/>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rPr>
      </w:pPr>
      <w:bookmarkStart w:id="43" w:name="_Toc9091"/>
      <w:r>
        <w:rPr>
          <w:rStyle w:val="15"/>
          <w:rFonts w:hint="eastAsia" w:ascii="黑体" w:eastAsia="黑体"/>
          <w:b w:val="0"/>
        </w:rPr>
        <w:t>二、</w:t>
      </w:r>
      <w:r>
        <w:rPr>
          <w:rStyle w:val="15"/>
          <w:rFonts w:hint="eastAsia" w:ascii="黑体" w:eastAsia="黑体"/>
        </w:rPr>
        <w:t>收入决算情况说明</w:t>
      </w:r>
      <w:bookmarkEnd w:id="39"/>
      <w:bookmarkEnd w:id="40"/>
    </w:p>
    <w:bookmarkEnd w:id="41"/>
    <w:bookmarkEnd w:id="43"/>
    <w:p>
      <w:pPr>
        <w:spacing w:line="600" w:lineRule="exact"/>
        <w:ind w:firstLine="640" w:firstLineChars="200"/>
        <w:outlineLvl w:val="1"/>
        <w:rPr>
          <w:rFonts w:ascii="仿宋" w:eastAsia="仿宋"/>
          <w:color w:val="000000"/>
          <w:sz w:val="32"/>
          <w:szCs w:val="32"/>
        </w:rPr>
      </w:pPr>
      <w:bookmarkStart w:id="44" w:name="_Toc15377207"/>
      <w:bookmarkStart w:id="45" w:name="_Toc15396605"/>
      <w:bookmarkStart w:id="46" w:name="_Toc24378"/>
      <w:r>
        <w:rPr>
          <w:rFonts w:hint="eastAsia" w:ascii="仿宋" w:eastAsia="仿宋"/>
          <w:color w:val="000000"/>
          <w:sz w:val="32"/>
          <w:szCs w:val="32"/>
        </w:rPr>
        <w:t>2021年总收入215.98万元，其中：一般公共预算财政拨款收入215.98万元，占100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r>
        <w:rPr>
          <w:rFonts w:ascii="黑体" w:hAnsi="Cambria" w:eastAsia="黑体"/>
          <w:bCs/>
          <w:sz w:val="32"/>
          <w:szCs w:val="32"/>
        </w:rPr>
        <w:drawing>
          <wp:anchor distT="0" distB="0" distL="114300" distR="114300" simplePos="0" relativeHeight="251661312" behindDoc="0" locked="0" layoutInCell="1" allowOverlap="1">
            <wp:simplePos x="0" y="0"/>
            <wp:positionH relativeFrom="column">
              <wp:posOffset>266700</wp:posOffset>
            </wp:positionH>
            <wp:positionV relativeFrom="paragraph">
              <wp:posOffset>-38100</wp:posOffset>
            </wp:positionV>
            <wp:extent cx="4509770" cy="2863215"/>
            <wp:effectExtent l="0" t="0" r="5080" b="0"/>
            <wp:wrapNone/>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7" cstate="print"/>
                    <a:stretch>
                      <a:fillRect/>
                    </a:stretch>
                  </pic:blipFill>
                  <pic:spPr>
                    <a:xfrm>
                      <a:off x="0" y="0"/>
                      <a:ext cx="4509770" cy="2863215"/>
                    </a:xfrm>
                    <a:prstGeom prst="rect">
                      <a:avLst/>
                    </a:prstGeom>
                    <a:noFill/>
                    <a:ln>
                      <a:noFill/>
                    </a:ln>
                  </pic:spPr>
                </pic:pic>
              </a:graphicData>
            </a:graphic>
          </wp:anchor>
        </w:drawing>
      </w:r>
      <w:bookmarkStart w:id="47" w:name="_Toc12812"/>
    </w:p>
    <w:bookmarkEnd w:id="47"/>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ind w:firstLine="640" w:firstLineChars="200"/>
        <w:outlineLvl w:val="1"/>
        <w:rPr>
          <w:rStyle w:val="15"/>
          <w:rFonts w:ascii="黑体" w:eastAsia="黑体"/>
          <w:b w:val="0"/>
        </w:rPr>
      </w:pPr>
    </w:p>
    <w:p>
      <w:pPr>
        <w:spacing w:line="600" w:lineRule="exact"/>
        <w:outlineLvl w:val="1"/>
        <w:rPr>
          <w:rStyle w:val="15"/>
          <w:rFonts w:ascii="黑体" w:eastAsia="黑体"/>
          <w:b w:val="0"/>
        </w:rPr>
      </w:pPr>
    </w:p>
    <w:p>
      <w:pPr>
        <w:spacing w:line="600" w:lineRule="exact"/>
        <w:ind w:firstLine="640" w:firstLineChars="200"/>
        <w:outlineLvl w:val="1"/>
        <w:rPr>
          <w:rStyle w:val="15"/>
          <w:rFonts w:ascii="黑体" w:eastAsia="黑体"/>
        </w:rPr>
      </w:pPr>
      <w:bookmarkStart w:id="48" w:name="_Toc6096"/>
      <w:r>
        <w:rPr>
          <w:rStyle w:val="15"/>
          <w:rFonts w:hint="eastAsia" w:ascii="黑体" w:eastAsia="黑体"/>
          <w:b w:val="0"/>
        </w:rPr>
        <w:t>三、</w:t>
      </w:r>
      <w:r>
        <w:rPr>
          <w:rStyle w:val="15"/>
          <w:rFonts w:hint="eastAsia" w:ascii="黑体" w:eastAsia="黑体"/>
        </w:rPr>
        <w:t>支出决算情况说明</w:t>
      </w:r>
      <w:bookmarkEnd w:id="44"/>
      <w:bookmarkEnd w:id="45"/>
    </w:p>
    <w:bookmarkEnd w:id="46"/>
    <w:bookmarkEnd w:id="48"/>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2021年本年总支出215.98万元，其中：基本支出215.98万元，占100%；项目支出0万元，占0%；上缴上级支出0万元，占0%；经营支出0万元，占0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62336" behindDoc="0" locked="0" layoutInCell="1" allowOverlap="1">
            <wp:simplePos x="0" y="0"/>
            <wp:positionH relativeFrom="column">
              <wp:posOffset>528955</wp:posOffset>
            </wp:positionH>
            <wp:positionV relativeFrom="paragraph">
              <wp:posOffset>74930</wp:posOffset>
            </wp:positionV>
            <wp:extent cx="4318000" cy="2567305"/>
            <wp:effectExtent l="4445" t="4445" r="22860" b="17780"/>
            <wp:wrapNone/>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5"/>
          <w:rFonts w:ascii="黑体" w:eastAsia="黑体"/>
        </w:rPr>
      </w:pPr>
      <w:bookmarkStart w:id="49" w:name="_Toc15377208"/>
      <w:bookmarkStart w:id="50" w:name="_Toc15396606"/>
      <w:bookmarkStart w:id="51" w:name="_Toc18904"/>
      <w:bookmarkStart w:id="52" w:name="_Toc2487"/>
      <w:r>
        <w:rPr>
          <w:rStyle w:val="15"/>
          <w:rFonts w:hint="eastAsia" w:ascii="黑体" w:eastAsia="黑体"/>
          <w:b w:val="0"/>
        </w:rPr>
        <w:t>四、</w:t>
      </w:r>
      <w:r>
        <w:rPr>
          <w:rStyle w:val="15"/>
          <w:rFonts w:hint="eastAsia" w:ascii="黑体" w:eastAsia="黑体"/>
        </w:rPr>
        <w:t>财政拨款收入支出决算总体情况说明</w:t>
      </w:r>
      <w:bookmarkEnd w:id="49"/>
      <w:bookmarkEnd w:id="50"/>
    </w:p>
    <w:bookmarkEnd w:id="51"/>
    <w:bookmarkEnd w:id="52"/>
    <w:p>
      <w:pPr>
        <w:snapToGrid w:val="0"/>
        <w:spacing w:line="520" w:lineRule="exact"/>
        <w:ind w:firstLine="640" w:firstLineChars="200"/>
        <w:rPr>
          <w:rFonts w:ascii="仿宋_GB2312" w:eastAsia="仿宋_GB2312"/>
          <w:color w:val="000000"/>
          <w:spacing w:val="-2"/>
          <w:sz w:val="32"/>
          <w:szCs w:val="32"/>
        </w:rPr>
      </w:pPr>
      <w:bookmarkStart w:id="53" w:name="_Toc15396607"/>
      <w:bookmarkStart w:id="54" w:name="_Toc15377209"/>
      <w:bookmarkStart w:id="55" w:name="_Toc11672"/>
      <w:r>
        <w:rPr>
          <w:rFonts w:hint="eastAsia" w:ascii="仿宋" w:eastAsia="仿宋"/>
          <w:color w:val="000000"/>
          <w:sz w:val="32"/>
          <w:szCs w:val="32"/>
        </w:rPr>
        <w:t>2021年财政拨款收入215.98万元。与2020年相比，一般公共预算财政拨款收入较上年增加30.74万元，增加16.59%</w:t>
      </w:r>
      <w:r>
        <w:rPr>
          <w:rFonts w:hint="eastAsia" w:ascii="仿宋_GB2312" w:eastAsia="仿宋_GB2312"/>
          <w:color w:val="000000"/>
          <w:spacing w:val="-2"/>
          <w:sz w:val="32"/>
          <w:szCs w:val="32"/>
        </w:rPr>
        <w:t>。主要原因是</w:t>
      </w:r>
      <w:r>
        <w:rPr>
          <w:rFonts w:hint="eastAsia" w:ascii="仿宋_GB2312" w:hAnsi="仿宋" w:eastAsia="仿宋_GB2312" w:cs="仿宋"/>
          <w:color w:val="000000"/>
          <w:sz w:val="32"/>
          <w:szCs w:val="32"/>
        </w:rPr>
        <w:t>2020年度目标奖励绩效基数有所提高</w:t>
      </w:r>
      <w:r>
        <w:rPr>
          <w:rFonts w:hint="eastAsia" w:ascii="仿宋_GB2312" w:eastAsia="仿宋_GB2312"/>
          <w:color w:val="000000"/>
          <w:spacing w:val="-2"/>
          <w:sz w:val="32"/>
          <w:szCs w:val="32"/>
        </w:rPr>
        <w:t>。</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2021年财政拨款支出215.98万元，</w:t>
      </w:r>
      <w:r>
        <w:rPr>
          <w:rFonts w:hint="eastAsia" w:ascii="仿宋" w:eastAsia="仿宋"/>
          <w:sz w:val="32"/>
          <w:szCs w:val="32"/>
        </w:rPr>
        <w:t>较上年支出增加30.74万元，增加16.59%</w:t>
      </w:r>
      <w:r>
        <w:rPr>
          <w:rFonts w:hint="eastAsia" w:ascii="仿宋_GB2312" w:eastAsia="仿宋_GB2312"/>
          <w:spacing w:val="-2"/>
          <w:sz w:val="32"/>
          <w:szCs w:val="32"/>
        </w:rPr>
        <w:t>。</w:t>
      </w:r>
      <w:r>
        <w:rPr>
          <w:rFonts w:hint="eastAsia" w:ascii="仿宋_GB2312" w:eastAsia="仿宋_GB2312"/>
          <w:color w:val="000000"/>
          <w:spacing w:val="-2"/>
          <w:sz w:val="32"/>
          <w:szCs w:val="32"/>
        </w:rPr>
        <w:t>主要原因是</w:t>
      </w:r>
      <w:r>
        <w:rPr>
          <w:rFonts w:hint="eastAsia" w:ascii="仿宋_GB2312" w:hAnsi="仿宋" w:eastAsia="仿宋_GB2312" w:cs="仿宋"/>
          <w:color w:val="000000"/>
          <w:sz w:val="32"/>
          <w:szCs w:val="32"/>
        </w:rPr>
        <w:t>2020年度目标奖励绩效基数有所提高</w:t>
      </w:r>
      <w:r>
        <w:rPr>
          <w:rFonts w:hint="eastAsia" w:ascii="仿宋_GB2312" w:eastAsia="仿宋_GB2312"/>
          <w:color w:val="000000"/>
          <w:spacing w:val="-2"/>
          <w:sz w:val="32"/>
          <w:szCs w:val="32"/>
        </w:rPr>
        <w:t>。</w:t>
      </w:r>
    </w:p>
    <w:p>
      <w:pPr>
        <w:spacing w:line="600" w:lineRule="exact"/>
        <w:ind w:firstLine="640" w:firstLineChars="200"/>
        <w:rPr>
          <w:rStyle w:val="15"/>
          <w:rFonts w:ascii="黑体" w:eastAsia="黑体"/>
          <w:b w:val="0"/>
        </w:rPr>
      </w:pPr>
      <w:r>
        <w:rPr>
          <w:rFonts w:ascii="黑体" w:hAnsi="Cambria" w:eastAsia="黑体"/>
          <w:bCs/>
          <w:sz w:val="32"/>
          <w:szCs w:val="32"/>
        </w:rPr>
        <w:drawing>
          <wp:anchor distT="0" distB="0" distL="114300" distR="114300" simplePos="0" relativeHeight="251663360" behindDoc="0" locked="0" layoutInCell="1" allowOverlap="1">
            <wp:simplePos x="0" y="0"/>
            <wp:positionH relativeFrom="column">
              <wp:posOffset>266700</wp:posOffset>
            </wp:positionH>
            <wp:positionV relativeFrom="paragraph">
              <wp:posOffset>309245</wp:posOffset>
            </wp:positionV>
            <wp:extent cx="4844415" cy="2818130"/>
            <wp:effectExtent l="19050" t="0" r="13335" b="1270"/>
            <wp:wrapNone/>
            <wp:docPr id="43" name="图表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56" w:name="_Toc887"/>
    </w:p>
    <w:bookmarkEnd w:id="56"/>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p>
    <w:p>
      <w:pPr>
        <w:spacing w:line="600" w:lineRule="exact"/>
        <w:ind w:firstLine="640" w:firstLineChars="200"/>
        <w:rPr>
          <w:rStyle w:val="15"/>
          <w:rFonts w:ascii="黑体" w:eastAsia="黑体"/>
          <w:b w:val="0"/>
        </w:rPr>
      </w:pPr>
      <w:bookmarkStart w:id="57" w:name="_Toc14945"/>
      <w:r>
        <w:rPr>
          <w:rStyle w:val="15"/>
          <w:rFonts w:hint="eastAsia" w:ascii="黑体" w:eastAsia="黑体"/>
          <w:b w:val="0"/>
        </w:rPr>
        <w:t>五、</w:t>
      </w:r>
      <w:r>
        <w:rPr>
          <w:rStyle w:val="15"/>
          <w:rFonts w:hint="eastAsia" w:ascii="黑体" w:eastAsia="黑体"/>
        </w:rPr>
        <w:t>一般公共预算财政拨款支出决算情况说明</w:t>
      </w:r>
      <w:bookmarkEnd w:id="53"/>
      <w:bookmarkEnd w:id="54"/>
    </w:p>
    <w:bookmarkEnd w:id="55"/>
    <w:bookmarkEnd w:id="57"/>
    <w:p>
      <w:pPr>
        <w:spacing w:line="600" w:lineRule="exact"/>
        <w:ind w:firstLine="643" w:firstLineChars="200"/>
        <w:outlineLvl w:val="2"/>
        <w:rPr>
          <w:rFonts w:ascii="仿宋" w:eastAsia="仿宋"/>
          <w:b/>
          <w:color w:val="000000"/>
          <w:sz w:val="32"/>
          <w:szCs w:val="32"/>
        </w:rPr>
      </w:pPr>
      <w:bookmarkStart w:id="58" w:name="_Toc15377210"/>
      <w:r>
        <w:rPr>
          <w:rFonts w:hint="eastAsia" w:ascii="仿宋" w:eastAsia="仿宋"/>
          <w:b/>
          <w:color w:val="000000"/>
          <w:sz w:val="32"/>
          <w:szCs w:val="32"/>
        </w:rPr>
        <w:t>（一）一般公共预算财政拨款支出决算总体情况</w:t>
      </w:r>
      <w:bookmarkEnd w:id="58"/>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2021年</w:t>
      </w:r>
      <w:r>
        <w:rPr>
          <w:rFonts w:hint="eastAsia" w:ascii="仿宋_GB2312" w:eastAsia="仿宋_GB2312"/>
          <w:spacing w:val="-2"/>
          <w:sz w:val="32"/>
          <w:szCs w:val="32"/>
        </w:rPr>
        <w:t>一般公共预算财政拨款支出</w:t>
      </w:r>
      <w:r>
        <w:rPr>
          <w:rFonts w:hint="eastAsia" w:ascii="仿宋" w:eastAsia="仿宋"/>
          <w:color w:val="000000"/>
          <w:sz w:val="32"/>
          <w:szCs w:val="32"/>
        </w:rPr>
        <w:t>215.98</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。与2020年相比，</w:t>
      </w:r>
      <w:r>
        <w:rPr>
          <w:rFonts w:hint="eastAsia" w:ascii="仿宋" w:eastAsia="仿宋"/>
          <w:sz w:val="32"/>
          <w:szCs w:val="32"/>
        </w:rPr>
        <w:t>较上年支出增加30.74万元，增加16.59%</w:t>
      </w:r>
      <w:r>
        <w:rPr>
          <w:rFonts w:hint="eastAsia" w:ascii="仿宋_GB2312" w:eastAsia="仿宋_GB2312"/>
          <w:spacing w:val="-2"/>
          <w:sz w:val="32"/>
          <w:szCs w:val="32"/>
        </w:rPr>
        <w:t>。</w:t>
      </w:r>
      <w:r>
        <w:rPr>
          <w:rFonts w:hint="eastAsia" w:ascii="仿宋_GB2312" w:eastAsia="仿宋_GB2312"/>
          <w:color w:val="000000"/>
          <w:spacing w:val="-2"/>
          <w:sz w:val="32"/>
          <w:szCs w:val="32"/>
        </w:rPr>
        <w:t>主要原因是</w:t>
      </w:r>
      <w:r>
        <w:rPr>
          <w:rFonts w:hint="eastAsia" w:ascii="仿宋_GB2312" w:hAnsi="仿宋" w:eastAsia="仿宋_GB2312" w:cs="仿宋"/>
          <w:color w:val="000000"/>
          <w:sz w:val="32"/>
          <w:szCs w:val="32"/>
        </w:rPr>
        <w:t>2020年度目标奖励绩效基数有所提高</w:t>
      </w:r>
      <w:r>
        <w:rPr>
          <w:rFonts w:hint="eastAsia" w:ascii="仿宋_GB2312" w:eastAsia="仿宋_GB2312"/>
          <w:color w:val="000000"/>
          <w:spacing w:val="-2"/>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r>
        <w:rPr>
          <w:rFonts w:ascii="仿宋_GB2312" w:eastAsia="仿宋_GB2312"/>
          <w:spacing w:val="-2"/>
          <w:sz w:val="32"/>
          <w:szCs w:val="32"/>
        </w:rPr>
        <w:drawing>
          <wp:anchor distT="0" distB="0" distL="114300" distR="114300" simplePos="0" relativeHeight="251664384" behindDoc="0" locked="0" layoutInCell="1" allowOverlap="1">
            <wp:simplePos x="0" y="0"/>
            <wp:positionH relativeFrom="column">
              <wp:posOffset>273050</wp:posOffset>
            </wp:positionH>
            <wp:positionV relativeFrom="paragraph">
              <wp:posOffset>-133985</wp:posOffset>
            </wp:positionV>
            <wp:extent cx="4236720" cy="2979420"/>
            <wp:effectExtent l="4445" t="4445" r="23495" b="22860"/>
            <wp:wrapNone/>
            <wp:docPr id="19"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32" w:firstLineChars="200"/>
        <w:rPr>
          <w:rFonts w:ascii="仿宋_GB2312" w:eastAsia="仿宋_GB2312"/>
          <w:spacing w:val="-2"/>
          <w:sz w:val="32"/>
          <w:szCs w:val="32"/>
        </w:rPr>
      </w:pPr>
    </w:p>
    <w:p>
      <w:pPr>
        <w:snapToGrid w:val="0"/>
        <w:spacing w:line="520" w:lineRule="exact"/>
        <w:rPr>
          <w:rFonts w:ascii="仿宋_GB2312" w:eastAsia="仿宋_GB2312"/>
          <w:spacing w:val="-2"/>
          <w:sz w:val="32"/>
          <w:szCs w:val="32"/>
        </w:rPr>
      </w:pPr>
    </w:p>
    <w:p>
      <w:pPr>
        <w:snapToGrid w:val="0"/>
        <w:spacing w:line="520" w:lineRule="exact"/>
        <w:ind w:firstLine="643" w:firstLineChars="200"/>
        <w:rPr>
          <w:rFonts w:ascii="仿宋" w:eastAsia="仿宋"/>
          <w:color w:val="000000"/>
          <w:sz w:val="32"/>
          <w:szCs w:val="32"/>
        </w:rPr>
      </w:pPr>
      <w:bookmarkStart w:id="59" w:name="_Toc15377211"/>
      <w:r>
        <w:rPr>
          <w:rFonts w:hint="eastAsia" w:ascii="仿宋" w:eastAsia="仿宋"/>
          <w:b/>
          <w:color w:val="000000"/>
          <w:sz w:val="32"/>
          <w:szCs w:val="32"/>
        </w:rPr>
        <w:t>（二）一般公共预算财政拨款支出决算结构情况</w:t>
      </w:r>
      <w:bookmarkEnd w:id="59"/>
    </w:p>
    <w:p>
      <w:pPr>
        <w:spacing w:line="600" w:lineRule="exact"/>
        <w:ind w:firstLine="640"/>
        <w:rPr>
          <w:rFonts w:ascii="仿宋" w:eastAsia="仿宋"/>
          <w:color w:val="000000"/>
          <w:sz w:val="32"/>
          <w:szCs w:val="32"/>
        </w:rPr>
      </w:pPr>
      <w:bookmarkStart w:id="60" w:name="_Toc15378460"/>
      <w:bookmarkStart w:id="61" w:name="_Toc15377444"/>
      <w:bookmarkStart w:id="62" w:name="_Toc15377213"/>
      <w:r>
        <w:rPr>
          <w:rFonts w:hint="eastAsia" w:ascii="仿宋" w:eastAsia="仿宋"/>
          <w:color w:val="000000"/>
          <w:sz w:val="32"/>
          <w:szCs w:val="32"/>
        </w:rPr>
        <w:t>2021年一般公共预算财政拨款支出215.98万元，主要用于以下方面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Style w:val="12"/>
          <w:rFonts w:hint="eastAsia" w:ascii="仿宋" w:eastAsia="仿宋"/>
          <w:b w:val="0"/>
          <w:bCs/>
          <w:sz w:val="32"/>
          <w:szCs w:val="32"/>
        </w:rPr>
        <w:t>167.51</w:t>
      </w:r>
      <w:r>
        <w:rPr>
          <w:rFonts w:hint="eastAsia" w:ascii="仿宋" w:eastAsia="仿宋"/>
          <w:color w:val="000000"/>
          <w:sz w:val="32"/>
          <w:szCs w:val="32"/>
        </w:rPr>
        <w:t>万元，占77.56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Style w:val="12"/>
          <w:rFonts w:hint="eastAsia" w:ascii="仿宋" w:eastAsia="仿宋"/>
          <w:b w:val="0"/>
          <w:bCs/>
          <w:sz w:val="32"/>
          <w:szCs w:val="32"/>
        </w:rPr>
        <w:t>23.19</w:t>
      </w:r>
      <w:r>
        <w:rPr>
          <w:rFonts w:hint="eastAsia" w:ascii="仿宋" w:eastAsia="仿宋"/>
          <w:color w:val="000000"/>
          <w:sz w:val="32"/>
          <w:szCs w:val="32"/>
        </w:rPr>
        <w:t>万元，占10.74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Style w:val="12"/>
          <w:rFonts w:hint="eastAsia" w:ascii="仿宋" w:eastAsia="仿宋"/>
          <w:b w:val="0"/>
          <w:bCs/>
          <w:sz w:val="32"/>
          <w:szCs w:val="32"/>
        </w:rPr>
        <w:t>9.28</w:t>
      </w:r>
      <w:r>
        <w:rPr>
          <w:rFonts w:hint="eastAsia" w:ascii="仿宋" w:eastAsia="仿宋"/>
          <w:color w:val="000000"/>
          <w:sz w:val="32"/>
          <w:szCs w:val="32"/>
        </w:rPr>
        <w:t>万元，占4.3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Style w:val="12"/>
          <w:rFonts w:hint="eastAsia" w:ascii="仿宋" w:eastAsia="仿宋"/>
          <w:b w:val="0"/>
          <w:bCs/>
          <w:sz w:val="32"/>
          <w:szCs w:val="32"/>
        </w:rPr>
        <w:t>16.01</w:t>
      </w:r>
      <w:r>
        <w:rPr>
          <w:rFonts w:hint="eastAsia" w:ascii="仿宋" w:eastAsia="仿宋"/>
          <w:color w:val="000000"/>
          <w:sz w:val="32"/>
          <w:szCs w:val="32"/>
        </w:rPr>
        <w:t>万元，占7.40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53" w:firstLineChars="2600"/>
        <w:outlineLvl w:val="2"/>
        <w:rPr>
          <w:rFonts w:ascii="仿宋" w:eastAsia="仿宋"/>
          <w:b/>
          <w:color w:val="000000"/>
          <w:sz w:val="32"/>
          <w:szCs w:val="32"/>
        </w:rPr>
      </w:pPr>
      <w:r>
        <w:rPr>
          <w:rFonts w:ascii="仿宋" w:eastAsia="仿宋"/>
          <w:b/>
          <w:color w:val="000000"/>
          <w:sz w:val="32"/>
          <w:szCs w:val="32"/>
        </w:rPr>
        <w:drawing>
          <wp:anchor distT="0" distB="0" distL="114300" distR="114300" simplePos="0" relativeHeight="251665408" behindDoc="0" locked="0" layoutInCell="1" allowOverlap="1">
            <wp:simplePos x="0" y="0"/>
            <wp:positionH relativeFrom="column">
              <wp:posOffset>448310</wp:posOffset>
            </wp:positionH>
            <wp:positionV relativeFrom="paragraph">
              <wp:posOffset>205105</wp:posOffset>
            </wp:positionV>
            <wp:extent cx="4596765" cy="2764790"/>
            <wp:effectExtent l="19050" t="0" r="0"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noChangeArrowheads="1"/>
                    </pic:cNvPicPr>
                  </pic:nvPicPr>
                  <pic:blipFill>
                    <a:blip r:embed="rId11" cstate="print"/>
                    <a:srcRect/>
                    <a:stretch>
                      <a:fillRect/>
                    </a:stretch>
                  </pic:blipFill>
                  <pic:spPr>
                    <a:xfrm>
                      <a:off x="0" y="0"/>
                      <a:ext cx="4596765" cy="2764790"/>
                    </a:xfrm>
                    <a:prstGeom prst="rect">
                      <a:avLst/>
                    </a:prstGeom>
                    <a:noFill/>
                  </pic:spPr>
                </pic:pic>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63" w:name="_Toc15377212"/>
      <w:r>
        <w:rPr>
          <w:rFonts w:hint="eastAsia" w:ascii="仿宋" w:eastAsia="仿宋"/>
          <w:b/>
          <w:color w:val="000000"/>
          <w:sz w:val="32"/>
          <w:szCs w:val="32"/>
        </w:rPr>
        <w:t>（三）一般公共预算财政拨款支出决算具体情况</w:t>
      </w:r>
      <w:bookmarkEnd w:id="63"/>
    </w:p>
    <w:p>
      <w:pPr>
        <w:spacing w:line="600" w:lineRule="exact"/>
        <w:outlineLvl w:val="2"/>
        <w:rPr>
          <w:rFonts w:ascii="仿宋" w:eastAsia="仿宋"/>
          <w:bCs/>
          <w:sz w:val="32"/>
          <w:szCs w:val="32"/>
        </w:rPr>
      </w:pPr>
      <w:r>
        <w:rPr>
          <w:rFonts w:hint="eastAsia" w:ascii="仿宋" w:eastAsia="仿宋"/>
          <w:bCs/>
          <w:color w:val="000000"/>
          <w:sz w:val="32"/>
          <w:szCs w:val="32"/>
        </w:rPr>
        <w:t xml:space="preserve">   </w:t>
      </w:r>
      <w:bookmarkEnd w:id="60"/>
      <w:bookmarkEnd w:id="61"/>
      <w:bookmarkEnd w:id="62"/>
      <w:bookmarkStart w:id="64" w:name="_Toc15396608"/>
      <w:bookmarkStart w:id="65" w:name="_Toc15377214"/>
      <w:bookmarkStart w:id="66" w:name="_Toc15002"/>
      <w:r>
        <w:rPr>
          <w:rFonts w:hint="eastAsia" w:ascii="仿宋" w:eastAsia="仿宋"/>
          <w:bCs/>
          <w:color w:val="FF0000"/>
          <w:sz w:val="32"/>
          <w:szCs w:val="32"/>
        </w:rPr>
        <w:t xml:space="preserve"> </w:t>
      </w:r>
      <w:r>
        <w:rPr>
          <w:rFonts w:hint="eastAsia" w:ascii="仿宋" w:eastAsia="仿宋"/>
          <w:bCs/>
          <w:sz w:val="32"/>
          <w:szCs w:val="32"/>
        </w:rPr>
        <w:t>2021年一般公共预算数为215.98万元，支出决算数为215.98万元，完</w:t>
      </w:r>
      <w:r>
        <w:rPr>
          <w:rStyle w:val="12"/>
          <w:rFonts w:hint="eastAsia" w:ascii="仿宋" w:eastAsia="仿宋"/>
          <w:b w:val="0"/>
          <w:bCs/>
          <w:sz w:val="32"/>
          <w:szCs w:val="32"/>
        </w:rPr>
        <w:t>成预算100</w:t>
      </w:r>
      <w:r>
        <w:rPr>
          <w:rStyle w:val="12"/>
          <w:rFonts w:ascii="仿宋" w:eastAsia="仿宋"/>
          <w:b w:val="0"/>
          <w:bCs/>
          <w:sz w:val="32"/>
          <w:szCs w:val="32"/>
        </w:rPr>
        <w:t>%</w:t>
      </w:r>
      <w:r>
        <w:rPr>
          <w:rStyle w:val="12"/>
          <w:rFonts w:hint="eastAsia" w:ascii="仿宋" w:eastAsia="仿宋"/>
          <w:b w:val="0"/>
          <w:bCs/>
          <w:sz w:val="32"/>
          <w:szCs w:val="32"/>
        </w:rPr>
        <w:t>。其中：</w:t>
      </w:r>
    </w:p>
    <w:p>
      <w:pPr>
        <w:spacing w:line="600" w:lineRule="exact"/>
        <w:ind w:firstLine="643" w:firstLineChars="200"/>
        <w:rPr>
          <w:rStyle w:val="12"/>
          <w:rFonts w:ascii="仿宋" w:eastAsia="仿宋"/>
          <w:b w:val="0"/>
          <w:bCs/>
          <w:sz w:val="32"/>
          <w:szCs w:val="32"/>
        </w:rPr>
      </w:pPr>
      <w:r>
        <w:rPr>
          <w:rStyle w:val="12"/>
          <w:rFonts w:hint="eastAsia" w:ascii="仿宋" w:eastAsia="仿宋"/>
          <w:bCs/>
          <w:sz w:val="32"/>
          <w:szCs w:val="32"/>
        </w:rPr>
        <w:t>1.一般公共服务支出（类）人力资源事务（款）行政运行（项）</w:t>
      </w:r>
      <w:r>
        <w:rPr>
          <w:rStyle w:val="12"/>
          <w:rFonts w:ascii="仿宋" w:eastAsia="仿宋"/>
          <w:bCs/>
          <w:sz w:val="32"/>
          <w:szCs w:val="32"/>
        </w:rPr>
        <w:t>:</w:t>
      </w:r>
      <w:r>
        <w:rPr>
          <w:rStyle w:val="12"/>
          <w:rFonts w:ascii="仿宋" w:eastAsia="仿宋"/>
          <w:b w:val="0"/>
          <w:bCs/>
          <w:sz w:val="32"/>
          <w:szCs w:val="32"/>
        </w:rPr>
        <w:t xml:space="preserve"> </w:t>
      </w:r>
      <w:r>
        <w:rPr>
          <w:rStyle w:val="12"/>
          <w:rFonts w:hint="eastAsia" w:ascii="仿宋" w:eastAsia="仿宋"/>
          <w:b w:val="0"/>
          <w:bCs/>
          <w:sz w:val="32"/>
          <w:szCs w:val="32"/>
        </w:rPr>
        <w:t>支出决算为167.51万元，完成预算100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ind w:firstLine="643" w:firstLineChars="200"/>
        <w:rPr>
          <w:rFonts w:ascii="仿宋" w:eastAsia="仿宋"/>
          <w:b/>
          <w:sz w:val="32"/>
          <w:szCs w:val="32"/>
        </w:rPr>
      </w:pPr>
      <w:r>
        <w:rPr>
          <w:rStyle w:val="12"/>
          <w:rFonts w:hint="eastAsia" w:ascii="仿宋" w:eastAsia="仿宋"/>
          <w:bCs/>
          <w:sz w:val="32"/>
          <w:szCs w:val="32"/>
        </w:rPr>
        <w:t>2</w:t>
      </w:r>
      <w:r>
        <w:rPr>
          <w:rStyle w:val="12"/>
          <w:rFonts w:ascii="仿宋" w:eastAsia="仿宋"/>
          <w:bCs/>
          <w:sz w:val="32"/>
          <w:szCs w:val="32"/>
        </w:rPr>
        <w:t>.</w:t>
      </w:r>
      <w:r>
        <w:rPr>
          <w:rStyle w:val="12"/>
          <w:rFonts w:ascii="仿宋" w:eastAsia="仿宋"/>
          <w:b w:val="0"/>
          <w:bCs/>
          <w:sz w:val="32"/>
          <w:szCs w:val="32"/>
        </w:rPr>
        <w:t xml:space="preserve"> </w:t>
      </w:r>
      <w:r>
        <w:rPr>
          <w:rStyle w:val="12"/>
          <w:rFonts w:hint="eastAsia" w:ascii="仿宋" w:eastAsia="仿宋"/>
          <w:bCs/>
          <w:sz w:val="32"/>
          <w:szCs w:val="32"/>
        </w:rPr>
        <w:t>社会保障和就业（类）行政事业单位离退休（款）机关事业单位基本养老保险缴费支出（项）</w:t>
      </w:r>
      <w:r>
        <w:rPr>
          <w:rStyle w:val="12"/>
          <w:rFonts w:ascii="仿宋" w:eastAsia="仿宋"/>
          <w:bCs/>
          <w:sz w:val="32"/>
          <w:szCs w:val="32"/>
        </w:rPr>
        <w:t>:</w:t>
      </w:r>
      <w:r>
        <w:rPr>
          <w:rStyle w:val="12"/>
          <w:rFonts w:ascii="仿宋" w:eastAsia="仿宋"/>
          <w:b w:val="0"/>
          <w:bCs/>
          <w:sz w:val="32"/>
          <w:szCs w:val="32"/>
        </w:rPr>
        <w:t xml:space="preserve"> </w:t>
      </w:r>
      <w:r>
        <w:rPr>
          <w:rStyle w:val="12"/>
          <w:rFonts w:hint="eastAsia" w:ascii="仿宋" w:eastAsia="仿宋"/>
          <w:b w:val="0"/>
          <w:bCs/>
          <w:sz w:val="32"/>
          <w:szCs w:val="32"/>
        </w:rPr>
        <w:t>支出决算为15.46万元，完成预算100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ind w:firstLine="643" w:firstLineChars="200"/>
        <w:rPr>
          <w:rStyle w:val="12"/>
          <w:rFonts w:ascii="仿宋" w:eastAsia="仿宋"/>
          <w:b w:val="0"/>
          <w:bCs/>
          <w:sz w:val="32"/>
          <w:szCs w:val="32"/>
        </w:rPr>
      </w:pPr>
      <w:r>
        <w:rPr>
          <w:rStyle w:val="12"/>
          <w:rFonts w:hint="eastAsia" w:ascii="仿宋" w:eastAsia="仿宋"/>
          <w:bCs/>
          <w:sz w:val="32"/>
          <w:szCs w:val="32"/>
        </w:rPr>
        <w:t>3</w:t>
      </w:r>
      <w:r>
        <w:rPr>
          <w:rStyle w:val="12"/>
          <w:rFonts w:ascii="仿宋" w:eastAsia="仿宋"/>
          <w:bCs/>
          <w:sz w:val="32"/>
          <w:szCs w:val="32"/>
        </w:rPr>
        <w:t>.</w:t>
      </w:r>
      <w:r>
        <w:rPr>
          <w:rStyle w:val="12"/>
          <w:rFonts w:hint="eastAsia" w:ascii="仿宋" w:eastAsia="仿宋"/>
          <w:bCs/>
          <w:sz w:val="32"/>
          <w:szCs w:val="32"/>
        </w:rPr>
        <w:t>社会保障和就业（类）行政事业单位离退休（款）机关事业单位基本职业年金缴费支出（项）</w:t>
      </w:r>
      <w:r>
        <w:rPr>
          <w:rStyle w:val="12"/>
          <w:rFonts w:ascii="仿宋" w:eastAsia="仿宋"/>
          <w:bCs/>
          <w:sz w:val="32"/>
          <w:szCs w:val="32"/>
        </w:rPr>
        <w:t>:</w:t>
      </w:r>
      <w:r>
        <w:rPr>
          <w:rStyle w:val="12"/>
          <w:rFonts w:hint="eastAsia" w:ascii="仿宋" w:eastAsia="仿宋"/>
          <w:b w:val="0"/>
          <w:bCs/>
          <w:sz w:val="32"/>
          <w:szCs w:val="32"/>
        </w:rPr>
        <w:t>支出决算为7.73万元，完成预算100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ind w:firstLine="643" w:firstLineChars="200"/>
        <w:rPr>
          <w:rFonts w:ascii="仿宋" w:eastAsia="仿宋"/>
          <w:sz w:val="32"/>
          <w:szCs w:val="32"/>
        </w:rPr>
      </w:pPr>
      <w:r>
        <w:rPr>
          <w:rStyle w:val="12"/>
          <w:rFonts w:hint="eastAsia" w:ascii="仿宋" w:eastAsia="仿宋"/>
          <w:bCs/>
          <w:sz w:val="32"/>
          <w:szCs w:val="32"/>
        </w:rPr>
        <w:t>4.卫生健康支出（类）行政事业单位医疗（款）行政单位医疗（项）</w:t>
      </w:r>
      <w:r>
        <w:rPr>
          <w:rStyle w:val="12"/>
          <w:rFonts w:ascii="仿宋" w:eastAsia="仿宋"/>
          <w:bCs/>
          <w:sz w:val="32"/>
          <w:szCs w:val="32"/>
        </w:rPr>
        <w:t>:</w:t>
      </w:r>
      <w:r>
        <w:rPr>
          <w:rStyle w:val="12"/>
          <w:rFonts w:hint="eastAsia" w:ascii="仿宋" w:eastAsia="仿宋"/>
          <w:b w:val="0"/>
          <w:bCs/>
          <w:sz w:val="32"/>
          <w:szCs w:val="32"/>
        </w:rPr>
        <w:t>支出决算为6.89万元，完成预算100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ind w:firstLine="643" w:firstLineChars="200"/>
        <w:rPr>
          <w:rFonts w:ascii="仿宋" w:eastAsia="仿宋"/>
          <w:sz w:val="32"/>
          <w:szCs w:val="32"/>
        </w:rPr>
      </w:pPr>
      <w:r>
        <w:rPr>
          <w:rStyle w:val="12"/>
          <w:rFonts w:hint="eastAsia" w:ascii="仿宋" w:eastAsia="仿宋"/>
          <w:bCs/>
          <w:sz w:val="32"/>
          <w:szCs w:val="32"/>
        </w:rPr>
        <w:t>5.卫生健康支出（类）行政事业单位医疗（款）公务员医疗补助（项）</w:t>
      </w:r>
      <w:r>
        <w:rPr>
          <w:rStyle w:val="12"/>
          <w:rFonts w:ascii="仿宋" w:eastAsia="仿宋"/>
          <w:bCs/>
          <w:sz w:val="32"/>
          <w:szCs w:val="32"/>
        </w:rPr>
        <w:t>:</w:t>
      </w:r>
      <w:r>
        <w:rPr>
          <w:rStyle w:val="12"/>
          <w:rFonts w:hint="eastAsia" w:ascii="仿宋" w:eastAsia="仿宋"/>
          <w:b w:val="0"/>
          <w:bCs/>
          <w:sz w:val="32"/>
          <w:szCs w:val="32"/>
        </w:rPr>
        <w:t>支出决算为2.39万元，完成预算100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ind w:firstLine="643" w:firstLineChars="200"/>
        <w:rPr>
          <w:rStyle w:val="12"/>
          <w:rFonts w:ascii="仿宋" w:eastAsia="仿宋"/>
          <w:bCs/>
          <w:sz w:val="32"/>
          <w:szCs w:val="32"/>
        </w:rPr>
      </w:pPr>
      <w:r>
        <w:rPr>
          <w:rStyle w:val="12"/>
          <w:rFonts w:hint="eastAsia" w:ascii="仿宋" w:eastAsia="仿宋"/>
          <w:bCs/>
          <w:sz w:val="32"/>
          <w:szCs w:val="32"/>
        </w:rPr>
        <w:t>6.住房保障（类）住房改革支出（款）住房公积金（项）：</w:t>
      </w:r>
      <w:r>
        <w:rPr>
          <w:rStyle w:val="12"/>
          <w:rFonts w:hint="eastAsia" w:ascii="仿宋" w:eastAsia="仿宋"/>
          <w:b w:val="0"/>
          <w:bCs/>
          <w:sz w:val="32"/>
          <w:szCs w:val="32"/>
        </w:rPr>
        <w:t>支出决算为16.01万元，完成预算100</w:t>
      </w:r>
      <w:r>
        <w:rPr>
          <w:rStyle w:val="12"/>
          <w:rFonts w:ascii="仿宋" w:eastAsia="仿宋"/>
          <w:b w:val="0"/>
          <w:bCs/>
          <w:sz w:val="32"/>
          <w:szCs w:val="32"/>
        </w:rPr>
        <w:t>%</w:t>
      </w:r>
      <w:r>
        <w:rPr>
          <w:rStyle w:val="12"/>
          <w:rFonts w:hint="eastAsia" w:ascii="仿宋" w:eastAsia="仿宋"/>
          <w:b w:val="0"/>
          <w:bCs/>
          <w:sz w:val="32"/>
          <w:szCs w:val="32"/>
        </w:rPr>
        <w:t>。</w:t>
      </w:r>
    </w:p>
    <w:p>
      <w:pPr>
        <w:spacing w:line="600" w:lineRule="exact"/>
        <w:outlineLvl w:val="2"/>
        <w:rPr>
          <w:rStyle w:val="15"/>
        </w:rPr>
      </w:pPr>
      <w:bookmarkStart w:id="67" w:name="_Toc12667"/>
      <w:r>
        <w:rPr>
          <w:rStyle w:val="15"/>
          <w:rFonts w:hint="eastAsia" w:ascii="黑体" w:eastAsia="黑体"/>
          <w:b w:val="0"/>
        </w:rPr>
        <w:t>六、</w:t>
      </w:r>
      <w:r>
        <w:rPr>
          <w:rStyle w:val="15"/>
          <w:rFonts w:hint="eastAsia" w:ascii="黑体" w:eastAsia="黑体"/>
        </w:rPr>
        <w:t>一般公共预算财政拨款基本支出决算情况说明</w:t>
      </w:r>
      <w:bookmarkEnd w:id="64"/>
      <w:bookmarkEnd w:id="65"/>
      <w:r>
        <w:rPr>
          <w:rStyle w:val="15"/>
          <w:rFonts w:hint="eastAsia" w:ascii="黑体" w:eastAsia="黑体"/>
        </w:rPr>
        <w:tab/>
      </w:r>
    </w:p>
    <w:bookmarkEnd w:id="66"/>
    <w:bookmarkEnd w:id="67"/>
    <w:p>
      <w:pPr>
        <w:spacing w:line="600" w:lineRule="exact"/>
        <w:ind w:firstLine="645"/>
        <w:rPr>
          <w:rFonts w:ascii="仿宋" w:eastAsia="仿宋"/>
          <w:color w:val="000000"/>
          <w:sz w:val="32"/>
          <w:szCs w:val="32"/>
        </w:rPr>
      </w:pPr>
      <w:bookmarkStart w:id="68" w:name="_Toc15377215"/>
      <w:bookmarkStart w:id="69" w:name="_Toc15396609"/>
      <w:bookmarkStart w:id="70" w:name="_Toc16788"/>
      <w:r>
        <w:rPr>
          <w:rFonts w:hint="eastAsia" w:ascii="仿宋" w:eastAsia="仿宋"/>
          <w:color w:val="000000"/>
          <w:sz w:val="32"/>
          <w:szCs w:val="32"/>
        </w:rPr>
        <w:t>2021年一般公共预算财政拨款基本支出215.98万元，其中：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202.27万元，主要包括：基本工资39.63万元、津贴补贴56.12万元、奖金3.08万元、伙食补助费0万元、机关事业单位基本养老保险缴费15.46万元、职业年金缴费7.73万元、职工基本医疗保险缴费6.89万元、公务员医疗补助缴费2.39万元、其他社会保障缴费1.39万元、其他工资福利支出0万元、生活补助0.10万元、抚恤金0万元、住房公积金16.01万元、奖励金53.48万元、其他对个人和家庭的补助支出0万元等。</w:t>
      </w:r>
      <w:r>
        <w:rPr>
          <w:rFonts w:ascii="仿宋" w:eastAsia="仿宋"/>
          <w:color w:val="000000"/>
          <w:sz w:val="32"/>
          <w:szCs w:val="32"/>
        </w:rPr>
        <w:br w:type="textWrapping"/>
      </w:r>
      <w:r>
        <w:rPr>
          <w:rFonts w:hint="eastAsia" w:ascii="仿宋" w:eastAsia="仿宋"/>
          <w:color w:val="000000"/>
          <w:sz w:val="32"/>
          <w:szCs w:val="32"/>
        </w:rPr>
        <w:t>　　公用经费13.72万元，主要包括：办公费2.29万元、手续费0万元、印刷费0.30万元、水费0.10万元、电费0.30万元、邮电费0.47万元、物业管理费0万元、差旅费4.21万元、因公出国（境）费用0万元、维修（护）费0万元、租赁费0万元、会议费0万元、培训费0万元、公务接待费0.20万元、福利费0.98万元、公务用车运行维护费0万元、其他交通费用4.07万元、其他商品和服务支出0万元、办公设备购置0.80万元、无形资产购置0万元等。</w:t>
      </w:r>
    </w:p>
    <w:p>
      <w:pPr>
        <w:spacing w:line="600" w:lineRule="exact"/>
        <w:ind w:firstLine="640" w:firstLineChars="200"/>
        <w:outlineLvl w:val="1"/>
        <w:rPr>
          <w:rStyle w:val="15"/>
          <w:rFonts w:ascii="黑体" w:eastAsia="黑体"/>
          <w:b w:val="0"/>
        </w:rPr>
      </w:pPr>
      <w:bookmarkStart w:id="71" w:name="_Toc25366"/>
      <w:r>
        <w:rPr>
          <w:rStyle w:val="15"/>
          <w:rFonts w:hint="eastAsia" w:ascii="黑体" w:eastAsia="黑体"/>
          <w:b w:val="0"/>
        </w:rPr>
        <w:t>七、</w:t>
      </w:r>
      <w:r>
        <w:rPr>
          <w:rStyle w:val="15"/>
          <w:rFonts w:hint="eastAsia" w:ascii="黑体" w:eastAsia="黑体"/>
        </w:rPr>
        <w:t>“</w:t>
      </w:r>
      <w:r>
        <w:rPr>
          <w:rStyle w:val="15"/>
          <w:rFonts w:hint="eastAsia" w:ascii="黑体" w:eastAsia="黑体"/>
          <w:b w:val="0"/>
        </w:rPr>
        <w:t>三公”经费财政拨款支出决算情况说明</w:t>
      </w:r>
      <w:bookmarkEnd w:id="68"/>
      <w:bookmarkEnd w:id="69"/>
    </w:p>
    <w:bookmarkEnd w:id="70"/>
    <w:bookmarkEnd w:id="71"/>
    <w:p>
      <w:pPr>
        <w:spacing w:line="600" w:lineRule="exact"/>
        <w:ind w:firstLine="640"/>
        <w:outlineLvl w:val="2"/>
        <w:rPr>
          <w:rFonts w:ascii="仿宋" w:eastAsia="仿宋"/>
          <w:b/>
          <w:color w:val="000000"/>
          <w:sz w:val="32"/>
          <w:szCs w:val="32"/>
        </w:rPr>
      </w:pPr>
      <w:bookmarkStart w:id="72" w:name="_Toc15377216"/>
      <w:r>
        <w:rPr>
          <w:rFonts w:hint="eastAsia" w:ascii="仿宋" w:eastAsia="仿宋"/>
          <w:b/>
          <w:color w:val="000000"/>
          <w:sz w:val="32"/>
          <w:szCs w:val="32"/>
        </w:rPr>
        <w:t>（一）“三公”经费财政拨款支出决算总体情况说明</w:t>
      </w:r>
      <w:bookmarkEnd w:id="72"/>
    </w:p>
    <w:p>
      <w:pPr>
        <w:spacing w:line="600" w:lineRule="exact"/>
        <w:ind w:firstLine="640"/>
        <w:rPr>
          <w:rFonts w:ascii="仿宋" w:eastAsia="仿宋"/>
          <w:color w:val="000000"/>
          <w:sz w:val="32"/>
          <w:szCs w:val="32"/>
        </w:rPr>
      </w:pPr>
      <w:bookmarkStart w:id="73" w:name="_Toc15377217"/>
      <w:r>
        <w:rPr>
          <w:rFonts w:hint="eastAsia" w:ascii="仿宋" w:eastAsia="仿宋"/>
          <w:color w:val="000000"/>
          <w:sz w:val="32"/>
          <w:szCs w:val="32"/>
        </w:rPr>
        <w:t>2021年“三公”经费财政拨款支出决算为0.20万元，完成预算95.24</w:t>
      </w:r>
      <w:r>
        <w:rPr>
          <w:rFonts w:ascii="仿宋" w:eastAsia="仿宋"/>
          <w:color w:val="000000"/>
          <w:sz w:val="32"/>
          <w:szCs w:val="32"/>
        </w:rPr>
        <w:t>%</w:t>
      </w:r>
      <w:r>
        <w:rPr>
          <w:rFonts w:hint="eastAsia" w:ascii="仿宋" w:eastAsia="仿宋"/>
          <w:color w:val="000000"/>
          <w:sz w:val="32"/>
          <w:szCs w:val="32"/>
        </w:rPr>
        <w:t>，决算数小于预算数，原因是节约开支。</w:t>
      </w:r>
    </w:p>
    <w:p>
      <w:pPr>
        <w:spacing w:line="600" w:lineRule="exact"/>
        <w:ind w:firstLine="640"/>
        <w:outlineLvl w:val="2"/>
        <w:rPr>
          <w:rFonts w:ascii="仿宋" w:eastAsia="仿宋"/>
          <w:b/>
          <w:color w:val="000000"/>
          <w:sz w:val="32"/>
          <w:szCs w:val="32"/>
        </w:rPr>
      </w:pPr>
      <w:r>
        <w:rPr>
          <w:rFonts w:hint="eastAsia" w:ascii="仿宋" w:eastAsia="仿宋"/>
          <w:b/>
          <w:color w:val="000000"/>
          <w:sz w:val="32"/>
          <w:szCs w:val="32"/>
        </w:rPr>
        <w:t>（二）“三公”经费财政拨款支出决算具体情况说明</w:t>
      </w:r>
      <w:bookmarkEnd w:id="73"/>
    </w:p>
    <w:p>
      <w:pPr>
        <w:spacing w:line="600" w:lineRule="exact"/>
        <w:ind w:firstLine="640"/>
        <w:rPr>
          <w:rFonts w:ascii="仿宋" w:eastAsia="仿宋"/>
          <w:color w:val="000000"/>
          <w:sz w:val="32"/>
          <w:szCs w:val="32"/>
        </w:rPr>
      </w:pPr>
      <w:r>
        <w:rPr>
          <w:rFonts w:hint="eastAsia" w:ascii="仿宋" w:eastAsia="仿宋"/>
          <w:color w:val="000000"/>
          <w:sz w:val="32"/>
          <w:szCs w:val="32"/>
        </w:rPr>
        <w:t>2021年“三公”经费财政拨款支出</w:t>
      </w:r>
      <w:r>
        <w:rPr>
          <w:rFonts w:hint="eastAsia" w:ascii="仿宋" w:eastAsia="仿宋"/>
          <w:sz w:val="32"/>
          <w:szCs w:val="32"/>
        </w:rPr>
        <w:t>决算0.20万元</w:t>
      </w:r>
      <w:r>
        <w:rPr>
          <w:rFonts w:hint="eastAsia" w:ascii="仿宋" w:eastAsia="仿宋"/>
          <w:color w:val="000000"/>
          <w:sz w:val="32"/>
          <w:szCs w:val="32"/>
        </w:rPr>
        <w:t>，其中：因公出国（境）费支出决算0万元，占0；公务用车购置及运行维护费支出决算0万元，占0；公务接待费支出决算0.20万元，占100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r>
        <w:drawing>
          <wp:anchor distT="0" distB="0" distL="114300" distR="114300" simplePos="0" relativeHeight="251659264" behindDoc="0" locked="0" layoutInCell="1" allowOverlap="1">
            <wp:simplePos x="0" y="0"/>
            <wp:positionH relativeFrom="column">
              <wp:posOffset>227330</wp:posOffset>
            </wp:positionH>
            <wp:positionV relativeFrom="paragraph">
              <wp:posOffset>72390</wp:posOffset>
            </wp:positionV>
            <wp:extent cx="4683760" cy="2638425"/>
            <wp:effectExtent l="0" t="0" r="2540" b="9525"/>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2" cstate="print"/>
                    <a:stretch>
                      <a:fillRect/>
                    </a:stretch>
                  </pic:blipFill>
                  <pic:spPr>
                    <a:xfrm>
                      <a:off x="0" y="0"/>
                      <a:ext cx="4683760" cy="2638425"/>
                    </a:xfrm>
                    <a:prstGeom prst="rect">
                      <a:avLst/>
                    </a:prstGeom>
                    <a:noFill/>
                    <a:ln>
                      <a:noFill/>
                    </a:ln>
                  </pic:spPr>
                </pic:pic>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 w:eastAsia="仿宋"/>
          <w:color w:val="000000"/>
          <w:sz w:val="32"/>
          <w:szCs w:val="32"/>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2"/>
          <w:rFonts w:hint="eastAsia" w:ascii="仿宋" w:eastAsia="仿宋"/>
          <w:b w:val="0"/>
          <w:bCs/>
          <w:color w:val="000000"/>
          <w:sz w:val="32"/>
          <w:szCs w:val="32"/>
        </w:rPr>
        <w:t>完成预算0。</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公出国（境）支出决算比2019年</w:t>
      </w:r>
      <w:r>
        <w:rPr>
          <w:rFonts w:hint="eastAsia" w:ascii="仿宋_GB2312" w:eastAsia="仿宋_GB2312" w:cs="仿宋"/>
          <w:color w:val="000000"/>
          <w:sz w:val="32"/>
          <w:szCs w:val="32"/>
        </w:rPr>
        <w:t>增加0万元。</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0万元,</w:t>
      </w:r>
      <w:r>
        <w:rPr>
          <w:rStyle w:val="12"/>
          <w:rFonts w:hint="eastAsia" w:ascii="仿宋" w:eastAsia="仿宋"/>
          <w:b w:val="0"/>
          <w:bCs/>
          <w:color w:val="000000"/>
          <w:sz w:val="32"/>
          <w:szCs w:val="32"/>
        </w:rPr>
        <w:t>完成预算0。</w:t>
      </w:r>
      <w:r>
        <w:rPr>
          <w:rFonts w:hint="eastAsia" w:ascii="仿宋_GB2312" w:eastAsia="仿宋_GB2312"/>
          <w:color w:val="000000"/>
          <w:sz w:val="32"/>
          <w:szCs w:val="32"/>
        </w:rPr>
        <w:t>公务用车购置及运行维护费支出决算比2020年增加0万元，</w:t>
      </w:r>
      <w:r>
        <w:rPr>
          <w:rFonts w:hint="eastAsia" w:ascii="仿宋_GB2312" w:eastAsia="仿宋_GB2312"/>
          <w:sz w:val="32"/>
          <w:szCs w:val="32"/>
        </w:rPr>
        <w:t>上升0。</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日，共有车辆0辆，其中：部级领导干部用车0辆、主要领导干部用车0辆、机要通信用车0辆、应急保障用车0辆、执法执勤用车0辆、特种专业技术用车0辆、离退休干部用车0辆、其他用车0辆；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0万元。</w:t>
      </w:r>
    </w:p>
    <w:p>
      <w:pPr>
        <w:numPr>
          <w:ilvl w:val="0"/>
          <w:numId w:val="1"/>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0.20万元，</w:t>
      </w:r>
      <w:bookmarkStart w:id="74" w:name="_Toc15377218"/>
      <w:bookmarkStart w:id="75" w:name="_Toc15396610"/>
      <w:bookmarkStart w:id="76" w:name="_Toc6869"/>
      <w:r>
        <w:rPr>
          <w:rStyle w:val="12"/>
          <w:rFonts w:hint="eastAsia" w:ascii="仿宋" w:eastAsia="仿宋"/>
          <w:b w:val="0"/>
          <w:bCs/>
          <w:color w:val="000000"/>
          <w:sz w:val="32"/>
          <w:szCs w:val="32"/>
        </w:rPr>
        <w:t>完成预算</w:t>
      </w:r>
      <w:r>
        <w:rPr>
          <w:rFonts w:hint="eastAsia" w:ascii="仿宋" w:eastAsia="仿宋"/>
          <w:color w:val="000000"/>
          <w:sz w:val="32"/>
          <w:szCs w:val="32"/>
        </w:rPr>
        <w:t>95.24</w:t>
      </w:r>
      <w:r>
        <w:rPr>
          <w:rFonts w:ascii="仿宋" w:eastAsia="仿宋"/>
          <w:color w:val="000000"/>
          <w:sz w:val="32"/>
          <w:szCs w:val="32"/>
        </w:rPr>
        <w:t>%</w:t>
      </w:r>
      <w:r>
        <w:rPr>
          <w:rFonts w:hint="eastAsia" w:ascii="仿宋" w:eastAsia="仿宋"/>
          <w:color w:val="000000"/>
          <w:sz w:val="32"/>
          <w:szCs w:val="32"/>
        </w:rPr>
        <w:t>，原因是节约开支。</w:t>
      </w:r>
      <w:r>
        <w:rPr>
          <w:rFonts w:hint="eastAsia" w:ascii="仿宋_GB2312" w:eastAsia="仿宋_GB2312" w:cs="仿宋"/>
          <w:color w:val="000000"/>
          <w:sz w:val="32"/>
          <w:szCs w:val="32"/>
        </w:rPr>
        <w:t>公务接待费0.20万元，较往年减少0.03万元，减少11.30%，</w:t>
      </w:r>
      <w:r>
        <w:rPr>
          <w:rFonts w:hint="eastAsia" w:ascii="仿宋" w:eastAsia="仿宋"/>
          <w:color w:val="000000"/>
          <w:sz w:val="32"/>
          <w:szCs w:val="32"/>
        </w:rPr>
        <w:t>原因是节约开支</w:t>
      </w:r>
      <w:r>
        <w:rPr>
          <w:rFonts w:hint="eastAsia" w:ascii="仿宋_GB2312" w:eastAsia="仿宋_GB2312" w:cs="仿宋"/>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国内公务接待2批次，8人次，共计支出0.20万元。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numPr>
          <w:ilvl w:val="0"/>
          <w:numId w:val="1"/>
        </w:numPr>
        <w:spacing w:line="600" w:lineRule="exact"/>
        <w:ind w:firstLine="640"/>
        <w:rPr>
          <w:rStyle w:val="15"/>
          <w:rFonts w:ascii="黑体" w:eastAsia="黑体"/>
        </w:rPr>
      </w:pPr>
      <w:bookmarkStart w:id="77" w:name="_Toc2621"/>
      <w:r>
        <w:rPr>
          <w:rStyle w:val="15"/>
          <w:rFonts w:hint="eastAsia" w:ascii="黑体" w:eastAsia="黑体"/>
          <w:b w:val="0"/>
        </w:rPr>
        <w:t>八、政府性基金预算支出决算情况说明</w:t>
      </w:r>
      <w:bookmarkEnd w:id="74"/>
      <w:bookmarkEnd w:id="75"/>
    </w:p>
    <w:bookmarkEnd w:id="76"/>
    <w:bookmarkEnd w:id="77"/>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2021年政府性基金预算拨款支出0万元。</w:t>
      </w:r>
    </w:p>
    <w:p>
      <w:pPr>
        <w:numPr>
          <w:ilvl w:val="0"/>
          <w:numId w:val="2"/>
        </w:numPr>
        <w:spacing w:line="600" w:lineRule="exact"/>
        <w:ind w:firstLine="640"/>
        <w:outlineLvl w:val="1"/>
        <w:rPr>
          <w:rStyle w:val="15"/>
          <w:rFonts w:ascii="黑体" w:eastAsia="黑体"/>
          <w:b w:val="0"/>
        </w:rPr>
      </w:pPr>
      <w:bookmarkStart w:id="78" w:name="_Toc15396611"/>
      <w:bookmarkStart w:id="79" w:name="_Toc15377219"/>
      <w:bookmarkStart w:id="80" w:name="_Toc7893"/>
      <w:bookmarkStart w:id="81" w:name="_Toc7158"/>
      <w:r>
        <w:rPr>
          <w:rStyle w:val="15"/>
          <w:rFonts w:hint="eastAsia" w:ascii="黑体" w:eastAsia="黑体"/>
          <w:b w:val="0"/>
        </w:rPr>
        <w:t>国有资本经营预算支出决算情况说明</w:t>
      </w:r>
      <w:bookmarkEnd w:id="78"/>
      <w:bookmarkEnd w:id="79"/>
    </w:p>
    <w:bookmarkEnd w:id="80"/>
    <w:bookmarkEnd w:id="81"/>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2021年国有资本经营预算拨款支出0万元。</w:t>
      </w:r>
    </w:p>
    <w:p>
      <w:pPr>
        <w:pStyle w:val="16"/>
        <w:numPr>
          <w:ilvl w:val="0"/>
          <w:numId w:val="3"/>
        </w:numPr>
        <w:spacing w:line="580" w:lineRule="exact"/>
        <w:ind w:firstLineChars="0"/>
        <w:rPr>
          <w:rStyle w:val="15"/>
          <w:rFonts w:ascii="黑体" w:eastAsia="黑体"/>
          <w:b w:val="0"/>
        </w:rPr>
      </w:pPr>
      <w:bookmarkStart w:id="82" w:name="_Toc18713"/>
      <w:bookmarkStart w:id="83" w:name="_Toc11163"/>
      <w:r>
        <w:rPr>
          <w:rStyle w:val="15"/>
          <w:rFonts w:hint="eastAsia" w:ascii="黑体" w:eastAsia="黑体"/>
          <w:b w:val="0"/>
        </w:rPr>
        <w:t>预算绩效情况说明</w:t>
      </w:r>
    </w:p>
    <w:bookmarkEnd w:id="82"/>
    <w:bookmarkEnd w:id="83"/>
    <w:p>
      <w:pPr>
        <w:numPr>
          <w:ilvl w:val="0"/>
          <w:numId w:val="4"/>
        </w:numPr>
        <w:spacing w:line="580" w:lineRule="exact"/>
        <w:ind w:firstLine="643" w:firstLineChars="200"/>
        <w:rPr>
          <w:rFonts w:ascii="Calibri" w:hAnsi="Calibri"/>
        </w:rPr>
      </w:pPr>
      <w:r>
        <w:rPr>
          <w:rFonts w:hint="eastAsia" w:ascii="仿宋" w:eastAsia="仿宋" w:cs="楷体_GB2312"/>
          <w:b/>
          <w:bCs/>
          <w:sz w:val="32"/>
          <w:szCs w:val="32"/>
        </w:rPr>
        <w:t>预算绩效管理工作开展情况。</w:t>
      </w:r>
    </w:p>
    <w:p>
      <w:pPr>
        <w:rPr>
          <w:rFonts w:ascii="Calibri" w:hAnsi="Calibri" w:eastAsia="仿宋_GB2312"/>
        </w:rPr>
      </w:pPr>
      <w:r>
        <w:rPr>
          <w:rFonts w:hint="eastAsia" w:ascii="仿宋_GB2312" w:eastAsia="仿宋_GB2312" w:cs="仿宋_GB2312"/>
          <w:sz w:val="32"/>
          <w:szCs w:val="32"/>
        </w:rPr>
        <w:t>　　根据预算绩效管理要求，我单位在年初预算编制阶段，开展了预算事前绩效评估，编制了部门整体绩效目标。</w:t>
      </w:r>
    </w:p>
    <w:p>
      <w:pPr>
        <w:numPr>
          <w:ilvl w:val="0"/>
          <w:numId w:val="4"/>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本部门按要求对2021年部门整体支出绩效评价情况开展自评，</w:t>
      </w:r>
      <w:r>
        <w:rPr>
          <w:rFonts w:hint="eastAsia" w:ascii="仿宋_GB2312" w:eastAsia="仿宋_GB2312"/>
          <w:sz w:val="32"/>
          <w:szCs w:val="32"/>
        </w:rPr>
        <w:t>《中共金川县委机构编制委员会办公室2021年部门预算整体支出绩效评价报告》</w:t>
      </w:r>
      <w:r>
        <w:rPr>
          <w:rFonts w:hint="eastAsia" w:ascii="仿宋_GB2312" w:eastAsia="仿宋_GB2312" w:cs="仿宋_GB2312"/>
          <w:sz w:val="32"/>
          <w:szCs w:val="32"/>
        </w:rPr>
        <w:t>见附件。</w:t>
      </w:r>
    </w:p>
    <w:p>
      <w:pPr>
        <w:pStyle w:val="16"/>
        <w:numPr>
          <w:ilvl w:val="0"/>
          <w:numId w:val="3"/>
        </w:numPr>
        <w:spacing w:line="580" w:lineRule="exact"/>
        <w:ind w:firstLineChars="0"/>
        <w:rPr>
          <w:rStyle w:val="15"/>
          <w:rFonts w:ascii="黑体" w:eastAsia="黑体"/>
        </w:rPr>
      </w:pPr>
      <w:bookmarkStart w:id="84" w:name="_Toc15377221"/>
      <w:bookmarkStart w:id="85" w:name="_Toc15396612"/>
      <w:bookmarkStart w:id="86" w:name="_Toc16278"/>
      <w:r>
        <w:rPr>
          <w:rStyle w:val="15"/>
          <w:rFonts w:hint="eastAsia" w:ascii="黑体" w:eastAsia="黑体"/>
          <w:b w:val="0"/>
        </w:rPr>
        <w:t>其他重要事项的情况说明</w:t>
      </w:r>
      <w:bookmarkEnd w:id="84"/>
      <w:bookmarkEnd w:id="85"/>
    </w:p>
    <w:bookmarkEnd w:id="86"/>
    <w:p>
      <w:pPr>
        <w:spacing w:line="600" w:lineRule="exact"/>
        <w:ind w:firstLine="643" w:firstLineChars="200"/>
        <w:outlineLvl w:val="2"/>
        <w:rPr>
          <w:rFonts w:ascii="仿宋" w:eastAsia="仿宋"/>
          <w:color w:val="000000"/>
          <w:sz w:val="32"/>
          <w:szCs w:val="32"/>
        </w:rPr>
      </w:pPr>
      <w:bookmarkStart w:id="87" w:name="_Toc15377222"/>
      <w:r>
        <w:rPr>
          <w:rFonts w:hint="eastAsia" w:ascii="仿宋" w:eastAsia="仿宋"/>
          <w:b/>
          <w:color w:val="000000"/>
          <w:sz w:val="32"/>
          <w:szCs w:val="32"/>
        </w:rPr>
        <w:t>（一）机关运行经费支出情况</w:t>
      </w:r>
      <w:bookmarkEnd w:id="87"/>
    </w:p>
    <w:p>
      <w:pPr>
        <w:spacing w:line="600" w:lineRule="exact"/>
        <w:ind w:firstLine="640" w:firstLineChars="200"/>
        <w:rPr>
          <w:rFonts w:ascii="仿宋_GB2312" w:eastAsia="仿宋_GB2312"/>
          <w:sz w:val="32"/>
          <w:szCs w:val="32"/>
        </w:rPr>
      </w:pPr>
      <w:bookmarkStart w:id="88" w:name="_Toc15377223"/>
      <w:r>
        <w:rPr>
          <w:rFonts w:hint="eastAsia" w:ascii="仿宋_GB2312" w:eastAsia="仿宋_GB2312"/>
          <w:color w:val="000000"/>
          <w:sz w:val="32"/>
          <w:szCs w:val="32"/>
        </w:rPr>
        <w:t>2021年，县委编办运行经费支出13.72万元，比2020年减少0.08万元，减少0.60</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主要原因是人员减少。</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bookmarkEnd w:id="88"/>
    </w:p>
    <w:p>
      <w:pPr>
        <w:spacing w:line="600" w:lineRule="exact"/>
        <w:ind w:firstLine="640" w:firstLineChars="200"/>
        <w:rPr>
          <w:rFonts w:ascii="仿宋" w:eastAsia="仿宋"/>
          <w:b/>
          <w:sz w:val="32"/>
          <w:szCs w:val="32"/>
        </w:rPr>
      </w:pPr>
      <w:r>
        <w:rPr>
          <w:rFonts w:hint="eastAsia" w:ascii="仿宋_GB2312" w:eastAsia="仿宋_GB2312"/>
          <w:color w:val="000000"/>
          <w:sz w:val="32"/>
          <w:szCs w:val="32"/>
        </w:rPr>
        <w:t>2021年，政府采购支出总额0万元，其中：政府采购货物支出0万元、政府采购服务支出0万元。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89" w:name="_Toc15377224"/>
      <w:r>
        <w:rPr>
          <w:rFonts w:hint="eastAsia" w:ascii="仿宋" w:eastAsia="仿宋"/>
          <w:b/>
          <w:color w:val="000000"/>
          <w:sz w:val="32"/>
          <w:szCs w:val="32"/>
        </w:rPr>
        <w:t>（三）国有资产占有使用情况</w:t>
      </w:r>
      <w:bookmarkEnd w:id="89"/>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w:t>
      </w:r>
      <w:r>
        <w:rPr>
          <w:rFonts w:hint="eastAsia" w:ascii="仿宋_GB2312" w:eastAsia="仿宋_GB2312"/>
          <w:b/>
          <w:color w:val="000000"/>
          <w:sz w:val="32"/>
          <w:szCs w:val="32"/>
        </w:rPr>
        <w:t xml:space="preserve">    </w:t>
      </w:r>
    </w:p>
    <w:p>
      <w:pPr>
        <w:numPr>
          <w:ilvl w:val="0"/>
          <w:numId w:val="5"/>
        </w:numPr>
        <w:spacing w:line="600" w:lineRule="exact"/>
        <w:ind w:firstLine="660" w:firstLineChars="150"/>
        <w:jc w:val="center"/>
        <w:outlineLvl w:val="0"/>
        <w:rPr>
          <w:rStyle w:val="14"/>
          <w:rFonts w:ascii="黑体" w:eastAsia="黑体"/>
          <w:b w:val="0"/>
        </w:rPr>
      </w:pPr>
      <w:bookmarkStart w:id="90" w:name="_Toc15396613"/>
      <w:bookmarkStart w:id="91" w:name="_Toc15377225"/>
      <w:bookmarkStart w:id="92" w:name="_Toc13298"/>
      <w:r>
        <w:rPr>
          <w:rStyle w:val="14"/>
          <w:rFonts w:hint="eastAsia" w:ascii="黑体" w:eastAsia="黑体" w:hAnsiTheme="minorHAnsi" w:cstheme="minorBidi"/>
          <w:b w:val="0"/>
        </w:rPr>
        <w:t>名词</w:t>
      </w:r>
      <w:r>
        <w:rPr>
          <w:rStyle w:val="14"/>
          <w:rFonts w:hint="eastAsia" w:ascii="黑体" w:eastAsia="黑体"/>
          <w:b w:val="0"/>
        </w:rPr>
        <w:t>解释</w:t>
      </w:r>
      <w:bookmarkEnd w:id="90"/>
      <w:bookmarkEnd w:id="91"/>
    </w:p>
    <w:bookmarkEnd w:id="92"/>
    <w:p>
      <w:pPr>
        <w:pStyle w:val="1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7"/>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17"/>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一般公共服务支出（类）人力资源事务（款）行政运行（项）：指行政单位的基本支出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11.卫生健康支出（类）公共卫生（款）突发公共卫生事件应急处理（项）：反映用于突发公共卫生事件应急处理的支出。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卫生健康支出（类）行政事业单位医疗（款）行政单位医疗（项）：指反映职工缴纳的基本医疗保险费。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卫生健康支出（类）行政事业单位医疗（款）公务员医疗补助（项）：指按规定可享受公务员医疗补助单位为职工缴纳的公务员医疗补助费。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7"/>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93" w:name="_Toc15396614"/>
      <w:bookmarkStart w:id="94"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ascii="黑体" w:eastAsia="黑体"/>
          <w:color w:val="000000"/>
          <w:sz w:val="44"/>
          <w:szCs w:val="44"/>
        </w:rPr>
      </w:pPr>
      <w:r>
        <w:rPr>
          <w:rFonts w:hint="eastAsia" w:ascii="黑体" w:eastAsia="黑体"/>
          <w:color w:val="000000"/>
          <w:sz w:val="44"/>
          <w:szCs w:val="44"/>
        </w:rPr>
        <w:t>　</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numPr>
          <w:ilvl w:val="0"/>
          <w:numId w:val="5"/>
        </w:numPr>
        <w:spacing w:line="600" w:lineRule="exact"/>
        <w:ind w:firstLine="660" w:firstLineChars="150"/>
        <w:jc w:val="center"/>
        <w:outlineLvl w:val="0"/>
        <w:rPr>
          <w:rStyle w:val="14"/>
          <w:rFonts w:ascii="黑体" w:eastAsia="黑体"/>
          <w:b w:val="0"/>
        </w:rPr>
      </w:pPr>
      <w:bookmarkStart w:id="95" w:name="_Toc26713"/>
      <w:bookmarkStart w:id="96" w:name="_Toc20341"/>
      <w:r>
        <w:rPr>
          <w:rStyle w:val="14"/>
          <w:rFonts w:hint="eastAsia" w:ascii="黑体" w:eastAsia="黑体"/>
          <w:b w:val="0"/>
        </w:rPr>
        <w:t>部门整体支出绩效报告</w:t>
      </w:r>
      <w:bookmarkEnd w:id="93"/>
    </w:p>
    <w:bookmarkEnd w:id="95"/>
    <w:p>
      <w:pPr>
        <w:tabs>
          <w:tab w:val="left" w:pos="0"/>
        </w:tabs>
        <w:spacing w:line="600" w:lineRule="exact"/>
        <w:outlineLvl w:val="0"/>
        <w:rPr>
          <w:rStyle w:val="14"/>
          <w:rFonts w:ascii="黑体" w:eastAsia="黑体"/>
          <w:b w:val="0"/>
        </w:rPr>
      </w:pPr>
    </w:p>
    <w:bookmarkEnd w:id="96"/>
    <w:p>
      <w:pPr>
        <w:widowControl/>
        <w:spacing w:line="560" w:lineRule="exact"/>
        <w:jc w:val="left"/>
        <w:rPr>
          <w:rStyle w:val="14"/>
          <w:rFonts w:ascii="仿宋_GB2312" w:hAnsi="仿宋_GB2312" w:eastAsia="仿宋_GB2312" w:cs="仿宋_GB2312"/>
          <w:b w:val="0"/>
          <w:sz w:val="32"/>
          <w:szCs w:val="32"/>
        </w:rPr>
      </w:pPr>
      <w:bookmarkStart w:id="97" w:name="_Toc3041"/>
      <w:r>
        <w:rPr>
          <w:rStyle w:val="14"/>
          <w:rFonts w:hint="eastAsia" w:ascii="仿宋_GB2312" w:hAnsi="仿宋_GB2312" w:eastAsia="仿宋_GB2312" w:cs="仿宋_GB2312"/>
          <w:b w:val="0"/>
          <w:sz w:val="32"/>
          <w:szCs w:val="32"/>
        </w:rPr>
        <w:t>附件：202</w:t>
      </w:r>
      <w:r>
        <w:rPr>
          <w:rStyle w:val="14"/>
          <w:rFonts w:hint="eastAsia" w:ascii="仿宋_GB2312" w:hAnsi="仿宋_GB2312" w:eastAsia="仿宋_GB2312" w:cs="仿宋_GB2312"/>
          <w:b w:val="0"/>
          <w:sz w:val="32"/>
          <w:szCs w:val="32"/>
          <w:lang w:val="en-US" w:eastAsia="zh-CN"/>
        </w:rPr>
        <w:t>1</w:t>
      </w:r>
      <w:r>
        <w:rPr>
          <w:rStyle w:val="14"/>
          <w:rFonts w:hint="eastAsia" w:ascii="仿宋_GB2312" w:hAnsi="仿宋_GB2312" w:eastAsia="仿宋_GB2312" w:cs="仿宋_GB2312"/>
          <w:b w:val="0"/>
          <w:sz w:val="32"/>
          <w:szCs w:val="32"/>
        </w:rPr>
        <w:t>年部门整体支出绩效报告</w:t>
      </w:r>
    </w:p>
    <w:bookmarkEnd w:id="97"/>
    <w:p>
      <w:pPr>
        <w:outlineLvl w:val="0"/>
        <w:rPr>
          <w:rStyle w:val="14"/>
          <w:rFonts w:ascii="仿宋_GB2312" w:hAnsi="仿宋_GB2312" w:eastAsia="仿宋_GB2312" w:cs="仿宋_GB2312"/>
          <w:b w:val="0"/>
          <w:sz w:val="32"/>
          <w:szCs w:val="32"/>
        </w:rPr>
      </w:pPr>
    </w:p>
    <w:bookmarkEnd w:id="94"/>
    <w:p>
      <w:pPr>
        <w:widowControl/>
        <w:spacing w:line="560" w:lineRule="exact"/>
        <w:jc w:val="center"/>
        <w:rPr>
          <w:rFonts w:ascii="方正小标宋简体" w:hAnsi="宋体" w:eastAsia="方正小标宋简体" w:cs="方正小标宋简体"/>
          <w:sz w:val="36"/>
          <w:szCs w:val="36"/>
        </w:rPr>
      </w:pPr>
      <w:bookmarkStart w:id="98" w:name="_Toc15396619"/>
      <w:bookmarkStart w:id="99" w:name="_Toc15396618"/>
      <w:r>
        <w:rPr>
          <w:rFonts w:hint="eastAsia" w:ascii="方正小标宋简体" w:hAnsi="宋体" w:eastAsia="方正小标宋简体" w:cs="方正小标宋简体"/>
          <w:sz w:val="36"/>
          <w:szCs w:val="36"/>
        </w:rPr>
        <w:t>中共金川县委机构编制委员会办公室</w:t>
      </w:r>
    </w:p>
    <w:p>
      <w:pPr>
        <w:widowControl/>
        <w:spacing w:line="560" w:lineRule="exact"/>
        <w:jc w:val="center"/>
        <w:rPr>
          <w:rFonts w:ascii="方正小标宋简体" w:hAnsi="宋体" w:eastAsia="方正小标宋简体" w:cs="方正小标宋简体"/>
          <w:sz w:val="36"/>
          <w:szCs w:val="36"/>
        </w:rPr>
      </w:pPr>
      <w:r>
        <w:rPr>
          <w:rFonts w:hint="eastAsia" w:ascii="方正小标宋简体" w:hAnsi="宋体" w:eastAsia="方正小标宋简体" w:cs="方正小标宋简体"/>
          <w:sz w:val="36"/>
          <w:szCs w:val="36"/>
        </w:rPr>
        <w:t>202</w:t>
      </w:r>
      <w:r>
        <w:rPr>
          <w:rFonts w:hint="eastAsia" w:ascii="方正小标宋简体" w:hAnsi="宋体" w:eastAsia="方正小标宋简体" w:cs="方正小标宋简体"/>
          <w:sz w:val="36"/>
          <w:szCs w:val="36"/>
          <w:lang w:val="en-US" w:eastAsia="zh-CN"/>
        </w:rPr>
        <w:t>1</w:t>
      </w:r>
      <w:r>
        <w:rPr>
          <w:rFonts w:hint="eastAsia" w:ascii="方正小标宋简体" w:hAnsi="宋体" w:eastAsia="方正小标宋简体" w:cs="方正小标宋简体"/>
          <w:sz w:val="36"/>
          <w:szCs w:val="36"/>
        </w:rPr>
        <w:t>年部门整体支出绩效报告</w:t>
      </w:r>
    </w:p>
    <w:p>
      <w:pPr>
        <w:widowControl/>
        <w:spacing w:line="560" w:lineRule="exact"/>
        <w:jc w:val="center"/>
        <w:rPr>
          <w:rFonts w:ascii="方正小标宋简体" w:hAnsi="宋体" w:eastAsia="方正小标宋简体" w:cs="方正小标宋简体"/>
          <w:szCs w:val="44"/>
        </w:rPr>
      </w:pPr>
    </w:p>
    <w:p>
      <w:pPr>
        <w:snapToGrid w:val="0"/>
        <w:spacing w:line="56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bCs/>
          <w:color w:val="000000"/>
          <w:sz w:val="32"/>
          <w:szCs w:val="32"/>
          <w:lang w:val="en-US" w:eastAsia="zh-CN"/>
        </w:rPr>
        <w:t xml:space="preserve"> </w:t>
      </w:r>
      <w:r>
        <w:rPr>
          <w:rFonts w:hint="eastAsia" w:ascii="仿宋_GB2312" w:hAnsi="仿宋_GB2312" w:eastAsia="仿宋_GB2312" w:cs="仿宋_GB2312"/>
          <w:color w:val="000000"/>
          <w:kern w:val="0"/>
          <w:sz w:val="32"/>
          <w:szCs w:val="32"/>
          <w:lang w:val="zh-CN"/>
        </w:rPr>
        <w:t>根据《金川县财政局关于开展202</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年部门整体和项目支出绩效评价工作的通知》（金财监绩〔</w:t>
      </w:r>
      <w:r>
        <w:rPr>
          <w:rFonts w:hint="eastAsia" w:ascii="仿宋_GB2312" w:hAnsi="仿宋_GB2312" w:eastAsia="仿宋_GB2312" w:cs="仿宋_GB2312"/>
          <w:color w:val="000000"/>
          <w:kern w:val="0"/>
          <w:sz w:val="32"/>
          <w:szCs w:val="32"/>
          <w:lang w:val="en-US" w:eastAsia="zh-CN"/>
        </w:rPr>
        <w:t>2022</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22</w:t>
      </w:r>
      <w:r>
        <w:rPr>
          <w:rFonts w:hint="eastAsia" w:ascii="仿宋_GB2312" w:hAnsi="仿宋_GB2312" w:eastAsia="仿宋_GB2312" w:cs="仿宋_GB2312"/>
          <w:color w:val="000000"/>
          <w:kern w:val="0"/>
          <w:sz w:val="32"/>
          <w:szCs w:val="32"/>
          <w:lang w:val="zh-CN"/>
        </w:rPr>
        <w:t>号），为深入贯彻落实中央国务院和省政府关于全面实施预算绩效管理文件精神，按照财政部《项目支出绩效评价管理办法》（财预〔</w:t>
      </w:r>
      <w:r>
        <w:rPr>
          <w:rFonts w:hint="eastAsia" w:ascii="仿宋_GB2312" w:hAnsi="仿宋_GB2312" w:eastAsia="仿宋_GB2312" w:cs="仿宋_GB2312"/>
          <w:color w:val="000000"/>
          <w:kern w:val="0"/>
          <w:sz w:val="32"/>
          <w:szCs w:val="32"/>
          <w:lang w:val="en-US" w:eastAsia="zh-CN"/>
        </w:rPr>
        <w:t>2020</w:t>
      </w:r>
      <w:r>
        <w:rPr>
          <w:rFonts w:hint="eastAsia" w:ascii="仿宋_GB2312" w:hAnsi="仿宋_GB2312" w:eastAsia="仿宋_GB2312" w:cs="仿宋_GB2312"/>
          <w:color w:val="000000"/>
          <w:kern w:val="0"/>
          <w:sz w:val="32"/>
          <w:szCs w:val="32"/>
          <w:lang w:val="zh-CN"/>
        </w:rPr>
        <w:t>〕10号），《财政厅关于开展202</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年部门、政策和项目支出绩效评价工作的通知》等文件，202</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年我单位开展部门整体支出绩</w:t>
      </w:r>
      <w:r>
        <w:rPr>
          <w:rFonts w:hint="eastAsia" w:ascii="仿宋_GB2312" w:hAnsi="仿宋_GB2312" w:eastAsia="仿宋_GB2312" w:cs="仿宋_GB2312"/>
          <w:color w:val="000000"/>
          <w:kern w:val="0"/>
          <w:sz w:val="32"/>
          <w:szCs w:val="32"/>
          <w:lang w:val="zh-CN" w:eastAsia="zh-CN"/>
        </w:rPr>
        <w:t>效</w:t>
      </w:r>
      <w:r>
        <w:rPr>
          <w:rFonts w:hint="eastAsia" w:ascii="仿宋_GB2312" w:hAnsi="仿宋_GB2312" w:eastAsia="仿宋_GB2312" w:cs="仿宋_GB2312"/>
          <w:color w:val="000000"/>
          <w:kern w:val="0"/>
          <w:sz w:val="32"/>
          <w:szCs w:val="32"/>
          <w:lang w:val="zh-CN"/>
        </w:rPr>
        <w:t>工作报告如下：</w:t>
      </w:r>
    </w:p>
    <w:p>
      <w:pPr>
        <w:widowControl/>
        <w:adjustRightInd w:val="0"/>
        <w:snapToGrid w:val="0"/>
        <w:spacing w:line="560" w:lineRule="exact"/>
        <w:ind w:firstLine="720"/>
        <w:jc w:val="left"/>
        <w:rPr>
          <w:rFonts w:ascii="宋体" w:hAnsi="宋体" w:cs="宋体"/>
          <w:bCs/>
          <w:color w:val="000000"/>
          <w:kern w:val="0"/>
          <w:sz w:val="32"/>
          <w:szCs w:val="32"/>
          <w:lang w:val="zh-CN"/>
        </w:rPr>
      </w:pPr>
      <w:r>
        <w:rPr>
          <w:rFonts w:hint="eastAsia" w:ascii="宋体" w:hAnsi="宋体" w:cs="宋体"/>
          <w:bCs/>
          <w:color w:val="000000"/>
          <w:kern w:val="0"/>
          <w:sz w:val="32"/>
          <w:szCs w:val="32"/>
        </w:rPr>
        <w:t>一、</w:t>
      </w:r>
      <w:r>
        <w:rPr>
          <w:rFonts w:hint="eastAsia" w:ascii="宋体" w:hAnsi="宋体" w:cs="宋体"/>
          <w:bCs/>
          <w:color w:val="000000"/>
          <w:kern w:val="0"/>
          <w:sz w:val="32"/>
          <w:szCs w:val="32"/>
          <w:lang w:val="zh-CN"/>
        </w:rPr>
        <w:t>部门（单位）概况</w:t>
      </w:r>
    </w:p>
    <w:p>
      <w:pPr>
        <w:widowControl/>
        <w:adjustRightInd w:val="0"/>
        <w:snapToGrid w:val="0"/>
        <w:spacing w:line="560" w:lineRule="exact"/>
        <w:ind w:firstLine="72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lang w:val="zh-CN"/>
        </w:rPr>
        <w:t>（一）机构组成。</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独立编制单位机构数为1个</w:t>
      </w:r>
    </w:p>
    <w:p>
      <w:pPr>
        <w:widowControl/>
        <w:adjustRightInd w:val="0"/>
        <w:snapToGrid w:val="0"/>
        <w:spacing w:line="560" w:lineRule="exact"/>
        <w:ind w:firstLine="72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lang w:val="zh-CN"/>
        </w:rPr>
        <w:t>（二）机构职能。</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金川县委机构编制委员会办公室为县机构编制委员会的办事机构，既是县委的工作机构，又是县政府的工作机构。第一，贯彻执行机构编制管理工作的方针、政策和法规，研究拟定我县机构编制管理工作的政策，经批准后组织实施。第二负责草拟行政管理体制、事业单位管理体制和机构改革方案以及机构编制管理规定和办法。第三负责全县各部门有关机构编制请示事宜的审核。第四依法监管全县事业单位，依法管理全县事业单位登记和年检。第五负责县机构编制委员会全体会议材料准备，负责组织实施县机构编制委员会全体会议的各项决定事项，并将实施情况向县机构编制委员会报告。第六负责县级党政群机关和事业单位机构编制的日常管理工作，按管理权限对各部门机构编制工作进行管理和业务指导，承办县机构编制委员会交办的其他工作事项。</w:t>
      </w:r>
    </w:p>
    <w:p>
      <w:pPr>
        <w:widowControl/>
        <w:adjustRightInd w:val="0"/>
        <w:snapToGrid w:val="0"/>
        <w:spacing w:line="560" w:lineRule="exact"/>
        <w:ind w:firstLine="72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rPr>
        <w:t>(三）</w:t>
      </w:r>
      <w:r>
        <w:rPr>
          <w:rFonts w:hint="eastAsia" w:ascii="仿宋_GB2312" w:hAnsi="仿宋_GB2312" w:eastAsia="仿宋_GB2312" w:cs="仿宋_GB2312"/>
          <w:bCs/>
          <w:color w:val="000000"/>
          <w:kern w:val="0"/>
          <w:sz w:val="32"/>
          <w:szCs w:val="32"/>
          <w:lang w:val="zh-CN"/>
        </w:rPr>
        <w:t>人员概况。</w:t>
      </w:r>
    </w:p>
    <w:p>
      <w:pPr>
        <w:widowControl/>
        <w:ind w:firstLine="584" w:firstLineChars="200"/>
        <w:jc w:val="left"/>
      </w:pPr>
      <w:r>
        <w:rPr>
          <w:rFonts w:hint="eastAsia" w:ascii="宋体" w:hAnsi="宋体" w:eastAsia="仿宋_GB2312" w:cs="宋体"/>
          <w:color w:val="000000"/>
          <w:spacing w:val="-14"/>
          <w:kern w:val="0"/>
          <w:sz w:val="32"/>
          <w:szCs w:val="32"/>
        </w:rPr>
        <w:t>2021年独立编制单位机构数为1个。财政供养人员编制为14名，其中行政编制4名，行政工勤编制1名，事业编制9名（其中参照公务员法管理人员编制6人）；2021年实际财政供养人员12人，其中：行政3人，行政工勤1人，事业3人，参公5人。</w:t>
      </w:r>
    </w:p>
    <w:p>
      <w:pPr>
        <w:widowControl/>
        <w:adjustRightInd w:val="0"/>
        <w:snapToGrid w:val="0"/>
        <w:spacing w:line="560" w:lineRule="exact"/>
        <w:ind w:firstLine="720"/>
        <w:jc w:val="left"/>
        <w:rPr>
          <w:rFonts w:ascii="宋体" w:hAnsi="宋体" w:cs="宋体"/>
          <w:bCs/>
          <w:color w:val="000000"/>
          <w:kern w:val="0"/>
          <w:sz w:val="32"/>
          <w:szCs w:val="32"/>
        </w:rPr>
      </w:pPr>
      <w:r>
        <w:rPr>
          <w:rFonts w:hint="eastAsia" w:ascii="宋体" w:hAnsi="宋体" w:cs="宋体"/>
          <w:bCs/>
          <w:color w:val="000000"/>
          <w:kern w:val="0"/>
          <w:sz w:val="32"/>
          <w:szCs w:val="32"/>
        </w:rPr>
        <w:t>二、财政资金收支情况</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1、2021年县委编办本年收入合计</w:t>
      </w:r>
      <w:r>
        <w:rPr>
          <w:rFonts w:hint="eastAsia" w:ascii="仿宋_GB2312" w:eastAsia="仿宋_GB2312"/>
          <w:spacing w:val="-2"/>
          <w:sz w:val="32"/>
          <w:szCs w:val="32"/>
        </w:rPr>
        <w:t>215.98</w:t>
      </w:r>
      <w:r>
        <w:rPr>
          <w:rFonts w:hint="eastAsia" w:ascii="仿宋_GB2312" w:hAnsi="仿宋_GB2312" w:eastAsia="仿宋_GB2312" w:cs="仿宋_GB2312"/>
          <w:color w:val="000000"/>
          <w:kern w:val="0"/>
          <w:sz w:val="32"/>
          <w:szCs w:val="32"/>
          <w:lang w:val="zh-CN"/>
        </w:rPr>
        <w:t>万元，财政拨款收入</w:t>
      </w:r>
      <w:r>
        <w:rPr>
          <w:rFonts w:hint="eastAsia" w:ascii="仿宋_GB2312" w:eastAsia="仿宋_GB2312"/>
          <w:spacing w:val="-2"/>
          <w:sz w:val="32"/>
          <w:szCs w:val="32"/>
        </w:rPr>
        <w:t>215.98</w:t>
      </w:r>
      <w:r>
        <w:rPr>
          <w:rFonts w:hint="eastAsia" w:ascii="仿宋_GB2312" w:hAnsi="仿宋_GB2312" w:eastAsia="仿宋_GB2312" w:cs="仿宋_GB2312"/>
          <w:color w:val="000000"/>
          <w:kern w:val="0"/>
          <w:sz w:val="32"/>
          <w:szCs w:val="32"/>
          <w:lang w:val="zh-CN"/>
        </w:rPr>
        <w:t>万元,年初结转和结余0万元：其中人员经费收</w:t>
      </w:r>
      <w:r>
        <w:rPr>
          <w:rFonts w:hint="eastAsia" w:ascii="仿宋_GB2312" w:eastAsia="仿宋_GB2312"/>
          <w:spacing w:val="-2"/>
          <w:sz w:val="32"/>
          <w:szCs w:val="32"/>
        </w:rPr>
        <w:t>入202.27</w:t>
      </w:r>
      <w:r>
        <w:rPr>
          <w:rFonts w:hint="eastAsia" w:ascii="仿宋_GB2312" w:hAnsi="仿宋_GB2312" w:eastAsia="仿宋_GB2312" w:cs="仿宋_GB2312"/>
          <w:color w:val="000000"/>
          <w:kern w:val="0"/>
          <w:sz w:val="32"/>
          <w:szCs w:val="32"/>
          <w:lang w:val="zh-CN"/>
        </w:rPr>
        <w:t>万元、公用经费</w:t>
      </w:r>
      <w:r>
        <w:rPr>
          <w:rFonts w:hint="eastAsia" w:ascii="仿宋_GB2312" w:eastAsia="仿宋_GB2312"/>
          <w:spacing w:val="-2"/>
          <w:sz w:val="32"/>
          <w:szCs w:val="32"/>
        </w:rPr>
        <w:t>13.72</w:t>
      </w:r>
      <w:r>
        <w:rPr>
          <w:rFonts w:hint="eastAsia" w:ascii="仿宋_GB2312" w:hAnsi="仿宋_GB2312" w:eastAsia="仿宋_GB2312" w:cs="仿宋_GB2312"/>
          <w:color w:val="000000"/>
          <w:kern w:val="0"/>
          <w:sz w:val="32"/>
          <w:szCs w:val="32"/>
          <w:lang w:val="zh-CN"/>
        </w:rPr>
        <w:t xml:space="preserve">万元。   </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2、2022年上半年收入</w:t>
      </w:r>
      <w:r>
        <w:rPr>
          <w:rFonts w:hint="eastAsia" w:ascii="仿宋_GB2312" w:hAnsi="仿宋_GB2312" w:eastAsia="仿宋_GB2312" w:cs="仿宋_GB2312"/>
          <w:color w:val="000000"/>
          <w:kern w:val="0"/>
          <w:sz w:val="32"/>
          <w:szCs w:val="32"/>
          <w:lang w:val="en-US" w:eastAsia="zh-CN"/>
        </w:rPr>
        <w:t>123.63</w:t>
      </w:r>
      <w:r>
        <w:rPr>
          <w:rFonts w:hint="eastAsia" w:ascii="仿宋_GB2312" w:hAnsi="仿宋_GB2312" w:eastAsia="仿宋_GB2312" w:cs="仿宋_GB2312"/>
          <w:color w:val="000000"/>
          <w:kern w:val="0"/>
          <w:sz w:val="32"/>
          <w:szCs w:val="32"/>
          <w:lang w:val="zh-CN"/>
        </w:rPr>
        <w:t>万元，财政拨款收入</w:t>
      </w:r>
      <w:r>
        <w:rPr>
          <w:rFonts w:hint="eastAsia" w:ascii="仿宋_GB2312" w:hAnsi="仿宋_GB2312" w:eastAsia="仿宋_GB2312" w:cs="仿宋_GB2312"/>
          <w:color w:val="000000"/>
          <w:kern w:val="0"/>
          <w:sz w:val="32"/>
          <w:szCs w:val="32"/>
          <w:lang w:val="en-US" w:eastAsia="zh-CN"/>
        </w:rPr>
        <w:t>123.63</w:t>
      </w:r>
      <w:r>
        <w:rPr>
          <w:rFonts w:hint="eastAsia" w:ascii="仿宋_GB2312" w:hAnsi="仿宋_GB2312" w:eastAsia="仿宋_GB2312" w:cs="仿宋_GB2312"/>
          <w:color w:val="000000"/>
          <w:kern w:val="0"/>
          <w:sz w:val="32"/>
          <w:szCs w:val="32"/>
          <w:lang w:val="zh-CN"/>
        </w:rPr>
        <w:t>万元，其中：其中人员经费收入</w:t>
      </w:r>
      <w:r>
        <w:rPr>
          <w:rFonts w:hint="eastAsia" w:ascii="仿宋_GB2312" w:hAnsi="仿宋_GB2312" w:eastAsia="仿宋_GB2312" w:cs="仿宋_GB2312"/>
          <w:color w:val="000000"/>
          <w:kern w:val="0"/>
          <w:sz w:val="32"/>
          <w:szCs w:val="32"/>
          <w:lang w:val="en-US" w:eastAsia="zh-CN"/>
        </w:rPr>
        <w:t>121.79</w:t>
      </w:r>
      <w:r>
        <w:rPr>
          <w:rFonts w:hint="eastAsia" w:ascii="仿宋_GB2312" w:hAnsi="仿宋_GB2312" w:eastAsia="仿宋_GB2312" w:cs="仿宋_GB2312"/>
          <w:color w:val="000000"/>
          <w:kern w:val="0"/>
          <w:sz w:val="32"/>
          <w:szCs w:val="32"/>
          <w:lang w:val="zh-CN"/>
        </w:rPr>
        <w:t>万元、公用经费收入</w:t>
      </w:r>
      <w:r>
        <w:rPr>
          <w:rFonts w:hint="eastAsia" w:ascii="仿宋_GB2312" w:hAnsi="仿宋_GB2312" w:eastAsia="仿宋_GB2312" w:cs="仿宋_GB2312"/>
          <w:color w:val="000000"/>
          <w:kern w:val="0"/>
          <w:sz w:val="32"/>
          <w:szCs w:val="32"/>
          <w:lang w:val="en-US" w:eastAsia="zh-CN"/>
        </w:rPr>
        <w:t>1.84</w:t>
      </w:r>
      <w:r>
        <w:rPr>
          <w:rFonts w:hint="eastAsia" w:ascii="仿宋_GB2312" w:hAnsi="仿宋_GB2312" w:eastAsia="仿宋_GB2312" w:cs="仿宋_GB2312"/>
          <w:color w:val="000000"/>
          <w:kern w:val="0"/>
          <w:sz w:val="32"/>
          <w:szCs w:val="32"/>
          <w:lang w:val="zh-CN"/>
        </w:rPr>
        <w:t xml:space="preserve">万元。   </w:t>
      </w:r>
    </w:p>
    <w:p>
      <w:pPr>
        <w:widowControl/>
        <w:adjustRightInd w:val="0"/>
        <w:snapToGrid w:val="0"/>
        <w:spacing w:line="560" w:lineRule="exact"/>
        <w:ind w:left="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1、2021年支出</w:t>
      </w:r>
    </w:p>
    <w:p>
      <w:pPr>
        <w:spacing w:line="600" w:lineRule="exact"/>
        <w:ind w:firstLine="645"/>
        <w:rPr>
          <w:rFonts w:ascii="仿宋" w:eastAsia="仿宋"/>
          <w:color w:val="000000"/>
          <w:sz w:val="32"/>
          <w:szCs w:val="32"/>
        </w:rPr>
      </w:pPr>
      <w:r>
        <w:rPr>
          <w:rFonts w:hint="eastAsia" w:ascii="仿宋" w:eastAsia="仿宋"/>
          <w:color w:val="000000"/>
          <w:sz w:val="32"/>
          <w:szCs w:val="32"/>
        </w:rPr>
        <w:t>2021年一般公共预算财政拨款基本支出215.98万元，其中：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202.27万元，主要包括：基本工资39.63万元、津贴补贴56.12万元、奖金3.08万元、伙食补助费0万元、机关事业单位基本养老保险缴费15.46万元、职业年金缴费7.73万元、职工基本医疗保险缴费6.89万元、公务员医疗补助缴费2.39万元、其他社会保障缴费1.39万元、其他工资福利支出0万元、生活补助0.10万元、抚恤金0万元、住房公积金16.01万元、奖励金53.48万元、其他对个人和家庭的补助支出0万元等。</w:t>
      </w:r>
      <w:r>
        <w:rPr>
          <w:rFonts w:ascii="仿宋" w:eastAsia="仿宋"/>
          <w:color w:val="000000"/>
          <w:sz w:val="32"/>
          <w:szCs w:val="32"/>
        </w:rPr>
        <w:br w:type="textWrapping"/>
      </w:r>
      <w:r>
        <w:rPr>
          <w:rFonts w:hint="eastAsia" w:ascii="仿宋" w:eastAsia="仿宋"/>
          <w:color w:val="000000"/>
          <w:sz w:val="32"/>
          <w:szCs w:val="32"/>
        </w:rPr>
        <w:t>　　公用经费13.72万元，主要包括：办公费2.29万元、手续费0万元、印刷费0.30万元、水费0.10万元、电费0.30万元、邮电费0.47万元、物业管理费0万元、差旅费4.21万元、因公出国（境）费用0万元、维修（护）费0万元、租赁费0万元、会议费0万元、培训费0万元、公务接待费0.20万元、福利费0.98万元、公务用车运行维护费0万元、其他交通费用4.07万元、其他商品和服务支出0万元、办公设备购置0.80万元、无形资产购置0万元等。</w:t>
      </w:r>
    </w:p>
    <w:p>
      <w:pPr>
        <w:spacing w:line="600" w:lineRule="exact"/>
        <w:ind w:firstLine="640" w:firstLineChars="200"/>
        <w:outlineLvl w:val="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2、2022年1到6月支出</w:t>
      </w:r>
      <w:r>
        <w:rPr>
          <w:rFonts w:hint="eastAsia" w:ascii="仿宋_GB2312" w:hAnsi="仿宋_GB2312" w:eastAsia="仿宋_GB2312" w:cs="仿宋_GB2312"/>
          <w:color w:val="000000"/>
          <w:kern w:val="0"/>
          <w:sz w:val="32"/>
          <w:szCs w:val="32"/>
          <w:lang w:val="en-US" w:eastAsia="zh-CN"/>
        </w:rPr>
        <w:t>123.63</w:t>
      </w:r>
      <w:r>
        <w:rPr>
          <w:rFonts w:hint="eastAsia" w:ascii="仿宋_GB2312" w:hAnsi="仿宋_GB2312" w:eastAsia="仿宋_GB2312" w:cs="仿宋_GB2312"/>
          <w:color w:val="000000"/>
          <w:kern w:val="0"/>
          <w:sz w:val="32"/>
          <w:szCs w:val="32"/>
          <w:lang w:val="zh-CN"/>
        </w:rPr>
        <w:t>万元。</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金川县委编办2022年上半年一般公共预算财政拨款基本支出</w:t>
      </w:r>
      <w:r>
        <w:rPr>
          <w:rFonts w:hint="eastAsia" w:ascii="仿宋_GB2312" w:hAnsi="仿宋_GB2312" w:eastAsia="仿宋_GB2312" w:cs="仿宋_GB2312"/>
          <w:color w:val="000000"/>
          <w:kern w:val="0"/>
          <w:sz w:val="32"/>
          <w:szCs w:val="32"/>
          <w:lang w:val="en-US" w:eastAsia="zh-CN"/>
        </w:rPr>
        <w:t>123.63</w:t>
      </w:r>
      <w:r>
        <w:rPr>
          <w:rFonts w:hint="eastAsia" w:ascii="仿宋_GB2312" w:hAnsi="仿宋_GB2312" w:eastAsia="仿宋_GB2312" w:cs="仿宋_GB2312"/>
          <w:color w:val="000000"/>
          <w:kern w:val="0"/>
          <w:sz w:val="32"/>
          <w:szCs w:val="32"/>
          <w:lang w:val="zh-CN"/>
        </w:rPr>
        <w:t>万元，其中：人员经费</w:t>
      </w:r>
      <w:r>
        <w:rPr>
          <w:rFonts w:hint="eastAsia" w:ascii="仿宋_GB2312" w:hAnsi="仿宋_GB2312" w:eastAsia="仿宋_GB2312" w:cs="仿宋_GB2312"/>
          <w:color w:val="000000"/>
          <w:kern w:val="0"/>
          <w:sz w:val="32"/>
          <w:szCs w:val="32"/>
          <w:lang w:val="en-US" w:eastAsia="zh-CN"/>
        </w:rPr>
        <w:t>121.79</w:t>
      </w:r>
      <w:r>
        <w:rPr>
          <w:rFonts w:hint="eastAsia" w:ascii="仿宋_GB2312" w:hAnsi="仿宋_GB2312" w:eastAsia="仿宋_GB2312" w:cs="仿宋_GB2312"/>
          <w:color w:val="000000"/>
          <w:kern w:val="0"/>
          <w:sz w:val="32"/>
          <w:szCs w:val="32"/>
          <w:lang w:val="zh-CN"/>
        </w:rPr>
        <w:t>万元，公用经费</w:t>
      </w:r>
      <w:r>
        <w:rPr>
          <w:rFonts w:hint="eastAsia" w:ascii="仿宋_GB2312" w:hAnsi="仿宋_GB2312" w:eastAsia="仿宋_GB2312" w:cs="仿宋_GB2312"/>
          <w:color w:val="000000"/>
          <w:kern w:val="0"/>
          <w:sz w:val="32"/>
          <w:szCs w:val="32"/>
          <w:lang w:val="en-US" w:eastAsia="zh-CN"/>
        </w:rPr>
        <w:t>1.84</w:t>
      </w:r>
      <w:r>
        <w:rPr>
          <w:rFonts w:hint="eastAsia" w:ascii="仿宋_GB2312" w:hAnsi="仿宋_GB2312" w:eastAsia="仿宋_GB2312" w:cs="仿宋_GB2312"/>
          <w:color w:val="000000"/>
          <w:kern w:val="0"/>
          <w:sz w:val="32"/>
          <w:szCs w:val="32"/>
          <w:lang w:val="zh-CN"/>
        </w:rPr>
        <w:t>万元。</w:t>
      </w:r>
    </w:p>
    <w:p>
      <w:pPr>
        <w:spacing w:line="560"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（1）人员经费支出：</w:t>
      </w:r>
      <w:r>
        <w:rPr>
          <w:rFonts w:hint="eastAsia" w:ascii="仿宋_GB2312" w:hAnsi="仿宋_GB2312" w:eastAsia="仿宋_GB2312" w:cs="仿宋_GB2312"/>
          <w:color w:val="000000"/>
          <w:kern w:val="0"/>
          <w:sz w:val="32"/>
          <w:szCs w:val="32"/>
          <w:lang w:val="en-US" w:eastAsia="zh-CN"/>
        </w:rPr>
        <w:t>121.79</w:t>
      </w:r>
      <w:r>
        <w:rPr>
          <w:rFonts w:hint="eastAsia" w:ascii="仿宋_GB2312" w:hAnsi="仿宋_GB2312" w:eastAsia="仿宋_GB2312" w:cs="仿宋_GB2312"/>
          <w:color w:val="000000"/>
          <w:kern w:val="0"/>
          <w:sz w:val="32"/>
          <w:szCs w:val="32"/>
          <w:lang w:val="zh-CN"/>
        </w:rPr>
        <w:t>万元。基本工资</w:t>
      </w:r>
      <w:r>
        <w:rPr>
          <w:rFonts w:hint="eastAsia" w:ascii="仿宋_GB2312" w:hAnsi="仿宋_GB2312" w:eastAsia="仿宋_GB2312" w:cs="仿宋_GB2312"/>
          <w:color w:val="000000"/>
          <w:kern w:val="0"/>
          <w:sz w:val="32"/>
          <w:szCs w:val="32"/>
          <w:lang w:val="en-US" w:eastAsia="zh-CN"/>
        </w:rPr>
        <w:t>27.03</w:t>
      </w:r>
      <w:r>
        <w:rPr>
          <w:rFonts w:hint="eastAsia" w:ascii="仿宋_GB2312" w:hAnsi="仿宋_GB2312" w:eastAsia="仿宋_GB2312" w:cs="仿宋_GB2312"/>
          <w:color w:val="000000"/>
          <w:kern w:val="0"/>
          <w:sz w:val="32"/>
          <w:szCs w:val="32"/>
          <w:lang w:val="zh-CN"/>
        </w:rPr>
        <w:t>万元、津贴补贴</w:t>
      </w:r>
      <w:r>
        <w:rPr>
          <w:rFonts w:hint="eastAsia" w:ascii="仿宋_GB2312" w:hAnsi="仿宋_GB2312" w:eastAsia="仿宋_GB2312" w:cs="仿宋_GB2312"/>
          <w:color w:val="000000"/>
          <w:kern w:val="0"/>
          <w:sz w:val="32"/>
          <w:szCs w:val="32"/>
          <w:lang w:val="en-US" w:eastAsia="zh-CN"/>
        </w:rPr>
        <w:t>27.57</w:t>
      </w:r>
      <w:r>
        <w:rPr>
          <w:rFonts w:hint="eastAsia" w:ascii="仿宋_GB2312" w:hAnsi="仿宋_GB2312" w:eastAsia="仿宋_GB2312" w:cs="仿宋_GB2312"/>
          <w:color w:val="000000"/>
          <w:kern w:val="0"/>
          <w:sz w:val="32"/>
          <w:szCs w:val="32"/>
          <w:lang w:val="zh-CN"/>
        </w:rPr>
        <w:t>万元、</w:t>
      </w:r>
      <w:r>
        <w:rPr>
          <w:rFonts w:hint="eastAsia" w:ascii="仿宋_GB2312" w:hAnsi="仿宋_GB2312" w:eastAsia="仿宋_GB2312" w:cs="仿宋_GB2312"/>
          <w:color w:val="000000"/>
          <w:kern w:val="0"/>
          <w:sz w:val="32"/>
          <w:szCs w:val="32"/>
          <w:lang w:val="zh-CN" w:eastAsia="zh-CN"/>
        </w:rPr>
        <w:t>奖金</w:t>
      </w:r>
      <w:r>
        <w:rPr>
          <w:rFonts w:hint="eastAsia" w:ascii="仿宋_GB2312" w:hAnsi="仿宋_GB2312" w:eastAsia="仿宋_GB2312" w:cs="仿宋_GB2312"/>
          <w:color w:val="000000"/>
          <w:kern w:val="0"/>
          <w:sz w:val="32"/>
          <w:szCs w:val="32"/>
          <w:lang w:val="en-US" w:eastAsia="zh-CN"/>
        </w:rPr>
        <w:t>12.43万元、</w:t>
      </w:r>
      <w:r>
        <w:rPr>
          <w:rFonts w:hint="eastAsia" w:ascii="仿宋_GB2312" w:hAnsi="仿宋_GB2312" w:eastAsia="仿宋_GB2312" w:cs="仿宋_GB2312"/>
          <w:color w:val="000000"/>
          <w:kern w:val="0"/>
          <w:sz w:val="32"/>
          <w:szCs w:val="32"/>
          <w:lang w:val="zh-CN"/>
        </w:rPr>
        <w:t>绩效工资</w:t>
      </w:r>
      <w:r>
        <w:rPr>
          <w:rFonts w:hint="eastAsia" w:ascii="仿宋_GB2312" w:hAnsi="仿宋_GB2312" w:eastAsia="仿宋_GB2312" w:cs="仿宋_GB2312"/>
          <w:color w:val="000000"/>
          <w:kern w:val="0"/>
          <w:sz w:val="32"/>
          <w:szCs w:val="32"/>
          <w:lang w:val="en-US" w:eastAsia="zh-CN"/>
        </w:rPr>
        <w:t>3.60</w:t>
      </w:r>
      <w:r>
        <w:rPr>
          <w:rFonts w:hint="eastAsia" w:ascii="仿宋_GB2312" w:hAnsi="仿宋_GB2312" w:eastAsia="仿宋_GB2312" w:cs="仿宋_GB2312"/>
          <w:color w:val="000000"/>
          <w:kern w:val="0"/>
          <w:sz w:val="32"/>
          <w:szCs w:val="32"/>
          <w:lang w:val="zh-CN"/>
        </w:rPr>
        <w:t>万元，机关养老保险费</w:t>
      </w:r>
      <w:r>
        <w:rPr>
          <w:rFonts w:hint="eastAsia" w:ascii="仿宋_GB2312" w:hAnsi="仿宋_GB2312" w:eastAsia="仿宋_GB2312" w:cs="仿宋_GB2312"/>
          <w:color w:val="000000"/>
          <w:kern w:val="0"/>
          <w:sz w:val="32"/>
          <w:szCs w:val="32"/>
          <w:lang w:val="en-US" w:eastAsia="zh-CN"/>
        </w:rPr>
        <w:t>7.75</w:t>
      </w:r>
      <w:r>
        <w:rPr>
          <w:rFonts w:hint="eastAsia" w:ascii="仿宋_GB2312" w:hAnsi="仿宋_GB2312" w:eastAsia="仿宋_GB2312" w:cs="仿宋_GB2312"/>
          <w:color w:val="000000"/>
          <w:kern w:val="0"/>
          <w:sz w:val="32"/>
          <w:szCs w:val="32"/>
          <w:lang w:val="zh-CN"/>
        </w:rPr>
        <w:t>万元，职业年金缴费</w:t>
      </w:r>
      <w:r>
        <w:rPr>
          <w:rFonts w:hint="eastAsia" w:ascii="仿宋_GB2312" w:hAnsi="仿宋_GB2312" w:eastAsia="仿宋_GB2312" w:cs="仿宋_GB2312"/>
          <w:color w:val="000000"/>
          <w:kern w:val="0"/>
          <w:sz w:val="32"/>
          <w:szCs w:val="32"/>
          <w:lang w:val="en-US" w:eastAsia="zh-CN"/>
        </w:rPr>
        <w:t>3.87</w:t>
      </w:r>
      <w:r>
        <w:rPr>
          <w:rFonts w:hint="eastAsia" w:ascii="仿宋_GB2312" w:hAnsi="仿宋_GB2312" w:eastAsia="仿宋_GB2312" w:cs="仿宋_GB2312"/>
          <w:color w:val="000000"/>
          <w:kern w:val="0"/>
          <w:sz w:val="32"/>
          <w:szCs w:val="32"/>
          <w:lang w:val="zh-CN"/>
        </w:rPr>
        <w:t>万元，行政单位医疗缴费</w:t>
      </w:r>
      <w:r>
        <w:rPr>
          <w:rFonts w:hint="eastAsia" w:ascii="仿宋_GB2312" w:hAnsi="仿宋_GB2312" w:eastAsia="仿宋_GB2312" w:cs="仿宋_GB2312"/>
          <w:color w:val="000000"/>
          <w:kern w:val="0"/>
          <w:sz w:val="32"/>
          <w:szCs w:val="32"/>
          <w:lang w:val="en-US" w:eastAsia="zh-CN"/>
        </w:rPr>
        <w:t>2.64</w:t>
      </w:r>
      <w:r>
        <w:rPr>
          <w:rFonts w:hint="eastAsia" w:ascii="仿宋_GB2312" w:hAnsi="仿宋_GB2312" w:eastAsia="仿宋_GB2312" w:cs="仿宋_GB2312"/>
          <w:color w:val="000000"/>
          <w:kern w:val="0"/>
          <w:sz w:val="32"/>
          <w:szCs w:val="32"/>
          <w:lang w:val="zh-CN"/>
        </w:rPr>
        <w:t>万元，事业单位医疗缴费</w:t>
      </w:r>
      <w:r>
        <w:rPr>
          <w:rFonts w:hint="eastAsia" w:ascii="仿宋_GB2312" w:hAnsi="仿宋_GB2312" w:eastAsia="仿宋_GB2312" w:cs="仿宋_GB2312"/>
          <w:color w:val="000000"/>
          <w:kern w:val="0"/>
          <w:sz w:val="32"/>
          <w:szCs w:val="32"/>
          <w:lang w:val="en-US" w:eastAsia="zh-CN"/>
        </w:rPr>
        <w:t>0.8万元，</w:t>
      </w:r>
      <w:r>
        <w:rPr>
          <w:rFonts w:hint="eastAsia" w:ascii="仿宋_GB2312" w:hAnsi="仿宋_GB2312" w:eastAsia="仿宋_GB2312" w:cs="仿宋_GB2312"/>
          <w:color w:val="000000"/>
          <w:kern w:val="0"/>
          <w:sz w:val="32"/>
          <w:szCs w:val="32"/>
          <w:lang w:val="zh-CN"/>
        </w:rPr>
        <w:t>公务员医疗补助</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lang w:val="zh-CN"/>
        </w:rPr>
        <w:t>万元，其他社会保障缴费</w:t>
      </w:r>
      <w:r>
        <w:rPr>
          <w:rFonts w:hint="eastAsia" w:ascii="仿宋_GB2312" w:hAnsi="仿宋_GB2312" w:eastAsia="仿宋_GB2312" w:cs="仿宋_GB2312"/>
          <w:color w:val="000000"/>
          <w:kern w:val="0"/>
          <w:sz w:val="32"/>
          <w:szCs w:val="32"/>
          <w:lang w:val="en-US" w:eastAsia="zh-CN"/>
        </w:rPr>
        <w:t>0.18</w:t>
      </w:r>
      <w:r>
        <w:rPr>
          <w:rFonts w:hint="eastAsia" w:ascii="仿宋_GB2312" w:hAnsi="仿宋_GB2312" w:eastAsia="仿宋_GB2312" w:cs="仿宋_GB2312"/>
          <w:color w:val="000000"/>
          <w:kern w:val="0"/>
          <w:sz w:val="32"/>
          <w:szCs w:val="32"/>
          <w:lang w:val="zh-CN"/>
        </w:rPr>
        <w:t>万元，住房公积金</w:t>
      </w:r>
      <w:r>
        <w:rPr>
          <w:rFonts w:hint="eastAsia" w:ascii="仿宋_GB2312" w:hAnsi="仿宋_GB2312" w:eastAsia="仿宋_GB2312" w:cs="仿宋_GB2312"/>
          <w:color w:val="000000"/>
          <w:kern w:val="0"/>
          <w:sz w:val="32"/>
          <w:szCs w:val="32"/>
          <w:lang w:val="en-US" w:eastAsia="zh-CN"/>
        </w:rPr>
        <w:t>8.51</w:t>
      </w:r>
      <w:r>
        <w:rPr>
          <w:rFonts w:hint="eastAsia" w:ascii="仿宋_GB2312" w:hAnsi="仿宋_GB2312" w:eastAsia="仿宋_GB2312" w:cs="仿宋_GB2312"/>
          <w:color w:val="000000"/>
          <w:kern w:val="0"/>
          <w:sz w:val="32"/>
          <w:szCs w:val="32"/>
          <w:lang w:val="zh-CN"/>
        </w:rPr>
        <w:t>万元，奖励金</w:t>
      </w:r>
      <w:r>
        <w:rPr>
          <w:rFonts w:hint="eastAsia" w:ascii="仿宋_GB2312" w:hAnsi="仿宋_GB2312" w:eastAsia="仿宋_GB2312" w:cs="仿宋_GB2312"/>
          <w:color w:val="000000"/>
          <w:kern w:val="0"/>
          <w:sz w:val="32"/>
          <w:szCs w:val="32"/>
          <w:lang w:val="en-US" w:eastAsia="zh-CN"/>
        </w:rPr>
        <w:t>26.21</w:t>
      </w:r>
      <w:r>
        <w:rPr>
          <w:rFonts w:hint="eastAsia" w:ascii="仿宋_GB2312" w:hAnsi="仿宋_GB2312" w:eastAsia="仿宋_GB2312" w:cs="仿宋_GB2312"/>
          <w:color w:val="000000"/>
          <w:kern w:val="0"/>
          <w:sz w:val="32"/>
          <w:szCs w:val="32"/>
          <w:lang w:val="zh-CN"/>
        </w:rPr>
        <w:t>万元</w:t>
      </w:r>
    </w:p>
    <w:p>
      <w:pPr>
        <w:spacing w:line="50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（2）公用经费支出</w:t>
      </w:r>
      <w:r>
        <w:rPr>
          <w:rFonts w:hint="eastAsia" w:ascii="仿宋_GB2312" w:hAnsi="仿宋_GB2312" w:eastAsia="仿宋_GB2312" w:cs="仿宋_GB2312"/>
          <w:color w:val="000000"/>
          <w:kern w:val="0"/>
          <w:sz w:val="32"/>
          <w:szCs w:val="32"/>
          <w:lang w:val="en-US" w:eastAsia="zh-CN"/>
        </w:rPr>
        <w:t>1.84</w:t>
      </w:r>
      <w:r>
        <w:rPr>
          <w:rFonts w:hint="eastAsia" w:ascii="仿宋_GB2312" w:hAnsi="仿宋_GB2312" w:eastAsia="仿宋_GB2312" w:cs="仿宋_GB2312"/>
          <w:color w:val="000000"/>
          <w:kern w:val="0"/>
          <w:sz w:val="32"/>
          <w:szCs w:val="32"/>
          <w:lang w:val="zh-CN"/>
        </w:rPr>
        <w:t>万元，其中办公费</w:t>
      </w:r>
      <w:r>
        <w:rPr>
          <w:rFonts w:hint="eastAsia" w:ascii="仿宋_GB2312" w:hAnsi="仿宋_GB2312" w:eastAsia="仿宋_GB2312" w:cs="仿宋_GB2312"/>
          <w:color w:val="000000"/>
          <w:kern w:val="0"/>
          <w:sz w:val="32"/>
          <w:szCs w:val="32"/>
          <w:lang w:val="en-US" w:eastAsia="zh-CN"/>
        </w:rPr>
        <w:t>0.41</w:t>
      </w:r>
      <w:r>
        <w:rPr>
          <w:rFonts w:hint="eastAsia" w:ascii="仿宋_GB2312" w:hAnsi="仿宋_GB2312" w:eastAsia="仿宋_GB2312" w:cs="仿宋_GB2312"/>
          <w:color w:val="000000"/>
          <w:kern w:val="0"/>
          <w:sz w:val="32"/>
          <w:szCs w:val="32"/>
          <w:lang w:val="zh-CN"/>
        </w:rPr>
        <w:t>万元、邮电费</w:t>
      </w:r>
      <w:r>
        <w:rPr>
          <w:rFonts w:hint="eastAsia" w:ascii="仿宋_GB2312" w:hAnsi="仿宋_GB2312" w:eastAsia="仿宋_GB2312" w:cs="仿宋_GB2312"/>
          <w:color w:val="000000"/>
          <w:kern w:val="0"/>
          <w:sz w:val="32"/>
          <w:szCs w:val="32"/>
          <w:lang w:val="en-US" w:eastAsia="zh-CN"/>
        </w:rPr>
        <w:t>0.32</w:t>
      </w:r>
      <w:r>
        <w:rPr>
          <w:rFonts w:hint="eastAsia" w:ascii="仿宋_GB2312" w:hAnsi="仿宋_GB2312" w:eastAsia="仿宋_GB2312" w:cs="仿宋_GB2312"/>
          <w:color w:val="000000"/>
          <w:kern w:val="0"/>
          <w:sz w:val="32"/>
          <w:szCs w:val="32"/>
          <w:lang w:val="zh-CN"/>
        </w:rPr>
        <w:t>万元、差旅费</w:t>
      </w:r>
      <w:r>
        <w:rPr>
          <w:rFonts w:hint="eastAsia" w:ascii="仿宋_GB2312" w:hAnsi="仿宋_GB2312" w:eastAsia="仿宋_GB2312" w:cs="仿宋_GB2312"/>
          <w:color w:val="000000"/>
          <w:kern w:val="0"/>
          <w:sz w:val="32"/>
          <w:szCs w:val="32"/>
          <w:lang w:val="en-US" w:eastAsia="zh-CN"/>
        </w:rPr>
        <w:t>0.77</w:t>
      </w:r>
      <w:r>
        <w:rPr>
          <w:rFonts w:hint="eastAsia" w:ascii="仿宋_GB2312" w:hAnsi="仿宋_GB2312" w:eastAsia="仿宋_GB2312" w:cs="仿宋_GB2312"/>
          <w:color w:val="000000"/>
          <w:kern w:val="0"/>
          <w:sz w:val="32"/>
          <w:szCs w:val="32"/>
          <w:lang w:val="zh-CN"/>
        </w:rPr>
        <w:t>万元、福利费</w:t>
      </w:r>
      <w:r>
        <w:rPr>
          <w:rFonts w:hint="eastAsia" w:ascii="仿宋_GB2312" w:hAnsi="仿宋_GB2312" w:eastAsia="仿宋_GB2312" w:cs="仿宋_GB2312"/>
          <w:color w:val="000000"/>
          <w:kern w:val="0"/>
          <w:sz w:val="32"/>
          <w:szCs w:val="32"/>
          <w:lang w:val="en-US" w:eastAsia="zh-CN"/>
        </w:rPr>
        <w:t>0.15</w:t>
      </w:r>
      <w:r>
        <w:rPr>
          <w:rFonts w:hint="eastAsia" w:ascii="仿宋_GB2312" w:hAnsi="仿宋_GB2312" w:eastAsia="仿宋_GB2312" w:cs="仿宋_GB2312"/>
          <w:color w:val="000000"/>
          <w:kern w:val="0"/>
          <w:sz w:val="32"/>
          <w:szCs w:val="32"/>
          <w:lang w:val="zh-CN"/>
        </w:rPr>
        <w:t>万元、公务接待费</w:t>
      </w:r>
      <w:r>
        <w:rPr>
          <w:rFonts w:hint="eastAsia" w:ascii="仿宋_GB2312" w:hAnsi="仿宋_GB2312" w:eastAsia="仿宋_GB2312" w:cs="仿宋_GB2312"/>
          <w:color w:val="000000"/>
          <w:kern w:val="0"/>
          <w:sz w:val="32"/>
          <w:szCs w:val="32"/>
          <w:lang w:val="en-US" w:eastAsia="zh-CN"/>
        </w:rPr>
        <w:t>0.19万元</w:t>
      </w:r>
      <w:r>
        <w:rPr>
          <w:rFonts w:hint="eastAsia" w:ascii="仿宋_GB2312" w:hAnsi="仿宋_GB2312" w:eastAsia="仿宋_GB2312" w:cs="仿宋_GB2312"/>
          <w:color w:val="000000"/>
          <w:kern w:val="0"/>
          <w:sz w:val="32"/>
          <w:szCs w:val="32"/>
          <w:lang w:val="zh-CN"/>
        </w:rPr>
        <w:t>。</w:t>
      </w:r>
    </w:p>
    <w:p>
      <w:pPr>
        <w:widowControl/>
        <w:adjustRightInd w:val="0"/>
        <w:snapToGrid w:val="0"/>
        <w:spacing w:line="560" w:lineRule="exact"/>
        <w:ind w:firstLine="720"/>
        <w:jc w:val="left"/>
        <w:rPr>
          <w:rFonts w:ascii="仿宋_GB2312" w:hAnsi="仿宋_GB2312" w:eastAsia="仿宋_GB2312" w:cs="仿宋_GB2312"/>
          <w:color w:val="000000"/>
          <w:kern w:val="0"/>
          <w:sz w:val="32"/>
          <w:szCs w:val="32"/>
          <w:lang w:val="zh-CN"/>
        </w:rPr>
      </w:pPr>
      <w:r>
        <w:rPr>
          <w:rFonts w:hint="eastAsia" w:ascii="宋体" w:hAnsi="宋体" w:cs="宋体"/>
          <w:bCs/>
          <w:color w:val="000000"/>
          <w:kern w:val="0"/>
          <w:sz w:val="32"/>
          <w:szCs w:val="32"/>
        </w:rPr>
        <w:t>三、部门财政支出管理情况</w:t>
      </w:r>
    </w:p>
    <w:p>
      <w:pPr>
        <w:spacing w:line="560"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按照综合预算的编制原则，保证预算编制质量，县委编办所有收入和支出均纳入财政预算管理，公用经费按人员数进行编制，其它经费严格按照有关预算法执行。</w:t>
      </w:r>
    </w:p>
    <w:p>
      <w:pPr>
        <w:widowControl/>
        <w:adjustRightInd w:val="0"/>
        <w:snapToGrid w:val="0"/>
        <w:spacing w:line="560"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1.预算执行情况：所有预算严格按照预算法执行，我办由于人员少，存在预算下达后增加人员，后勤保障工作涉及面广，临时工作多。年初预算和当年决算数相比人员经费和公用经费没有达到只减不增要求，预算经费中人员经费是按月拔付，公用经费在预算指标内按需求拔付。</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2.中期评估:根据《中华人民共和国预算法》以及部门预算编制重点，结合本单位工作实际，编制本单位三年流动财政规划报表。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（1）我办编制县级20</w:t>
      </w:r>
      <w:r>
        <w:rPr>
          <w:rFonts w:hint="eastAsia" w:ascii="仿宋_GB2312" w:hAnsi="仿宋_GB2312" w:eastAsia="仿宋_GB2312" w:cs="仿宋_GB2312"/>
          <w:color w:val="000000"/>
          <w:kern w:val="0"/>
          <w:sz w:val="32"/>
          <w:szCs w:val="32"/>
          <w:lang w:val="en-US" w:eastAsia="zh-CN"/>
        </w:rPr>
        <w:t>17</w:t>
      </w:r>
      <w:r>
        <w:rPr>
          <w:rFonts w:hint="eastAsia" w:ascii="仿宋_GB2312" w:hAnsi="仿宋_GB2312" w:eastAsia="仿宋_GB2312" w:cs="仿宋_GB2312"/>
          <w:color w:val="000000"/>
          <w:kern w:val="0"/>
          <w:sz w:val="32"/>
          <w:szCs w:val="32"/>
          <w:lang w:val="zh-CN"/>
        </w:rPr>
        <w:t>年—20</w:t>
      </w:r>
      <w:r>
        <w:rPr>
          <w:rFonts w:hint="eastAsia" w:ascii="仿宋_GB2312" w:hAnsi="仿宋_GB2312" w:eastAsia="仿宋_GB2312" w:cs="仿宋_GB2312"/>
          <w:color w:val="000000"/>
          <w:kern w:val="0"/>
          <w:sz w:val="32"/>
          <w:szCs w:val="32"/>
          <w:lang w:val="en-US" w:eastAsia="zh-CN"/>
        </w:rPr>
        <w:t>19</w:t>
      </w:r>
      <w:r>
        <w:rPr>
          <w:rFonts w:hint="eastAsia" w:ascii="仿宋_GB2312" w:hAnsi="仿宋_GB2312" w:eastAsia="仿宋_GB2312" w:cs="仿宋_GB2312"/>
          <w:color w:val="000000"/>
          <w:kern w:val="0"/>
          <w:sz w:val="32"/>
          <w:szCs w:val="32"/>
          <w:lang w:val="zh-CN"/>
        </w:rPr>
        <w:t>年三年滚动财政规划表。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（2）我办编制县级20</w:t>
      </w:r>
      <w:r>
        <w:rPr>
          <w:rFonts w:hint="eastAsia" w:ascii="仿宋_GB2312" w:hAnsi="仿宋_GB2312" w:eastAsia="仿宋_GB2312" w:cs="仿宋_GB2312"/>
          <w:color w:val="000000"/>
          <w:kern w:val="0"/>
          <w:sz w:val="32"/>
          <w:szCs w:val="32"/>
          <w:lang w:val="en-US" w:eastAsia="zh-CN"/>
        </w:rPr>
        <w:t>19</w:t>
      </w:r>
      <w:r>
        <w:rPr>
          <w:rFonts w:hint="eastAsia" w:ascii="仿宋_GB2312" w:hAnsi="仿宋_GB2312" w:eastAsia="仿宋_GB2312" w:cs="仿宋_GB2312"/>
          <w:color w:val="000000"/>
          <w:kern w:val="0"/>
          <w:sz w:val="32"/>
          <w:szCs w:val="32"/>
          <w:lang w:val="zh-CN"/>
        </w:rPr>
        <w:t>年—20</w:t>
      </w:r>
      <w:r>
        <w:rPr>
          <w:rFonts w:hint="eastAsia" w:ascii="仿宋_GB2312" w:hAnsi="仿宋_GB2312" w:eastAsia="仿宋_GB2312" w:cs="仿宋_GB2312"/>
          <w:color w:val="000000"/>
          <w:kern w:val="0"/>
          <w:sz w:val="32"/>
          <w:szCs w:val="32"/>
          <w:lang w:val="en-US" w:eastAsia="zh-CN"/>
        </w:rPr>
        <w:t>21</w:t>
      </w:r>
      <w:r>
        <w:rPr>
          <w:rFonts w:hint="eastAsia" w:ascii="仿宋_GB2312" w:hAnsi="仿宋_GB2312" w:eastAsia="仿宋_GB2312" w:cs="仿宋_GB2312"/>
          <w:color w:val="000000"/>
          <w:kern w:val="0"/>
          <w:sz w:val="32"/>
          <w:szCs w:val="32"/>
          <w:lang w:val="zh-CN"/>
        </w:rPr>
        <w:t>年三年滚动财政规划表。</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3.节能降耗方面：电2021年、2022年预算数差别不大。</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4.三公经费预算执行情况;</w:t>
      </w:r>
    </w:p>
    <w:p>
      <w:pPr>
        <w:spacing w:line="560" w:lineRule="exact"/>
        <w:ind w:firstLine="645"/>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(1)2021年“三公”经费:2021年公务接待费</w:t>
      </w:r>
      <w:r>
        <w:rPr>
          <w:rFonts w:hint="eastAsia" w:ascii="仿宋_GB2312" w:hAnsi="仿宋_GB2312" w:eastAsia="仿宋_GB2312" w:cs="仿宋_GB2312"/>
          <w:color w:val="000000"/>
          <w:kern w:val="0"/>
          <w:sz w:val="32"/>
          <w:szCs w:val="32"/>
          <w:lang w:val="en-US" w:eastAsia="zh-CN"/>
        </w:rPr>
        <w:t>0.20</w:t>
      </w:r>
      <w:r>
        <w:rPr>
          <w:rFonts w:hint="eastAsia" w:ascii="仿宋_GB2312" w:hAnsi="仿宋_GB2312" w:eastAsia="仿宋_GB2312" w:cs="仿宋_GB2312"/>
          <w:color w:val="000000"/>
          <w:kern w:val="0"/>
          <w:sz w:val="32"/>
          <w:szCs w:val="32"/>
          <w:lang w:val="zh-CN"/>
        </w:rPr>
        <w:t>万元，2021年公务用车运行维护费0万元。</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（2）2021预算公务接待费0.2</w:t>
      </w:r>
      <w:r>
        <w:rPr>
          <w:rFonts w:hint="eastAsia" w:ascii="仿宋_GB2312" w:hAnsi="仿宋_GB2312" w:eastAsia="仿宋_GB2312" w:cs="仿宋_GB2312"/>
          <w:color w:val="000000"/>
          <w:kern w:val="0"/>
          <w:sz w:val="32"/>
          <w:szCs w:val="32"/>
          <w:lang w:val="en-US" w:eastAsia="zh-CN"/>
        </w:rPr>
        <w:t>0</w:t>
      </w:r>
      <w:r>
        <w:rPr>
          <w:rFonts w:hint="eastAsia" w:ascii="仿宋_GB2312" w:hAnsi="仿宋_GB2312" w:eastAsia="仿宋_GB2312" w:cs="仿宋_GB2312"/>
          <w:color w:val="000000"/>
          <w:kern w:val="0"/>
          <w:sz w:val="32"/>
          <w:szCs w:val="32"/>
          <w:lang w:val="zh-CN"/>
        </w:rPr>
        <w:t>万元，2022年上半年公务接待费</w:t>
      </w:r>
      <w:r>
        <w:rPr>
          <w:rFonts w:hint="eastAsia" w:ascii="仿宋_GB2312" w:hAnsi="仿宋_GB2312" w:eastAsia="仿宋_GB2312" w:cs="仿宋_GB2312"/>
          <w:color w:val="000000"/>
          <w:kern w:val="0"/>
          <w:sz w:val="32"/>
          <w:szCs w:val="32"/>
          <w:lang w:val="en-US" w:eastAsia="zh-CN"/>
        </w:rPr>
        <w:t>0.19</w:t>
      </w:r>
      <w:r>
        <w:rPr>
          <w:rFonts w:hint="eastAsia" w:ascii="仿宋_GB2312" w:hAnsi="仿宋_GB2312" w:eastAsia="仿宋_GB2312" w:cs="仿宋_GB2312"/>
          <w:color w:val="000000"/>
          <w:kern w:val="0"/>
          <w:sz w:val="32"/>
          <w:szCs w:val="32"/>
          <w:lang w:val="zh-CN"/>
        </w:rPr>
        <w:t>万元，2022年上半年公务用车维护费0万元。</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1.政府采购方面：无政府采购，零星采购严格按固定资产管理办法进行登记入账。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 2.固定资产管理方面：本单位固定资产按科学合理、优化资产结构、勤俭节约的原则和专门的资产管理系统进行管理，截止2021年12月31日，固定资产账面数</w:t>
      </w:r>
      <w:r>
        <w:rPr>
          <w:rFonts w:hint="eastAsia" w:ascii="仿宋_GB2312" w:hAnsi="仿宋_GB2312" w:eastAsia="仿宋_GB2312" w:cs="仿宋_GB2312"/>
          <w:color w:val="000000"/>
          <w:kern w:val="0"/>
          <w:sz w:val="32"/>
          <w:szCs w:val="32"/>
          <w:lang w:val="en-US" w:eastAsia="zh-CN"/>
        </w:rPr>
        <w:t>8.55</w:t>
      </w:r>
      <w:r>
        <w:rPr>
          <w:rFonts w:hint="eastAsia" w:ascii="仿宋_GB2312" w:hAnsi="仿宋_GB2312" w:eastAsia="仿宋_GB2312" w:cs="仿宋_GB2312"/>
          <w:color w:val="000000"/>
          <w:kern w:val="0"/>
          <w:sz w:val="32"/>
          <w:szCs w:val="32"/>
          <w:lang w:val="zh-CN"/>
        </w:rPr>
        <w:t>万元，固定资产账面数据和固定资产管理系统数据一至。</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3.内控制度方面:为进一步做好行政事业单位内部控制基础性工作，贯彻执行县财政局《关于开展行政事业单位内部控制报告编报工作的通知》金财〔2</w:t>
      </w:r>
      <w:r>
        <w:rPr>
          <w:rFonts w:hint="eastAsia" w:ascii="仿宋_GB2312" w:hAnsi="仿宋_GB2312" w:eastAsia="仿宋_GB2312" w:cs="仿宋_GB2312"/>
          <w:color w:val="000000"/>
          <w:kern w:val="0"/>
          <w:sz w:val="32"/>
          <w:szCs w:val="32"/>
          <w:lang w:val="en-US" w:eastAsia="zh-CN"/>
        </w:rPr>
        <w:t>017</w:t>
      </w: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35</w:t>
      </w:r>
      <w:r>
        <w:rPr>
          <w:rFonts w:hint="eastAsia" w:ascii="仿宋_GB2312" w:hAnsi="仿宋_GB2312" w:eastAsia="仿宋_GB2312" w:cs="仿宋_GB2312"/>
          <w:color w:val="000000"/>
          <w:kern w:val="0"/>
          <w:sz w:val="32"/>
          <w:szCs w:val="32"/>
          <w:lang w:val="zh-CN"/>
        </w:rPr>
        <w:t>号文件要求，结合我办实际，特制订以下制度草案。</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 xml:space="preserve">（1）金川县委编办预算业务管理制度 </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（2）金川县委编办财务收支管理制度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（3）金川县委编办政府采购管理制度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（4）金川县委编办资产管理制度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（5）金川县委编办合同管理制度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（6）金川县委编办财务管理制度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（7）金川县委编办差旅费报销制度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（8）金川县委编办考勤制度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（9）金川县委编办销假制度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（10）金川县委编办保密工作制度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11</w:t>
      </w:r>
      <w:r>
        <w:rPr>
          <w:rFonts w:hint="eastAsia" w:ascii="仿宋_GB2312" w:hAnsi="仿宋_GB2312" w:eastAsia="仿宋_GB2312" w:cs="仿宋_GB2312"/>
          <w:color w:val="000000"/>
          <w:kern w:val="0"/>
          <w:sz w:val="32"/>
          <w:szCs w:val="32"/>
          <w:lang w:val="zh-CN"/>
        </w:rPr>
        <w:t>）金川县委编办首问制度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12</w:t>
      </w:r>
      <w:r>
        <w:rPr>
          <w:rFonts w:hint="eastAsia" w:ascii="仿宋_GB2312" w:hAnsi="仿宋_GB2312" w:eastAsia="仿宋_GB2312" w:cs="仿宋_GB2312"/>
          <w:color w:val="000000"/>
          <w:kern w:val="0"/>
          <w:sz w:val="32"/>
          <w:szCs w:val="32"/>
          <w:lang w:val="zh-CN"/>
        </w:rPr>
        <w:t>）金川县委编办学习制度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13</w:t>
      </w:r>
      <w:r>
        <w:rPr>
          <w:rFonts w:hint="eastAsia" w:ascii="仿宋_GB2312" w:hAnsi="仿宋_GB2312" w:eastAsia="仿宋_GB2312" w:cs="仿宋_GB2312"/>
          <w:color w:val="000000"/>
          <w:kern w:val="0"/>
          <w:sz w:val="32"/>
          <w:szCs w:val="32"/>
          <w:lang w:val="zh-CN"/>
        </w:rPr>
        <w:t>）金川县委编办印章管理使用制度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rPr>
        <w:t>14</w:t>
      </w:r>
      <w:r>
        <w:rPr>
          <w:rFonts w:hint="eastAsia" w:ascii="仿宋_GB2312" w:hAnsi="仿宋_GB2312" w:eastAsia="仿宋_GB2312" w:cs="仿宋_GB2312"/>
          <w:color w:val="000000"/>
          <w:kern w:val="0"/>
          <w:sz w:val="32"/>
          <w:szCs w:val="32"/>
          <w:lang w:val="zh-CN"/>
        </w:rPr>
        <w:t>）金川县委编办环境卫生制度</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4.信息公开方面：预算决算公开按财政局的要求在收到财政批复后20个工作日在金川县政府中心的信息网站进行公开。</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5.绩效评价及财政监督情况:按</w:t>
      </w:r>
      <w:r>
        <w:rPr>
          <w:rFonts w:hint="eastAsia" w:ascii="仿宋_GB2312" w:eastAsia="仿宋_GB2312"/>
          <w:bCs/>
          <w:sz w:val="32"/>
          <w:szCs w:val="32"/>
        </w:rPr>
        <w:t>金财监绩</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cs="仿宋_GB2312"/>
          <w:sz w:val="32"/>
          <w:szCs w:val="32"/>
        </w:rPr>
        <w:t>22</w:t>
      </w:r>
      <w:r>
        <w:rPr>
          <w:rFonts w:hint="eastAsia" w:ascii="仿宋_GB2312" w:hAnsi="仿宋_GB2312" w:eastAsia="仿宋_GB2312" w:cs="仿宋_GB2312"/>
          <w:sz w:val="32"/>
          <w:szCs w:val="32"/>
        </w:rPr>
        <w:t>号</w:t>
      </w:r>
      <w:r>
        <w:rPr>
          <w:rFonts w:hint="eastAsia" w:ascii="仿宋_GB2312" w:hAnsi="仿宋_GB2312" w:eastAsia="仿宋_GB2312" w:cs="仿宋_GB2312"/>
          <w:color w:val="000000"/>
          <w:kern w:val="0"/>
          <w:sz w:val="32"/>
          <w:szCs w:val="32"/>
          <w:lang w:val="zh-CN"/>
        </w:rPr>
        <w:t>文件要求的附件</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部门支出绩效评价指标体系进行单位自评，按财政要求收支并接受财政的监督管理。</w:t>
      </w:r>
    </w:p>
    <w:p>
      <w:pPr>
        <w:widowControl/>
        <w:adjustRightInd w:val="0"/>
        <w:snapToGrid w:val="0"/>
        <w:spacing w:line="560" w:lineRule="exact"/>
        <w:ind w:firstLine="640" w:firstLineChars="20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lang w:val="zh-CN"/>
        </w:rPr>
        <w:t>（四）整体绩效。</w:t>
      </w:r>
    </w:p>
    <w:p>
      <w:pPr>
        <w:widowControl/>
        <w:adjustRightInd w:val="0"/>
        <w:snapToGrid w:val="0"/>
        <w:spacing w:line="560"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我办所有财政资金支出主要用于保障本部门机构正常运转、更好完成我办各项日常工作。</w:t>
      </w:r>
    </w:p>
    <w:p>
      <w:pPr>
        <w:widowControl/>
        <w:adjustRightInd w:val="0"/>
        <w:snapToGrid w:val="0"/>
        <w:spacing w:line="560" w:lineRule="exact"/>
        <w:ind w:firstLine="720"/>
        <w:jc w:val="left"/>
        <w:rPr>
          <w:rFonts w:ascii="宋体" w:hAnsi="宋体" w:cs="宋体"/>
          <w:bCs/>
          <w:color w:val="000000"/>
          <w:kern w:val="0"/>
          <w:sz w:val="32"/>
          <w:szCs w:val="32"/>
        </w:rPr>
      </w:pPr>
      <w:r>
        <w:rPr>
          <w:rFonts w:hint="eastAsia" w:ascii="宋体" w:hAnsi="宋体" w:cs="宋体"/>
          <w:bCs/>
          <w:color w:val="000000"/>
          <w:kern w:val="0"/>
          <w:sz w:val="32"/>
          <w:szCs w:val="32"/>
        </w:rPr>
        <w:t>四、评价结论及建议</w:t>
      </w:r>
    </w:p>
    <w:p>
      <w:pPr>
        <w:widowControl/>
        <w:adjustRightInd w:val="0"/>
        <w:snapToGrid w:val="0"/>
        <w:spacing w:line="560" w:lineRule="exact"/>
        <w:ind w:firstLine="72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lang w:val="zh-CN"/>
        </w:rPr>
        <w:t>（一）评价结论。</w:t>
      </w:r>
    </w:p>
    <w:p>
      <w:pPr>
        <w:widowControl/>
        <w:adjustRightInd w:val="0"/>
        <w:snapToGrid w:val="0"/>
        <w:spacing w:line="560"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按</w:t>
      </w:r>
      <w:r>
        <w:rPr>
          <w:rFonts w:hint="eastAsia" w:ascii="仿宋_GB2312" w:eastAsia="仿宋_GB2312"/>
          <w:bCs/>
          <w:sz w:val="32"/>
          <w:szCs w:val="32"/>
        </w:rPr>
        <w:t>金财监绩</w:t>
      </w:r>
      <w:r>
        <w:rPr>
          <w:rFonts w:hint="eastAsia" w:ascii="仿宋_GB2312" w:hAnsi="仿宋_GB2312" w:eastAsia="仿宋_GB2312" w:cs="仿宋_GB2312"/>
          <w:sz w:val="32"/>
          <w:szCs w:val="32"/>
        </w:rPr>
        <w:t>〔202</w:t>
      </w:r>
      <w:r>
        <w:rPr>
          <w:rFonts w:hint="eastAsia" w:ascii="仿宋_GB2312" w:hAnsi="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cs="仿宋_GB2312"/>
          <w:sz w:val="32"/>
          <w:szCs w:val="32"/>
        </w:rPr>
        <w:t>22</w:t>
      </w:r>
      <w:r>
        <w:rPr>
          <w:rFonts w:hint="eastAsia" w:ascii="仿宋_GB2312" w:hAnsi="仿宋_GB2312" w:eastAsia="仿宋_GB2312" w:cs="仿宋_GB2312"/>
          <w:sz w:val="32"/>
          <w:szCs w:val="32"/>
        </w:rPr>
        <w:t>号</w:t>
      </w:r>
      <w:r>
        <w:rPr>
          <w:rFonts w:hint="eastAsia" w:ascii="仿宋_GB2312" w:hAnsi="仿宋_GB2312" w:eastAsia="仿宋_GB2312" w:cs="仿宋_GB2312"/>
          <w:color w:val="000000"/>
          <w:kern w:val="0"/>
          <w:sz w:val="32"/>
          <w:szCs w:val="32"/>
          <w:lang w:val="zh-CN"/>
        </w:rPr>
        <w:t>文件附件</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部门支出绩效评价指标体系进行单位自评，圆满完成绩效自评工作，圆满完成中央、省、州委和县的重要工作、目标任务。</w:t>
      </w:r>
    </w:p>
    <w:p>
      <w:pPr>
        <w:widowControl/>
        <w:numPr>
          <w:ilvl w:val="0"/>
          <w:numId w:val="6"/>
        </w:numPr>
        <w:adjustRightInd w:val="0"/>
        <w:snapToGrid w:val="0"/>
        <w:spacing w:line="560" w:lineRule="exact"/>
        <w:ind w:firstLine="720"/>
        <w:jc w:val="left"/>
        <w:rPr>
          <w:rFonts w:ascii="仿宋_GB2312" w:hAnsi="仿宋_GB2312" w:eastAsia="仿宋_GB2312" w:cs="仿宋_GB2312"/>
          <w:bCs/>
          <w:color w:val="000000"/>
          <w:kern w:val="0"/>
          <w:sz w:val="32"/>
          <w:szCs w:val="32"/>
          <w:lang w:val="zh-CN"/>
        </w:rPr>
      </w:pPr>
      <w:r>
        <w:rPr>
          <w:rFonts w:hint="eastAsia" w:ascii="仿宋_GB2312" w:hAnsi="仿宋_GB2312" w:eastAsia="仿宋_GB2312" w:cs="仿宋_GB2312"/>
          <w:bCs/>
          <w:color w:val="000000"/>
          <w:kern w:val="0"/>
          <w:sz w:val="32"/>
          <w:szCs w:val="32"/>
          <w:lang w:val="zh-CN"/>
        </w:rPr>
        <w:t>存在问题。</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综合单位情况，收发文件、传递文件还不够及时；资产管理和节能工作力度还应加强；财务管理制度有待加强。</w:t>
      </w:r>
    </w:p>
    <w:p>
      <w:pPr>
        <w:widowControl/>
        <w:adjustRightInd w:val="0"/>
        <w:snapToGrid w:val="0"/>
        <w:spacing w:line="560" w:lineRule="exact"/>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color w:val="000000"/>
          <w:kern w:val="0"/>
          <w:sz w:val="32"/>
          <w:szCs w:val="32"/>
        </w:rPr>
        <w:t xml:space="preserve">     </w:t>
      </w:r>
      <w:r>
        <w:rPr>
          <w:rFonts w:hint="eastAsia" w:ascii="仿宋_GB2312" w:hAnsi="仿宋_GB2312" w:eastAsia="仿宋_GB2312" w:cs="仿宋_GB2312"/>
          <w:bCs/>
          <w:color w:val="000000"/>
          <w:kern w:val="0"/>
          <w:sz w:val="32"/>
          <w:szCs w:val="32"/>
          <w:lang w:val="zh-CN"/>
        </w:rPr>
        <w:t>（三）改进建议</w:t>
      </w:r>
      <w:r>
        <w:rPr>
          <w:rFonts w:hint="eastAsia" w:ascii="仿宋_GB2312" w:hAnsi="仿宋_GB2312" w:eastAsia="仿宋_GB2312" w:cs="仿宋_GB2312"/>
          <w:color w:val="000000"/>
          <w:kern w:val="0"/>
          <w:sz w:val="32"/>
          <w:szCs w:val="32"/>
          <w:lang w:val="zh-CN"/>
        </w:rPr>
        <w:t>。</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1</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严格按照《</w:t>
      </w:r>
      <w:bookmarkStart w:id="100" w:name="_GoBack"/>
      <w:r>
        <w:rPr>
          <w:rFonts w:hint="eastAsia" w:ascii="仿宋_GB2312" w:hAnsi="仿宋_GB2312" w:eastAsia="仿宋_GB2312" w:cs="仿宋_GB2312"/>
          <w:color w:val="000000"/>
          <w:kern w:val="0"/>
          <w:sz w:val="32"/>
          <w:szCs w:val="32"/>
          <w:lang w:val="zh-CN"/>
        </w:rPr>
        <w:t>中华人民共和国会计法</w:t>
      </w:r>
      <w:bookmarkEnd w:id="100"/>
      <w:r>
        <w:rPr>
          <w:rFonts w:hint="eastAsia" w:ascii="仿宋_GB2312" w:hAnsi="仿宋_GB2312" w:eastAsia="仿宋_GB2312" w:cs="仿宋_GB2312"/>
          <w:color w:val="000000"/>
          <w:kern w:val="0"/>
          <w:sz w:val="32"/>
          <w:szCs w:val="32"/>
          <w:lang w:val="zh-CN"/>
        </w:rPr>
        <w:t>》、《行政单位会计制度》、《行政单位财务规则》等规定执行财务核算，并结合实际情况，完整、准确地披露相关信息，尽可能地做到决算与预算相衔接。</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2</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 xml:space="preserve">进一步加强内部控制，加强内部管理；注重资金管理的事前、事中、事后的全过程监督，加强资金使用效率。 </w:t>
      </w:r>
    </w:p>
    <w:p>
      <w:pPr>
        <w:spacing w:line="560" w:lineRule="exact"/>
        <w:ind w:firstLine="645"/>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3</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zh-CN"/>
        </w:rPr>
        <w:t>加强会计核算和财务管理能力，请财政局多指导我们部门的工作，不规范的收支请及给我们指出，及时与财政局相关科室对接工作，提升工作效率。</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560" w:lineRule="exact"/>
        <w:rPr>
          <w:rFonts w:hint="eastAsia" w:ascii="仿宋_GB2312" w:hAnsi="仿宋_GB2312" w:eastAsia="仿宋_GB2312" w:cs="仿宋_GB2312"/>
          <w:color w:val="000000"/>
          <w:kern w:val="0"/>
          <w:sz w:val="32"/>
          <w:szCs w:val="32"/>
          <w:lang w:val="zh-CN"/>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both"/>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bookmarkEnd w:id="98"/>
    <w:bookmarkEnd w:id="99"/>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6"/>
          <w:jc w:val="center"/>
        </w:pPr>
        <w:r>
          <w:fldChar w:fldCharType="begin"/>
        </w:r>
        <w:r>
          <w:instrText xml:space="preserve">PAGE   \* MERGEFORMAT</w:instrText>
        </w:r>
        <w:r>
          <w:fldChar w:fldCharType="separate"/>
        </w:r>
        <w:r>
          <w:rPr>
            <w:lang w:val="zh-CN"/>
          </w:rPr>
          <w:t>20</w:t>
        </w:r>
        <w:r>
          <w:fldChar w:fldCharType="end"/>
        </w:r>
      </w:p>
    </w:sdtContent>
  </w:sdt>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1E71A5EE"/>
    <w:multiLevelType w:val="singleLevel"/>
    <w:tmpl w:val="1E71A5EE"/>
    <w:lvl w:ilvl="0" w:tentative="0">
      <w:start w:val="2"/>
      <w:numFmt w:val="chineseCounting"/>
      <w:suff w:val="nothing"/>
      <w:lvlText w:val="（%1）"/>
      <w:lvlJc w:val="left"/>
      <w:rPr>
        <w:rFonts w:hint="eastAsia"/>
      </w:rPr>
    </w:lvl>
  </w:abstractNum>
  <w:abstractNum w:abstractNumId="5">
    <w:nsid w:val="78D72DD4"/>
    <w:multiLevelType w:val="singleLevel"/>
    <w:tmpl w:val="78D72DD4"/>
    <w:lvl w:ilvl="0" w:tentative="0">
      <w:start w:val="3"/>
      <w:numFmt w:val="decimal"/>
      <w:lvlText w:val="%1."/>
      <w:lvlJc w:val="left"/>
      <w:pPr>
        <w:tabs>
          <w:tab w:val="left" w:pos="0"/>
        </w:tabs>
        <w:ind w:left="0" w:firstLine="0"/>
      </w:p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RjOTJlNzJjZmZkOTQxZDA4NjRhMDllMWM3ZmQ2OTgifQ=="/>
  </w:docVars>
  <w:rsids>
    <w:rsidRoot w:val="45B774E6"/>
    <w:rsid w:val="00004C41"/>
    <w:rsid w:val="000A4BF7"/>
    <w:rsid w:val="000B7CAC"/>
    <w:rsid w:val="001C4E3B"/>
    <w:rsid w:val="002E283A"/>
    <w:rsid w:val="004C3341"/>
    <w:rsid w:val="0055637D"/>
    <w:rsid w:val="00640159"/>
    <w:rsid w:val="0075217B"/>
    <w:rsid w:val="00773970"/>
    <w:rsid w:val="007C2780"/>
    <w:rsid w:val="00951080"/>
    <w:rsid w:val="009F6224"/>
    <w:rsid w:val="00A36DBC"/>
    <w:rsid w:val="00AE2907"/>
    <w:rsid w:val="00AE4CE0"/>
    <w:rsid w:val="00B26466"/>
    <w:rsid w:val="00BE5304"/>
    <w:rsid w:val="00C2473B"/>
    <w:rsid w:val="00CA794C"/>
    <w:rsid w:val="00EA2C68"/>
    <w:rsid w:val="00EA79F0"/>
    <w:rsid w:val="00FF51F7"/>
    <w:rsid w:val="015939D7"/>
    <w:rsid w:val="03626681"/>
    <w:rsid w:val="03F11E1F"/>
    <w:rsid w:val="057A3081"/>
    <w:rsid w:val="063A6766"/>
    <w:rsid w:val="06875975"/>
    <w:rsid w:val="06A55BCF"/>
    <w:rsid w:val="07287A93"/>
    <w:rsid w:val="08A821A0"/>
    <w:rsid w:val="0B0B305E"/>
    <w:rsid w:val="0BF85644"/>
    <w:rsid w:val="0D533B71"/>
    <w:rsid w:val="0D6576D3"/>
    <w:rsid w:val="0E2E7E3F"/>
    <w:rsid w:val="10E423B4"/>
    <w:rsid w:val="11BC1F54"/>
    <w:rsid w:val="11C07BA5"/>
    <w:rsid w:val="122037C4"/>
    <w:rsid w:val="123F2A2D"/>
    <w:rsid w:val="12C559BF"/>
    <w:rsid w:val="137C21C1"/>
    <w:rsid w:val="142D4544"/>
    <w:rsid w:val="145978E0"/>
    <w:rsid w:val="1F356B0A"/>
    <w:rsid w:val="21CA2511"/>
    <w:rsid w:val="22873CA6"/>
    <w:rsid w:val="22A95D24"/>
    <w:rsid w:val="23857453"/>
    <w:rsid w:val="25243CB6"/>
    <w:rsid w:val="264D67E3"/>
    <w:rsid w:val="2BF52E31"/>
    <w:rsid w:val="30AD71F5"/>
    <w:rsid w:val="31DF73D4"/>
    <w:rsid w:val="36F30BDD"/>
    <w:rsid w:val="39086FC9"/>
    <w:rsid w:val="39BC1FB5"/>
    <w:rsid w:val="3BF36426"/>
    <w:rsid w:val="3CA123B9"/>
    <w:rsid w:val="41B4636D"/>
    <w:rsid w:val="43744246"/>
    <w:rsid w:val="439273E6"/>
    <w:rsid w:val="449E1230"/>
    <w:rsid w:val="44CD1CA2"/>
    <w:rsid w:val="45B774E6"/>
    <w:rsid w:val="463B5970"/>
    <w:rsid w:val="483D5950"/>
    <w:rsid w:val="48B502BD"/>
    <w:rsid w:val="4CCD6EED"/>
    <w:rsid w:val="4F905F98"/>
    <w:rsid w:val="50067374"/>
    <w:rsid w:val="50412BC6"/>
    <w:rsid w:val="5329123F"/>
    <w:rsid w:val="53A5514C"/>
    <w:rsid w:val="56475B3A"/>
    <w:rsid w:val="56994FAA"/>
    <w:rsid w:val="5881407B"/>
    <w:rsid w:val="58D26C63"/>
    <w:rsid w:val="5973089F"/>
    <w:rsid w:val="5BC02A93"/>
    <w:rsid w:val="5C7F3798"/>
    <w:rsid w:val="5CAF19BD"/>
    <w:rsid w:val="61CE0B4D"/>
    <w:rsid w:val="63DA28E9"/>
    <w:rsid w:val="6488170D"/>
    <w:rsid w:val="654C6B72"/>
    <w:rsid w:val="678A0CFF"/>
    <w:rsid w:val="683967CB"/>
    <w:rsid w:val="68D6227E"/>
    <w:rsid w:val="698E2FCE"/>
    <w:rsid w:val="6A0E00A5"/>
    <w:rsid w:val="6AF77716"/>
    <w:rsid w:val="6B721C25"/>
    <w:rsid w:val="6BAA4C02"/>
    <w:rsid w:val="6F362A09"/>
    <w:rsid w:val="6FB70F5C"/>
    <w:rsid w:val="704B4B57"/>
    <w:rsid w:val="7139006E"/>
    <w:rsid w:val="71476101"/>
    <w:rsid w:val="71AF3AD7"/>
    <w:rsid w:val="758C09FB"/>
    <w:rsid w:val="75E03AAD"/>
    <w:rsid w:val="76E25CB9"/>
    <w:rsid w:val="786F437A"/>
    <w:rsid w:val="78D65518"/>
    <w:rsid w:val="791759C4"/>
    <w:rsid w:val="794621F4"/>
    <w:rsid w:val="7D4A3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
    <w:qFormat/>
    <w:uiPriority w:val="0"/>
    <w:pPr>
      <w:keepNext/>
      <w:keepLines/>
      <w:spacing w:before="260" w:after="260" w:line="415" w:lineRule="auto"/>
      <w:outlineLvl w:val="1"/>
    </w:pPr>
    <w:rPr>
      <w:rFonts w:ascii="Cambria" w:hAnsi="Cambria"/>
      <w:b/>
      <w:bCs/>
      <w:sz w:val="32"/>
      <w:szCs w:val="32"/>
    </w:rPr>
  </w:style>
  <w:style w:type="character" w:default="1" w:styleId="11">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toc 3"/>
    <w:basedOn w:val="1"/>
    <w:next w:val="1"/>
    <w:qFormat/>
    <w:uiPriority w:val="0"/>
    <w:pPr>
      <w:ind w:left="840" w:leftChars="400"/>
    </w:p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8">
    <w:name w:val="toc 1"/>
    <w:basedOn w:val="1"/>
    <w:next w:val="1"/>
    <w:qFormat/>
    <w:uiPriority w:val="0"/>
    <w:pPr>
      <w:tabs>
        <w:tab w:val="right" w:leader="dot" w:pos="8296"/>
      </w:tabs>
      <w:spacing w:before="93"/>
      <w:jc w:val="center"/>
    </w:pPr>
    <w:rPr>
      <w:rFonts w:ascii="仿宋" w:eastAsia="仿宋"/>
      <w:sz w:val="28"/>
      <w:szCs w:val="28"/>
    </w:rPr>
  </w:style>
  <w:style w:type="paragraph" w:styleId="9">
    <w:name w:val="toc 2"/>
    <w:basedOn w:val="1"/>
    <w:next w:val="1"/>
    <w:qFormat/>
    <w:uiPriority w:val="0"/>
    <w:pPr>
      <w:tabs>
        <w:tab w:val="right" w:leader="dot" w:pos="8296"/>
      </w:tabs>
      <w:ind w:left="200" w:leftChars="200"/>
    </w:p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customStyle="1" w:styleId="14">
    <w:name w:val="标题 1 Char"/>
    <w:basedOn w:val="11"/>
    <w:link w:val="2"/>
    <w:qFormat/>
    <w:uiPriority w:val="0"/>
    <w:rPr>
      <w:b/>
      <w:bCs/>
      <w:kern w:val="44"/>
      <w:sz w:val="44"/>
      <w:szCs w:val="44"/>
    </w:rPr>
  </w:style>
  <w:style w:type="character" w:customStyle="1" w:styleId="15">
    <w:name w:val="标题 2 Char"/>
    <w:basedOn w:val="11"/>
    <w:link w:val="3"/>
    <w:qFormat/>
    <w:uiPriority w:val="0"/>
    <w:rPr>
      <w:rFonts w:ascii="Cambria" w:hAnsi="Cambria" w:eastAsia="宋体" w:cs="Times New Roman"/>
      <w:b/>
      <w:bCs/>
      <w:sz w:val="32"/>
      <w:szCs w:val="32"/>
    </w:rPr>
  </w:style>
  <w:style w:type="paragraph" w:customStyle="1" w:styleId="16">
    <w:name w:val="List Paragraph"/>
    <w:basedOn w:val="1"/>
    <w:qFormat/>
    <w:uiPriority w:val="0"/>
    <w:pPr>
      <w:ind w:firstLine="200" w:firstLineChars="200"/>
    </w:pPr>
  </w:style>
  <w:style w:type="paragraph" w:customStyle="1" w:styleId="1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18">
    <w:name w:val="批注框文本 Char"/>
    <w:basedOn w:val="11"/>
    <w:link w:val="5"/>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image" Target="media/image1.png"/><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36130;&#21153;\2020&#24180;\2020&#24180;&#20915;&#31639;\&#20915;&#31639;&#2227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04051367835268"/>
          <c:y val="0.139062387435455"/>
          <c:w val="0.763971347331585"/>
          <c:h val="0.699057643111067"/>
        </c:manualLayout>
      </c:layout>
      <c:barChart>
        <c:barDir val="col"/>
        <c:grouping val="clustered"/>
        <c:varyColors val="0"/>
        <c:ser>
          <c:idx val="0"/>
          <c:order val="0"/>
          <c:tx>
            <c:strRef>
              <c:f>[决算图1.xlsx]Sheet1!$A$122</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[决算图1.xlsx]Sheet1!$B$121:$C$121</c:f>
              <c:numCache>
                <c:formatCode>General</c:formatCode>
                <c:ptCount val="2"/>
                <c:pt idx="0">
                  <c:v>2020</c:v>
                </c:pt>
                <c:pt idx="1">
                  <c:v>2021</c:v>
                </c:pt>
              </c:numCache>
            </c:numRef>
          </c:cat>
          <c:val>
            <c:numRef>
              <c:f>[决算图1.xlsx]Sheet1!$B$122:$C$122</c:f>
              <c:numCache>
                <c:formatCode>General</c:formatCode>
                <c:ptCount val="2"/>
                <c:pt idx="0">
                  <c:v>185.24</c:v>
                </c:pt>
                <c:pt idx="1">
                  <c:v>215.98</c:v>
                </c:pt>
              </c:numCache>
            </c:numRef>
          </c:val>
        </c:ser>
        <c:ser>
          <c:idx val="1"/>
          <c:order val="1"/>
          <c:tx>
            <c:strRef>
              <c:f>[决算图1.xlsx]Sheet1!$A$123</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[决算图1.xlsx]Sheet1!$B$121:$C$121</c:f>
              <c:numCache>
                <c:formatCode>General</c:formatCode>
                <c:ptCount val="2"/>
                <c:pt idx="0">
                  <c:v>2020</c:v>
                </c:pt>
                <c:pt idx="1">
                  <c:v>2021</c:v>
                </c:pt>
              </c:numCache>
            </c:numRef>
          </c:cat>
          <c:val>
            <c:numRef>
              <c:f>[决算图1.xlsx]Sheet1!$B$123:$C$123</c:f>
              <c:numCache>
                <c:formatCode>General</c:formatCode>
                <c:ptCount val="2"/>
                <c:pt idx="0">
                  <c:v>185.24</c:v>
                </c:pt>
                <c:pt idx="1">
                  <c:v>215.98</c:v>
                </c:pt>
              </c:numCache>
            </c:numRef>
          </c:val>
        </c:ser>
        <c:dLbls>
          <c:showLegendKey val="0"/>
          <c:showVal val="1"/>
          <c:showCatName val="0"/>
          <c:showSerName val="0"/>
          <c:showPercent val="0"/>
          <c:showBubbleSize val="0"/>
        </c:dLbls>
        <c:gapWidth val="150"/>
        <c:axId val="63219200"/>
        <c:axId val="63220736"/>
      </c:barChart>
      <c:catAx>
        <c:axId val="632192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220736"/>
        <c:crosses val="autoZero"/>
        <c:auto val="1"/>
        <c:lblAlgn val="ctr"/>
        <c:lblOffset val="100"/>
        <c:noMultiLvlLbl val="0"/>
      </c:catAx>
      <c:valAx>
        <c:axId val="6322073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219200"/>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481944444444444"/>
          <c:y val="0.214974358974359"/>
          <c:w val="0.765555555555557"/>
          <c:h val="0.778871794871796"/>
        </c:manualLayout>
      </c:layout>
      <c:pieChart>
        <c:varyColors val="1"/>
        <c:ser>
          <c:idx val="0"/>
          <c:order val="0"/>
          <c:tx>
            <c:strRef>
              <c:f>[决算图1.xlsx]Sheet1!$B$28</c:f>
              <c:strCache>
                <c:ptCount val="1"/>
                <c:pt idx="0">
                  <c:v>支出决算结构图</c:v>
                </c:pt>
              </c:strCache>
            </c:strRef>
          </c:tx>
          <c:explosion val="0"/>
          <c:dPt>
            <c:idx val="0"/>
            <c:bubble3D val="0"/>
          </c:dPt>
          <c:dPt>
            <c:idx val="1"/>
            <c:bubble3D val="0"/>
          </c:dPt>
          <c:dLbls>
            <c:delete val="1"/>
          </c:dLbls>
          <c:cat>
            <c:strRef>
              <c:f>[决算图1.xlsx]Sheet1!$A$29:$A$30</c:f>
              <c:strCache>
                <c:ptCount val="2"/>
                <c:pt idx="0">
                  <c:v>基本支出</c:v>
                </c:pt>
                <c:pt idx="1">
                  <c:v>项目支出</c:v>
                </c:pt>
              </c:strCache>
            </c:strRef>
          </c:cat>
          <c:val>
            <c:numRef>
              <c:f>[决算图1.xlsx]Sheet1!$B$29:$B$30</c:f>
              <c:numCache>
                <c:formatCode>General</c:formatCode>
                <c:ptCount val="2"/>
                <c:pt idx="0">
                  <c:v>100</c:v>
                </c:pt>
                <c:pt idx="1">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071741032371"/>
          <c:y val="0.183656854213978"/>
          <c:w val="0.763971347331585"/>
          <c:h val="0.72631024895473"/>
        </c:manualLayout>
      </c:layout>
      <c:barChart>
        <c:barDir val="col"/>
        <c:grouping val="clustered"/>
        <c:varyColors val="0"/>
        <c:ser>
          <c:idx val="0"/>
          <c:order val="0"/>
          <c:tx>
            <c:strRef>
              <c:f>[决算图1.xlsx]Sheet1!$A$229</c:f>
              <c:strCache>
                <c:ptCount val="1"/>
                <c:pt idx="0">
                  <c:v>收入</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[决算图1.xlsx]Sheet1!$B$228:$C$228</c:f>
              <c:numCache>
                <c:formatCode>General</c:formatCode>
                <c:ptCount val="2"/>
                <c:pt idx="0">
                  <c:v>2020</c:v>
                </c:pt>
                <c:pt idx="1">
                  <c:v>2021</c:v>
                </c:pt>
              </c:numCache>
            </c:numRef>
          </c:cat>
          <c:val>
            <c:numRef>
              <c:f>[决算图1.xlsx]Sheet1!$B$229:$C$229</c:f>
              <c:numCache>
                <c:formatCode>General</c:formatCode>
                <c:ptCount val="2"/>
                <c:pt idx="0">
                  <c:v>185.24</c:v>
                </c:pt>
                <c:pt idx="1">
                  <c:v>215.98</c:v>
                </c:pt>
              </c:numCache>
            </c:numRef>
          </c:val>
        </c:ser>
        <c:ser>
          <c:idx val="1"/>
          <c:order val="1"/>
          <c:tx>
            <c:strRef>
              <c:f>[决算图1.xlsx]Sheet1!$A$230</c:f>
              <c:strCache>
                <c:ptCount val="1"/>
                <c:pt idx="0">
                  <c:v>支出</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[决算图1.xlsx]Sheet1!$B$228:$C$228</c:f>
              <c:numCache>
                <c:formatCode>General</c:formatCode>
                <c:ptCount val="2"/>
                <c:pt idx="0">
                  <c:v>2020</c:v>
                </c:pt>
                <c:pt idx="1">
                  <c:v>2021</c:v>
                </c:pt>
              </c:numCache>
            </c:numRef>
          </c:cat>
          <c:val>
            <c:numRef>
              <c:f>[决算图1.xlsx]Sheet1!$B$230:$C$230</c:f>
              <c:numCache>
                <c:formatCode>General</c:formatCode>
                <c:ptCount val="2"/>
                <c:pt idx="0">
                  <c:v>185.24</c:v>
                </c:pt>
                <c:pt idx="1">
                  <c:v>215.98</c:v>
                </c:pt>
              </c:numCache>
            </c:numRef>
          </c:val>
        </c:ser>
        <c:dLbls>
          <c:showLegendKey val="0"/>
          <c:showVal val="1"/>
          <c:showCatName val="0"/>
          <c:showSerName val="0"/>
          <c:showPercent val="0"/>
          <c:showBubbleSize val="0"/>
        </c:dLbls>
        <c:gapWidth val="150"/>
        <c:axId val="63387136"/>
        <c:axId val="63388672"/>
      </c:barChart>
      <c:catAx>
        <c:axId val="6338713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388672"/>
        <c:crosses val="autoZero"/>
        <c:auto val="1"/>
        <c:lblAlgn val="ctr"/>
        <c:lblOffset val="100"/>
        <c:noMultiLvlLbl val="0"/>
      </c:catAx>
      <c:valAx>
        <c:axId val="633886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387136"/>
        <c:crosses val="autoZero"/>
        <c:crossBetween val="between"/>
      </c:valAx>
      <c:spPr>
        <a:solidFill>
          <a:schemeClr val="bg1"/>
        </a:solid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[决算图1.xlsx]Sheet1!$B$143</c:f>
              <c:strCache>
                <c:ptCount val="1"/>
                <c:pt idx="0">
                  <c:v>一般公共预算财政拨款支出决算变动情况</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[决算图1.xlsx]Sheet1!$A$144:$A$145</c:f>
              <c:strCache>
                <c:ptCount val="2"/>
                <c:pt idx="0">
                  <c:v>2020年</c:v>
                </c:pt>
                <c:pt idx="1">
                  <c:v>2021年</c:v>
                </c:pt>
              </c:strCache>
            </c:strRef>
          </c:cat>
          <c:val>
            <c:numRef>
              <c:f>[决算图1.xlsx]Sheet1!$B$144:$B$145</c:f>
              <c:numCache>
                <c:formatCode>General</c:formatCode>
                <c:ptCount val="2"/>
                <c:pt idx="0">
                  <c:v>185.24</c:v>
                </c:pt>
                <c:pt idx="1">
                  <c:v>215.98</c:v>
                </c:pt>
              </c:numCache>
            </c:numRef>
          </c:val>
        </c:ser>
        <c:dLbls>
          <c:showLegendKey val="0"/>
          <c:showVal val="1"/>
          <c:showCatName val="0"/>
          <c:showSerName val="0"/>
          <c:showPercent val="0"/>
          <c:showBubbleSize val="0"/>
        </c:dLbls>
        <c:gapWidth val="150"/>
        <c:axId val="63310464"/>
        <c:axId val="63320448"/>
      </c:barChart>
      <c:catAx>
        <c:axId val="633104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320448"/>
        <c:crosses val="autoZero"/>
        <c:auto val="1"/>
        <c:lblAlgn val="ctr"/>
        <c:lblOffset val="100"/>
        <c:noMultiLvlLbl val="0"/>
      </c:catAx>
      <c:valAx>
        <c:axId val="6332044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3310464"/>
        <c:crosses val="autoZero"/>
        <c:crossBetween val="between"/>
      </c:valAx>
      <c:spPr>
        <a:solidFill>
          <a:schemeClr val="bg1"/>
        </a:solidFill>
        <a:ln>
          <a:noFill/>
        </a:ln>
        <a:effectLst/>
      </c:spPr>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7532</Words>
  <Characters>8370</Characters>
  <Lines>27</Lines>
  <Paragraphs>22</Paragraphs>
  <TotalTime>1</TotalTime>
  <ScaleCrop>false</ScaleCrop>
  <LinksUpToDate>false</LinksUpToDate>
  <CharactersWithSpaces>8449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2022-08-31T03:35:00Z</dcterms:created>
  <dc:creator>云淡风清</dc:creator>
  <cp:lastModifiedBy>云淡风清</cp:lastModifiedBy>
  <dcterms:modified xsi:type="dcterms:W3CDTF">2023-09-20T02:24:09Z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C73117413C084CED96E3C0832D4C2780</vt:lpwstr>
  </property>
</Properties>
</file>