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9F7DAF"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金川县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城乡居民养老保险事务中心</w:t>
      </w:r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2025年部门</w:t>
      </w:r>
      <w:r>
        <w:rPr>
          <w:rFonts w:ascii="Times New Roman" w:hAnsi="Times New Roman" w:eastAsia="方正小标宋_GBK" w:cs="Times New Roman"/>
          <w:sz w:val="44"/>
          <w:szCs w:val="44"/>
        </w:rPr>
        <w:t>预算绩效目标</w:t>
      </w:r>
    </w:p>
    <w:p w14:paraId="0C73DA69"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  <w:lang w:eastAsia="zh-CN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情况说明</w:t>
      </w:r>
    </w:p>
    <w:p w14:paraId="268AA12E">
      <w:pPr>
        <w:pStyle w:val="2"/>
        <w:jc w:val="left"/>
      </w:pPr>
    </w:p>
    <w:p w14:paraId="64F22957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2025年，我单位部门预算675.27万元 ，均严格按绩效管理要求实现项目绩效目标管理，其中重点项目预算5个，现将情况说明如下：</w:t>
      </w:r>
    </w:p>
    <w:p w14:paraId="102A6070">
      <w:pPr>
        <w:spacing w:line="560" w:lineRule="exact"/>
        <w:ind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 w14:paraId="409DBC54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完成了2025年本级部门预算整体绩效目标申报和5个项目预算绩效目标申报，并编报5个项目预算事前绩效评估报告。</w:t>
      </w:r>
    </w:p>
    <w:p w14:paraId="7687DB14">
      <w:pPr>
        <w:numPr>
          <w:ilvl w:val="0"/>
          <w:numId w:val="1"/>
        </w:num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单位整体绩效目标。</w:t>
      </w:r>
    </w:p>
    <w:tbl>
      <w:tblPr>
        <w:tblStyle w:val="7"/>
        <w:tblW w:w="833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73"/>
        <w:gridCol w:w="701"/>
        <w:gridCol w:w="1352"/>
        <w:gridCol w:w="1514"/>
        <w:gridCol w:w="1022"/>
        <w:gridCol w:w="692"/>
        <w:gridCol w:w="802"/>
        <w:gridCol w:w="1780"/>
      </w:tblGrid>
      <w:tr w14:paraId="2F034A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36" w:type="dxa"/>
            <w:gridSpan w:val="8"/>
            <w:shd w:val="clear" w:color="auto" w:fill="auto"/>
            <w:vAlign w:val="center"/>
          </w:tcPr>
          <w:p w14:paraId="17C61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2025 年度部门整体绩效目标</w:t>
            </w:r>
          </w:p>
        </w:tc>
      </w:tr>
      <w:tr w14:paraId="11340B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0" w:hRule="atLeast"/>
        </w:trPr>
        <w:tc>
          <w:tcPr>
            <w:tcW w:w="4040" w:type="dxa"/>
            <w:gridSpan w:val="4"/>
            <w:shd w:val="clear" w:color="auto" w:fill="auto"/>
            <w:vAlign w:val="center"/>
          </w:tcPr>
          <w:p w14:paraId="679092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部门（单位）：163-金川县城乡居民养老保险事务中心本级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707F95F7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274" w:type="dxa"/>
            <w:gridSpan w:val="3"/>
            <w:shd w:val="clear" w:color="auto" w:fill="auto"/>
            <w:vAlign w:val="center"/>
          </w:tcPr>
          <w:p w14:paraId="73013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状态：财政业务股审核已审</w:t>
            </w:r>
          </w:p>
        </w:tc>
      </w:tr>
      <w:tr w14:paraId="0485CD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 w14:paraId="1B1F9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取时点数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 w14:paraId="36C35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年度部门整体预算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 w14:paraId="7A4B3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资金总额(元)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 w14:paraId="4392B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财政拨款(元)</w:t>
            </w:r>
          </w:p>
        </w:tc>
        <w:tc>
          <w:tcPr>
            <w:tcW w:w="42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 w14:paraId="1765C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其他资金(元)</w:t>
            </w:r>
          </w:p>
        </w:tc>
      </w:tr>
      <w:tr w14:paraId="1B47CD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4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95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二上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5BC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收入预算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0F1E8"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3E9ED"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32CB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165B9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4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EA71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FAF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支出预算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72B1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6,752,732.46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F959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6,752,732.46</w:t>
            </w:r>
          </w:p>
        </w:tc>
        <w:tc>
          <w:tcPr>
            <w:tcW w:w="4296" w:type="dxa"/>
            <w:gridSpan w:val="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CF19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928BD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20" w:hRule="atLeast"/>
        </w:trPr>
        <w:tc>
          <w:tcPr>
            <w:tcW w:w="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E0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年度总体目标</w:t>
            </w:r>
          </w:p>
        </w:tc>
        <w:tc>
          <w:tcPr>
            <w:tcW w:w="786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15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负责全县城乡居民养老保险业务经办；审核、检查、指导各乡镇、村办理相关业务经办；负责全县参保扩面；负责发放城乡居民养老金及死亡冒领追回；为失地农民代缴养老保险。</w:t>
            </w:r>
          </w:p>
        </w:tc>
      </w:tr>
      <w:tr w14:paraId="0774C2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833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F5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管理效率</w:t>
            </w:r>
          </w:p>
        </w:tc>
      </w:tr>
      <w:tr w14:paraId="44A478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0" w:hRule="atLeast"/>
        </w:trPr>
        <w:tc>
          <w:tcPr>
            <w:tcW w:w="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 w14:paraId="19821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 w14:paraId="7CACA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 w14:paraId="0F3C1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 w14:paraId="179A9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指标值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 w14:paraId="63829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三年均值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 w14:paraId="4C11D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2022年指标值 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 w14:paraId="25FFD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2023年指标值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 w14:paraId="46594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2024年指标值 </w:t>
            </w:r>
          </w:p>
        </w:tc>
      </w:tr>
      <w:tr w14:paraId="1400B9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0F8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4E8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预算管理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949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财政拨款预算偏离度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D5E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-7.31%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3BDF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-7.31%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3B1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17.19%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3B18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-10.53%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303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-28.58%</w:t>
            </w:r>
          </w:p>
        </w:tc>
      </w:tr>
      <w:tr w14:paraId="0339EA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B23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E70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预算管理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5A8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预算年终结余率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79E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1.03%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DC2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1.03%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09FD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0.37%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5B8E1"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963A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1.69%</w:t>
            </w:r>
          </w:p>
        </w:tc>
      </w:tr>
      <w:tr w14:paraId="79D785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608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4CB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预算管理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244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一般性支出金额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3786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60,400.00元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E9F7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60,400.00元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935D1"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A6770"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081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60,400.00元</w:t>
            </w:r>
          </w:p>
        </w:tc>
      </w:tr>
      <w:tr w14:paraId="57D4F2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1DA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0C6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B78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财务管理规范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3C36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FC240"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B7483"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CD9EE"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B77B3"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65956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8336" w:type="dxa"/>
            <w:gridSpan w:val="8"/>
            <w:shd w:val="clear" w:color="auto" w:fill="auto"/>
            <w:vAlign w:val="center"/>
          </w:tcPr>
          <w:p w14:paraId="4D5C5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履职效能</w:t>
            </w:r>
          </w:p>
        </w:tc>
      </w:tr>
      <w:tr w14:paraId="58A47F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 w14:paraId="63F40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 w14:paraId="4C450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 w14:paraId="3709F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5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 w14:paraId="7CEE3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指标值（包含数字及文字描述）</w:t>
            </w:r>
          </w:p>
        </w:tc>
      </w:tr>
      <w:tr w14:paraId="5DBB0C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</w:trPr>
        <w:tc>
          <w:tcPr>
            <w:tcW w:w="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510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798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可持续发展指标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75F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确保我县60周岁及以上老年人基本生活保障率</w:t>
            </w:r>
          </w:p>
        </w:tc>
        <w:tc>
          <w:tcPr>
            <w:tcW w:w="5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21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保障城乡生活水平提高，最低养老金163元/人/月。</w:t>
            </w:r>
          </w:p>
        </w:tc>
      </w:tr>
      <w:tr w14:paraId="52B026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</w:trPr>
        <w:tc>
          <w:tcPr>
            <w:tcW w:w="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1AC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209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45B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确保城乡居民应保尽保、应发尽发率</w:t>
            </w:r>
          </w:p>
        </w:tc>
        <w:tc>
          <w:tcPr>
            <w:tcW w:w="5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F9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保障60周岁城乡居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养老金发放的准确</w:t>
            </w:r>
          </w:p>
        </w:tc>
      </w:tr>
      <w:tr w14:paraId="51049B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9E6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7D8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583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城乡居民养老保险参保、缴费截止日期12月25日</w:t>
            </w:r>
          </w:p>
        </w:tc>
        <w:tc>
          <w:tcPr>
            <w:tcW w:w="5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07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每年缴费终止日期</w:t>
            </w:r>
          </w:p>
        </w:tc>
      </w:tr>
      <w:tr w14:paraId="1DEFE9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0E9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64A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11F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预算编制准确率</w:t>
            </w:r>
          </w:p>
        </w:tc>
        <w:tc>
          <w:tcPr>
            <w:tcW w:w="5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64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预算偏离度。</w:t>
            </w:r>
          </w:p>
        </w:tc>
      </w:tr>
      <w:tr w14:paraId="7D4C39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245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263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5B4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城乡居民养老保险覆盖人数</w:t>
            </w:r>
          </w:p>
        </w:tc>
        <w:tc>
          <w:tcPr>
            <w:tcW w:w="5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60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城乡居民参保人数。</w:t>
            </w:r>
          </w:p>
        </w:tc>
      </w:tr>
    </w:tbl>
    <w:p w14:paraId="565BE6D9">
      <w:pPr>
        <w:pStyle w:val="2"/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3DC0A620">
      <w:p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三、重点项目绩效目标。</w:t>
      </w:r>
    </w:p>
    <w:p w14:paraId="42C58E66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重点项目1：单位申报项目名称：城乡居民养老保险缴费档次补助</w:t>
      </w:r>
    </w:p>
    <w:p w14:paraId="659D224A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项目年度绩效目标：绩效指标设置情况：细化指标8个，包括产出指标、成本指标、效益指标和满意度指标。</w:t>
      </w:r>
    </w:p>
    <w:p w14:paraId="6E68C59A"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1F62B92A"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5AE62372"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5551FFF2"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tbl>
      <w:tblPr>
        <w:tblStyle w:val="7"/>
        <w:tblW w:w="833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71"/>
        <w:gridCol w:w="936"/>
        <w:gridCol w:w="935"/>
        <w:gridCol w:w="1094"/>
        <w:gridCol w:w="648"/>
        <w:gridCol w:w="649"/>
        <w:gridCol w:w="1019"/>
        <w:gridCol w:w="671"/>
        <w:gridCol w:w="654"/>
        <w:gridCol w:w="373"/>
        <w:gridCol w:w="374"/>
        <w:gridCol w:w="312"/>
      </w:tblGrid>
      <w:tr w14:paraId="36D4C5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8336" w:type="dxa"/>
            <w:gridSpan w:val="12"/>
            <w:tcBorders>
              <w:bottom w:val="single" w:color="FFFFFF" w:sz="4" w:space="0"/>
              <w:right w:val="single" w:color="FFFFFF" w:sz="4" w:space="0"/>
            </w:tcBorders>
            <w:shd w:val="clear" w:color="auto" w:fill="auto"/>
            <w:vAlign w:val="center"/>
          </w:tcPr>
          <w:p w14:paraId="3047F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Calibri"/>
                <w:b/>
                <w:i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年度绩效目标表</w:t>
            </w:r>
          </w:p>
        </w:tc>
      </w:tr>
      <w:tr w14:paraId="251AB7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 w:hRule="atLeast"/>
        </w:trPr>
        <w:tc>
          <w:tcPr>
            <w:tcW w:w="671" w:type="dxa"/>
            <w:tcBorders>
              <w:top w:val="single" w:color="FFFFFF" w:sz="4" w:space="0"/>
              <w:left w:val="single" w:color="FFFFFF" w:sz="4" w:space="0"/>
              <w:right w:val="single" w:color="FFFFFF" w:sz="4" w:space="0"/>
            </w:tcBorders>
            <w:shd w:val="clear" w:color="auto" w:fill="auto"/>
            <w:vAlign w:val="center"/>
          </w:tcPr>
          <w:p w14:paraId="34EA9409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op w:val="single" w:color="FFFFFF" w:sz="4" w:space="0"/>
              <w:left w:val="single" w:color="FFFFFF" w:sz="4" w:space="0"/>
              <w:right w:val="single" w:color="FFFFFF" w:sz="4" w:space="0"/>
            </w:tcBorders>
            <w:shd w:val="clear" w:color="auto" w:fill="auto"/>
            <w:vAlign w:val="center"/>
          </w:tcPr>
          <w:p w14:paraId="0DB419B2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5" w:type="dxa"/>
            <w:tcBorders>
              <w:top w:val="single" w:color="FFFFFF" w:sz="4" w:space="0"/>
              <w:left w:val="single" w:color="FFFFFF" w:sz="4" w:space="0"/>
              <w:right w:val="single" w:color="FFFFFF" w:sz="4" w:space="0"/>
            </w:tcBorders>
            <w:shd w:val="clear" w:color="auto" w:fill="auto"/>
            <w:vAlign w:val="center"/>
          </w:tcPr>
          <w:p w14:paraId="20C755C1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4" w:type="dxa"/>
            <w:tcBorders>
              <w:top w:val="single" w:color="FFFFFF" w:sz="4" w:space="0"/>
              <w:left w:val="single" w:color="FFFFFF" w:sz="4" w:space="0"/>
              <w:right w:val="single" w:color="FFFFFF" w:sz="4" w:space="0"/>
            </w:tcBorders>
            <w:shd w:val="clear" w:color="auto" w:fill="auto"/>
            <w:vAlign w:val="center"/>
          </w:tcPr>
          <w:p w14:paraId="515E395B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8" w:type="dxa"/>
            <w:tcBorders>
              <w:top w:val="single" w:color="FFFFFF" w:sz="4" w:space="0"/>
              <w:left w:val="single" w:color="FFFFFF" w:sz="4" w:space="0"/>
              <w:right w:val="single" w:color="FFFFFF" w:sz="4" w:space="0"/>
            </w:tcBorders>
            <w:shd w:val="clear" w:color="auto" w:fill="auto"/>
            <w:vAlign w:val="center"/>
          </w:tcPr>
          <w:p w14:paraId="397AE62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9" w:type="dxa"/>
            <w:tcBorders>
              <w:top w:val="single" w:color="FFFFFF" w:sz="4" w:space="0"/>
              <w:left w:val="single" w:color="FFFFFF" w:sz="4" w:space="0"/>
              <w:right w:val="single" w:color="FFFFFF" w:sz="4" w:space="0"/>
            </w:tcBorders>
            <w:shd w:val="clear" w:color="auto" w:fill="auto"/>
            <w:vAlign w:val="center"/>
          </w:tcPr>
          <w:p w14:paraId="55B0F4D1"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19" w:type="dxa"/>
            <w:tcBorders>
              <w:top w:val="single" w:color="FFFFFF" w:sz="4" w:space="0"/>
              <w:left w:val="single" w:color="FFFFFF" w:sz="4" w:space="0"/>
              <w:right w:val="single" w:color="FFFFFF" w:sz="4" w:space="0"/>
            </w:tcBorders>
            <w:shd w:val="clear" w:color="auto" w:fill="auto"/>
            <w:vAlign w:val="center"/>
          </w:tcPr>
          <w:p w14:paraId="19E1CB41"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1" w:type="dxa"/>
            <w:tcBorders>
              <w:top w:val="single" w:color="FFFFFF" w:sz="4" w:space="0"/>
              <w:left w:val="single" w:color="FFFFFF" w:sz="4" w:space="0"/>
              <w:right w:val="single" w:color="FFFFFF" w:sz="4" w:space="0"/>
            </w:tcBorders>
            <w:shd w:val="clear" w:color="auto" w:fill="auto"/>
            <w:vAlign w:val="center"/>
          </w:tcPr>
          <w:p w14:paraId="67C2E22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4" w:type="dxa"/>
            <w:tcBorders>
              <w:top w:val="single" w:color="FFFFFF" w:sz="4" w:space="0"/>
              <w:left w:val="single" w:color="FFFFFF" w:sz="4" w:space="0"/>
              <w:right w:val="single" w:color="FFFFFF" w:sz="4" w:space="0"/>
            </w:tcBorders>
            <w:shd w:val="clear" w:color="auto" w:fill="auto"/>
            <w:vAlign w:val="center"/>
          </w:tcPr>
          <w:p w14:paraId="07AA7286"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3" w:type="dxa"/>
            <w:tcBorders>
              <w:top w:val="single" w:color="FFFFFF" w:sz="4" w:space="0"/>
              <w:left w:val="single" w:color="FFFFFF" w:sz="4" w:space="0"/>
              <w:right w:val="single" w:color="FFFFFF" w:sz="4" w:space="0"/>
            </w:tcBorders>
            <w:shd w:val="clear" w:color="auto" w:fill="auto"/>
            <w:vAlign w:val="center"/>
          </w:tcPr>
          <w:p w14:paraId="46880674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4" w:type="dxa"/>
            <w:tcBorders>
              <w:top w:val="single" w:color="FFFFFF" w:sz="4" w:space="0"/>
              <w:left w:val="single" w:color="FFFFFF" w:sz="4" w:space="0"/>
              <w:right w:val="single" w:color="FFFFFF" w:sz="4" w:space="0"/>
            </w:tcBorders>
            <w:shd w:val="clear" w:color="auto" w:fill="auto"/>
            <w:vAlign w:val="center"/>
          </w:tcPr>
          <w:p w14:paraId="0497BF3E"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2" w:type="dxa"/>
            <w:tcBorders>
              <w:top w:val="single" w:color="FFFFFF" w:sz="4" w:space="0"/>
              <w:left w:val="single" w:color="FFFFFF" w:sz="4" w:space="0"/>
              <w:right w:val="single" w:color="FFFFFF" w:sz="4" w:space="0"/>
            </w:tcBorders>
            <w:shd w:val="clear" w:color="auto" w:fill="auto"/>
            <w:vAlign w:val="center"/>
          </w:tcPr>
          <w:p w14:paraId="0ACBC770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53A289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8DE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单位信息：</w:t>
            </w:r>
          </w:p>
        </w:tc>
        <w:tc>
          <w:tcPr>
            <w:tcW w:w="18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5AF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163001-金川县城乡居民养老保险事务中心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D2B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预算项目：</w:t>
            </w:r>
          </w:p>
        </w:tc>
        <w:tc>
          <w:tcPr>
            <w:tcW w:w="23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3EF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51322623T000007928102-城乡居民养老保险缴费档次补助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6228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职能职责与活动：</w:t>
            </w:r>
          </w:p>
        </w:tc>
        <w:tc>
          <w:tcPr>
            <w:tcW w:w="171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3CA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13-统筹计划股/01-统筹计划</w:t>
            </w:r>
          </w:p>
        </w:tc>
      </w:tr>
      <w:tr w14:paraId="74D5EA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97C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主管部门：</w:t>
            </w:r>
          </w:p>
        </w:tc>
        <w:tc>
          <w:tcPr>
            <w:tcW w:w="18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45C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163-金川县城乡居民养老保险事务中心本级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900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项目经办人：</w:t>
            </w:r>
          </w:p>
        </w:tc>
        <w:tc>
          <w:tcPr>
            <w:tcW w:w="12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00B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杨芳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EF1D4"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202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项目总额：</w:t>
            </w:r>
          </w:p>
        </w:tc>
        <w:tc>
          <w:tcPr>
            <w:tcW w:w="14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0CBB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182.73</w:t>
            </w:r>
          </w:p>
        </w:tc>
        <w:tc>
          <w:tcPr>
            <w:tcW w:w="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5A7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万元</w:t>
            </w:r>
          </w:p>
        </w:tc>
      </w:tr>
      <w:tr w14:paraId="0763B4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723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预算执行率权重：</w:t>
            </w:r>
          </w:p>
        </w:tc>
        <w:tc>
          <w:tcPr>
            <w:tcW w:w="18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2AE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09BB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项目经办人电话：：</w:t>
            </w:r>
          </w:p>
        </w:tc>
        <w:tc>
          <w:tcPr>
            <w:tcW w:w="12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60A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15108171555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2FE23"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E156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其中： 财政资金：</w:t>
            </w:r>
          </w:p>
        </w:tc>
        <w:tc>
          <w:tcPr>
            <w:tcW w:w="7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A241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182.73</w:t>
            </w:r>
          </w:p>
        </w:tc>
        <w:tc>
          <w:tcPr>
            <w:tcW w:w="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2FC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万元</w:t>
            </w:r>
          </w:p>
        </w:tc>
      </w:tr>
      <w:tr w14:paraId="7BC92E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6B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年度目标：</w:t>
            </w:r>
          </w:p>
        </w:tc>
        <w:tc>
          <w:tcPr>
            <w:tcW w:w="5281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2ACDB1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各级政府在过紧日子的情况下，提高城乡居民基本养老保险基础养老金，体现了党中央、国务院对城乡居民的关怀，体现了对65周岁及以上领取待遇老年居民关心和重视。同时积极鼓励城乡居民参保缴费、选择更高档次缴费，增加个人账户积累，逐步提高待遇水平，促进城乡居民基本养老保险制度发展。推动城乡居民基本养老保险待遇水平随经济发展而逐步提高，确保参保居民共享经济发展成果，促进城乡居民基本养老保险制度发展，不断增强城乡居民的获得感、幸福感、安全感。</w:t>
            </w: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F8B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财政专户管理资金：</w:t>
            </w:r>
          </w:p>
        </w:tc>
        <w:tc>
          <w:tcPr>
            <w:tcW w:w="7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2A4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EEA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万元</w:t>
            </w:r>
          </w:p>
        </w:tc>
      </w:tr>
      <w:tr w14:paraId="312FF5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4FA5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81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59CEF3F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0241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单位资金：</w:t>
            </w:r>
          </w:p>
        </w:tc>
        <w:tc>
          <w:tcPr>
            <w:tcW w:w="7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A228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1B6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万元</w:t>
            </w:r>
          </w:p>
        </w:tc>
      </w:tr>
      <w:tr w14:paraId="48B0BF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618D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81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6015A7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B54C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社会投入资金：</w:t>
            </w:r>
          </w:p>
        </w:tc>
        <w:tc>
          <w:tcPr>
            <w:tcW w:w="7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8EF8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EAA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万元</w:t>
            </w:r>
          </w:p>
        </w:tc>
      </w:tr>
      <w:tr w14:paraId="3E6FE3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C37C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81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3140A10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A662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银行贷款：</w:t>
            </w:r>
          </w:p>
        </w:tc>
        <w:tc>
          <w:tcPr>
            <w:tcW w:w="7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5EB0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879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万元</w:t>
            </w:r>
          </w:p>
        </w:tc>
      </w:tr>
      <w:tr w14:paraId="07A902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 w14:paraId="2B95D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 w14:paraId="5F8D0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20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 w14:paraId="49934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 w14:paraId="470B0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指标性质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 w14:paraId="242A5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指标值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 w14:paraId="4A5AA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本年绩效指标值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 w14:paraId="14E20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度量单位</w:t>
            </w:r>
          </w:p>
        </w:tc>
        <w:tc>
          <w:tcPr>
            <w:tcW w:w="10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 w14:paraId="612D3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权重（%）</w:t>
            </w:r>
          </w:p>
        </w:tc>
        <w:tc>
          <w:tcPr>
            <w:tcW w:w="6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 w14:paraId="229E7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本年权重</w:t>
            </w:r>
          </w:p>
        </w:tc>
      </w:tr>
      <w:tr w14:paraId="7E1C9E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18A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829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20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94F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城乡居民养老保险按月发放率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C9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＝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74A4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E2E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8C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10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BC86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6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D91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635778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EA1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C7F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0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A1B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城乡居民养老金领取人次数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06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8695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135876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CAF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135876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12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</w:t>
            </w:r>
          </w:p>
        </w:tc>
        <w:tc>
          <w:tcPr>
            <w:tcW w:w="10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0C8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6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F58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 w14:paraId="50C645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25E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BAA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20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905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城乡居民养老保险补助准确率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82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＝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FA68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9851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93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10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4AC4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6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439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 w14:paraId="2B668A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655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225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20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06D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60岁以上城乡居民人均增加收入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C5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B7BC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E5D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3B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元/人*月</w:t>
            </w:r>
          </w:p>
        </w:tc>
        <w:tc>
          <w:tcPr>
            <w:tcW w:w="10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BFA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6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18E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7DA42D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679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106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20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3EE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增加人民幸福感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B2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＞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4CF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AF7D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EE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10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EAE8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6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013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028D41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4CD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247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20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33D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城乡居民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5A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662D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FC3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EC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10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37E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6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3329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7A4A8A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A09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7B1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经济成本指标</w:t>
            </w:r>
          </w:p>
        </w:tc>
        <w:tc>
          <w:tcPr>
            <w:tcW w:w="20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DDF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城乡居民缴费补助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C9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定性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068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40-280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8A1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40-280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3F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元/人·次</w:t>
            </w:r>
          </w:p>
        </w:tc>
        <w:tc>
          <w:tcPr>
            <w:tcW w:w="10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75CA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6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C1E1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28E526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287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EA0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经济成本指标</w:t>
            </w:r>
          </w:p>
        </w:tc>
        <w:tc>
          <w:tcPr>
            <w:tcW w:w="20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19A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城乡居民养老金县级财政补助标准补助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E7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≤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93C8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9.9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3701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9.9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07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元/人*月</w:t>
            </w:r>
          </w:p>
        </w:tc>
        <w:tc>
          <w:tcPr>
            <w:tcW w:w="10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9143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6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52F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</w:tbl>
    <w:p w14:paraId="566745E8">
      <w:pPr>
        <w:pStyle w:val="2"/>
        <w:rPr>
          <w:rFonts w:hint="eastAsia"/>
          <w:lang w:val="en-US" w:eastAsia="zh-CN"/>
        </w:rPr>
      </w:pPr>
    </w:p>
    <w:p w14:paraId="50D18D20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重点项目2：单位申报项目名称：失地农民养老保险补助</w:t>
      </w:r>
    </w:p>
    <w:p w14:paraId="01435A7E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</w:t>
      </w:r>
    </w:p>
    <w:p w14:paraId="01F92754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绩效指标设置情况：细化指标9个，包括产出指标、成本指标、效益指标和满意度指标。</w:t>
      </w:r>
    </w:p>
    <w:tbl>
      <w:tblPr>
        <w:tblStyle w:val="7"/>
        <w:tblW w:w="833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50"/>
        <w:gridCol w:w="886"/>
        <w:gridCol w:w="886"/>
        <w:gridCol w:w="948"/>
        <w:gridCol w:w="650"/>
        <w:gridCol w:w="709"/>
        <w:gridCol w:w="992"/>
        <w:gridCol w:w="552"/>
        <w:gridCol w:w="527"/>
        <w:gridCol w:w="425"/>
        <w:gridCol w:w="563"/>
        <w:gridCol w:w="548"/>
      </w:tblGrid>
      <w:tr w14:paraId="677118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8336" w:type="dxa"/>
            <w:gridSpan w:val="12"/>
            <w:tcBorders>
              <w:bottom w:val="single" w:color="FFFFFF" w:sz="4" w:space="0"/>
              <w:right w:val="single" w:color="FFFFFF" w:sz="4" w:space="0"/>
            </w:tcBorders>
            <w:shd w:val="clear" w:color="auto" w:fill="auto"/>
            <w:vAlign w:val="center"/>
          </w:tcPr>
          <w:p w14:paraId="6C49E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Calibri"/>
                <w:b/>
                <w:i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年度绩效目标表</w:t>
            </w:r>
          </w:p>
        </w:tc>
      </w:tr>
      <w:tr w14:paraId="750992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 w:hRule="atLeast"/>
        </w:trPr>
        <w:tc>
          <w:tcPr>
            <w:tcW w:w="650" w:type="dxa"/>
            <w:tcBorders>
              <w:top w:val="single" w:color="FFFFFF" w:sz="4" w:space="0"/>
              <w:left w:val="single" w:color="FFFFFF" w:sz="4" w:space="0"/>
              <w:right w:val="single" w:color="FFFFFF" w:sz="4" w:space="0"/>
            </w:tcBorders>
            <w:shd w:val="clear" w:color="auto" w:fill="auto"/>
            <w:vAlign w:val="center"/>
          </w:tcPr>
          <w:p w14:paraId="5B4510FF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6" w:type="dxa"/>
            <w:tcBorders>
              <w:top w:val="single" w:color="FFFFFF" w:sz="4" w:space="0"/>
              <w:left w:val="single" w:color="FFFFFF" w:sz="4" w:space="0"/>
              <w:right w:val="single" w:color="FFFFFF" w:sz="4" w:space="0"/>
            </w:tcBorders>
            <w:shd w:val="clear" w:color="auto" w:fill="auto"/>
            <w:vAlign w:val="center"/>
          </w:tcPr>
          <w:p w14:paraId="170A375B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6" w:type="dxa"/>
            <w:tcBorders>
              <w:top w:val="single" w:color="FFFFFF" w:sz="4" w:space="0"/>
              <w:left w:val="single" w:color="FFFFFF" w:sz="4" w:space="0"/>
              <w:right w:val="single" w:color="FFFFFF" w:sz="4" w:space="0"/>
            </w:tcBorders>
            <w:shd w:val="clear" w:color="auto" w:fill="auto"/>
            <w:vAlign w:val="center"/>
          </w:tcPr>
          <w:p w14:paraId="680E1C80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48" w:type="dxa"/>
            <w:tcBorders>
              <w:top w:val="single" w:color="FFFFFF" w:sz="4" w:space="0"/>
              <w:left w:val="single" w:color="FFFFFF" w:sz="4" w:space="0"/>
              <w:right w:val="single" w:color="FFFFFF" w:sz="4" w:space="0"/>
            </w:tcBorders>
            <w:shd w:val="clear" w:color="auto" w:fill="auto"/>
            <w:vAlign w:val="center"/>
          </w:tcPr>
          <w:p w14:paraId="0C837F1C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0" w:type="dxa"/>
            <w:tcBorders>
              <w:top w:val="single" w:color="FFFFFF" w:sz="4" w:space="0"/>
              <w:left w:val="single" w:color="FFFFFF" w:sz="4" w:space="0"/>
              <w:right w:val="single" w:color="FFFFFF" w:sz="4" w:space="0"/>
            </w:tcBorders>
            <w:shd w:val="clear" w:color="auto" w:fill="auto"/>
            <w:vAlign w:val="center"/>
          </w:tcPr>
          <w:p w14:paraId="7BF2287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9" w:type="dxa"/>
            <w:tcBorders>
              <w:top w:val="single" w:color="FFFFFF" w:sz="4" w:space="0"/>
              <w:left w:val="single" w:color="FFFFFF" w:sz="4" w:space="0"/>
              <w:right w:val="single" w:color="FFFFFF" w:sz="4" w:space="0"/>
            </w:tcBorders>
            <w:shd w:val="clear" w:color="auto" w:fill="auto"/>
            <w:vAlign w:val="center"/>
          </w:tcPr>
          <w:p w14:paraId="56CA4913"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2" w:type="dxa"/>
            <w:tcBorders>
              <w:top w:val="single" w:color="FFFFFF" w:sz="4" w:space="0"/>
              <w:left w:val="single" w:color="FFFFFF" w:sz="4" w:space="0"/>
              <w:right w:val="single" w:color="FFFFFF" w:sz="4" w:space="0"/>
            </w:tcBorders>
            <w:shd w:val="clear" w:color="auto" w:fill="auto"/>
            <w:vAlign w:val="center"/>
          </w:tcPr>
          <w:p w14:paraId="5ACA4FD0"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2" w:type="dxa"/>
            <w:tcBorders>
              <w:top w:val="single" w:color="FFFFFF" w:sz="4" w:space="0"/>
              <w:left w:val="single" w:color="FFFFFF" w:sz="4" w:space="0"/>
              <w:right w:val="single" w:color="FFFFFF" w:sz="4" w:space="0"/>
            </w:tcBorders>
            <w:shd w:val="clear" w:color="auto" w:fill="auto"/>
            <w:vAlign w:val="center"/>
          </w:tcPr>
          <w:p w14:paraId="480183E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7" w:type="dxa"/>
            <w:tcBorders>
              <w:top w:val="single" w:color="FFFFFF" w:sz="4" w:space="0"/>
              <w:left w:val="single" w:color="FFFFFF" w:sz="4" w:space="0"/>
              <w:right w:val="single" w:color="FFFFFF" w:sz="4" w:space="0"/>
            </w:tcBorders>
            <w:shd w:val="clear" w:color="auto" w:fill="auto"/>
            <w:vAlign w:val="center"/>
          </w:tcPr>
          <w:p w14:paraId="246803F0"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5" w:type="dxa"/>
            <w:tcBorders>
              <w:top w:val="single" w:color="FFFFFF" w:sz="4" w:space="0"/>
              <w:left w:val="single" w:color="FFFFFF" w:sz="4" w:space="0"/>
              <w:right w:val="single" w:color="FFFFFF" w:sz="4" w:space="0"/>
            </w:tcBorders>
            <w:shd w:val="clear" w:color="auto" w:fill="auto"/>
            <w:vAlign w:val="center"/>
          </w:tcPr>
          <w:p w14:paraId="5C55DFD5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3" w:type="dxa"/>
            <w:tcBorders>
              <w:top w:val="single" w:color="FFFFFF" w:sz="4" w:space="0"/>
              <w:left w:val="single" w:color="FFFFFF" w:sz="4" w:space="0"/>
              <w:right w:val="single" w:color="FFFFFF" w:sz="4" w:space="0"/>
            </w:tcBorders>
            <w:shd w:val="clear" w:color="auto" w:fill="auto"/>
            <w:vAlign w:val="center"/>
          </w:tcPr>
          <w:p w14:paraId="058CAB08"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8" w:type="dxa"/>
            <w:tcBorders>
              <w:top w:val="single" w:color="FFFFFF" w:sz="4" w:space="0"/>
              <w:left w:val="single" w:color="FFFFFF" w:sz="4" w:space="0"/>
              <w:right w:val="single" w:color="FFFFFF" w:sz="4" w:space="0"/>
            </w:tcBorders>
            <w:shd w:val="clear" w:color="auto" w:fill="auto"/>
            <w:vAlign w:val="center"/>
          </w:tcPr>
          <w:p w14:paraId="04241EF3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5F27C7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83D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单位信息：</w:t>
            </w:r>
          </w:p>
        </w:tc>
        <w:tc>
          <w:tcPr>
            <w:tcW w:w="17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C4A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163001-金川县城乡居民养老保险事务中心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046C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预算项目：</w:t>
            </w:r>
          </w:p>
        </w:tc>
        <w:tc>
          <w:tcPr>
            <w:tcW w:w="23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CCA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51322623T000007928196-失地农民养老保险补助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55D5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职能职责与活动：</w:t>
            </w:r>
          </w:p>
        </w:tc>
        <w:tc>
          <w:tcPr>
            <w:tcW w:w="206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9AA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11-社保补贴股/01-失地农民养老保险补助和生活保障</w:t>
            </w:r>
          </w:p>
        </w:tc>
      </w:tr>
      <w:tr w14:paraId="19741C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DFB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主管部门：</w:t>
            </w:r>
          </w:p>
        </w:tc>
        <w:tc>
          <w:tcPr>
            <w:tcW w:w="17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973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163-金川县城乡居民养老保险事务中心本级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FAB8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项目经办人：</w:t>
            </w:r>
          </w:p>
        </w:tc>
        <w:tc>
          <w:tcPr>
            <w:tcW w:w="13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B08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杨芳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11FFE"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0BA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项目总额：</w:t>
            </w:r>
          </w:p>
        </w:tc>
        <w:tc>
          <w:tcPr>
            <w:tcW w:w="15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B2F3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18.80</w:t>
            </w:r>
          </w:p>
        </w:tc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1F5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万元</w:t>
            </w:r>
          </w:p>
        </w:tc>
      </w:tr>
      <w:tr w14:paraId="5CC347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4CF8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预算执行率权重：</w:t>
            </w:r>
          </w:p>
        </w:tc>
        <w:tc>
          <w:tcPr>
            <w:tcW w:w="17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383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5694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项目经办人电话：：</w:t>
            </w:r>
          </w:p>
        </w:tc>
        <w:tc>
          <w:tcPr>
            <w:tcW w:w="13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E13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15108171555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14053"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A3D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其中： 财政资金：</w:t>
            </w:r>
          </w:p>
        </w:tc>
        <w:tc>
          <w:tcPr>
            <w:tcW w:w="9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4D1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18.80</w:t>
            </w:r>
          </w:p>
        </w:tc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0CF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万元</w:t>
            </w:r>
          </w:p>
        </w:tc>
      </w:tr>
      <w:tr w14:paraId="515133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C1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年度目标：</w:t>
            </w:r>
          </w:p>
        </w:tc>
        <w:tc>
          <w:tcPr>
            <w:tcW w:w="5071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C79489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为妥善解决被征地农民的长远生计和社会保障问题。对被征地农民社会保障适当补贴、以人为本、全面覆盖的原则，以科学发展观为指导，以加快覆盖城乡居民社会保障体系为目标，以相关法律、法规、政策和规定为依据，逐步建立起与我县经济社会发展水平相适应，全面实现被征地农民人人享有社会保障，实现应保尽保，应缴尽缴。</w:t>
            </w:r>
          </w:p>
        </w:tc>
        <w:tc>
          <w:tcPr>
            <w:tcW w:w="10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DCC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财政专户管理资金：</w:t>
            </w:r>
          </w:p>
        </w:tc>
        <w:tc>
          <w:tcPr>
            <w:tcW w:w="9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05E1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B4E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万元</w:t>
            </w:r>
          </w:p>
        </w:tc>
      </w:tr>
      <w:tr w14:paraId="55F34E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EE56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71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3644822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3435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单位资金：</w:t>
            </w:r>
          </w:p>
        </w:tc>
        <w:tc>
          <w:tcPr>
            <w:tcW w:w="9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8774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3FA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万元</w:t>
            </w:r>
          </w:p>
        </w:tc>
      </w:tr>
      <w:tr w14:paraId="435C7C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6DF1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71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873461C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EC59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社会投入资金：</w:t>
            </w:r>
          </w:p>
        </w:tc>
        <w:tc>
          <w:tcPr>
            <w:tcW w:w="9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A10F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FAD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万元</w:t>
            </w:r>
          </w:p>
        </w:tc>
      </w:tr>
      <w:tr w14:paraId="386864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4F15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71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85BFEC9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C05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银行贷款：</w:t>
            </w:r>
          </w:p>
        </w:tc>
        <w:tc>
          <w:tcPr>
            <w:tcW w:w="9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5E22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066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万元</w:t>
            </w:r>
          </w:p>
        </w:tc>
      </w:tr>
      <w:tr w14:paraId="37EC41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50" w:type="dxa"/>
            <w:tcBorders>
              <w:left w:val="single" w:color="FFFFFF" w:sz="4" w:space="0"/>
              <w:right w:val="single" w:color="FFFFFF" w:sz="4" w:space="0"/>
            </w:tcBorders>
            <w:shd w:val="clear" w:color="auto" w:fill="auto"/>
            <w:vAlign w:val="center"/>
          </w:tcPr>
          <w:p w14:paraId="5A9F8C81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6" w:type="dxa"/>
            <w:tcBorders>
              <w:left w:val="single" w:color="FFFFFF" w:sz="4" w:space="0"/>
              <w:right w:val="single" w:color="FFFFFF" w:sz="4" w:space="0"/>
            </w:tcBorders>
            <w:shd w:val="clear" w:color="auto" w:fill="auto"/>
            <w:vAlign w:val="center"/>
          </w:tcPr>
          <w:p w14:paraId="40DBDF0D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6" w:type="dxa"/>
            <w:tcBorders>
              <w:left w:val="single" w:color="FFFFFF" w:sz="4" w:space="0"/>
              <w:right w:val="single" w:color="FFFFFF" w:sz="4" w:space="0"/>
            </w:tcBorders>
            <w:shd w:val="clear" w:color="auto" w:fill="auto"/>
            <w:vAlign w:val="center"/>
          </w:tcPr>
          <w:p w14:paraId="74F43F96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48" w:type="dxa"/>
            <w:tcBorders>
              <w:left w:val="single" w:color="FFFFFF" w:sz="4" w:space="0"/>
              <w:right w:val="single" w:color="FFFFFF" w:sz="4" w:space="0"/>
            </w:tcBorders>
            <w:shd w:val="clear" w:color="auto" w:fill="auto"/>
            <w:vAlign w:val="center"/>
          </w:tcPr>
          <w:p w14:paraId="05B281AD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0" w:type="dxa"/>
            <w:tcBorders>
              <w:left w:val="single" w:color="FFFFFF" w:sz="4" w:space="0"/>
              <w:right w:val="single" w:color="FFFFFF" w:sz="4" w:space="0"/>
            </w:tcBorders>
            <w:shd w:val="clear" w:color="auto" w:fill="auto"/>
            <w:vAlign w:val="center"/>
          </w:tcPr>
          <w:p w14:paraId="74C2C49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9" w:type="dxa"/>
            <w:tcBorders>
              <w:left w:val="single" w:color="FFFFFF" w:sz="4" w:space="0"/>
              <w:right w:val="single" w:color="FFFFFF" w:sz="4" w:space="0"/>
            </w:tcBorders>
            <w:shd w:val="clear" w:color="auto" w:fill="auto"/>
            <w:vAlign w:val="center"/>
          </w:tcPr>
          <w:p w14:paraId="552AB712"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2" w:type="dxa"/>
            <w:tcBorders>
              <w:left w:val="single" w:color="FFFFFF" w:sz="4" w:space="0"/>
              <w:right w:val="single" w:color="FFFFFF" w:sz="4" w:space="0"/>
            </w:tcBorders>
            <w:shd w:val="clear" w:color="auto" w:fill="auto"/>
            <w:vAlign w:val="center"/>
          </w:tcPr>
          <w:p w14:paraId="2EE18290"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2" w:type="dxa"/>
            <w:tcBorders>
              <w:left w:val="single" w:color="FFFFFF" w:sz="4" w:space="0"/>
              <w:right w:val="single" w:color="FFFFFF" w:sz="4" w:space="0"/>
            </w:tcBorders>
            <w:shd w:val="clear" w:color="auto" w:fill="auto"/>
            <w:vAlign w:val="center"/>
          </w:tcPr>
          <w:p w14:paraId="7825504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7" w:type="dxa"/>
            <w:tcBorders>
              <w:left w:val="single" w:color="FFFFFF" w:sz="4" w:space="0"/>
              <w:right w:val="single" w:color="FFFFFF" w:sz="4" w:space="0"/>
            </w:tcBorders>
            <w:shd w:val="clear" w:color="auto" w:fill="auto"/>
            <w:vAlign w:val="center"/>
          </w:tcPr>
          <w:p w14:paraId="26D9A263"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5" w:type="dxa"/>
            <w:tcBorders>
              <w:left w:val="single" w:color="FFFFFF" w:sz="4" w:space="0"/>
              <w:right w:val="single" w:color="FFFFFF" w:sz="4" w:space="0"/>
            </w:tcBorders>
            <w:shd w:val="clear" w:color="auto" w:fill="auto"/>
            <w:vAlign w:val="center"/>
          </w:tcPr>
          <w:p w14:paraId="03B84113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3" w:type="dxa"/>
            <w:tcBorders>
              <w:left w:val="single" w:color="FFFFFF" w:sz="4" w:space="0"/>
              <w:right w:val="single" w:color="FFFFFF" w:sz="4" w:space="0"/>
            </w:tcBorders>
            <w:shd w:val="clear" w:color="auto" w:fill="auto"/>
            <w:vAlign w:val="center"/>
          </w:tcPr>
          <w:p w14:paraId="72649527"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8" w:type="dxa"/>
            <w:tcBorders>
              <w:left w:val="single" w:color="FFFFFF" w:sz="4" w:space="0"/>
              <w:right w:val="single" w:color="FFFFFF" w:sz="4" w:space="0"/>
            </w:tcBorders>
            <w:shd w:val="clear" w:color="auto" w:fill="auto"/>
            <w:vAlign w:val="center"/>
          </w:tcPr>
          <w:p w14:paraId="7AD86300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395074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5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 w14:paraId="1909F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 w14:paraId="4075B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18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 w14:paraId="56AF1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 w14:paraId="40B6C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指标性质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 w14:paraId="591E8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指标值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 w14:paraId="402AA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本年绩效指标值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 w14:paraId="1B062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度量单位</w:t>
            </w:r>
          </w:p>
        </w:tc>
        <w:tc>
          <w:tcPr>
            <w:tcW w:w="9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 w14:paraId="645BF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权重（%）</w:t>
            </w:r>
          </w:p>
        </w:tc>
        <w:tc>
          <w:tcPr>
            <w:tcW w:w="11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 w14:paraId="44378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本年权重</w:t>
            </w:r>
          </w:p>
        </w:tc>
      </w:tr>
      <w:tr w14:paraId="3995AA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808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2B5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18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6AB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50周岁以上补助1000元/人/年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0B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≤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D01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7034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3C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</w:t>
            </w:r>
          </w:p>
        </w:tc>
        <w:tc>
          <w:tcPr>
            <w:tcW w:w="9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7A29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1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F74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57B5F2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FB2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BDE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18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F11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完成失地农民养老保险代缴率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DE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＝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43D5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84F5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B6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9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FB3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1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CCE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1007A9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9BC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87E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18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91B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12月底前全面完成符合代缴率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1B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754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1B6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03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9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B12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1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FC40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39A0BE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A26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FA0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18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994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50周岁以下补助800元/人/年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E5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≤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577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26B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5D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</w:t>
            </w:r>
          </w:p>
        </w:tc>
        <w:tc>
          <w:tcPr>
            <w:tcW w:w="9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BFFE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1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BD0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1B8433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A24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687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18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BDB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减少失地农民养老保险支出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F7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5A24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481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36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元/人年</w:t>
            </w:r>
          </w:p>
        </w:tc>
        <w:tc>
          <w:tcPr>
            <w:tcW w:w="9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6BCA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1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DACC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5026E9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8AF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285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可持续发展指标</w:t>
            </w:r>
          </w:p>
        </w:tc>
        <w:tc>
          <w:tcPr>
            <w:tcW w:w="18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C31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老有所养，老有所依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09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定性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0284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基本保障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7ED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基本保障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085A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C533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1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3D4E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72E018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688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A61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18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F2F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失地农民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42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F34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F8A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F4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9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485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1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F6A1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3615AB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B90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172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经济成本指标</w:t>
            </w:r>
          </w:p>
        </w:tc>
        <w:tc>
          <w:tcPr>
            <w:tcW w:w="18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6F7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征地时50周岁以下失地农民养老保险代缴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BC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＝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FEE1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C8F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04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元/人年</w:t>
            </w:r>
          </w:p>
        </w:tc>
        <w:tc>
          <w:tcPr>
            <w:tcW w:w="9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5C7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1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A16E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715078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C24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A2F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经济成本指标</w:t>
            </w:r>
          </w:p>
        </w:tc>
        <w:tc>
          <w:tcPr>
            <w:tcW w:w="18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1D2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征地时50周岁以上失地农民养老保险补助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43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＝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DB47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C38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92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元/人年</w:t>
            </w:r>
          </w:p>
        </w:tc>
        <w:tc>
          <w:tcPr>
            <w:tcW w:w="9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A779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1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5581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</w:tbl>
    <w:p w14:paraId="182E3935">
      <w:pPr>
        <w:pStyle w:val="2"/>
        <w:rPr>
          <w:rFonts w:hint="eastAsia"/>
          <w:lang w:val="en-US" w:eastAsia="zh-CN"/>
        </w:rPr>
      </w:pPr>
    </w:p>
    <w:p w14:paraId="504F39E6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重点项目3：单位申报项目名称：建档立卡贫困户养老保险补助</w:t>
      </w:r>
    </w:p>
    <w:p w14:paraId="13C491C1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</w:t>
      </w:r>
    </w:p>
    <w:p w14:paraId="16C5AFE4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绩效指标设置情况：细化指标7个，包括产出指标、成本指标、效益指标和满意度指标。</w:t>
      </w:r>
    </w:p>
    <w:tbl>
      <w:tblPr>
        <w:tblStyle w:val="7"/>
        <w:tblW w:w="832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12"/>
        <w:gridCol w:w="1011"/>
        <w:gridCol w:w="1011"/>
        <w:gridCol w:w="1212"/>
        <w:gridCol w:w="597"/>
        <w:gridCol w:w="598"/>
        <w:gridCol w:w="1101"/>
        <w:gridCol w:w="604"/>
        <w:gridCol w:w="616"/>
        <w:gridCol w:w="337"/>
        <w:gridCol w:w="627"/>
      </w:tblGrid>
      <w:tr w14:paraId="2F1417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8326" w:type="dxa"/>
            <w:gridSpan w:val="11"/>
            <w:tcBorders>
              <w:right w:val="single" w:color="FFFFFF" w:sz="4" w:space="0"/>
            </w:tcBorders>
            <w:shd w:val="clear" w:color="auto" w:fill="auto"/>
            <w:vAlign w:val="center"/>
          </w:tcPr>
          <w:p w14:paraId="6618D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Calibri"/>
                <w:b/>
                <w:i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年度绩效目标表</w:t>
            </w:r>
          </w:p>
        </w:tc>
      </w:tr>
      <w:tr w14:paraId="7D8892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553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单位信息：</w:t>
            </w:r>
          </w:p>
        </w:tc>
        <w:tc>
          <w:tcPr>
            <w:tcW w:w="20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0F0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163001-金川县城乡居民养老保险事务中心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3B3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预算项目：</w:t>
            </w:r>
          </w:p>
        </w:tc>
        <w:tc>
          <w:tcPr>
            <w:tcW w:w="22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ABE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51322623T000007928246-建档立卡贫困户养老保险补助</w:t>
            </w: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4A8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职能职责与活动：</w:t>
            </w:r>
          </w:p>
        </w:tc>
        <w:tc>
          <w:tcPr>
            <w:tcW w:w="15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1D7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13-统筹计划股/01-统筹计划</w:t>
            </w:r>
          </w:p>
        </w:tc>
      </w:tr>
      <w:tr w14:paraId="41A8E1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E11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主管部门：</w:t>
            </w:r>
          </w:p>
        </w:tc>
        <w:tc>
          <w:tcPr>
            <w:tcW w:w="20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E9A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163-金川县城乡居民养老保险事务中心本级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9BA6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项目经办人：</w:t>
            </w:r>
          </w:p>
        </w:tc>
        <w:tc>
          <w:tcPr>
            <w:tcW w:w="11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174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杨芳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58077D5"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E001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项目总额：</w:t>
            </w:r>
          </w:p>
        </w:tc>
        <w:tc>
          <w:tcPr>
            <w:tcW w:w="9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7B9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32.50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1B4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万元</w:t>
            </w:r>
          </w:p>
        </w:tc>
      </w:tr>
      <w:tr w14:paraId="3408C6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3CEC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预算执行率权重：</w:t>
            </w:r>
          </w:p>
        </w:tc>
        <w:tc>
          <w:tcPr>
            <w:tcW w:w="20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BFE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0D64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项目经办人电话：：</w:t>
            </w:r>
          </w:p>
        </w:tc>
        <w:tc>
          <w:tcPr>
            <w:tcW w:w="11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982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15108171555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9A290F0"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337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其中： 财政资金：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DAA96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1BD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万元</w:t>
            </w:r>
          </w:p>
        </w:tc>
      </w:tr>
      <w:tr w14:paraId="6BCC46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C7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年度目标：</w:t>
            </w:r>
          </w:p>
        </w:tc>
        <w:tc>
          <w:tcPr>
            <w:tcW w:w="5530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EC69DB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解决“两不愁三保障”脱贫标准，坚持精准扶贫、精准脱贫基本方略，持续压紧压实攻坚责任，落实攻坚政策，细化帮扶措施，严格脱贫监管，坚决防止发生返贫问题。全面完成建档立卡贫困户养老保险缴费达100%，实现建档立卡贫困户人人享有基本养老保险。做到应缴尽缴，减少建档立卡贫困户经济负担，增强城乡居民幸福感、获得感。</w:t>
            </w:r>
          </w:p>
        </w:tc>
        <w:tc>
          <w:tcPr>
            <w:tcW w:w="12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C220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财政专户管理资金：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A6A58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DA5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万元</w:t>
            </w:r>
          </w:p>
        </w:tc>
      </w:tr>
      <w:tr w14:paraId="4EB186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06F0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30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F2612A3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924E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单位资金：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9BEC8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BDE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万元</w:t>
            </w:r>
          </w:p>
        </w:tc>
      </w:tr>
      <w:tr w14:paraId="4B1DEA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8C4F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30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B3FC252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B06F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社会投入资金：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CB901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9F5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万元</w:t>
            </w:r>
          </w:p>
        </w:tc>
      </w:tr>
      <w:tr w14:paraId="174A8C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0265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30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62A0594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F4B8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银行贷款：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C5C13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743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万元</w:t>
            </w:r>
          </w:p>
        </w:tc>
      </w:tr>
      <w:tr w14:paraId="6F015A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 w14:paraId="7E4C5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 w14:paraId="31A10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22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 w14:paraId="1E61B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 w14:paraId="73F4C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指标性质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 w14:paraId="3B518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指标值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EBEFF3" w:fill="EBEFF3"/>
            <w:vAlign w:val="center"/>
          </w:tcPr>
          <w:p w14:paraId="48D56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本年绩效指标值</w:t>
            </w: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 w14:paraId="7CDCB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度量单位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 w14:paraId="64F61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权重（%）</w:t>
            </w:r>
          </w:p>
        </w:tc>
        <w:tc>
          <w:tcPr>
            <w:tcW w:w="9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 w14:paraId="7B4EF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本年权重</w:t>
            </w:r>
          </w:p>
        </w:tc>
      </w:tr>
      <w:tr w14:paraId="52F644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DB4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848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22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C94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12月底前完成养老保险代缴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07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＝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42A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D671FE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17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02E4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9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1A9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 w14:paraId="493F88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CFC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F79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22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71F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定额代缴建档立卡贫困户养老保险缴费率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16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＝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43F7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698149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F9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0FA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9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A55B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1F9A49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582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F4E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2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F49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建档立卡贫困户养老保险代缴人数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70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≤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3DB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3250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CF5A1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3250</w:t>
            </w: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D1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人数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DD26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9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B6C1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 w14:paraId="5FBCA7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399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B56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22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C65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保障建档立卡贫困户老有所养老有所依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A1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779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BDC83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98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16FB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9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9F2F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58E821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23C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1CF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22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5B5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减少建档立卡贫困户养老保险支出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BF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＝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73F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30513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ED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元/人年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72F2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9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C04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48763A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220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C0B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22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1D2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建档立卡贫困户满意率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B0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F2D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BB8335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4F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C68D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9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FD1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3A7299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E34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E4F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经济成本指标</w:t>
            </w:r>
          </w:p>
        </w:tc>
        <w:tc>
          <w:tcPr>
            <w:tcW w:w="22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E45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建档立卡贫困户养老保险代缴标准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E2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＝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EFD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B91419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B0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元/人年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79E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9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018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</w:tr>
    </w:tbl>
    <w:p w14:paraId="4B85F10C"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5B806885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重点项目4：单位申报项目名称：城乡居民死亡丧葬抚恤金</w:t>
      </w:r>
    </w:p>
    <w:p w14:paraId="655B0306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</w:t>
      </w:r>
    </w:p>
    <w:p w14:paraId="50223B09"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绩效指标设置情况：细化指标7个，包括产出指标、成本指标、效益指标和满意度指标。</w:t>
      </w:r>
    </w:p>
    <w:tbl>
      <w:tblPr>
        <w:tblStyle w:val="7"/>
        <w:tblW w:w="833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91"/>
        <w:gridCol w:w="829"/>
        <w:gridCol w:w="828"/>
        <w:gridCol w:w="1192"/>
        <w:gridCol w:w="634"/>
        <w:gridCol w:w="1032"/>
        <w:gridCol w:w="960"/>
        <w:gridCol w:w="613"/>
        <w:gridCol w:w="578"/>
        <w:gridCol w:w="487"/>
        <w:gridCol w:w="91"/>
        <w:gridCol w:w="501"/>
      </w:tblGrid>
      <w:tr w14:paraId="63F62C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8336" w:type="dxa"/>
            <w:gridSpan w:val="12"/>
            <w:tcBorders>
              <w:right w:val="single" w:color="FFFFFF" w:sz="4" w:space="0"/>
            </w:tcBorders>
            <w:shd w:val="clear" w:color="auto" w:fill="auto"/>
            <w:vAlign w:val="center"/>
          </w:tcPr>
          <w:p w14:paraId="65769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Calibri"/>
                <w:b/>
                <w:i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年度绩效目标表</w:t>
            </w:r>
          </w:p>
        </w:tc>
      </w:tr>
      <w:tr w14:paraId="576A7B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E7A2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单位信息：</w:t>
            </w:r>
          </w:p>
        </w:tc>
        <w:tc>
          <w:tcPr>
            <w:tcW w:w="1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884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163001-金川县城乡居民养老保险事务中心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E848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预算项目：</w:t>
            </w:r>
          </w:p>
        </w:tc>
        <w:tc>
          <w:tcPr>
            <w:tcW w:w="2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2B5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51322623T000007881911-城乡居民死亡丧葬抚恤金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4431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职能职责与活动：</w:t>
            </w:r>
          </w:p>
        </w:tc>
        <w:tc>
          <w:tcPr>
            <w:tcW w:w="165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138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10-待遇股/01-城乡居民养老保险待遇核算和发放</w:t>
            </w:r>
          </w:p>
        </w:tc>
      </w:tr>
      <w:tr w14:paraId="1F5E81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7E2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主管部门：</w:t>
            </w:r>
          </w:p>
        </w:tc>
        <w:tc>
          <w:tcPr>
            <w:tcW w:w="1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4BA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163-金川县城乡居民养老保险事务中心本级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E17B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项目经办人：</w:t>
            </w:r>
          </w:p>
        </w:tc>
        <w:tc>
          <w:tcPr>
            <w:tcW w:w="1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D79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张娟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93BB7"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F78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项目总额：</w:t>
            </w:r>
          </w:p>
        </w:tc>
        <w:tc>
          <w:tcPr>
            <w:tcW w:w="11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503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80.01</w:t>
            </w:r>
          </w:p>
        </w:tc>
        <w:tc>
          <w:tcPr>
            <w:tcW w:w="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656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万元</w:t>
            </w:r>
          </w:p>
        </w:tc>
      </w:tr>
      <w:tr w14:paraId="18CFB5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842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预算执行率权重：</w:t>
            </w:r>
          </w:p>
        </w:tc>
        <w:tc>
          <w:tcPr>
            <w:tcW w:w="1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E8C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BC84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项目经办人电话：：</w:t>
            </w:r>
          </w:p>
        </w:tc>
        <w:tc>
          <w:tcPr>
            <w:tcW w:w="1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EBA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18990445225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D9996"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7451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其中： 财政资金：</w:t>
            </w:r>
          </w:p>
        </w:tc>
        <w:tc>
          <w:tcPr>
            <w:tcW w:w="5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93C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80.01</w:t>
            </w:r>
          </w:p>
        </w:tc>
        <w:tc>
          <w:tcPr>
            <w:tcW w:w="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7FB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万元</w:t>
            </w:r>
          </w:p>
        </w:tc>
      </w:tr>
      <w:tr w14:paraId="6FEE66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5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6C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年度目标：</w:t>
            </w:r>
          </w:p>
        </w:tc>
        <w:tc>
          <w:tcPr>
            <w:tcW w:w="5475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2AB40C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在公平、统一、规范的城乡居民基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养老保险制度基础上，完善待遇确定机制，建立基础养老金正常调整机制，调整优化个人缴费档次和缴费补贴标准，切实保障城乡居民的老年基本生活。</w:t>
            </w:r>
          </w:p>
        </w:tc>
        <w:tc>
          <w:tcPr>
            <w:tcW w:w="11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1E01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财政专户管理资金：</w:t>
            </w:r>
          </w:p>
        </w:tc>
        <w:tc>
          <w:tcPr>
            <w:tcW w:w="5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6FF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8AF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万元</w:t>
            </w:r>
          </w:p>
        </w:tc>
      </w:tr>
      <w:tr w14:paraId="2B1245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5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F766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75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4FAD656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757C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单位资金：</w:t>
            </w:r>
          </w:p>
        </w:tc>
        <w:tc>
          <w:tcPr>
            <w:tcW w:w="5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F64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F0E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万元</w:t>
            </w:r>
          </w:p>
        </w:tc>
      </w:tr>
      <w:tr w14:paraId="25AE9C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5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23A2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75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6C7FE99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2CF5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社会投入资金：</w:t>
            </w:r>
          </w:p>
        </w:tc>
        <w:tc>
          <w:tcPr>
            <w:tcW w:w="5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83B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79C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万元</w:t>
            </w:r>
          </w:p>
        </w:tc>
      </w:tr>
      <w:tr w14:paraId="4AB2E0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5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5CAD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75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71473CF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40C2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银行贷款：</w:t>
            </w:r>
          </w:p>
        </w:tc>
        <w:tc>
          <w:tcPr>
            <w:tcW w:w="5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811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F99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万元</w:t>
            </w:r>
          </w:p>
        </w:tc>
      </w:tr>
      <w:tr w14:paraId="33E72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 w14:paraId="330F8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 w14:paraId="696DA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20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 w14:paraId="07D6A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 w14:paraId="788F3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指标性质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 w14:paraId="3F391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指标值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 w14:paraId="4E6BE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本年绩效指标值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 w14:paraId="54295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度量单位</w:t>
            </w:r>
          </w:p>
        </w:tc>
        <w:tc>
          <w:tcPr>
            <w:tcW w:w="10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 w14:paraId="1A91F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权重（%）</w:t>
            </w:r>
          </w:p>
        </w:tc>
        <w:tc>
          <w:tcPr>
            <w:tcW w:w="5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 w14:paraId="29774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本年权重</w:t>
            </w:r>
          </w:p>
        </w:tc>
      </w:tr>
      <w:tr w14:paraId="77BD17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803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D4A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20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C3B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城乡居民死亡丧葬费和一次性抚恤金发放准确率</w:t>
            </w: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A7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F0D9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C7B6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59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10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098A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5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215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 w14:paraId="46213D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96D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73A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0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E96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参加城乡居民养老保险2025年预计死亡人数</w:t>
            </w: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59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≤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EAC0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B99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571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63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</w:t>
            </w:r>
          </w:p>
        </w:tc>
        <w:tc>
          <w:tcPr>
            <w:tcW w:w="10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2825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5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EC5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 w14:paraId="0CB386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5AC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41D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20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FC7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城乡居民养老保险死亡人员在6个月内办结率</w:t>
            </w: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9E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＝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7FBC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AAA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15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10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1057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5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45EF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 w14:paraId="64C701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967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9D1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20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FE5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促进城乡居民参保，提高参保档次</w:t>
            </w: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47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7C78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F20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E0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10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3A7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5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0CE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 w14:paraId="2FF700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650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DA4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20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9ED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减少死亡家庭人员负担（领待遇）</w:t>
            </w: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94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075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112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95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元/人·次</w:t>
            </w:r>
          </w:p>
        </w:tc>
        <w:tc>
          <w:tcPr>
            <w:tcW w:w="10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46D8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40DC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73D3CC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A4D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A8C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20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B27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死亡家属满意度</w:t>
            </w: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18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＝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21F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62C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D6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10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8238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D71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5ABEA3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D34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FD9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经济成本指标</w:t>
            </w:r>
          </w:p>
        </w:tc>
        <w:tc>
          <w:tcPr>
            <w:tcW w:w="20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2A6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城乡居民死亡补助标准</w:t>
            </w: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62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定性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9A6B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1630—3828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CFE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1630-3828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C8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元/人·次</w:t>
            </w:r>
          </w:p>
        </w:tc>
        <w:tc>
          <w:tcPr>
            <w:tcW w:w="10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DAE9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6CFB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</w:tbl>
    <w:p w14:paraId="02470898"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6567AB80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重点项目5：单位申报项目名称：失地农民养老保险“出口”补助</w:t>
      </w:r>
    </w:p>
    <w:p w14:paraId="368B4D94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</w:t>
      </w:r>
    </w:p>
    <w:p w14:paraId="06954B3D"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绩效指标设置情况：细化指标8个，包括产出指标、成本指标、效益指标和满意度指标。</w:t>
      </w:r>
    </w:p>
    <w:tbl>
      <w:tblPr>
        <w:tblStyle w:val="7"/>
        <w:tblW w:w="832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54"/>
        <w:gridCol w:w="926"/>
        <w:gridCol w:w="925"/>
        <w:gridCol w:w="1347"/>
        <w:gridCol w:w="686"/>
        <w:gridCol w:w="686"/>
        <w:gridCol w:w="1046"/>
        <w:gridCol w:w="629"/>
        <w:gridCol w:w="649"/>
        <w:gridCol w:w="299"/>
        <w:gridCol w:w="480"/>
      </w:tblGrid>
      <w:tr w14:paraId="5780EF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8327" w:type="dxa"/>
            <w:gridSpan w:val="11"/>
            <w:tcBorders>
              <w:bottom w:val="single" w:color="FFFFFF" w:sz="4" w:space="0"/>
              <w:right w:val="single" w:color="FFFFFF" w:sz="4" w:space="0"/>
            </w:tcBorders>
            <w:shd w:val="clear" w:color="auto" w:fill="auto"/>
            <w:vAlign w:val="center"/>
          </w:tcPr>
          <w:p w14:paraId="50493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Calibri"/>
                <w:b/>
                <w:i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年度绩效目标表</w:t>
            </w:r>
          </w:p>
        </w:tc>
      </w:tr>
      <w:tr w14:paraId="46AE0B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 w:hRule="atLeast"/>
        </w:trPr>
        <w:tc>
          <w:tcPr>
            <w:tcW w:w="654" w:type="dxa"/>
            <w:tcBorders>
              <w:top w:val="single" w:color="FFFFFF" w:sz="4" w:space="0"/>
              <w:left w:val="single" w:color="FFFFFF" w:sz="4" w:space="0"/>
              <w:right w:val="single" w:color="FFFFFF" w:sz="4" w:space="0"/>
            </w:tcBorders>
            <w:shd w:val="clear" w:color="auto" w:fill="auto"/>
            <w:vAlign w:val="center"/>
          </w:tcPr>
          <w:p w14:paraId="5874DC6E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6" w:type="dxa"/>
            <w:tcBorders>
              <w:top w:val="single" w:color="FFFFFF" w:sz="4" w:space="0"/>
              <w:left w:val="single" w:color="FFFFFF" w:sz="4" w:space="0"/>
              <w:right w:val="single" w:color="FFFFFF" w:sz="4" w:space="0"/>
            </w:tcBorders>
            <w:shd w:val="clear" w:color="auto" w:fill="auto"/>
            <w:vAlign w:val="center"/>
          </w:tcPr>
          <w:p w14:paraId="5891A24C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5" w:type="dxa"/>
            <w:tcBorders>
              <w:top w:val="single" w:color="FFFFFF" w:sz="4" w:space="0"/>
              <w:left w:val="single" w:color="FFFFFF" w:sz="4" w:space="0"/>
              <w:right w:val="single" w:color="FFFFFF" w:sz="4" w:space="0"/>
            </w:tcBorders>
            <w:shd w:val="clear" w:color="auto" w:fill="auto"/>
            <w:vAlign w:val="center"/>
          </w:tcPr>
          <w:p w14:paraId="067B6787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47" w:type="dxa"/>
            <w:tcBorders>
              <w:top w:val="single" w:color="FFFFFF" w:sz="4" w:space="0"/>
              <w:left w:val="single" w:color="FFFFFF" w:sz="4" w:space="0"/>
              <w:right w:val="single" w:color="FFFFFF" w:sz="4" w:space="0"/>
            </w:tcBorders>
            <w:shd w:val="clear" w:color="auto" w:fill="auto"/>
            <w:vAlign w:val="center"/>
          </w:tcPr>
          <w:p w14:paraId="334FF2F7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6" w:type="dxa"/>
            <w:tcBorders>
              <w:top w:val="single" w:color="FFFFFF" w:sz="4" w:space="0"/>
              <w:left w:val="single" w:color="FFFFFF" w:sz="4" w:space="0"/>
              <w:right w:val="single" w:color="FFFFFF" w:sz="4" w:space="0"/>
            </w:tcBorders>
            <w:shd w:val="clear" w:color="auto" w:fill="auto"/>
            <w:vAlign w:val="center"/>
          </w:tcPr>
          <w:p w14:paraId="23FE812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6" w:type="dxa"/>
            <w:tcBorders>
              <w:top w:val="single" w:color="FFFFFF" w:sz="4" w:space="0"/>
              <w:left w:val="single" w:color="FFFFFF" w:sz="4" w:space="0"/>
              <w:right w:val="single" w:color="FFFFFF" w:sz="4" w:space="0"/>
            </w:tcBorders>
            <w:shd w:val="clear" w:color="auto" w:fill="auto"/>
            <w:vAlign w:val="center"/>
          </w:tcPr>
          <w:p w14:paraId="12D22862"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6" w:type="dxa"/>
            <w:tcBorders>
              <w:top w:val="single" w:color="FFFFFF" w:sz="4" w:space="0"/>
              <w:left w:val="single" w:color="FFFFFF" w:sz="4" w:space="0"/>
              <w:right w:val="single" w:color="FFFFFF" w:sz="4" w:space="0"/>
            </w:tcBorders>
            <w:shd w:val="clear" w:color="auto" w:fill="auto"/>
            <w:vAlign w:val="center"/>
          </w:tcPr>
          <w:p w14:paraId="212C4BD6"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9" w:type="dxa"/>
            <w:tcBorders>
              <w:top w:val="single" w:color="FFFFFF" w:sz="4" w:space="0"/>
              <w:left w:val="single" w:color="FFFFFF" w:sz="4" w:space="0"/>
              <w:right w:val="single" w:color="FFFFFF" w:sz="4" w:space="0"/>
            </w:tcBorders>
            <w:shd w:val="clear" w:color="auto" w:fill="auto"/>
            <w:vAlign w:val="center"/>
          </w:tcPr>
          <w:p w14:paraId="28D33FB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9" w:type="dxa"/>
            <w:tcBorders>
              <w:top w:val="single" w:color="FFFFFF" w:sz="4" w:space="0"/>
              <w:left w:val="single" w:color="FFFFFF" w:sz="4" w:space="0"/>
              <w:right w:val="single" w:color="FFFFFF" w:sz="4" w:space="0"/>
            </w:tcBorders>
            <w:shd w:val="clear" w:color="auto" w:fill="auto"/>
            <w:vAlign w:val="center"/>
          </w:tcPr>
          <w:p w14:paraId="2CD0F16E"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9" w:type="dxa"/>
            <w:tcBorders>
              <w:top w:val="single" w:color="FFFFFF" w:sz="4" w:space="0"/>
              <w:left w:val="single" w:color="FFFFFF" w:sz="4" w:space="0"/>
              <w:right w:val="single" w:color="FFFFFF" w:sz="4" w:space="0"/>
            </w:tcBorders>
            <w:shd w:val="clear" w:color="auto" w:fill="auto"/>
            <w:vAlign w:val="center"/>
          </w:tcPr>
          <w:p w14:paraId="3126999E"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0" w:type="dxa"/>
            <w:tcBorders>
              <w:top w:val="single" w:color="FFFFFF" w:sz="4" w:space="0"/>
              <w:left w:val="single" w:color="FFFFFF" w:sz="4" w:space="0"/>
              <w:right w:val="single" w:color="FFFFFF" w:sz="4" w:space="0"/>
            </w:tcBorders>
            <w:shd w:val="clear" w:color="auto" w:fill="auto"/>
            <w:vAlign w:val="center"/>
          </w:tcPr>
          <w:p w14:paraId="52AB88C2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410B3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961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单位信息：</w:t>
            </w:r>
          </w:p>
        </w:tc>
        <w:tc>
          <w:tcPr>
            <w:tcW w:w="18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8EC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163001-金川县城乡居民养老保险事务中心</w:t>
            </w:r>
          </w:p>
        </w:tc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F84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预算项目：</w:t>
            </w:r>
          </w:p>
        </w:tc>
        <w:tc>
          <w:tcPr>
            <w:tcW w:w="24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399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51322623T000007927990-失地农民养老保险“出口”补助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F58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职能职责与活动：</w:t>
            </w:r>
          </w:p>
        </w:tc>
        <w:tc>
          <w:tcPr>
            <w:tcW w:w="14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AA5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13-统筹计划股/01-统筹计划</w:t>
            </w:r>
          </w:p>
        </w:tc>
      </w:tr>
      <w:tr w14:paraId="19EE4C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4E7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主管部门：</w:t>
            </w:r>
          </w:p>
        </w:tc>
        <w:tc>
          <w:tcPr>
            <w:tcW w:w="18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18D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163-金川县城乡居民养老保险事务中心本级</w:t>
            </w:r>
          </w:p>
        </w:tc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66E2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项目经办人：</w:t>
            </w:r>
          </w:p>
        </w:tc>
        <w:tc>
          <w:tcPr>
            <w:tcW w:w="13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49E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杨芳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76A87"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8FF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项目总额：</w:t>
            </w:r>
          </w:p>
        </w:tc>
        <w:tc>
          <w:tcPr>
            <w:tcW w:w="9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2F0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72.03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B6F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万元</w:t>
            </w:r>
          </w:p>
        </w:tc>
      </w:tr>
      <w:tr w14:paraId="3BC07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0441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预算执行率权重：</w:t>
            </w:r>
          </w:p>
        </w:tc>
        <w:tc>
          <w:tcPr>
            <w:tcW w:w="18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B8F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D1C1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项目经办人电话：：</w:t>
            </w:r>
          </w:p>
        </w:tc>
        <w:tc>
          <w:tcPr>
            <w:tcW w:w="13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C8A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15108371555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C6949"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7F6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其中： 财政资金：</w:t>
            </w:r>
          </w:p>
        </w:tc>
        <w:tc>
          <w:tcPr>
            <w:tcW w:w="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60D9F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EB2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万元</w:t>
            </w:r>
          </w:p>
        </w:tc>
      </w:tr>
      <w:tr w14:paraId="3E0BE1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4B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年度目标：</w:t>
            </w:r>
          </w:p>
        </w:tc>
        <w:tc>
          <w:tcPr>
            <w:tcW w:w="5616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4085BA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解决被征地失地农民社会保障遗留问题要以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党的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二十大精神为指导，以精准核实被征地失地农民为前提，坚持政策标准测算，充分尊重被征地失地农民的选择意愿，做到应保尽保、应缴尽缴，切实保障被征地失地农民的合法权益。</w:t>
            </w:r>
          </w:p>
        </w:tc>
        <w:tc>
          <w:tcPr>
            <w:tcW w:w="12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C01A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财政专户管理资金：</w:t>
            </w:r>
          </w:p>
        </w:tc>
        <w:tc>
          <w:tcPr>
            <w:tcW w:w="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DB7D4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9E1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万元</w:t>
            </w:r>
          </w:p>
        </w:tc>
      </w:tr>
      <w:tr w14:paraId="0376A0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A0D7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16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81F74E9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B35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单位资金：</w:t>
            </w:r>
          </w:p>
        </w:tc>
        <w:tc>
          <w:tcPr>
            <w:tcW w:w="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E3A12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152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万元</w:t>
            </w:r>
          </w:p>
        </w:tc>
      </w:tr>
      <w:tr w14:paraId="0C7945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C410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16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C95AC01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7B71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社会投入资金：</w:t>
            </w:r>
          </w:p>
        </w:tc>
        <w:tc>
          <w:tcPr>
            <w:tcW w:w="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CBA45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C98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万元</w:t>
            </w:r>
          </w:p>
        </w:tc>
      </w:tr>
      <w:tr w14:paraId="46FB36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A1C2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16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3846960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747A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银行贷款：</w:t>
            </w:r>
          </w:p>
        </w:tc>
        <w:tc>
          <w:tcPr>
            <w:tcW w:w="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9C1B3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73C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万元</w:t>
            </w:r>
          </w:p>
        </w:tc>
      </w:tr>
      <w:tr w14:paraId="790BBB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 w14:paraId="55F23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 w14:paraId="44E28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22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 w14:paraId="0B822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 w14:paraId="4BE01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指标性质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 w14:paraId="64B09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指标值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 w14:paraId="211BF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本年绩效指标值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 w14:paraId="1917E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度量单位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 w14:paraId="572F6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权重（%）</w:t>
            </w:r>
          </w:p>
        </w:tc>
        <w:tc>
          <w:tcPr>
            <w:tcW w:w="7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 w14:paraId="70A53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本年权重</w:t>
            </w:r>
          </w:p>
        </w:tc>
      </w:tr>
      <w:tr w14:paraId="5F5E76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2DC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A58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2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B31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被征地农民缴费人数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47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＝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2231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4F51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A3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0DB4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7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4D7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 w14:paraId="3B1549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F50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112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22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7ED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失地农民“出口”补助9月底前完成率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16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＝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96DA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497E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F3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53E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4FE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010D7E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CF5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00C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22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06E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养老保险发放准确率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E9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DB5B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A98A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6D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598B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7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BC11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 w14:paraId="76418C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53B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799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22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5D4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失地农民"出口"补助率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76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＝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2C1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D2C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43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177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453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0156D0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5CD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357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22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E91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维护社会稳定，解决失地农民遗留问题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B3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＝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548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094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AB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86DC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D1C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4E1152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4D7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D7E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可持续发展指标</w:t>
            </w:r>
          </w:p>
        </w:tc>
        <w:tc>
          <w:tcPr>
            <w:tcW w:w="22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56A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老有所养，老有所依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C6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定性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CF8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基本保障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ACDF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基本保障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51BB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BFD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066A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382390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BB1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53C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22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68F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被征地农民满意率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56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D0EE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8458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BF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73ED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015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15B9B5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8EE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162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经济成本指标</w:t>
            </w:r>
          </w:p>
        </w:tc>
        <w:tc>
          <w:tcPr>
            <w:tcW w:w="22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FA4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失地农民人均养老保险补助标准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6C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＝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E46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31275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EE1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31275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D9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元/人·次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EBD8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32F0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</w:tbl>
    <w:p w14:paraId="7573D0EE"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</w:compat>
  <w:rsids>
    <w:rsidRoot w:val="00000000"/>
    <w:rsid w:val="0A11626D"/>
    <w:rsid w:val="14805059"/>
    <w:rsid w:val="2A04416C"/>
    <w:rsid w:val="34820506"/>
    <w:rsid w:val="38090F31"/>
    <w:rsid w:val="387826B4"/>
    <w:rsid w:val="39446590"/>
    <w:rsid w:val="42DF1AA4"/>
    <w:rsid w:val="4DEC34C7"/>
    <w:rsid w:val="4E5A7D37"/>
    <w:rsid w:val="622D32B3"/>
    <w:rsid w:val="67937E18"/>
    <w:rsid w:val="71287B78"/>
    <w:rsid w:val="714E7B26"/>
    <w:rsid w:val="74B33D6F"/>
    <w:rsid w:val="7DDC1A7B"/>
    <w:rsid w:val="7E641A8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5">
    <w:name w:val="heading 3"/>
    <w:basedOn w:val="1"/>
    <w:next w:val="1"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8</Pages>
  <Words>4015</Words>
  <Characters>4700</Characters>
  <Lines>23</Lines>
  <Paragraphs>15</Paragraphs>
  <TotalTime>1</TotalTime>
  <ScaleCrop>false</ScaleCrop>
  <LinksUpToDate>false</LinksUpToDate>
  <CharactersWithSpaces>4717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Tom</cp:lastModifiedBy>
  <dcterms:modified xsi:type="dcterms:W3CDTF">2025-03-04T09:31:49Z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eyJoZGlkIjoiOTE2ZDllODRiODE2ZDJhYjhiNzIxNGU1Mjk2ZDY5YmQiLCJ1c2VySWQiOiI0NDY1MjUyNDgifQ==</vt:lpwstr>
  </property>
  <property fmtid="{D5CDD505-2E9C-101B-9397-08002B2CF9AE}" pid="4" name="ICV">
    <vt:lpwstr>9E6AEA30857F4F43AB8E4189C1E8FFAE_12</vt:lpwstr>
  </property>
</Properties>
</file>