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napToGrid w:val="0"/>
        <w:jc w:val="center"/>
        <w:rPr>
          <w:rFonts w:ascii="黑体" w:eastAsia="黑体" w:cs="黑体" w:hint="eastAsia"/>
          <w:sz w:val="44"/>
          <w:szCs w:val="44"/>
        </w:rPr>
      </w:pPr>
      <w:bookmarkStart w:id="0" w:name="YS040100"/>
      <w:bookmarkStart w:id="1" w:name="_GoBack"/>
      <w:bookmarkEnd w:id="1"/>
    </w:p>
    <w:p>
      <w:pPr>
        <w:keepNext w:val="0"/>
        <w:keepLines w:val="0"/>
        <w:pageBreakBefore w:val="0"/>
        <w:widowControl w:val="0"/>
        <w:kinsoku/>
        <w:wordWrap/>
        <w:overflowPunct/>
        <w:topLinePunct w:val="0"/>
        <w:bidi w:val="0"/>
        <w:snapToGrid w:val="0"/>
        <w:spacing w:line="580" w:lineRule="exact"/>
        <w:ind w:right="0"/>
        <w:jc w:val="center"/>
        <w:textAlignment w:val="auto"/>
        <w:rPr>
          <w:rFonts w:ascii="黑体" w:eastAsia="黑体" w:cs="黑体" w:hint="eastAsia"/>
          <w:sz w:val="44"/>
          <w:szCs w:val="44"/>
        </w:rPr>
      </w:pPr>
    </w:p>
    <w:p>
      <w:pPr>
        <w:keepNext w:val="0"/>
        <w:keepLines w:val="0"/>
        <w:pageBreakBefore w:val="0"/>
        <w:widowControl w:val="0"/>
        <w:kinsoku/>
        <w:wordWrap/>
        <w:overflowPunct/>
        <w:topLinePunct w:val="0"/>
        <w:autoSpaceDE/>
        <w:autoSpaceDN/>
        <w:bidi w:val="0"/>
        <w:adjustRightInd w:val="0"/>
        <w:snapToGrid w:val="0"/>
        <w:spacing w:line="1200" w:lineRule="exact"/>
        <w:ind w:left="0" w:right="0" w:firstLine="0"/>
        <w:jc w:val="both"/>
        <w:textAlignment w:val="auto"/>
        <w:rPr>
          <w:rFonts w:ascii="黑体" w:eastAsia="黑体" w:hint="eastAsia"/>
          <w:color w:val="000000"/>
          <w:sz w:val="72"/>
          <w:szCs w:val="72"/>
        </w:rPr>
      </w:pPr>
      <w:bookmarkStart w:id="2" w:name="_Toc15378441"/>
      <w:bookmarkStart w:id="3" w:name="_Toc15377425"/>
      <w:bookmarkStart w:id="4" w:name="_Toc15396597"/>
      <w:bookmarkStart w:id="5" w:name="_Toc15377193"/>
      <w:bookmarkStart w:id="6" w:name="_Toc15396475"/>
    </w:p>
    <w:p>
      <w:pPr>
        <w:keepNext w:val="0"/>
        <w:keepLines w:val="0"/>
        <w:pageBreakBefore w:val="0"/>
        <w:widowControl w:val="0"/>
        <w:kinsoku/>
        <w:wordWrap/>
        <w:overflowPunct/>
        <w:topLinePunct w:val="0"/>
        <w:autoSpaceDE/>
        <w:autoSpaceDN/>
        <w:bidi w:val="0"/>
        <w:adjustRightInd w:val="0"/>
        <w:snapToGrid w:val="0"/>
        <w:spacing w:line="1200" w:lineRule="exact"/>
        <w:ind w:left="0" w:right="0" w:firstLine="0"/>
        <w:jc w:val="center"/>
        <w:textAlignment w:val="auto"/>
        <w:outlineLvl w:val="0"/>
        <w:rPr>
          <w:rFonts w:ascii="方正小标宋简体" w:eastAsia="方正小标宋简体" w:hint="eastAsia"/>
          <w:color w:val="000000"/>
          <w:sz w:val="72"/>
          <w:szCs w:val="72"/>
        </w:rPr>
      </w:pPr>
      <w:bookmarkStart w:id="7" w:name="_Toc1811"/>
      <w:bookmarkStart w:id="8" w:name="_Toc32124"/>
      <w:bookmarkStart w:id="9" w:name="_Toc15538"/>
      <w:r>
        <w:rPr>
          <w:rFonts w:ascii="黑体" w:eastAsia="黑体"/>
          <w:color w:val="000000"/>
          <w:sz w:val="72"/>
          <w:szCs w:val="72"/>
        </w:rPr>
        <w:t>20</w:t>
      </w:r>
      <w:r>
        <w:rPr>
          <w:rFonts w:ascii="黑体" w:eastAsia="黑体" w:hint="eastAsia"/>
          <w:color w:val="000000"/>
          <w:sz w:val="72"/>
          <w:szCs w:val="72"/>
          <w:lang w:val="en-US" w:eastAsia="zh-CN"/>
        </w:rPr>
        <w:t>22</w:t>
      </w:r>
      <w:r>
        <w:rPr>
          <w:rFonts w:ascii="方正小标宋简体" w:eastAsia="方正小标宋简体" w:hint="eastAsia"/>
          <w:color w:val="000000"/>
          <w:sz w:val="72"/>
          <w:szCs w:val="72"/>
        </w:rPr>
        <w:t>年度</w:t>
      </w:r>
      <w:bookmarkStart w:id="10" w:name="_Toc15377194"/>
      <w:bookmarkStart w:id="11" w:name="_Toc15396598"/>
      <w:bookmarkStart w:id="12" w:name="_Toc15396476"/>
      <w:bookmarkStart w:id="13" w:name="_Toc15377426"/>
      <w:bookmarkStart w:id="14" w:name="_Toc15378442"/>
      <w:bookmarkStart w:id="15" w:name="_Toc15306268"/>
      <w:bookmarkEnd w:id="2"/>
      <w:bookmarkEnd w:id="3"/>
      <w:bookmarkEnd w:id="4"/>
      <w:bookmarkEnd w:id="5"/>
      <w:bookmarkEnd w:id="6"/>
      <w:bookmarkEnd w:id="7"/>
      <w:bookmarkEnd w:id="8"/>
      <w:bookmarkEnd w:id="9"/>
    </w:p>
    <w:p>
      <w:pPr>
        <w:keepNext w:val="0"/>
        <w:keepLines w:val="0"/>
        <w:pageBreakBefore w:val="0"/>
        <w:widowControl w:val="0"/>
        <w:kinsoku/>
        <w:wordWrap/>
        <w:overflowPunct/>
        <w:topLinePunct w:val="0"/>
        <w:autoSpaceDE/>
        <w:autoSpaceDN/>
        <w:bidi w:val="0"/>
        <w:adjustRightInd w:val="0"/>
        <w:snapToGrid w:val="0"/>
        <w:spacing w:line="1200" w:lineRule="exact"/>
        <w:ind w:left="0" w:right="0" w:firstLine="0"/>
        <w:jc w:val="center"/>
        <w:textAlignment w:val="auto"/>
        <w:outlineLvl w:val="0"/>
        <w:rPr>
          <w:rFonts w:ascii="方正小标宋简体" w:eastAsia="方正小标宋简体" w:hint="eastAsia"/>
          <w:color w:val="000000"/>
          <w:sz w:val="72"/>
          <w:szCs w:val="72"/>
        </w:rPr>
      </w:pPr>
    </w:p>
    <w:p>
      <w:pPr>
        <w:keepNext w:val="0"/>
        <w:keepLines w:val="0"/>
        <w:pageBreakBefore w:val="0"/>
        <w:widowControl w:val="0"/>
        <w:kinsoku/>
        <w:wordWrap/>
        <w:overflowPunct/>
        <w:topLinePunct w:val="0"/>
        <w:autoSpaceDE/>
        <w:autoSpaceDN/>
        <w:bidi w:val="0"/>
        <w:adjustRightInd w:val="0"/>
        <w:snapToGrid w:val="0"/>
        <w:spacing w:line="1200" w:lineRule="exact"/>
        <w:ind w:left="0" w:right="0" w:firstLine="0"/>
        <w:jc w:val="center"/>
        <w:textAlignment w:val="auto"/>
        <w:outlineLvl w:val="0"/>
        <w:rPr>
          <w:rFonts w:ascii="方正小标宋简体" w:eastAsia="方正小标宋简体" w:hint="eastAsia"/>
          <w:color w:val="000000"/>
          <w:sz w:val="72"/>
          <w:szCs w:val="72"/>
          <w:lang w:val="en-US" w:eastAsia="zh-CN"/>
        </w:rPr>
      </w:pPr>
      <w:bookmarkStart w:id="16" w:name="_Toc28892"/>
      <w:bookmarkStart w:id="17" w:name="_Toc20266"/>
      <w:bookmarkStart w:id="18" w:name="_Toc15964"/>
      <w:r>
        <w:rPr>
          <w:rFonts w:ascii="方正小标宋简体" w:eastAsia="方正小标宋简体" w:hint="eastAsia"/>
          <w:color w:val="000000"/>
          <w:sz w:val="72"/>
          <w:szCs w:val="72"/>
        </w:rPr>
        <w:t>金川县</w:t>
      </w:r>
      <w:bookmarkStart w:id="19" w:name="_Toc32513"/>
      <w:bookmarkStart w:id="20" w:name="_Toc16040"/>
      <w:bookmarkEnd w:id="16"/>
      <w:bookmarkEnd w:id="17"/>
      <w:r>
        <w:rPr>
          <w:rFonts w:ascii="方正小标宋简体" w:eastAsia="方正小标宋简体" w:hint="eastAsia"/>
          <w:color w:val="000000"/>
          <w:sz w:val="72"/>
          <w:szCs w:val="72"/>
        </w:rPr>
        <w:t>城乡居民养老保险</w:t>
      </w:r>
      <w:r>
        <w:rPr>
          <w:rFonts w:ascii="方正小标宋简体" w:eastAsia="方正小标宋简体" w:hint="eastAsia"/>
          <w:color w:val="000000"/>
          <w:sz w:val="72"/>
          <w:szCs w:val="72"/>
          <w:lang w:val="en-US" w:eastAsia="zh-CN"/>
        </w:rPr>
        <w:t>事</w:t>
      </w:r>
    </w:p>
    <w:p>
      <w:pPr>
        <w:keepNext w:val="0"/>
        <w:keepLines w:val="0"/>
        <w:pageBreakBefore w:val="0"/>
        <w:widowControl w:val="0"/>
        <w:kinsoku/>
        <w:wordWrap/>
        <w:overflowPunct/>
        <w:topLinePunct w:val="0"/>
        <w:autoSpaceDE/>
        <w:autoSpaceDN/>
        <w:bidi w:val="0"/>
        <w:adjustRightInd w:val="0"/>
        <w:snapToGrid w:val="0"/>
        <w:spacing w:line="1200" w:lineRule="exact"/>
        <w:ind w:left="0" w:right="0" w:firstLineChars="300" w:firstLine="2160"/>
        <w:jc w:val="both"/>
        <w:textAlignment w:val="auto"/>
        <w:outlineLvl w:val="0"/>
        <w:rPr>
          <w:rFonts w:ascii="方正小标宋简体" w:eastAsia="方正小标宋简体" w:hint="eastAsia"/>
          <w:color w:val="000000"/>
          <w:sz w:val="72"/>
          <w:szCs w:val="72"/>
          <w:lang w:val="en-US" w:eastAsia="zh-CN"/>
        </w:rPr>
      </w:pPr>
    </w:p>
    <w:p>
      <w:pPr>
        <w:keepNext w:val="0"/>
        <w:keepLines w:val="0"/>
        <w:pageBreakBefore w:val="0"/>
        <w:widowControl w:val="0"/>
        <w:kinsoku/>
        <w:wordWrap/>
        <w:overflowPunct/>
        <w:topLinePunct w:val="0"/>
        <w:autoSpaceDE/>
        <w:autoSpaceDN/>
        <w:bidi w:val="0"/>
        <w:adjustRightInd w:val="0"/>
        <w:snapToGrid w:val="0"/>
        <w:spacing w:line="1200" w:lineRule="exact"/>
        <w:ind w:left="0" w:right="0" w:firstLineChars="300" w:firstLine="2160"/>
        <w:jc w:val="both"/>
        <w:textAlignment w:val="auto"/>
        <w:outlineLvl w:val="0"/>
        <w:rPr>
          <w:rFonts w:ascii="方正小标宋简体" w:eastAsia="方正小标宋简体" w:hint="eastAsia"/>
          <w:color w:val="000000"/>
          <w:sz w:val="72"/>
          <w:szCs w:val="72"/>
        </w:rPr>
      </w:pPr>
      <w:r>
        <w:rPr>
          <w:rFonts w:ascii="方正小标宋简体" w:eastAsia="方正小标宋简体" w:hint="eastAsia"/>
          <w:color w:val="000000"/>
          <w:sz w:val="72"/>
          <w:szCs w:val="72"/>
          <w:lang w:val="en-US" w:eastAsia="zh-CN"/>
        </w:rPr>
        <w:t>务中心</w:t>
      </w:r>
      <w:r>
        <w:rPr>
          <w:rFonts w:ascii="方正小标宋简体" w:eastAsia="方正小标宋简体" w:hint="eastAsia"/>
          <w:color w:val="000000"/>
          <w:sz w:val="72"/>
          <w:szCs w:val="72"/>
        </w:rPr>
        <w:t>部门</w:t>
      </w:r>
    </w:p>
    <w:p>
      <w:pPr>
        <w:keepNext w:val="0"/>
        <w:keepLines w:val="0"/>
        <w:pageBreakBefore w:val="0"/>
        <w:widowControl w:val="0"/>
        <w:kinsoku/>
        <w:wordWrap/>
        <w:overflowPunct/>
        <w:topLinePunct w:val="0"/>
        <w:autoSpaceDE/>
        <w:autoSpaceDN/>
        <w:bidi w:val="0"/>
        <w:adjustRightInd w:val="0"/>
        <w:snapToGrid w:val="0"/>
        <w:spacing w:line="1200" w:lineRule="exact"/>
        <w:ind w:left="0" w:right="0" w:firstLine="0"/>
        <w:jc w:val="both"/>
        <w:textAlignment w:val="auto"/>
        <w:outlineLvl w:val="0"/>
        <w:rPr>
          <w:rFonts w:ascii="方正小标宋简体" w:eastAsia="方正小标宋简体" w:hint="eastAsia"/>
          <w:color w:val="000000"/>
          <w:sz w:val="72"/>
          <w:szCs w:val="72"/>
        </w:rPr>
      </w:pPr>
    </w:p>
    <w:p>
      <w:pPr>
        <w:keepNext w:val="0"/>
        <w:keepLines w:val="0"/>
        <w:pageBreakBefore w:val="0"/>
        <w:widowControl w:val="0"/>
        <w:kinsoku/>
        <w:wordWrap/>
        <w:overflowPunct/>
        <w:topLinePunct w:val="0"/>
        <w:autoSpaceDE/>
        <w:autoSpaceDN/>
        <w:bidi w:val="0"/>
        <w:adjustRightInd w:val="0"/>
        <w:snapToGrid w:val="0"/>
        <w:spacing w:line="1200" w:lineRule="exact"/>
        <w:ind w:left="0" w:right="0" w:firstLine="0"/>
        <w:jc w:val="center"/>
        <w:textAlignment w:val="auto"/>
        <w:outlineLvl w:val="0"/>
        <w:rPr>
          <w:rFonts w:ascii="方正小标宋简体" w:eastAsia="方正小标宋简体" w:hint="eastAsia"/>
          <w:color w:val="000000"/>
          <w:sz w:val="72"/>
          <w:szCs w:val="72"/>
        </w:rPr>
      </w:pPr>
      <w:r>
        <w:rPr>
          <w:rFonts w:ascii="方正小标宋简体" w:eastAsia="方正小标宋简体" w:hint="eastAsia"/>
          <w:color w:val="000000"/>
          <w:sz w:val="72"/>
          <w:szCs w:val="72"/>
        </w:rPr>
        <w:t>决算</w:t>
      </w:r>
      <w:bookmarkEnd w:id="10"/>
      <w:bookmarkEnd w:id="11"/>
      <w:bookmarkEnd w:id="12"/>
      <w:bookmarkEnd w:id="13"/>
      <w:bookmarkEnd w:id="14"/>
      <w:bookmarkEnd w:id="15"/>
      <w:bookmarkEnd w:id="18"/>
      <w:bookmarkEnd w:id="19"/>
      <w:bookmarkEnd w:id="20"/>
      <w:r>
        <w:rPr>
          <w:rFonts w:ascii="方正小标宋简体" w:eastAsia="方正小标宋简体" w:hint="eastAsia"/>
          <w:color w:val="000000"/>
          <w:sz w:val="72"/>
          <w:szCs w:val="72"/>
          <w:lang w:eastAsia="zh-CN"/>
        </w:rPr>
        <w:t>公开说明</w:t>
      </w:r>
    </w:p>
    <w:p>
      <w:pPr>
        <w:keepNext w:val="0"/>
        <w:keepLines w:val="0"/>
        <w:pageBreakBefore w:val="0"/>
        <w:widowControl w:val="0"/>
        <w:kinsoku/>
        <w:wordWrap/>
        <w:overflowPunct/>
        <w:topLinePunct w:val="0"/>
        <w:bidi w:val="0"/>
        <w:spacing w:line="580" w:lineRule="exact"/>
        <w:ind w:right="0"/>
        <w:textAlignment w:val="auto"/>
      </w:pPr>
    </w:p>
    <w:p>
      <w:pPr>
        <w:keepNext w:val="0"/>
        <w:keepLines w:val="0"/>
        <w:pageBreakBefore w:val="0"/>
        <w:widowControl/>
        <w:kinsoku/>
        <w:wordWrap/>
        <w:overflowPunct/>
        <w:topLinePunct w:val="0"/>
        <w:bidi w:val="0"/>
        <w:spacing w:line="580" w:lineRule="exact"/>
        <w:ind w:right="0"/>
        <w:jc w:val="center"/>
        <w:textAlignment w:val="auto"/>
        <w:rPr>
          <w:rFonts w:ascii="黑体" w:eastAsia="黑体" w:hint="eastAsia"/>
          <w:color w:val="000000"/>
          <w:sz w:val="48"/>
          <w:szCs w:val="48"/>
        </w:rPr>
      </w:pPr>
    </w:p>
    <w:p>
      <w:pPr>
        <w:keepNext w:val="0"/>
        <w:keepLines w:val="0"/>
        <w:pageBreakBefore w:val="0"/>
        <w:widowControl/>
        <w:kinsoku/>
        <w:wordWrap/>
        <w:overflowPunct/>
        <w:topLinePunct w:val="0"/>
        <w:bidi w:val="0"/>
        <w:spacing w:line="580" w:lineRule="exact"/>
        <w:ind w:right="0"/>
        <w:jc w:val="center"/>
        <w:textAlignment w:val="auto"/>
        <w:rPr>
          <w:rFonts w:ascii="黑体" w:eastAsia="黑体" w:hint="eastAsia"/>
          <w:color w:val="000000"/>
          <w:sz w:val="48"/>
          <w:szCs w:val="48"/>
        </w:rPr>
      </w:pPr>
    </w:p>
    <w:p>
      <w:pPr>
        <w:keepNext w:val="0"/>
        <w:keepLines w:val="0"/>
        <w:pageBreakBefore w:val="0"/>
        <w:widowControl/>
        <w:kinsoku/>
        <w:wordWrap/>
        <w:overflowPunct/>
        <w:topLinePunct w:val="0"/>
        <w:bidi w:val="0"/>
        <w:spacing w:line="580" w:lineRule="exact"/>
        <w:ind w:right="0"/>
        <w:jc w:val="center"/>
        <w:textAlignment w:val="auto"/>
        <w:rPr>
          <w:rFonts w:ascii="黑体" w:eastAsia="黑体" w:hint="eastAsia"/>
          <w:color w:val="000000"/>
          <w:sz w:val="48"/>
          <w:szCs w:val="48"/>
        </w:rPr>
      </w:pPr>
    </w:p>
    <w:p>
      <w:pPr>
        <w:keepNext w:val="0"/>
        <w:keepLines w:val="0"/>
        <w:pageBreakBefore w:val="0"/>
        <w:widowControl/>
        <w:kinsoku/>
        <w:wordWrap/>
        <w:overflowPunct/>
        <w:topLinePunct w:val="0"/>
        <w:bidi w:val="0"/>
        <w:spacing w:line="580" w:lineRule="exact"/>
        <w:ind w:right="0"/>
        <w:jc w:val="center"/>
        <w:textAlignment w:val="auto"/>
        <w:rPr>
          <w:rFonts w:ascii="黑体" w:eastAsia="黑体" w:hint="eastAsia"/>
          <w:color w:val="000000"/>
          <w:sz w:val="48"/>
          <w:szCs w:val="48"/>
        </w:rPr>
      </w:pPr>
    </w:p>
    <w:p>
      <w:pPr>
        <w:keepNext w:val="0"/>
        <w:keepLines w:val="0"/>
        <w:pageBreakBefore w:val="0"/>
        <w:widowControl/>
        <w:kinsoku/>
        <w:wordWrap/>
        <w:overflowPunct/>
        <w:topLinePunct w:val="0"/>
        <w:bidi w:val="0"/>
        <w:spacing w:line="580" w:lineRule="exact"/>
        <w:ind w:right="0"/>
        <w:jc w:val="center"/>
        <w:textAlignment w:val="auto"/>
        <w:rPr>
          <w:rFonts w:ascii="黑体" w:eastAsia="黑体" w:hint="eastAsia"/>
          <w:color w:val="000000"/>
          <w:sz w:val="48"/>
          <w:szCs w:val="48"/>
        </w:rPr>
      </w:pPr>
    </w:p>
    <w:p>
      <w:pPr>
        <w:keepNext w:val="0"/>
        <w:keepLines w:val="0"/>
        <w:pageBreakBefore w:val="0"/>
        <w:widowControl/>
        <w:kinsoku/>
        <w:wordWrap/>
        <w:overflowPunct/>
        <w:topLinePunct w:val="0"/>
        <w:bidi w:val="0"/>
        <w:spacing w:line="580" w:lineRule="exact"/>
        <w:ind w:right="0"/>
        <w:jc w:val="center"/>
        <w:textAlignment w:val="auto"/>
        <w:rPr>
          <w:rFonts w:ascii="黑体" w:eastAsia="黑体" w:hint="eastAsia"/>
          <w:color w:val="000000"/>
          <w:sz w:val="48"/>
          <w:szCs w:val="48"/>
        </w:rPr>
      </w:pPr>
    </w:p>
    <w:p>
      <w:pPr>
        <w:keepNext w:val="0"/>
        <w:keepLines w:val="0"/>
        <w:pageBreakBefore w:val="0"/>
        <w:widowControl/>
        <w:kinsoku/>
        <w:wordWrap/>
        <w:overflowPunct/>
        <w:topLinePunct w:val="0"/>
        <w:bidi w:val="0"/>
        <w:spacing w:line="580" w:lineRule="exact"/>
        <w:ind w:right="0"/>
        <w:jc w:val="center"/>
        <w:textAlignment w:val="auto"/>
        <w:rPr>
          <w:rFonts w:ascii="黑体" w:eastAsia="黑体" w:hint="eastAsia"/>
          <w:color w:val="000000"/>
          <w:sz w:val="48"/>
          <w:szCs w:val="48"/>
        </w:rPr>
      </w:pPr>
    </w:p>
    <w:p>
      <w:pPr>
        <w:keepNext w:val="0"/>
        <w:keepLines w:val="0"/>
        <w:pageBreakBefore w:val="0"/>
        <w:widowControl/>
        <w:kinsoku/>
        <w:wordWrap/>
        <w:overflowPunct/>
        <w:topLinePunct w:val="0"/>
        <w:autoSpaceDE/>
        <w:autoSpaceDN/>
        <w:bidi w:val="0"/>
        <w:adjustRightInd/>
        <w:snapToGrid/>
        <w:spacing w:line="500" w:lineRule="exact"/>
        <w:ind w:left="0" w:right="0" w:firstLine="0"/>
        <w:jc w:val="center"/>
        <w:textAlignment w:val="auto"/>
        <w:outlineLvl w:val="9"/>
        <w:rPr>
          <w:rFonts w:ascii="黑体" w:eastAsia="黑体" w:hint="eastAsia"/>
          <w:color w:val="000000"/>
          <w:sz w:val="48"/>
          <w:szCs w:val="48"/>
        </w:rPr>
      </w:pPr>
      <w:r>
        <w:rPr>
          <w:rFonts w:ascii="黑体" w:eastAsia="黑体" w:hint="eastAsia"/>
          <w:color w:val="000000"/>
          <w:sz w:val="48"/>
          <w:szCs w:val="48"/>
        </w:rPr>
        <w:t>目  录</w:t>
      </w:r>
    </w:p>
    <w:p>
      <w:pPr>
        <w:pStyle w:val="18"/>
        <w:tabs>
          <w:tab w:val="right" w:leader="dot" w:pos="8296"/>
        </w:tabs>
        <w:rPr>
          <w:rFonts w:hint="eastAsia"/>
        </w:rPr>
      </w:pPr>
      <w:r>
        <w:rPr>
          <w:rFonts w:hint="eastAsia"/>
        </w:rPr>
        <w:fldChar w:fldCharType="begin"/>
      </w:r>
      <w:r>
        <w:rPr>
          <w:rFonts w:hint="eastAsia"/>
        </w:rPr>
        <w:instrText xml:space="preserve">TOC \o "1-3" \h \u </w:instrText>
      </w:r>
      <w:r>
        <w:rPr>
          <w:rFonts w:hint="eastAsia"/>
        </w:rPr>
        <w:fldChar w:fldCharType="separate"/>
      </w:r>
    </w:p>
    <w:p>
      <w:pPr>
        <w:pStyle w:val="18"/>
        <w:tabs>
          <w:tab w:val="right" w:leader="dot" w:pos="8296"/>
        </w:tabs>
        <w:rPr>
          <w:rFonts w:hint="eastAsia"/>
        </w:rPr>
      </w:pPr>
      <w:r>
        <w:rPr>
          <w:rFonts w:hint="eastAsia"/>
        </w:rPr>
        <w:fldChar w:fldCharType="begin"/>
      </w:r>
      <w:r>
        <w:rPr>
          <w:rFonts w:hint="eastAsia"/>
        </w:rPr>
        <w:instrText xml:space="preserve"> HYPERLINK \l _Toc23088 </w:instrText>
      </w:r>
      <w:r>
        <w:rPr>
          <w:rFonts w:hint="eastAsia"/>
        </w:rPr>
        <w:fldChar w:fldCharType="separate"/>
      </w:r>
      <w:r>
        <w:rPr>
          <w:rFonts w:hint="eastAsia"/>
        </w:rPr>
        <w:t>20</w:t>
      </w:r>
      <w:r>
        <w:rPr>
          <w:rFonts w:hint="eastAsia"/>
          <w:lang w:val="en-US" w:eastAsia="zh-CN"/>
        </w:rPr>
        <w:t>22</w:t>
      </w:r>
      <w:r>
        <w:rPr>
          <w:rFonts w:hint="eastAsia"/>
        </w:rPr>
        <w:t>年决算</w:t>
      </w:r>
      <w:r>
        <w:rPr>
          <w:rFonts w:hint="eastAsia"/>
          <w:lang w:eastAsia="zh-CN"/>
        </w:rPr>
        <w:t>说明</w:t>
      </w:r>
      <w:r>
        <w:rPr>
          <w:rFonts w:hint="eastAsia"/>
        </w:rPr>
        <w:tab/>
        <w:t>1</w:t>
      </w:r>
      <w:r>
        <w:rPr>
          <w:rFonts w:hint="eastAsia"/>
        </w:rPr>
        <w:fldChar w:fldCharType="end"/>
      </w:r>
    </w:p>
    <w:p>
      <w:pPr>
        <w:pStyle w:val="18"/>
        <w:tabs>
          <w:tab w:val="right" w:leader="dot" w:pos="8296"/>
        </w:tabs>
        <w:rPr>
          <w:rFonts w:hint="eastAsia"/>
        </w:rPr>
      </w:pPr>
      <w:r>
        <w:rPr>
          <w:rFonts w:hint="eastAsia"/>
        </w:rPr>
        <w:fldChar w:fldCharType="begin"/>
      </w:r>
      <w:r>
        <w:rPr>
          <w:rFonts w:hint="eastAsia"/>
        </w:rPr>
        <w:instrText xml:space="preserve"> HYPERLINK \l _Toc11455 </w:instrText>
      </w:r>
      <w:r>
        <w:rPr>
          <w:rFonts w:hint="eastAsia"/>
        </w:rPr>
        <w:fldChar w:fldCharType="separate"/>
      </w:r>
      <w:r>
        <w:rPr>
          <w:rFonts w:hint="eastAsia"/>
        </w:rPr>
        <w:t>一、 单位基本情况</w:t>
        <w:tab/>
        <w:t>4</w:t>
      </w:r>
      <w:r>
        <w:rPr>
          <w:rFonts w:hint="eastAsia"/>
        </w:rPr>
        <w:fldChar w:fldCharType="end"/>
      </w:r>
    </w:p>
    <w:p>
      <w:pPr>
        <w:pStyle w:val="18"/>
        <w:tabs>
          <w:tab w:val="right" w:leader="dot" w:pos="8296"/>
        </w:tabs>
        <w:rPr>
          <w:rFonts w:hint="eastAsia"/>
        </w:rPr>
      </w:pPr>
      <w:r>
        <w:rPr>
          <w:rFonts w:hint="eastAsia"/>
        </w:rPr>
        <w:fldChar w:fldCharType="begin"/>
      </w:r>
      <w:r>
        <w:rPr>
          <w:rFonts w:hint="eastAsia"/>
        </w:rPr>
        <w:instrText xml:space="preserve"> HYPERLINK \l _Toc26556 </w:instrText>
      </w:r>
      <w:r>
        <w:rPr>
          <w:rFonts w:hint="eastAsia"/>
        </w:rPr>
        <w:fldChar w:fldCharType="separate"/>
      </w:r>
      <w:r>
        <w:rPr>
          <w:rFonts w:hint="eastAsia"/>
        </w:rPr>
        <w:t>（一）主要职能</w:t>
        <w:tab/>
        <w:t>4</w:t>
      </w:r>
      <w:r>
        <w:rPr>
          <w:rFonts w:hint="eastAsia"/>
        </w:rPr>
        <w:fldChar w:fldCharType="end"/>
      </w:r>
    </w:p>
    <w:p>
      <w:pPr>
        <w:pStyle w:val="18"/>
        <w:tabs>
          <w:tab w:val="right" w:leader="dot" w:pos="8296"/>
        </w:tabs>
        <w:ind w:firstLineChars="100" w:firstLine="280"/>
        <w:jc w:val="left"/>
        <w:rPr>
          <w:rFonts w:hint="eastAsia"/>
          <w:lang w:val="en-US"/>
        </w:rPr>
      </w:pPr>
      <w:r>
        <w:rPr>
          <w:rFonts w:hint="eastAsia"/>
          <w:lang w:val="en-US" w:eastAsia="zh-CN"/>
        </w:rPr>
        <w:t>(二)</w:t>
      </w:r>
      <w:r>
        <w:rPr>
          <w:rFonts w:hint="eastAsia"/>
          <w:lang w:eastAsia="zh-CN"/>
        </w:rPr>
        <w:t>决算信息来源说明</w:t>
      </w:r>
      <w:r>
        <w:rPr>
          <w:rFonts w:hint="eastAsia"/>
          <w:lang w:val="en-US" w:eastAsia="zh-CN"/>
        </w:rPr>
        <w:t>......................................4</w:t>
      </w:r>
    </w:p>
    <w:p>
      <w:pPr>
        <w:pStyle w:val="18"/>
        <w:tabs>
          <w:tab w:val="right" w:leader="dot" w:pos="8296"/>
        </w:tabs>
        <w:ind w:firstLineChars="100" w:firstLine="280"/>
        <w:jc w:val="both"/>
        <w:rPr>
          <w:rFonts w:hint="eastAsia"/>
        </w:rPr>
      </w:pPr>
      <w:r>
        <w:rPr>
          <w:rFonts w:hint="eastAsia"/>
        </w:rPr>
        <w:fldChar w:fldCharType="begin"/>
      </w:r>
      <w:r>
        <w:rPr>
          <w:rFonts w:hint="eastAsia"/>
        </w:rPr>
        <w:instrText xml:space="preserve"> HYPERLINK \l _Toc1399 </w:instrText>
      </w:r>
      <w:r>
        <w:rPr>
          <w:rFonts w:hint="eastAsia"/>
        </w:rPr>
        <w:fldChar w:fldCharType="separate"/>
      </w:r>
      <w:r>
        <w:rPr>
          <w:rFonts w:hint="eastAsia"/>
        </w:rPr>
        <w:t>（</w:t>
      </w:r>
      <w:r>
        <w:rPr>
          <w:rFonts w:hint="eastAsia"/>
          <w:lang w:eastAsia="zh-CN"/>
        </w:rPr>
        <w:t>三</w:t>
      </w:r>
      <w:r>
        <w:rPr>
          <w:rFonts w:hint="eastAsia"/>
        </w:rPr>
        <w:t>）</w:t>
      </w:r>
      <w:r>
        <w:rPr>
          <w:rFonts w:hint="eastAsia"/>
          <w:lang w:eastAsia="zh-CN"/>
        </w:rPr>
        <w:t>部门机构情况说明</w:t>
      </w:r>
      <w:r>
        <w:rPr>
          <w:rFonts w:hint="eastAsia"/>
          <w:lang w:val="en-US" w:eastAsia="zh-CN"/>
        </w:rPr>
        <w:t>....................................5</w:t>
      </w:r>
      <w:r>
        <w:rPr>
          <w:rFonts w:hint="eastAsia"/>
        </w:rPr>
        <w:fldChar w:fldCharType="end"/>
      </w:r>
    </w:p>
    <w:p>
      <w:pPr>
        <w:pStyle w:val="18"/>
        <w:tabs>
          <w:tab w:val="right" w:leader="dot" w:pos="8296"/>
        </w:tabs>
        <w:ind w:firstLineChars="100" w:firstLine="280"/>
        <w:jc w:val="left"/>
        <w:rPr>
          <w:rFonts w:hint="eastAsia"/>
          <w:lang w:eastAsia="zh-CN"/>
        </w:rPr>
      </w:pPr>
      <w:r>
        <w:rPr>
          <w:rFonts w:hint="eastAsia"/>
          <w:lang w:eastAsia="zh-CN"/>
        </w:rPr>
        <w:t>（四）部门录入户数说明</w:t>
      </w:r>
      <w:r>
        <w:rPr>
          <w:rFonts w:hint="eastAsia"/>
          <w:lang w:val="en-US" w:eastAsia="zh-CN"/>
        </w:rPr>
        <w:t>....................................6</w:t>
      </w:r>
    </w:p>
    <w:p>
      <w:pPr>
        <w:pStyle w:val="18"/>
        <w:tabs>
          <w:tab w:val="right" w:leader="dot" w:pos="8296"/>
        </w:tabs>
        <w:rPr>
          <w:rFonts w:hint="eastAsia"/>
        </w:rPr>
      </w:pPr>
      <w:r>
        <w:rPr>
          <w:rFonts w:hint="eastAsia"/>
        </w:rPr>
        <w:fldChar w:fldCharType="begin"/>
      </w:r>
      <w:r>
        <w:rPr>
          <w:rFonts w:hint="eastAsia"/>
        </w:rPr>
        <w:instrText xml:space="preserve"> HYPERLINK \l _Toc19488 </w:instrText>
      </w:r>
      <w:r>
        <w:rPr>
          <w:rFonts w:hint="eastAsia"/>
        </w:rPr>
        <w:fldChar w:fldCharType="separate"/>
      </w:r>
      <w:r>
        <w:rPr>
          <w:rFonts w:hint="eastAsia"/>
        </w:rPr>
        <w:t>（</w:t>
      </w:r>
      <w:r>
        <w:rPr>
          <w:rFonts w:hint="eastAsia"/>
          <w:lang w:eastAsia="zh-CN"/>
        </w:rPr>
        <w:t>五</w:t>
      </w:r>
      <w:r>
        <w:rPr>
          <w:rFonts w:hint="eastAsia"/>
        </w:rPr>
        <w:t>）当年取得的主要成效</w:t>
        <w:tab/>
      </w:r>
      <w:r>
        <w:rPr>
          <w:rFonts w:hint="eastAsia"/>
          <w:lang w:val="en-US" w:eastAsia="zh-CN"/>
        </w:rPr>
        <w:t>....6</w:t>
      </w:r>
      <w:r>
        <w:rPr>
          <w:rFonts w:hint="eastAsia"/>
        </w:rPr>
        <w:fldChar w:fldCharType="end"/>
      </w:r>
    </w:p>
    <w:p>
      <w:pPr>
        <w:spacing w:line="600" w:lineRule="exact"/>
        <w:ind w:left="0" w:firstLineChars="100" w:firstLine="320"/>
        <w:rPr>
          <w:rFonts w:hint="eastAsia"/>
          <w:lang w:val="en-US"/>
        </w:rPr>
      </w:pPr>
      <w:r>
        <w:rPr>
          <w:rFonts w:ascii="仿宋" w:eastAsia="仿宋" w:cs="仿宋" w:hint="eastAsia"/>
          <w:b/>
          <w:bCs/>
          <w:color w:val="000000"/>
          <w:sz w:val="32"/>
          <w:szCs w:val="32"/>
          <w:lang w:eastAsia="zh-CN"/>
        </w:rPr>
        <w:t>二、</w:t>
      </w:r>
      <w:r>
        <w:rPr>
          <w:rFonts w:ascii="仿宋" w:eastAsia="仿宋" w:cs="Calibri" w:hint="eastAsia"/>
          <w:kern w:val="2"/>
          <w:sz w:val="28"/>
          <w:szCs w:val="28"/>
          <w:lang w:val="en-US" w:eastAsia="zh-CN" w:bidi="ar-SA"/>
        </w:rPr>
        <w:t>财政拨款收入支出决算情况说明</w:t>
      </w:r>
      <w:r>
        <w:rPr>
          <w:rFonts w:ascii="仿宋" w:eastAsia="仿宋" w:hint="eastAsia"/>
          <w:sz w:val="28"/>
          <w:szCs w:val="28"/>
        </w:rPr>
        <w:t>．．．．．．．．．．．．．．．．．</w:t>
      </w:r>
      <w:r>
        <w:rPr>
          <w:rFonts w:ascii="仿宋" w:eastAsia="仿宋" w:hint="eastAsia"/>
          <w:sz w:val="28"/>
          <w:szCs w:val="28"/>
          <w:lang w:val="en-US" w:eastAsia="zh-CN"/>
        </w:rPr>
        <w:t>.....</w:t>
      </w:r>
      <w:r>
        <w:rPr>
          <w:rFonts w:ascii="仿宋" w:eastAsia="仿宋" w:hint="eastAsia"/>
          <w:sz w:val="28"/>
          <w:szCs w:val="28"/>
        </w:rPr>
        <w:t>．</w:t>
      </w:r>
      <w:r>
        <w:rPr>
          <w:rFonts w:ascii="仿宋" w:eastAsia="仿宋" w:hint="eastAsia"/>
          <w:sz w:val="28"/>
          <w:szCs w:val="28"/>
          <w:lang w:val="en-US" w:eastAsia="zh-CN"/>
        </w:rPr>
        <w:t>5</w:t>
      </w:r>
    </w:p>
    <w:p>
      <w:pPr>
        <w:spacing w:line="600" w:lineRule="exact"/>
        <w:ind w:left="0" w:firstLineChars="100" w:firstLine="210"/>
        <w:rPr>
          <w:rFonts w:hint="eastAsia"/>
        </w:rPr>
      </w:pPr>
      <w:r>
        <w:rPr>
          <w:rFonts w:hint="eastAsia"/>
        </w:rPr>
        <w:fldChar w:fldCharType="begin"/>
      </w:r>
      <w:r>
        <w:rPr>
          <w:rFonts w:hint="eastAsia"/>
        </w:rPr>
        <w:instrText xml:space="preserve"> HYPERLINK \l _Toc13512 </w:instrText>
      </w:r>
      <w:r>
        <w:rPr>
          <w:rFonts w:hint="eastAsia"/>
        </w:rPr>
        <w:fldChar w:fldCharType="separate"/>
      </w:r>
      <w:r>
        <w:rPr>
          <w:rFonts w:ascii="仿宋" w:eastAsia="仿宋" w:cs="Calibri" w:hint="eastAsia"/>
          <w:kern w:val="2"/>
          <w:sz w:val="28"/>
          <w:szCs w:val="28"/>
          <w:lang w:val="en-US" w:eastAsia="zh-CN" w:bidi="ar-SA"/>
        </w:rPr>
        <w:t>（一）一般公共预算财政拨款收入情况........................</w:t>
      </w:r>
      <w:r>
        <w:rPr>
          <w:rFonts w:ascii="仿宋" w:eastAsia="仿宋" w:hint="eastAsia"/>
          <w:sz w:val="28"/>
          <w:szCs w:val="28"/>
          <w:lang w:val="en-US" w:eastAsia="zh-CN"/>
        </w:rPr>
        <w:t>5</w:t>
      </w:r>
      <w:r>
        <w:rPr>
          <w:rFonts w:hint="eastAsia"/>
        </w:rPr>
        <w:fldChar w:fldCharType="end"/>
      </w:r>
    </w:p>
    <w:p>
      <w:pPr>
        <w:spacing w:line="600" w:lineRule="exact"/>
        <w:ind w:left="0" w:firstLineChars="100" w:firstLine="280"/>
        <w:jc w:val="both"/>
        <w:rPr>
          <w:rFonts w:ascii="仿宋" w:eastAsia="仿宋" w:cs="Calibri"/>
          <w:kern w:val="2"/>
          <w:sz w:val="28"/>
          <w:szCs w:val="28"/>
          <w:lang w:val="en-US" w:eastAsia="zh-CN" w:bidi="ar-SA"/>
        </w:rPr>
      </w:pPr>
      <w:r>
        <w:rPr>
          <w:rFonts w:ascii="仿宋" w:eastAsia="仿宋" w:cs="Calibri" w:hint="eastAsia"/>
          <w:kern w:val="2"/>
          <w:sz w:val="28"/>
          <w:szCs w:val="28"/>
          <w:lang w:val="en-US" w:eastAsia="zh-CN" w:bidi="ar-SA"/>
        </w:rPr>
        <w:t>（二）一般公共预算财政拨款支出决算情况说明...............6</w:t>
      </w:r>
    </w:p>
    <w:p>
      <w:pPr>
        <w:spacing w:line="600" w:lineRule="exact"/>
        <w:ind w:left="0" w:firstLineChars="100" w:firstLine="280"/>
        <w:rPr>
          <w:rFonts w:ascii="仿宋" w:eastAsia="仿宋" w:cs="Calibri" w:hint="eastAsia"/>
          <w:kern w:val="2"/>
          <w:sz w:val="28"/>
          <w:szCs w:val="28"/>
          <w:lang w:val="en-US" w:eastAsia="zh-CN" w:bidi="ar-SA"/>
        </w:rPr>
      </w:pPr>
      <w:r>
        <w:rPr>
          <w:rFonts w:ascii="仿宋" w:eastAsia="仿宋" w:cs="Calibri" w:hint="eastAsia"/>
          <w:kern w:val="2"/>
          <w:sz w:val="28"/>
          <w:szCs w:val="28"/>
          <w:lang w:val="en-US" w:eastAsia="zh-CN" w:bidi="ar-SA"/>
        </w:rPr>
        <w:t>（三）一般公共预算财政拨款基本支出决算情况说明...........8</w:t>
      </w:r>
    </w:p>
    <w:p>
      <w:pPr>
        <w:spacing w:line="600" w:lineRule="exact"/>
        <w:ind w:left="0" w:firstLineChars="100" w:firstLine="280"/>
        <w:rPr>
          <w:rFonts w:ascii="仿宋" w:eastAsia="仿宋" w:cs="Calibri" w:hint="eastAsia"/>
          <w:kern w:val="2"/>
          <w:sz w:val="28"/>
          <w:szCs w:val="28"/>
          <w:lang w:val="en-US" w:eastAsia="zh-CN" w:bidi="ar-SA"/>
        </w:rPr>
      </w:pPr>
      <w:r>
        <w:rPr>
          <w:rFonts w:ascii="仿宋" w:eastAsia="仿宋" w:cs="Calibri" w:hint="eastAsia"/>
          <w:kern w:val="2"/>
          <w:sz w:val="28"/>
          <w:szCs w:val="28"/>
          <w:lang w:val="en-US" w:eastAsia="zh-CN" w:bidi="ar-SA"/>
        </w:rPr>
        <w:t>（三）一般公共预算财政拨款基本支出决算情况说明...........8</w:t>
      </w:r>
    </w:p>
    <w:p>
      <w:pPr>
        <w:spacing w:line="600" w:lineRule="exact"/>
        <w:ind w:left="0" w:firstLineChars="100" w:firstLine="280"/>
        <w:rPr>
          <w:rFonts w:ascii="仿宋" w:eastAsia="仿宋" w:cs="Calibri"/>
          <w:kern w:val="2"/>
          <w:sz w:val="28"/>
          <w:szCs w:val="28"/>
          <w:lang w:val="en-US" w:eastAsia="zh-CN" w:bidi="ar-SA"/>
        </w:rPr>
      </w:pPr>
      <w:r>
        <w:rPr>
          <w:rFonts w:ascii="仿宋" w:eastAsia="仿宋" w:cs="Calibri" w:hint="eastAsia"/>
          <w:kern w:val="2"/>
          <w:sz w:val="28"/>
          <w:szCs w:val="28"/>
          <w:lang w:val="en-US" w:eastAsia="zh-CN" w:bidi="ar-SA"/>
        </w:rPr>
        <w:t>（四）一般公共预算财政拨款项目支出决算情况说.............9</w:t>
      </w:r>
    </w:p>
    <w:p>
      <w:pPr>
        <w:pStyle w:val="18"/>
        <w:tabs>
          <w:tab w:val="right" w:leader="dot" w:pos="8296"/>
        </w:tabs>
        <w:rPr>
          <w:rFonts w:hint="eastAsia"/>
        </w:rPr>
      </w:pPr>
      <w:r>
        <w:rPr>
          <w:rFonts w:hint="eastAsia"/>
          <w:lang w:val="en-US" w:eastAsia="zh-CN"/>
        </w:rPr>
        <w:t xml:space="preserve">  </w:t>
      </w:r>
      <w:r>
        <w:rPr>
          <w:rFonts w:hint="eastAsia"/>
        </w:rPr>
        <w:fldChar w:fldCharType="begin"/>
      </w:r>
      <w:r>
        <w:rPr>
          <w:rFonts w:hint="eastAsia"/>
        </w:rPr>
        <w:instrText xml:space="preserve"> HYPERLINK \l _Toc12371 </w:instrText>
      </w:r>
      <w:r>
        <w:rPr>
          <w:rFonts w:hint="eastAsia"/>
        </w:rPr>
        <w:fldChar w:fldCharType="separate"/>
      </w:r>
      <w:r>
        <w:rPr>
          <w:rFonts w:hint="eastAsia"/>
        </w:rPr>
        <w:t>四“三公”经费财政拨款支出决算情况</w:t>
        <w:tab/>
      </w:r>
      <w:r>
        <w:rPr>
          <w:rFonts w:hint="eastAsia"/>
          <w:lang w:val="en-US" w:eastAsia="zh-CN"/>
        </w:rPr>
        <w:t>.......................9</w:t>
      </w:r>
      <w:r>
        <w:rPr>
          <w:rFonts w:hint="eastAsia"/>
        </w:rPr>
        <w:fldChar w:fldCharType="end"/>
      </w:r>
    </w:p>
    <w:p>
      <w:pPr>
        <w:pStyle w:val="18"/>
        <w:tabs>
          <w:tab w:val="right" w:leader="dot" w:pos="8296"/>
        </w:tabs>
        <w:rPr>
          <w:rFonts w:hint="eastAsia"/>
        </w:rPr>
      </w:pPr>
      <w:r>
        <w:rPr>
          <w:rFonts w:hint="eastAsia"/>
        </w:rPr>
        <w:fldChar w:fldCharType="begin"/>
      </w:r>
      <w:r>
        <w:rPr>
          <w:rFonts w:hint="eastAsia"/>
        </w:rPr>
        <w:instrText xml:space="preserve"> HYPERLINK \l _Toc6872 </w:instrText>
      </w:r>
      <w:r>
        <w:rPr>
          <w:rFonts w:hint="eastAsia"/>
        </w:rPr>
        <w:fldChar w:fldCharType="separate"/>
      </w:r>
      <w:r>
        <w:rPr>
          <w:rFonts w:hint="eastAsia"/>
        </w:rPr>
        <w:t>（一）“三公”经费财政拨款支出决算总体情况说明</w:t>
        <w:tab/>
      </w:r>
      <w:r>
        <w:rPr>
          <w:rFonts w:hint="eastAsia"/>
          <w:lang w:val="en-US" w:eastAsia="zh-CN"/>
        </w:rPr>
        <w:t>..............9</w:t>
      </w:r>
      <w:r>
        <w:rPr>
          <w:rFonts w:hint="eastAsia"/>
        </w:rPr>
        <w:fldChar w:fldCharType="end"/>
      </w:r>
    </w:p>
    <w:p>
      <w:pPr>
        <w:pStyle w:val="18"/>
        <w:tabs>
          <w:tab w:val="right" w:leader="dot" w:pos="8296"/>
        </w:tabs>
        <w:rPr>
          <w:rFonts w:hint="eastAsia"/>
        </w:rPr>
      </w:pPr>
      <w:r>
        <w:rPr>
          <w:rFonts w:hint="eastAsia"/>
        </w:rPr>
        <w:fldChar w:fldCharType="begin"/>
      </w:r>
      <w:r>
        <w:rPr>
          <w:rFonts w:hint="eastAsia"/>
        </w:rPr>
        <w:instrText xml:space="preserve"> HYPERLINK \l _Toc2762 </w:instrText>
      </w:r>
      <w:r>
        <w:rPr>
          <w:rFonts w:hint="eastAsia"/>
        </w:rPr>
        <w:fldChar w:fldCharType="separate"/>
      </w:r>
      <w:r>
        <w:rPr>
          <w:rFonts w:hint="eastAsia"/>
        </w:rPr>
        <w:t>（二）“三公”经费财政拨款支出决算具体情况说明</w:t>
        <w:tab/>
      </w:r>
      <w:r>
        <w:rPr>
          <w:rFonts w:hint="eastAsia"/>
          <w:lang w:val="en-US" w:eastAsia="zh-CN"/>
        </w:rPr>
        <w:t>9</w:t>
      </w:r>
      <w:r>
        <w:rPr>
          <w:rFonts w:hint="eastAsia"/>
        </w:rPr>
        <w:fldChar w:fldCharType="end"/>
      </w:r>
    </w:p>
    <w:p>
      <w:pPr>
        <w:pStyle w:val="18"/>
        <w:tabs>
          <w:tab w:val="right" w:leader="dot" w:pos="8296"/>
        </w:tabs>
        <w:rPr>
          <w:rFonts w:hint="eastAsia"/>
        </w:rPr>
      </w:pPr>
      <w:r>
        <w:rPr>
          <w:rFonts w:hint="eastAsia"/>
        </w:rPr>
        <w:fldChar w:fldCharType="begin"/>
      </w:r>
      <w:r>
        <w:rPr>
          <w:rFonts w:hint="eastAsia"/>
        </w:rPr>
        <w:instrText xml:space="preserve"> HYPERLINK \l _Toc6049 </w:instrText>
      </w:r>
      <w:r>
        <w:rPr>
          <w:rFonts w:hint="eastAsia"/>
        </w:rPr>
        <w:fldChar w:fldCharType="separate"/>
      </w:r>
      <w:r>
        <w:rPr>
          <w:rFonts w:hint="eastAsia"/>
        </w:rPr>
        <w:t>1.因公出国（境）经费</w:t>
        <w:tab/>
      </w:r>
      <w:r>
        <w:rPr>
          <w:rFonts w:hint="eastAsia"/>
          <w:lang w:val="en-US" w:eastAsia="zh-CN"/>
        </w:rPr>
        <w:t>9</w:t>
      </w:r>
      <w:r>
        <w:rPr>
          <w:rFonts w:hint="eastAsia"/>
        </w:rPr>
        <w:fldChar w:fldCharType="end"/>
      </w:r>
    </w:p>
    <w:p>
      <w:pPr>
        <w:pStyle w:val="18"/>
        <w:tabs>
          <w:tab w:val="right" w:leader="dot" w:pos="8296"/>
        </w:tabs>
        <w:rPr>
          <w:rFonts w:hint="eastAsia"/>
        </w:rPr>
      </w:pPr>
      <w:r>
        <w:rPr>
          <w:rFonts w:hint="eastAsia"/>
        </w:rPr>
        <w:fldChar w:fldCharType="begin"/>
      </w:r>
      <w:r>
        <w:rPr>
          <w:rFonts w:hint="eastAsia"/>
        </w:rPr>
        <w:instrText xml:space="preserve"> HYPERLINK \l _Toc22919 </w:instrText>
      </w:r>
      <w:r>
        <w:rPr>
          <w:rFonts w:hint="eastAsia"/>
        </w:rPr>
        <w:fldChar w:fldCharType="separate"/>
      </w:r>
      <w:r>
        <w:rPr>
          <w:rFonts w:hint="eastAsia"/>
        </w:rPr>
        <w:t>2.公务用车购置及运行维护费</w:t>
        <w:tab/>
      </w:r>
      <w:r>
        <w:rPr>
          <w:rFonts w:hint="eastAsia"/>
          <w:lang w:val="en-US" w:eastAsia="zh-CN"/>
        </w:rPr>
        <w:t>9</w:t>
      </w:r>
      <w:r>
        <w:rPr>
          <w:rFonts w:hint="eastAsia"/>
        </w:rPr>
        <w:fldChar w:fldCharType="end"/>
      </w:r>
    </w:p>
    <w:p>
      <w:pPr>
        <w:pStyle w:val="18"/>
        <w:tabs>
          <w:tab w:val="right" w:leader="dot" w:pos="8296"/>
        </w:tabs>
        <w:rPr>
          <w:rFonts w:eastAsia="仿宋" w:hint="eastAsia"/>
          <w:lang w:val="en-US" w:eastAsia="zh-CN"/>
        </w:rPr>
      </w:pPr>
      <w:r>
        <w:rPr>
          <w:rFonts w:hint="eastAsia"/>
        </w:rPr>
        <w:fldChar w:fldCharType="begin"/>
      </w:r>
      <w:r>
        <w:rPr>
          <w:rFonts w:hint="eastAsia"/>
        </w:rPr>
        <w:instrText xml:space="preserve"> HYPERLINK \l _Toc8007 </w:instrText>
      </w:r>
      <w:r>
        <w:rPr>
          <w:rFonts w:hint="eastAsia"/>
        </w:rPr>
        <w:fldChar w:fldCharType="separate"/>
      </w:r>
      <w:r>
        <w:rPr>
          <w:rFonts w:hint="eastAsia"/>
        </w:rPr>
        <w:t>3.公务接待费</w:t>
        <w:tab/>
      </w:r>
      <w:r>
        <w:rPr>
          <w:rFonts w:hint="eastAsia"/>
          <w:lang w:val="en-US" w:eastAsia="zh-CN"/>
        </w:rPr>
        <w:t>1</w:t>
      </w:r>
      <w:r>
        <w:rPr>
          <w:rFonts w:hint="eastAsia"/>
        </w:rPr>
        <w:fldChar w:fldCharType="end"/>
      </w:r>
      <w:r>
        <w:rPr>
          <w:rFonts w:hint="eastAsia"/>
          <w:lang w:val="en-US" w:eastAsia="zh-CN"/>
        </w:rPr>
        <w:t>0</w:t>
      </w:r>
    </w:p>
    <w:p>
      <w:pPr>
        <w:pStyle w:val="18"/>
        <w:tabs>
          <w:tab w:val="right" w:leader="dot" w:pos="8296"/>
        </w:tabs>
        <w:rPr>
          <w:rFonts w:hint="eastAsia"/>
        </w:rPr>
      </w:pPr>
      <w:r>
        <w:rPr>
          <w:rFonts w:hint="eastAsia"/>
        </w:rPr>
        <w:fldChar w:fldCharType="begin"/>
      </w:r>
      <w:r>
        <w:rPr>
          <w:rFonts w:hint="eastAsia"/>
        </w:rPr>
        <w:instrText xml:space="preserve"> HYPERLINK \l _Toc7579 </w:instrText>
      </w:r>
      <w:r>
        <w:rPr>
          <w:rFonts w:hint="eastAsia"/>
        </w:rPr>
        <w:fldChar w:fldCharType="separate"/>
      </w:r>
      <w:r>
        <w:rPr>
          <w:rFonts w:hint="eastAsia"/>
          <w:lang w:eastAsia="zh-CN"/>
        </w:rPr>
        <w:t>四</w:t>
      </w:r>
      <w:r>
        <w:rPr>
          <w:rFonts w:hint="eastAsia"/>
        </w:rPr>
        <w:t>、资产负债情况分析</w:t>
        <w:tab/>
      </w:r>
      <w:r>
        <w:rPr>
          <w:rFonts w:hint="eastAsia"/>
          <w:lang w:val="en-US" w:eastAsia="zh-CN"/>
        </w:rPr>
        <w:t>1</w:t>
      </w:r>
      <w:r>
        <w:rPr>
          <w:rFonts w:hint="eastAsia"/>
        </w:rPr>
        <w:fldChar w:fldCharType="end"/>
      </w:r>
      <w:r>
        <w:rPr>
          <w:rFonts w:hint="eastAsia"/>
          <w:lang w:val="en-US" w:eastAsia="zh-CN"/>
        </w:rPr>
        <w:t>0</w:t>
      </w:r>
    </w:p>
    <w:p>
      <w:pPr>
        <w:pStyle w:val="18"/>
        <w:tabs>
          <w:tab w:val="right" w:leader="dot" w:pos="8296"/>
        </w:tabs>
        <w:rPr>
          <w:rFonts w:hint="eastAsia"/>
        </w:rPr>
      </w:pPr>
      <w:r>
        <w:rPr>
          <w:rFonts w:hint="eastAsia"/>
        </w:rPr>
        <w:fldChar w:fldCharType="begin"/>
      </w:r>
      <w:r>
        <w:rPr>
          <w:rFonts w:hint="eastAsia"/>
        </w:rPr>
        <w:instrText xml:space="preserve"> HYPERLINK \l _Toc7698 </w:instrText>
      </w:r>
      <w:r>
        <w:rPr>
          <w:rFonts w:hint="eastAsia"/>
        </w:rPr>
        <w:fldChar w:fldCharType="separate"/>
      </w:r>
      <w:r>
        <w:rPr>
          <w:rFonts w:hint="eastAsia"/>
          <w:lang w:eastAsia="zh-CN"/>
        </w:rPr>
        <w:t>五</w:t>
      </w:r>
      <w:r>
        <w:rPr>
          <w:rFonts w:hint="eastAsia"/>
        </w:rPr>
        <w:t>、政府性基金预算财政拨款支出决算情况</w:t>
        <w:tab/>
      </w:r>
      <w:r>
        <w:rPr>
          <w:rFonts w:hint="eastAsia"/>
          <w:lang w:val="en-US" w:eastAsia="zh-CN"/>
        </w:rPr>
        <w:t>1</w:t>
      </w:r>
      <w:r>
        <w:rPr>
          <w:rFonts w:hint="eastAsia"/>
        </w:rPr>
        <w:fldChar w:fldCharType="end"/>
      </w:r>
      <w:r>
        <w:rPr>
          <w:rFonts w:hint="eastAsia"/>
          <w:lang w:val="en-US" w:eastAsia="zh-CN"/>
        </w:rPr>
        <w:t>0</w:t>
      </w:r>
    </w:p>
    <w:p>
      <w:pPr>
        <w:pStyle w:val="18"/>
        <w:tabs>
          <w:tab w:val="right" w:leader="dot" w:pos="8296"/>
        </w:tabs>
        <w:rPr>
          <w:rFonts w:hint="eastAsia"/>
        </w:rPr>
      </w:pPr>
      <w:r>
        <w:rPr>
          <w:rFonts w:hint="eastAsia"/>
        </w:rPr>
        <w:fldChar w:fldCharType="begin"/>
      </w:r>
      <w:r>
        <w:rPr>
          <w:rFonts w:hint="eastAsia"/>
        </w:rPr>
        <w:instrText xml:space="preserve"> HYPERLINK \l _Toc11209 </w:instrText>
      </w:r>
      <w:r>
        <w:rPr>
          <w:rFonts w:hint="eastAsia"/>
        </w:rPr>
        <w:fldChar w:fldCharType="separate"/>
      </w:r>
      <w:r>
        <w:rPr>
          <w:rFonts w:hint="eastAsia"/>
          <w:lang w:eastAsia="zh-CN"/>
        </w:rPr>
        <w:t>六</w:t>
      </w:r>
      <w:r>
        <w:rPr>
          <w:rFonts w:hint="eastAsia"/>
        </w:rPr>
        <w:t>、其他重要事项的情况说明</w:t>
        <w:tab/>
      </w:r>
      <w:r>
        <w:rPr>
          <w:rFonts w:hint="eastAsia"/>
          <w:lang w:val="en-US" w:eastAsia="zh-CN"/>
        </w:rPr>
        <w:t>1</w:t>
      </w:r>
      <w:r>
        <w:rPr>
          <w:rFonts w:hint="eastAsia"/>
        </w:rPr>
        <w:fldChar w:fldCharType="end"/>
      </w:r>
      <w:r>
        <w:rPr>
          <w:rFonts w:hint="eastAsia"/>
          <w:lang w:val="en-US" w:eastAsia="zh-CN"/>
        </w:rPr>
        <w:t>0</w:t>
      </w:r>
    </w:p>
    <w:p>
      <w:pPr>
        <w:pStyle w:val="18"/>
        <w:tabs>
          <w:tab w:val="right" w:leader="dot" w:pos="8296"/>
        </w:tabs>
        <w:rPr>
          <w:rFonts w:hint="eastAsia"/>
        </w:rPr>
      </w:pPr>
      <w:r>
        <w:rPr>
          <w:rFonts w:hint="eastAsia"/>
        </w:rPr>
        <w:fldChar w:fldCharType="begin"/>
      </w:r>
      <w:r>
        <w:rPr>
          <w:rFonts w:hint="eastAsia"/>
        </w:rPr>
        <w:instrText xml:space="preserve"> HYPERLINK \l _Toc4355 </w:instrText>
      </w:r>
      <w:r>
        <w:rPr>
          <w:rFonts w:hint="eastAsia"/>
        </w:rPr>
        <w:fldChar w:fldCharType="separate"/>
      </w:r>
      <w:r>
        <w:rPr>
          <w:rFonts w:hint="eastAsia"/>
        </w:rPr>
        <w:t>（一）事业运行经费支出情况</w:t>
        <w:tab/>
      </w:r>
      <w:r>
        <w:rPr>
          <w:rFonts w:hint="eastAsia"/>
          <w:lang w:val="en-US" w:eastAsia="zh-CN"/>
        </w:rPr>
        <w:t>1</w:t>
      </w:r>
      <w:r>
        <w:rPr>
          <w:rFonts w:hint="eastAsia"/>
        </w:rPr>
        <w:fldChar w:fldCharType="end"/>
      </w:r>
      <w:r>
        <w:rPr>
          <w:rFonts w:hint="eastAsia"/>
          <w:lang w:val="en-US" w:eastAsia="zh-CN"/>
        </w:rPr>
        <w:t>1</w:t>
      </w:r>
    </w:p>
    <w:p>
      <w:pPr>
        <w:pStyle w:val="18"/>
        <w:tabs>
          <w:tab w:val="right" w:leader="dot" w:pos="8296"/>
        </w:tabs>
        <w:rPr>
          <w:rFonts w:hint="eastAsia"/>
        </w:rPr>
      </w:pPr>
      <w:r>
        <w:rPr>
          <w:rFonts w:hint="eastAsia"/>
        </w:rPr>
        <w:fldChar w:fldCharType="begin"/>
      </w:r>
      <w:r>
        <w:rPr>
          <w:rFonts w:hint="eastAsia"/>
        </w:rPr>
        <w:instrText xml:space="preserve"> HYPERLINK \l _Toc17192 </w:instrText>
      </w:r>
      <w:r>
        <w:rPr>
          <w:rFonts w:hint="eastAsia"/>
        </w:rPr>
        <w:fldChar w:fldCharType="separate"/>
      </w:r>
      <w:r>
        <w:rPr>
          <w:rFonts w:hint="eastAsia"/>
        </w:rPr>
        <w:t>（二）政府采购支出情况</w:t>
        <w:tab/>
      </w:r>
      <w:r>
        <w:rPr>
          <w:rFonts w:hint="eastAsia"/>
          <w:lang w:val="en-US" w:eastAsia="zh-CN"/>
        </w:rPr>
        <w:t>1</w:t>
      </w:r>
      <w:r>
        <w:rPr>
          <w:rFonts w:hint="eastAsia"/>
        </w:rPr>
        <w:fldChar w:fldCharType="end"/>
      </w:r>
      <w:r>
        <w:rPr>
          <w:rFonts w:hint="eastAsia"/>
          <w:lang w:val="en-US" w:eastAsia="zh-CN"/>
        </w:rPr>
        <w:t>1</w:t>
      </w:r>
    </w:p>
    <w:p>
      <w:pPr>
        <w:pStyle w:val="18"/>
        <w:tabs>
          <w:tab w:val="right" w:leader="dot" w:pos="8296"/>
        </w:tabs>
        <w:rPr>
          <w:rFonts w:hint="eastAsia"/>
        </w:rPr>
      </w:pPr>
      <w:r>
        <w:rPr>
          <w:rFonts w:hint="eastAsia"/>
        </w:rPr>
        <w:fldChar w:fldCharType="begin"/>
      </w:r>
      <w:r>
        <w:rPr>
          <w:rFonts w:hint="eastAsia"/>
        </w:rPr>
        <w:instrText xml:space="preserve"> HYPERLINK \l _Toc8299 </w:instrText>
      </w:r>
      <w:r>
        <w:rPr>
          <w:rFonts w:hint="eastAsia"/>
        </w:rPr>
        <w:fldChar w:fldCharType="separate"/>
      </w:r>
      <w:r>
        <w:rPr>
          <w:rFonts w:hint="eastAsia"/>
        </w:rPr>
        <w:t>（三）国有资产占有使用情况</w:t>
        <w:tab/>
      </w:r>
      <w:r>
        <w:rPr>
          <w:rFonts w:hint="eastAsia"/>
          <w:lang w:val="en-US" w:eastAsia="zh-CN"/>
        </w:rPr>
        <w:t>1</w:t>
      </w:r>
      <w:r>
        <w:rPr>
          <w:rFonts w:hint="eastAsia"/>
        </w:rPr>
        <w:fldChar w:fldCharType="end"/>
      </w:r>
      <w:r>
        <w:rPr>
          <w:rFonts w:hint="eastAsia"/>
          <w:lang w:val="en-US" w:eastAsia="zh-CN"/>
        </w:rPr>
        <w:t>1</w:t>
      </w:r>
    </w:p>
    <w:p>
      <w:pPr>
        <w:pStyle w:val="18"/>
        <w:tabs>
          <w:tab w:val="right" w:leader="dot" w:pos="8296"/>
        </w:tabs>
        <w:rPr>
          <w:rFonts w:hint="eastAsia"/>
        </w:rPr>
      </w:pPr>
      <w:r>
        <w:rPr>
          <w:rFonts w:hint="eastAsia"/>
        </w:rPr>
        <w:fldChar w:fldCharType="begin"/>
      </w:r>
      <w:r>
        <w:rPr>
          <w:rFonts w:hint="eastAsia"/>
        </w:rPr>
        <w:instrText xml:space="preserve"> HYPERLINK \l _Toc8700 </w:instrText>
      </w:r>
      <w:r>
        <w:rPr>
          <w:rFonts w:hint="eastAsia"/>
        </w:rPr>
        <w:fldChar w:fldCharType="separate"/>
      </w:r>
      <w:r>
        <w:rPr>
          <w:rFonts w:hint="eastAsia"/>
        </w:rPr>
        <w:t>（四）预算绩效情况</w:t>
        <w:tab/>
      </w:r>
      <w:r>
        <w:rPr>
          <w:rFonts w:hint="eastAsia"/>
          <w:lang w:val="en-US" w:eastAsia="zh-CN"/>
        </w:rPr>
        <w:t>1</w:t>
      </w:r>
      <w:r>
        <w:rPr>
          <w:rFonts w:hint="eastAsia"/>
        </w:rPr>
        <w:fldChar w:fldCharType="end"/>
      </w:r>
      <w:r>
        <w:rPr>
          <w:rFonts w:hint="eastAsia"/>
          <w:lang w:val="en-US" w:eastAsia="zh-CN"/>
        </w:rPr>
        <w:t>1</w:t>
      </w:r>
    </w:p>
    <w:p>
      <w:pPr>
        <w:pStyle w:val="18"/>
        <w:tabs>
          <w:tab w:val="right" w:leader="dot" w:pos="8296"/>
        </w:tabs>
        <w:rPr>
          <w:rFonts w:hint="eastAsia"/>
        </w:rPr>
      </w:pPr>
      <w:r>
        <w:rPr>
          <w:rFonts w:hint="eastAsia"/>
        </w:rPr>
        <w:fldChar w:fldCharType="begin"/>
      </w:r>
      <w:r>
        <w:rPr>
          <w:rFonts w:hint="eastAsia"/>
        </w:rPr>
        <w:instrText xml:space="preserve"> HYPERLINK \l _Toc13295 </w:instrText>
      </w:r>
      <w:r>
        <w:rPr>
          <w:rFonts w:hint="eastAsia"/>
        </w:rPr>
        <w:fldChar w:fldCharType="separate"/>
      </w:r>
      <w:r>
        <w:rPr>
          <w:rFonts w:hint="eastAsia"/>
        </w:rPr>
        <w:t>1、评价结论</w:t>
        <w:tab/>
      </w:r>
      <w:r>
        <w:rPr>
          <w:rFonts w:hint="eastAsia"/>
          <w:lang w:val="en-US" w:eastAsia="zh-CN"/>
        </w:rPr>
        <w:t>1</w:t>
      </w:r>
      <w:r>
        <w:rPr>
          <w:rFonts w:hint="eastAsia"/>
        </w:rPr>
        <w:fldChar w:fldCharType="end"/>
      </w:r>
      <w:r>
        <w:rPr>
          <w:rFonts w:hint="eastAsia"/>
          <w:lang w:val="en-US" w:eastAsia="zh-CN"/>
        </w:rPr>
        <w:t>1</w:t>
      </w:r>
    </w:p>
    <w:p>
      <w:pPr>
        <w:pStyle w:val="18"/>
        <w:tabs>
          <w:tab w:val="right" w:leader="dot" w:pos="8296"/>
        </w:tabs>
        <w:rPr>
          <w:rFonts w:hint="eastAsia"/>
        </w:rPr>
      </w:pPr>
      <w:r>
        <w:rPr>
          <w:rFonts w:hint="eastAsia"/>
        </w:rPr>
        <w:fldChar w:fldCharType="begin"/>
      </w:r>
      <w:r>
        <w:rPr>
          <w:rFonts w:hint="eastAsia"/>
        </w:rPr>
        <w:instrText xml:space="preserve"> HYPERLINK \l _Toc21013 </w:instrText>
      </w:r>
      <w:r>
        <w:rPr>
          <w:rFonts w:hint="eastAsia"/>
        </w:rPr>
        <w:fldChar w:fldCharType="separate"/>
      </w:r>
      <w:r>
        <w:rPr>
          <w:rFonts w:hint="eastAsia"/>
        </w:rPr>
        <w:t>2、存在问题</w:t>
        <w:tab/>
      </w:r>
      <w:r>
        <w:rPr>
          <w:rFonts w:hint="eastAsia"/>
          <w:lang w:val="en-US" w:eastAsia="zh-CN"/>
        </w:rPr>
        <w:t>1</w:t>
      </w:r>
      <w:r>
        <w:rPr>
          <w:rFonts w:hint="eastAsia"/>
        </w:rPr>
        <w:fldChar w:fldCharType="end"/>
      </w:r>
      <w:r>
        <w:rPr>
          <w:rFonts w:hint="eastAsia"/>
          <w:lang w:val="en-US" w:eastAsia="zh-CN"/>
        </w:rPr>
        <w:t>1</w:t>
      </w:r>
    </w:p>
    <w:p>
      <w:pPr>
        <w:pStyle w:val="18"/>
        <w:tabs>
          <w:tab w:val="right" w:leader="dot" w:pos="8296"/>
        </w:tabs>
        <w:rPr>
          <w:rFonts w:hint="eastAsia"/>
        </w:rPr>
      </w:pPr>
      <w:r>
        <w:rPr>
          <w:rFonts w:hint="eastAsia"/>
        </w:rPr>
        <w:fldChar w:fldCharType="begin"/>
      </w:r>
      <w:r>
        <w:rPr>
          <w:rFonts w:hint="eastAsia"/>
        </w:rPr>
        <w:instrText xml:space="preserve"> HYPERLINK \l _Toc29651 </w:instrText>
      </w:r>
      <w:r>
        <w:rPr>
          <w:rFonts w:hint="eastAsia"/>
        </w:rPr>
        <w:fldChar w:fldCharType="separate"/>
      </w:r>
      <w:r>
        <w:rPr>
          <w:rFonts w:hint="eastAsia"/>
        </w:rPr>
        <w:t>3、改进建议</w:t>
        <w:tab/>
      </w:r>
      <w:r>
        <w:rPr>
          <w:rFonts w:hint="eastAsia"/>
          <w:lang w:val="en-US" w:eastAsia="zh-CN"/>
        </w:rPr>
        <w:t>1</w:t>
      </w:r>
      <w:r>
        <w:rPr>
          <w:rFonts w:hint="eastAsia"/>
        </w:rPr>
        <w:fldChar w:fldCharType="end"/>
      </w:r>
      <w:r>
        <w:rPr>
          <w:rFonts w:hint="eastAsia"/>
          <w:lang w:val="en-US" w:eastAsia="zh-CN"/>
        </w:rPr>
        <w:t>1</w:t>
      </w:r>
    </w:p>
    <w:p>
      <w:pPr>
        <w:pStyle w:val="18"/>
        <w:tabs>
          <w:tab w:val="right" w:leader="dot" w:pos="8296"/>
        </w:tabs>
        <w:rPr>
          <w:rFonts w:hint="eastAsia"/>
        </w:rPr>
      </w:pPr>
      <w:r>
        <w:rPr>
          <w:rFonts w:hint="eastAsia"/>
        </w:rPr>
        <w:fldChar w:fldCharType="begin"/>
      </w:r>
      <w:r>
        <w:rPr>
          <w:rFonts w:hint="eastAsia"/>
        </w:rPr>
        <w:instrText xml:space="preserve"> HYPERLINK \l _Toc29051 </w:instrText>
      </w:r>
      <w:r>
        <w:rPr>
          <w:rFonts w:hint="eastAsia"/>
        </w:rPr>
        <w:fldChar w:fldCharType="separate"/>
      </w:r>
      <w:r>
        <w:rPr>
          <w:rFonts w:hint="eastAsia"/>
          <w:lang w:eastAsia="zh-CN"/>
        </w:rPr>
        <w:t>七</w:t>
      </w:r>
      <w:r>
        <w:rPr>
          <w:rFonts w:hint="eastAsia"/>
        </w:rPr>
        <w:t>、名词解释</w:t>
        <w:tab/>
      </w:r>
      <w:r>
        <w:rPr>
          <w:rFonts w:hint="eastAsia"/>
          <w:lang w:val="en-US" w:eastAsia="zh-CN"/>
        </w:rPr>
        <w:t>1</w:t>
      </w:r>
      <w:r>
        <w:rPr>
          <w:rFonts w:hint="eastAsia"/>
        </w:rPr>
        <w:fldChar w:fldCharType="end"/>
      </w:r>
      <w:r>
        <w:rPr>
          <w:rFonts w:hint="eastAsia"/>
          <w:lang w:val="en-US" w:eastAsia="zh-CN"/>
        </w:rPr>
        <w:t>4</w:t>
      </w:r>
    </w:p>
    <w:p>
      <w:pPr>
        <w:pStyle w:val="18"/>
        <w:tabs>
          <w:tab w:val="right" w:leader="dot" w:pos="8296"/>
        </w:tabs>
        <w:rPr>
          <w:rFonts w:hint="eastAsia"/>
        </w:rPr>
      </w:pPr>
      <w:r>
        <w:rPr>
          <w:rFonts w:hint="eastAsia"/>
        </w:rPr>
        <w:fldChar w:fldCharType="end"/>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ascii="黑体" w:eastAsia="黑体" w:cs="黑体"/>
          <w:color w:val="000000"/>
        </w:rPr>
      </w:pPr>
    </w:p>
    <w:p>
      <w:pPr>
        <w:jc w:val="center"/>
        <w:rPr>
          <w:rFonts w:ascii="仿宋" w:eastAsia="仿宋" w:cs="仿宋" w:hint="eastAsia"/>
          <w:b/>
          <w:bCs/>
          <w:color w:val="000000"/>
          <w:sz w:val="32"/>
          <w:szCs w:val="32"/>
          <w:lang w:eastAsia="zh-CN"/>
        </w:rPr>
      </w:pPr>
      <w:r>
        <w:rPr>
          <w:rFonts w:ascii="仿宋" w:eastAsia="仿宋" w:cs="仿宋" w:hint="eastAsia"/>
          <w:b/>
          <w:bCs/>
          <w:color w:val="000000"/>
          <w:sz w:val="32"/>
          <w:szCs w:val="32"/>
          <w:lang w:eastAsia="zh-CN"/>
        </w:rPr>
        <w:t>金川县城乡居民养老保险</w:t>
      </w:r>
      <w:bookmarkEnd w:id="0"/>
      <w:r>
        <w:rPr>
          <w:rFonts w:ascii="仿宋" w:eastAsia="仿宋" w:cs="仿宋" w:hint="eastAsia"/>
          <w:b/>
          <w:bCs/>
          <w:color w:val="000000"/>
          <w:sz w:val="32"/>
          <w:szCs w:val="32"/>
          <w:lang w:eastAsia="zh-CN"/>
        </w:rPr>
        <w:t>事务中心</w:t>
      </w:r>
    </w:p>
    <w:p>
      <w:pPr>
        <w:jc w:val="center"/>
        <w:rPr>
          <w:rFonts w:ascii="仿宋" w:eastAsia="仿宋" w:cs="仿宋" w:hint="eastAsia"/>
          <w:b/>
          <w:bCs/>
          <w:color w:val="000000"/>
          <w:sz w:val="32"/>
          <w:szCs w:val="32"/>
        </w:rPr>
      </w:pPr>
      <w:r>
        <w:rPr>
          <w:rFonts w:ascii="仿宋" w:eastAsia="仿宋" w:cs="仿宋" w:hint="eastAsia"/>
          <w:b/>
          <w:bCs/>
          <w:color w:val="000000"/>
          <w:sz w:val="32"/>
          <w:szCs w:val="32"/>
        </w:rPr>
        <w:t>20</w:t>
      </w:r>
      <w:r>
        <w:rPr>
          <w:rFonts w:ascii="仿宋" w:eastAsia="仿宋" w:cs="仿宋" w:hint="eastAsia"/>
          <w:b/>
          <w:bCs/>
          <w:color w:val="000000"/>
          <w:sz w:val="32"/>
          <w:szCs w:val="32"/>
          <w:lang w:val="en-US" w:eastAsia="zh-CN"/>
        </w:rPr>
        <w:t>22</w:t>
      </w:r>
      <w:r>
        <w:rPr>
          <w:rFonts w:ascii="仿宋" w:eastAsia="仿宋" w:cs="仿宋" w:hint="eastAsia"/>
          <w:b/>
          <w:bCs/>
          <w:color w:val="000000"/>
          <w:sz w:val="32"/>
          <w:szCs w:val="32"/>
        </w:rPr>
        <w:t>年度部门决算报表填报说明</w:t>
      </w:r>
    </w:p>
    <w:p>
      <w:pPr>
        <w:jc w:val="center"/>
        <w:rPr>
          <w:rFonts w:ascii="仿宋" w:eastAsia="仿宋" w:cs="仿宋" w:hint="eastAsia"/>
          <w:b/>
          <w:bCs/>
          <w:color w:val="000000"/>
          <w:sz w:val="32"/>
          <w:szCs w:val="32"/>
        </w:rPr>
      </w:pPr>
    </w:p>
    <w:p>
      <w:pPr>
        <w:numPr>
          <w:ilvl w:val="0"/>
          <w:numId w:val="1"/>
        </w:numPr>
        <w:snapToGrid w:val="0"/>
        <w:spacing w:line="360" w:lineRule="auto"/>
        <w:ind w:left="0" w:firstLineChars="200" w:firstLine="640"/>
        <w:outlineLvl w:val="0"/>
        <w:rPr>
          <w:rFonts w:ascii="黑体" w:eastAsia="黑体" w:cs="黑体" w:hint="eastAsia"/>
          <w:b/>
          <w:bCs/>
          <w:sz w:val="32"/>
        </w:rPr>
      </w:pPr>
      <w:bookmarkStart w:id="21" w:name="_Toc11455"/>
      <w:bookmarkStart w:id="22" w:name="_Toc14023"/>
      <w:r>
        <w:rPr>
          <w:rFonts w:ascii="黑体" w:eastAsia="黑体" w:cs="黑体" w:hint="eastAsia"/>
          <w:b/>
          <w:bCs/>
          <w:sz w:val="32"/>
        </w:rPr>
        <w:t>单位基本情况</w:t>
      </w:r>
      <w:bookmarkEnd w:id="21"/>
      <w:bookmarkEnd w:id="22"/>
    </w:p>
    <w:p>
      <w:pPr>
        <w:snapToGrid w:val="0"/>
        <w:spacing w:line="360" w:lineRule="auto"/>
        <w:outlineLvl w:val="1"/>
        <w:rPr>
          <w:rFonts w:ascii="仿宋_GB2312" w:eastAsia="仿宋_GB2312" w:hint="eastAsia"/>
          <w:bCs/>
          <w:sz w:val="30"/>
          <w:szCs w:val="30"/>
        </w:rPr>
      </w:pPr>
      <w:r>
        <w:rPr>
          <w:rFonts w:ascii="仿宋_GB2312" w:eastAsia="仿宋_GB2312" w:hint="eastAsia"/>
          <w:bCs/>
          <w:sz w:val="32"/>
          <w:szCs w:val="32"/>
        </w:rPr>
        <w:t xml:space="preserve"> </w:t>
      </w:r>
      <w:r>
        <w:rPr>
          <w:rFonts w:ascii="楷体" w:eastAsia="楷体" w:cs="楷体" w:hint="eastAsia"/>
          <w:b/>
          <w:sz w:val="32"/>
          <w:szCs w:val="32"/>
        </w:rPr>
        <w:t xml:space="preserve">    </w:t>
      </w:r>
      <w:bookmarkStart w:id="23" w:name="_Toc26556"/>
      <w:r>
        <w:rPr>
          <w:rFonts w:ascii="楷体" w:eastAsia="楷体" w:cs="楷体" w:hint="eastAsia"/>
          <w:b/>
          <w:sz w:val="32"/>
          <w:szCs w:val="32"/>
        </w:rPr>
        <w:t>（一）主要职能</w:t>
      </w:r>
      <w:bookmarkEnd w:id="23"/>
    </w:p>
    <w:p>
      <w:pPr>
        <w:ind w:firstLineChars="200" w:firstLine="600"/>
        <w:rPr>
          <w:rFonts w:ascii="仿宋_GB2312" w:eastAsia="仿宋_GB2312" w:cs="仿宋_GB2312" w:hint="eastAsia"/>
          <w:sz w:val="30"/>
          <w:szCs w:val="30"/>
        </w:rPr>
      </w:pPr>
      <w:r>
        <w:rPr>
          <w:rFonts w:ascii="仿宋_GB2312" w:eastAsia="仿宋_GB2312" w:cs="仿宋_GB2312" w:hint="eastAsia"/>
          <w:bCs/>
          <w:sz w:val="30"/>
          <w:szCs w:val="30"/>
        </w:rPr>
        <w:t xml:space="preserve"> 1、</w:t>
      </w:r>
      <w:r>
        <w:rPr>
          <w:rFonts w:ascii="仿宋_GB2312" w:eastAsia="仿宋_GB2312" w:cs="仿宋_GB2312" w:hint="eastAsia"/>
          <w:sz w:val="30"/>
          <w:szCs w:val="30"/>
        </w:rPr>
        <w:t>承担城乡居民养老保险收支管理的责任。负责编制年度预决算并组织执行。接受县人事委托，向县人民代表大会报告我局预算及其执行情况。</w:t>
      </w:r>
    </w:p>
    <w:p>
      <w:pPr>
        <w:ind w:firstLineChars="200" w:firstLine="600"/>
        <w:rPr>
          <w:rFonts w:ascii="仿宋_GB2312" w:eastAsia="仿宋_GB2312" w:cs="仿宋_GB2312" w:hint="eastAsia"/>
          <w:sz w:val="30"/>
          <w:szCs w:val="30"/>
        </w:rPr>
      </w:pPr>
      <w:r>
        <w:rPr>
          <w:rFonts w:ascii="仿宋_GB2312" w:eastAsia="仿宋_GB2312" w:cs="仿宋_GB2312" w:hint="eastAsia"/>
          <w:sz w:val="30"/>
          <w:szCs w:val="30"/>
        </w:rPr>
        <w:t>2、负责政府非税收入管理。负责政府性基金管理，按规定管理事业性收费</w:t>
      </w:r>
      <w:r>
        <w:rPr>
          <w:rFonts w:ascii="仿宋_GB2312" w:eastAsia="仿宋_GB2312" w:cs="仿宋_GB2312" w:hint="eastAsia"/>
          <w:sz w:val="30"/>
          <w:szCs w:val="30"/>
          <w:lang w:eastAsia="zh-CN"/>
        </w:rPr>
        <w:t>，</w:t>
      </w:r>
      <w:r>
        <w:rPr>
          <w:rFonts w:ascii="仿宋_GB2312" w:eastAsia="仿宋_GB2312" w:cs="仿宋_GB2312" w:hint="eastAsia"/>
          <w:sz w:val="30"/>
          <w:szCs w:val="30"/>
        </w:rPr>
        <w:t>管理非税票据。</w:t>
      </w:r>
    </w:p>
    <w:p>
      <w:pPr>
        <w:ind w:firstLineChars="200" w:firstLine="600"/>
        <w:rPr>
          <w:rFonts w:ascii="仿宋_GB2312" w:eastAsia="仿宋_GB2312" w:cs="仿宋_GB2312" w:hint="eastAsia"/>
          <w:sz w:val="30"/>
          <w:szCs w:val="30"/>
        </w:rPr>
      </w:pPr>
      <w:r>
        <w:rPr>
          <w:rFonts w:ascii="仿宋_GB2312" w:eastAsia="仿宋_GB2312" w:cs="仿宋_GB2312" w:hint="eastAsia"/>
          <w:sz w:val="30"/>
          <w:szCs w:val="30"/>
        </w:rPr>
        <w:t>3、负责管理我局的会计工作，监督和规范会计行为，组织实施国家统一的会计制度。</w:t>
      </w:r>
    </w:p>
    <w:p>
      <w:pPr>
        <w:ind w:firstLineChars="200" w:firstLine="600"/>
        <w:rPr>
          <w:rFonts w:ascii="仿宋_GB2312" w:eastAsia="仿宋_GB2312" w:cs="仿宋_GB2312" w:hint="eastAsia"/>
          <w:sz w:val="30"/>
          <w:szCs w:val="30"/>
        </w:rPr>
      </w:pPr>
      <w:r>
        <w:rPr>
          <w:rFonts w:ascii="仿宋_GB2312" w:eastAsia="仿宋_GB2312" w:cs="仿宋_GB2312" w:hint="eastAsia"/>
          <w:sz w:val="30"/>
          <w:szCs w:val="30"/>
        </w:rPr>
        <w:t>4、负责财政资金绩效评价。监督财税法规、政策的执行情况，反映财政收支管理中的重大问题。</w:t>
      </w:r>
    </w:p>
    <w:p>
      <w:pPr>
        <w:snapToGrid w:val="0"/>
        <w:spacing w:line="360" w:lineRule="auto"/>
        <w:rPr>
          <w:rFonts w:ascii="仿宋_GB2312" w:eastAsia="仿宋_GB2312" w:cs="仿宋_GB2312" w:hint="eastAsia"/>
          <w:bCs/>
          <w:sz w:val="30"/>
          <w:szCs w:val="30"/>
          <w:lang w:val="en-US" w:eastAsia="zh-CN"/>
        </w:rPr>
      </w:pPr>
      <w:r>
        <w:rPr>
          <w:rFonts w:ascii="仿宋_GB2312" w:eastAsia="仿宋_GB2312" w:cs="仿宋_GB2312" w:hint="eastAsia"/>
          <w:sz w:val="30"/>
          <w:szCs w:val="30"/>
        </w:rPr>
        <w:t>5、金川县城乡居民养老保险</w:t>
      </w:r>
      <w:r>
        <w:rPr>
          <w:rFonts w:ascii="仿宋_GB2312" w:eastAsia="仿宋_GB2312" w:cs="仿宋_GB2312" w:hint="eastAsia"/>
          <w:sz w:val="30"/>
          <w:szCs w:val="30"/>
          <w:lang w:eastAsia="zh-CN"/>
        </w:rPr>
        <w:t>事务中心</w:t>
      </w:r>
      <w:r>
        <w:rPr>
          <w:rFonts w:ascii="仿宋_GB2312" w:eastAsia="仿宋_GB2312" w:cs="仿宋_GB2312" w:hint="eastAsia"/>
          <w:sz w:val="30"/>
          <w:szCs w:val="30"/>
        </w:rPr>
        <w:t>是主管农民、居民养老保险收支、统筹、管理及利用的部门</w:t>
      </w:r>
      <w:r>
        <w:rPr>
          <w:rFonts w:ascii="仿宋_GB2312" w:eastAsia="仿宋_GB2312" w:cs="仿宋_GB2312" w:hint="eastAsia"/>
          <w:sz w:val="30"/>
          <w:szCs w:val="30"/>
          <w:lang w:eastAsia="zh-CN"/>
        </w:rPr>
        <w:t>。</w:t>
      </w:r>
    </w:p>
    <w:p>
      <w:pPr>
        <w:snapToGrid w:val="0"/>
        <w:spacing w:line="360" w:lineRule="auto"/>
        <w:rPr>
          <w:rFonts w:ascii="仿宋_GB2312" w:eastAsia="仿宋_GB2312" w:cs="仿宋_GB2312" w:hint="eastAsia"/>
          <w:bCs/>
          <w:sz w:val="30"/>
          <w:szCs w:val="30"/>
        </w:rPr>
      </w:pPr>
      <w:r>
        <w:rPr>
          <w:rFonts w:ascii="仿宋_GB2312" w:eastAsia="仿宋_GB2312" w:cs="仿宋_GB2312" w:hint="eastAsia"/>
          <w:bCs/>
          <w:sz w:val="30"/>
          <w:szCs w:val="30"/>
        </w:rPr>
        <w:t xml:space="preserve">  7、完成县委和政府交办的其它工作。</w:t>
      </w:r>
    </w:p>
    <w:p>
      <w:pPr>
        <w:spacing w:line="360" w:lineRule="auto"/>
        <w:rPr>
          <w:rFonts w:ascii="黑体" w:eastAsia="黑体" w:cs="黑体" w:hint="eastAsia"/>
          <w:sz w:val="32"/>
          <w:szCs w:val="32"/>
          <w:lang w:val="en-US"/>
        </w:rPr>
      </w:pPr>
      <w:r>
        <w:rPr>
          <w:rFonts w:ascii="黑体" w:eastAsia="黑体" w:cs="黑体" w:hint="eastAsia"/>
          <w:sz w:val="32"/>
          <w:szCs w:val="32"/>
          <w:lang w:val="en-US" w:eastAsia="zh-CN"/>
        </w:rPr>
        <w:t>(二)</w:t>
      </w:r>
      <w:r>
        <w:rPr>
          <w:rFonts w:ascii="黑体" w:eastAsia="黑体" w:cs="黑体" w:hint="eastAsia"/>
          <w:sz w:val="32"/>
          <w:szCs w:val="32"/>
          <w:lang w:eastAsia="zh-CN"/>
        </w:rPr>
        <w:t>决算信息来源说明</w:t>
      </w:r>
    </w:p>
    <w:p>
      <w:pPr>
        <w:spacing w:line="360" w:lineRule="auto"/>
        <w:ind w:left="0" w:firstLineChars="200" w:firstLine="640"/>
        <w:rPr>
          <w:rFonts w:ascii="仿宋_GB2312" w:eastAsia="仿宋_GB2312" w:cs="仿宋_GB2312" w:hint="eastAsia"/>
          <w:sz w:val="32"/>
          <w:szCs w:val="32"/>
          <w:lang w:val="en-US"/>
        </w:rPr>
      </w:pPr>
      <w:r>
        <w:rPr>
          <w:rFonts w:ascii="仿宋_GB2312" w:eastAsia="仿宋_GB2312" w:cs="仿宋_GB2312" w:hint="eastAsia"/>
          <w:sz w:val="32"/>
          <w:szCs w:val="32"/>
          <w:lang w:eastAsia="zh-CN"/>
        </w:rPr>
        <w:t>本套决算依据本单位登记完整、核对无误的账簿记录和其他有关会计核算资料编制，账证相符、账实相符、账表相符、表表相符，真实、准确、完整地反映了本单位预算执行结果和财务状况。</w:t>
      </w:r>
    </w:p>
    <w:p>
      <w:pPr>
        <w:spacing w:line="360" w:lineRule="auto"/>
        <w:ind w:left="0" w:firstLineChars="200" w:firstLine="640"/>
        <w:rPr>
          <w:rFonts w:ascii="仿宋_GB2312" w:eastAsia="仿宋_GB2312" w:cs="仿宋_GB2312" w:hint="eastAsia"/>
          <w:sz w:val="32"/>
          <w:szCs w:val="32"/>
          <w:lang w:val="en-US"/>
        </w:rPr>
      </w:pPr>
      <w:r>
        <w:rPr>
          <w:rFonts w:ascii="仿宋_GB2312" w:eastAsia="仿宋_GB2312" w:cs="仿宋_GB2312" w:hint="eastAsia"/>
          <w:sz w:val="32"/>
          <w:szCs w:val="32"/>
          <w:lang w:val="en-US" w:eastAsia="zh-CN"/>
        </w:rPr>
        <w:t>1、</w:t>
      </w:r>
      <w:r>
        <w:rPr>
          <w:rFonts w:ascii="仿宋_GB2312" w:eastAsia="仿宋_GB2312" w:cs="仿宋_GB2312" w:hint="eastAsia"/>
          <w:sz w:val="32"/>
          <w:szCs w:val="32"/>
          <w:lang w:eastAsia="zh-CN"/>
        </w:rPr>
        <w:t>本套决算主表数据主要依据本单位会计账簿总账及明细账数据填列，预算数据依据本单位预、决算批复文件及预算调整文件填列。</w:t>
      </w:r>
    </w:p>
    <w:p>
      <w:pPr>
        <w:spacing w:line="360" w:lineRule="auto"/>
        <w:ind w:left="0" w:firstLineChars="200" w:firstLine="640"/>
        <w:rPr>
          <w:rFonts w:ascii="仿宋_GB2312" w:eastAsia="仿宋_GB2312" w:cs="仿宋_GB2312" w:hint="eastAsia"/>
          <w:sz w:val="32"/>
          <w:szCs w:val="32"/>
          <w:lang w:val="en-US"/>
        </w:rPr>
      </w:pP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eastAsia="zh-CN"/>
        </w:rPr>
        <w:t>本套决算表数据主要依据本单位会计账簿、资产、人事台账及相关资料填列。</w:t>
      </w:r>
    </w:p>
    <w:p>
      <w:pPr>
        <w:rPr>
          <w:rFonts w:ascii="楷体_GB2312" w:eastAsia="楷体_GB2312" w:cs="Times New Roman"/>
          <w:b/>
          <w:color w:val="000000"/>
          <w:sz w:val="32"/>
          <w:szCs w:val="32"/>
        </w:rPr>
      </w:pPr>
      <w:r>
        <w:rPr>
          <w:rFonts w:ascii="楷体_GB2312" w:eastAsia="楷体_GB2312" w:cs="仿宋" w:hint="eastAsia"/>
          <w:b/>
          <w:color w:val="000000"/>
          <w:sz w:val="32"/>
          <w:szCs w:val="32"/>
        </w:rPr>
        <w:t>（</w:t>
      </w:r>
      <w:r>
        <w:rPr>
          <w:rFonts w:ascii="楷体_GB2312" w:eastAsia="楷体_GB2312" w:cs="仿宋" w:hint="eastAsia"/>
          <w:b/>
          <w:color w:val="000000"/>
          <w:sz w:val="32"/>
          <w:szCs w:val="32"/>
          <w:lang w:eastAsia="zh-CN"/>
        </w:rPr>
        <w:t>三</w:t>
      </w:r>
      <w:r>
        <w:rPr>
          <w:rFonts w:ascii="楷体_GB2312" w:eastAsia="楷体_GB2312" w:cs="仿宋" w:hint="eastAsia"/>
          <w:b/>
          <w:color w:val="000000"/>
          <w:sz w:val="32"/>
          <w:szCs w:val="32"/>
        </w:rPr>
        <w:t>）部门机构情况说明</w:t>
      </w:r>
    </w:p>
    <w:p>
      <w:pPr>
        <w:ind w:firstLineChars="200" w:firstLine="640"/>
        <w:rPr>
          <w:rFonts w:ascii="仿宋_GB2312" w:eastAsia="仿宋_GB2312" w:cs="Times New Roman"/>
          <w:color w:val="000000"/>
          <w:sz w:val="32"/>
          <w:szCs w:val="32"/>
        </w:rPr>
      </w:pPr>
      <w:r>
        <w:rPr>
          <w:rFonts w:ascii="仿宋_GB2312" w:eastAsia="仿宋_GB2312" w:cs="Times New Roman" w:hint="eastAsia"/>
          <w:color w:val="000000"/>
          <w:sz w:val="32"/>
          <w:szCs w:val="32"/>
          <w:u w:val="none"/>
          <w:lang w:val="en-US" w:eastAsia="zh-CN"/>
        </w:rPr>
        <w:t>2022</w:t>
      </w:r>
      <w:r>
        <w:rPr>
          <w:rFonts w:ascii="仿宋_GB2312" w:eastAsia="仿宋_GB2312" w:cs="仿宋" w:hint="eastAsia"/>
          <w:color w:val="000000"/>
          <w:sz w:val="32"/>
          <w:szCs w:val="32"/>
        </w:rPr>
        <w:t>年度，</w:t>
      </w:r>
      <w:r>
        <w:rPr>
          <w:rFonts w:ascii="仿宋_GB2312" w:eastAsia="仿宋_GB2312" w:cs="仿宋_GB2312" w:hint="eastAsia"/>
          <w:sz w:val="32"/>
          <w:szCs w:val="32"/>
        </w:rPr>
        <w:t>金川县城乡居民养老保险</w:t>
      </w:r>
      <w:r>
        <w:rPr>
          <w:rFonts w:ascii="仿宋_GB2312" w:eastAsia="仿宋_GB2312" w:cs="仿宋_GB2312" w:hint="eastAsia"/>
          <w:sz w:val="32"/>
          <w:szCs w:val="32"/>
          <w:lang w:eastAsia="zh-CN"/>
        </w:rPr>
        <w:t>事务中心</w:t>
      </w:r>
      <w:r>
        <w:rPr>
          <w:rFonts w:ascii="仿宋_GB2312" w:eastAsia="仿宋_GB2312" w:cs="仿宋_GB2312" w:hint="eastAsia"/>
          <w:sz w:val="32"/>
          <w:szCs w:val="32"/>
        </w:rPr>
        <w:t>是独立核算的财政补助事业单位</w:t>
      </w:r>
      <w:r>
        <w:rPr>
          <w:rFonts w:ascii="仿宋_GB2312" w:eastAsia="仿宋_GB2312" w:cs="仿宋_GB2312" w:hint="eastAsia"/>
          <w:sz w:val="32"/>
          <w:szCs w:val="32"/>
          <w:lang w:eastAsia="zh-CN"/>
        </w:rPr>
        <w:t>；</w:t>
      </w:r>
      <w:r>
        <w:rPr>
          <w:rFonts w:ascii="仿宋_GB2312" w:eastAsia="仿宋_GB2312" w:cs="仿宋_GB2312" w:hint="eastAsia"/>
          <w:sz w:val="32"/>
          <w:szCs w:val="32"/>
        </w:rPr>
        <w:t>内设6个股室：</w:t>
      </w:r>
      <w:r>
        <w:rPr>
          <w:rFonts w:ascii="仿宋_GB2312" w:eastAsia="仿宋_GB2312" w:cs="仿宋_GB2312" w:hint="eastAsia"/>
          <w:sz w:val="32"/>
          <w:szCs w:val="32"/>
          <w:lang w:val="zh-CN"/>
        </w:rPr>
        <w:t>办公室、财务股、待遇股、稽核股、统筹股、征地补偿股</w:t>
      </w:r>
      <w:r>
        <w:rPr>
          <w:rFonts w:ascii="仿宋_GB2312" w:eastAsia="仿宋_GB2312" w:cs="仿宋_GB2312" w:hint="eastAsia"/>
          <w:sz w:val="32"/>
          <w:szCs w:val="32"/>
        </w:rPr>
        <w:t>。</w:t>
      </w:r>
    </w:p>
    <w:p>
      <w:pPr>
        <w:rPr>
          <w:rFonts w:ascii="仿宋_GB2312" w:eastAsia="仿宋_GB2312" w:cs="仿宋"/>
          <w:b/>
          <w:color w:val="000000"/>
          <w:sz w:val="32"/>
          <w:szCs w:val="32"/>
        </w:rPr>
      </w:pPr>
      <w:r>
        <w:rPr>
          <w:rFonts w:ascii="楷体_GB2312" w:eastAsia="楷体_GB2312" w:cs="仿宋" w:hint="eastAsia"/>
          <w:b/>
          <w:color w:val="000000"/>
          <w:sz w:val="32"/>
          <w:szCs w:val="32"/>
        </w:rPr>
        <w:t>（</w:t>
      </w:r>
      <w:r>
        <w:rPr>
          <w:rFonts w:ascii="楷体_GB2312" w:eastAsia="楷体_GB2312" w:cs="仿宋" w:hint="eastAsia"/>
          <w:b/>
          <w:color w:val="000000"/>
          <w:sz w:val="32"/>
          <w:szCs w:val="32"/>
          <w:lang w:eastAsia="zh-CN"/>
        </w:rPr>
        <w:t>四</w:t>
      </w:r>
      <w:r>
        <w:rPr>
          <w:rFonts w:ascii="楷体_GB2312" w:eastAsia="楷体_GB2312" w:cs="仿宋" w:hint="eastAsia"/>
          <w:b/>
          <w:color w:val="000000"/>
          <w:sz w:val="32"/>
          <w:szCs w:val="32"/>
        </w:rPr>
        <w:t>）部门录入户数说明</w:t>
      </w:r>
    </w:p>
    <w:p>
      <w:pPr>
        <w:ind w:firstLine="567"/>
        <w:rPr>
          <w:rFonts w:ascii="仿宋_GB2312" w:eastAsia="仿宋_GB2312" w:cs="仿宋"/>
          <w:b/>
          <w:color w:val="000000"/>
          <w:sz w:val="32"/>
          <w:szCs w:val="32"/>
        </w:rPr>
      </w:pPr>
      <w:r>
        <w:rPr>
          <w:rFonts w:ascii="仿宋_GB2312" w:eastAsia="仿宋_GB2312" w:cs="Times New Roman" w:hint="eastAsia"/>
          <w:color w:val="000000"/>
          <w:sz w:val="32"/>
          <w:szCs w:val="32"/>
          <w:u w:val="none"/>
          <w:lang w:val="en-US" w:eastAsia="zh-CN"/>
        </w:rPr>
        <w:t>2022</w:t>
      </w:r>
      <w:r>
        <w:rPr>
          <w:rFonts w:ascii="仿宋_GB2312" w:eastAsia="仿宋_GB2312" w:cs="Times New Roman" w:hint="eastAsia"/>
          <w:color w:val="000000"/>
          <w:sz w:val="32"/>
          <w:szCs w:val="32"/>
          <w:u w:val="none"/>
        </w:rPr>
        <w:t> </w:t>
      </w:r>
      <w:r>
        <w:rPr>
          <w:rFonts w:ascii="仿宋_GB2312" w:eastAsia="仿宋_GB2312" w:cs="仿宋" w:hint="eastAsia"/>
          <w:color w:val="000000"/>
          <w:sz w:val="32"/>
          <w:szCs w:val="32"/>
        </w:rPr>
        <w:t>年度，本部门决算汇编户数共</w:t>
      </w:r>
      <w:r>
        <w:rPr>
          <w:rFonts w:ascii="仿宋_GB2312" w:eastAsia="仿宋_GB2312" w:cs="Times New Roman" w:hint="eastAsia"/>
          <w:color w:val="000000"/>
          <w:sz w:val="32"/>
          <w:szCs w:val="32"/>
          <w:u w:val="none"/>
          <w:lang w:val="en-US" w:eastAsia="zh-CN"/>
        </w:rPr>
        <w:t>1</w:t>
      </w:r>
      <w:r>
        <w:rPr>
          <w:rFonts w:ascii="仿宋_GB2312" w:eastAsia="仿宋_GB2312" w:cs="Times New Roman" w:hint="eastAsia"/>
          <w:color w:val="000000"/>
          <w:sz w:val="32"/>
          <w:szCs w:val="32"/>
          <w:u w:val="none"/>
        </w:rPr>
        <w:t> </w:t>
      </w:r>
      <w:r>
        <w:rPr>
          <w:rFonts w:ascii="仿宋_GB2312" w:eastAsia="仿宋_GB2312" w:cs="仿宋" w:hint="eastAsia"/>
          <w:color w:val="000000"/>
          <w:sz w:val="32"/>
          <w:szCs w:val="32"/>
        </w:rPr>
        <w:t>个，</w:t>
      </w:r>
      <w:r>
        <w:rPr>
          <w:rFonts w:ascii="仿宋_GB2312" w:eastAsia="仿宋_GB2312" w:cs="仿宋" w:hint="eastAsia"/>
          <w:color w:val="000000"/>
          <w:sz w:val="32"/>
          <w:szCs w:val="32"/>
          <w:lang w:eastAsia="zh-CN"/>
        </w:rPr>
        <w:t>与</w:t>
      </w:r>
      <w:r>
        <w:rPr>
          <w:rFonts w:ascii="仿宋_GB2312" w:eastAsia="仿宋_GB2312" w:cs="仿宋" w:hint="eastAsia"/>
          <w:color w:val="000000"/>
          <w:sz w:val="32"/>
          <w:szCs w:val="32"/>
        </w:rPr>
        <w:t>上年</w:t>
      </w:r>
      <w:r>
        <w:rPr>
          <w:rFonts w:ascii="仿宋_GB2312" w:eastAsia="仿宋_GB2312" w:cs="仿宋" w:hint="eastAsia"/>
          <w:color w:val="000000"/>
          <w:sz w:val="32"/>
          <w:szCs w:val="32"/>
          <w:lang w:eastAsia="zh-CN"/>
        </w:rPr>
        <w:t>比较无变动。</w:t>
      </w:r>
    </w:p>
    <w:p>
      <w:pPr>
        <w:tabs>
          <w:tab w:val="left" w:pos="1170"/>
        </w:tabs>
        <w:snapToGrid w:val="0"/>
        <w:spacing w:line="520" w:lineRule="exact"/>
        <w:rPr>
          <w:rFonts w:ascii="楷体_GB2312" w:eastAsia="楷体_GB2312" w:hint="eastAsia"/>
          <w:b/>
          <w:sz w:val="32"/>
          <w:szCs w:val="32"/>
        </w:rPr>
      </w:pPr>
      <w:r>
        <w:rPr>
          <w:rFonts w:ascii="楷体_GB2312" w:eastAsia="楷体_GB2312" w:hint="eastAsia"/>
          <w:b/>
          <w:sz w:val="32"/>
          <w:szCs w:val="32"/>
          <w:lang w:eastAsia="zh-CN"/>
        </w:rPr>
        <w:t>（五）</w:t>
      </w:r>
      <w:r>
        <w:rPr>
          <w:rFonts w:ascii="楷体_GB2312" w:eastAsia="楷体_GB2312" w:hint="eastAsia"/>
          <w:b/>
          <w:sz w:val="32"/>
          <w:szCs w:val="32"/>
        </w:rPr>
        <w:t>当年取得的主要事业成效</w:t>
      </w:r>
    </w:p>
    <w:p>
      <w:pPr>
        <w:spacing w:line="540" w:lineRule="exact"/>
        <w:ind w:firstLineChars="200" w:firstLine="640"/>
        <w:rPr>
          <w:rFonts w:ascii="仿宋_GB2312" w:eastAsia="仿宋_GB2312" w:hint="eastAsia"/>
          <w:sz w:val="32"/>
          <w:szCs w:val="32"/>
        </w:rPr>
      </w:pPr>
      <w:r>
        <w:rPr>
          <w:rFonts w:ascii="仿宋_GB2312" w:eastAsia="仿宋_GB2312" w:hint="eastAsia"/>
          <w:sz w:val="32"/>
          <w:szCs w:val="32"/>
        </w:rPr>
        <w:t>截止目前，全县城乡居</w:t>
      </w:r>
      <w:r>
        <w:rPr>
          <w:rFonts w:ascii="仿宋_GB2312" w:eastAsia="仿宋_GB2312" w:hint="eastAsia"/>
          <w:sz w:val="32"/>
          <w:szCs w:val="32"/>
          <w:lang w:eastAsia="zh-CN"/>
        </w:rPr>
        <w:t>参保</w:t>
      </w:r>
      <w:r>
        <w:rPr>
          <w:rFonts w:ascii="仿宋_GB2312" w:eastAsia="仿宋_GB2312" w:hint="eastAsia"/>
          <w:sz w:val="32"/>
          <w:szCs w:val="32"/>
        </w:rPr>
        <w:t>人数为</w:t>
      </w:r>
      <w:r>
        <w:rPr>
          <w:rFonts w:ascii="仿宋_GB2312" w:eastAsia="仿宋_GB2312" w:hint="eastAsia"/>
          <w:sz w:val="32"/>
          <w:szCs w:val="32"/>
          <w:lang w:val="en-US" w:eastAsia="zh-CN"/>
        </w:rPr>
        <w:t>32977</w:t>
      </w:r>
      <w:r>
        <w:rPr>
          <w:rFonts w:ascii="仿宋_GB2312" w:eastAsia="仿宋_GB2312" w:hint="eastAsia"/>
          <w:sz w:val="32"/>
          <w:szCs w:val="32"/>
        </w:rPr>
        <w:t>人，</w:t>
      </w:r>
      <w:r>
        <w:rPr>
          <w:rFonts w:ascii="仿宋_GB2312" w:eastAsia="仿宋_GB2312" w:hint="eastAsia"/>
          <w:sz w:val="32"/>
          <w:szCs w:val="32"/>
          <w:lang w:eastAsia="zh-CN"/>
        </w:rPr>
        <w:t>城乡居民养老保险待遇发放人数</w:t>
      </w:r>
      <w:r>
        <w:rPr>
          <w:rFonts w:ascii="仿宋_GB2312" w:eastAsia="仿宋_GB2312" w:hint="eastAsia"/>
          <w:sz w:val="32"/>
          <w:szCs w:val="32"/>
          <w:lang w:val="en-US" w:eastAsia="zh-CN"/>
        </w:rPr>
        <w:t>10400余人。</w:t>
      </w:r>
      <w:r>
        <w:rPr>
          <w:rFonts w:ascii="仿宋_GB2312" w:eastAsia="仿宋_GB2312" w:hint="eastAsia"/>
          <w:sz w:val="32"/>
          <w:szCs w:val="32"/>
        </w:rPr>
        <w:t>我县对</w:t>
      </w:r>
      <w:r>
        <w:rPr>
          <w:rFonts w:ascii="仿宋_GB2312" w:eastAsia="仿宋_GB2312" w:hint="eastAsia"/>
          <w:sz w:val="32"/>
          <w:szCs w:val="32"/>
          <w:lang w:val="en-US" w:eastAsia="zh-CN"/>
        </w:rPr>
        <w:t>2022</w:t>
      </w:r>
      <w:r>
        <w:rPr>
          <w:rFonts w:ascii="仿宋_GB2312" w:eastAsia="仿宋_GB2312" w:hint="eastAsia"/>
          <w:sz w:val="32"/>
          <w:szCs w:val="32"/>
        </w:rPr>
        <w:t>年以来的扶贫人员代缴城乡居民养老保险</w:t>
      </w:r>
      <w:r>
        <w:rPr>
          <w:rFonts w:ascii="仿宋_GB2312" w:eastAsia="仿宋_GB2312" w:hint="eastAsia"/>
          <w:sz w:val="32"/>
          <w:szCs w:val="32"/>
          <w:lang w:val="en-US" w:eastAsia="zh-CN"/>
        </w:rPr>
        <w:t>3332</w:t>
      </w:r>
      <w:r>
        <w:rPr>
          <w:rFonts w:ascii="仿宋_GB2312" w:eastAsia="仿宋_GB2312" w:hint="eastAsia"/>
          <w:sz w:val="32"/>
          <w:szCs w:val="32"/>
        </w:rPr>
        <w:t>人</w:t>
      </w:r>
      <w:r>
        <w:rPr>
          <w:rFonts w:ascii="仿宋_GB2312" w:eastAsia="仿宋_GB2312" w:hint="eastAsia"/>
          <w:sz w:val="32"/>
          <w:szCs w:val="32"/>
          <w:lang w:eastAsia="zh-CN"/>
        </w:rPr>
        <w:t>；为重症残疾人员代缴养老保险</w:t>
      </w:r>
      <w:r>
        <w:rPr>
          <w:rFonts w:ascii="仿宋_GB2312" w:eastAsia="仿宋_GB2312" w:hint="eastAsia"/>
          <w:sz w:val="32"/>
          <w:szCs w:val="32"/>
          <w:lang w:val="en-US" w:eastAsia="zh-CN"/>
        </w:rPr>
        <w:t>282人</w:t>
      </w:r>
      <w:r>
        <w:rPr>
          <w:rFonts w:ascii="仿宋_GB2312" w:eastAsia="仿宋_GB2312" w:hint="eastAsia"/>
          <w:sz w:val="32"/>
          <w:szCs w:val="32"/>
        </w:rPr>
        <w:t>。</w:t>
      </w:r>
    </w:p>
    <w:p>
      <w:pPr>
        <w:spacing w:line="540" w:lineRule="exact"/>
        <w:ind w:firstLineChars="200" w:firstLine="640"/>
        <w:rPr>
          <w:rFonts w:ascii="仿宋_GB2312" w:eastAsia="仿宋_GB2312" w:cs="仿宋" w:hint="eastAsia"/>
          <w:color w:val="000000"/>
          <w:sz w:val="32"/>
          <w:szCs w:val="32"/>
        </w:rPr>
      </w:pPr>
      <w:r>
        <w:rPr>
          <w:rFonts w:ascii="仿宋_GB2312" w:eastAsia="仿宋_GB2312" w:hint="eastAsia"/>
          <w:sz w:val="32"/>
          <w:szCs w:val="32"/>
          <w:lang w:eastAsia="zh-CN"/>
        </w:rPr>
        <w:t>地税代</w:t>
      </w:r>
      <w:r>
        <w:rPr>
          <w:rFonts w:ascii="仿宋_GB2312" w:eastAsia="仿宋_GB2312" w:hint="eastAsia"/>
          <w:sz w:val="32"/>
          <w:szCs w:val="32"/>
        </w:rPr>
        <w:t>收取城乡居民养老保险费</w:t>
      </w:r>
      <w:r>
        <w:rPr>
          <w:rFonts w:ascii="仿宋_GB2312" w:eastAsia="仿宋_GB2312" w:hint="eastAsia"/>
          <w:sz w:val="32"/>
          <w:szCs w:val="32"/>
          <w:lang w:eastAsia="zh-CN"/>
        </w:rPr>
        <w:t>预计</w:t>
      </w:r>
      <w:r>
        <w:rPr>
          <w:rFonts w:ascii="仿宋_GB2312" w:eastAsia="仿宋_GB2312" w:hint="eastAsia"/>
          <w:sz w:val="32"/>
          <w:szCs w:val="32"/>
          <w:lang w:val="en-US" w:eastAsia="zh-CN"/>
        </w:rPr>
        <w:t>903.99</w:t>
      </w:r>
      <w:r>
        <w:rPr>
          <w:rFonts w:ascii="仿宋_GB2312" w:eastAsia="仿宋_GB2312" w:hint="eastAsia"/>
          <w:sz w:val="32"/>
          <w:szCs w:val="32"/>
        </w:rPr>
        <w:t>万元，中央、省、州</w:t>
      </w:r>
      <w:r>
        <w:rPr>
          <w:rFonts w:ascii="仿宋_GB2312" w:eastAsia="仿宋_GB2312" w:hint="eastAsia"/>
          <w:sz w:val="32"/>
          <w:szCs w:val="32"/>
          <w:lang w:eastAsia="zh-CN"/>
        </w:rPr>
        <w:t>、县</w:t>
      </w:r>
      <w:r>
        <w:rPr>
          <w:rFonts w:ascii="仿宋_GB2312" w:eastAsia="仿宋_GB2312" w:hint="eastAsia"/>
          <w:sz w:val="32"/>
          <w:szCs w:val="32"/>
        </w:rPr>
        <w:t>财政补贴</w:t>
      </w:r>
      <w:r>
        <w:rPr>
          <w:rFonts w:ascii="仿宋_GB2312" w:eastAsia="仿宋_GB2312" w:hint="eastAsia"/>
          <w:sz w:val="32"/>
          <w:szCs w:val="32"/>
          <w:lang w:val="en-US" w:eastAsia="zh-CN"/>
        </w:rPr>
        <w:t>1423.97</w:t>
      </w:r>
      <w:r>
        <w:rPr>
          <w:rFonts w:ascii="仿宋_GB2312" w:eastAsia="仿宋_GB2312" w:hint="eastAsia"/>
          <w:sz w:val="32"/>
          <w:szCs w:val="32"/>
        </w:rPr>
        <w:t>万元。</w:t>
      </w:r>
    </w:p>
    <w:p>
      <w:pPr>
        <w:spacing w:line="600" w:lineRule="exact"/>
        <w:rPr>
          <w:rFonts w:ascii="仿宋" w:eastAsia="仿宋" w:cs="仿宋" w:hint="eastAsia"/>
          <w:b/>
          <w:bCs/>
          <w:color w:val="000000"/>
          <w:sz w:val="32"/>
          <w:szCs w:val="32"/>
        </w:rPr>
      </w:pPr>
      <w:r>
        <w:rPr>
          <w:rFonts w:ascii="仿宋" w:eastAsia="仿宋" w:cs="仿宋" w:hint="eastAsia"/>
          <w:b/>
          <w:bCs/>
          <w:color w:val="000000"/>
          <w:sz w:val="32"/>
          <w:szCs w:val="32"/>
          <w:lang w:eastAsia="zh-CN"/>
        </w:rPr>
        <w:t>二、</w:t>
      </w:r>
      <w:r>
        <w:rPr>
          <w:rFonts w:ascii="仿宋" w:eastAsia="仿宋" w:cs="仿宋" w:hint="eastAsia"/>
          <w:b/>
          <w:bCs/>
          <w:color w:val="000000"/>
          <w:sz w:val="32"/>
          <w:szCs w:val="32"/>
        </w:rPr>
        <w:t>财政拨款收入支出决算总体情况说明</w:t>
      </w:r>
    </w:p>
    <w:p>
      <w:pPr>
        <w:spacing w:line="600" w:lineRule="exact"/>
        <w:rPr>
          <w:rFonts w:ascii="仿宋" w:eastAsia="仿宋" w:cs="仿宋" w:hint="eastAsia"/>
          <w:b/>
          <w:bCs/>
          <w:color w:val="000000"/>
          <w:sz w:val="32"/>
          <w:szCs w:val="32"/>
          <w:lang w:eastAsia="zh-CN"/>
        </w:rPr>
      </w:pPr>
      <w:r>
        <w:rPr>
          <w:rFonts w:ascii="仿宋" w:eastAsia="仿宋" w:cs="仿宋" w:hint="eastAsia"/>
          <w:b/>
          <w:bCs/>
          <w:color w:val="000000"/>
          <w:sz w:val="32"/>
          <w:szCs w:val="32"/>
          <w:lang w:eastAsia="zh-CN"/>
        </w:rPr>
        <w:t>（一）、一般公共预算财政拨款收入情况</w:t>
      </w:r>
    </w:p>
    <w:p>
      <w:pPr>
        <w:spacing w:line="600" w:lineRule="exact"/>
        <w:ind w:firstLineChars="200" w:firstLine="640"/>
        <w:rPr>
          <w:rFonts w:ascii="仿宋_GB2312" w:eastAsia="仿宋_GB2312" w:cs="仿宋_GB2312" w:hint="eastAsia"/>
          <w:sz w:val="32"/>
          <w:szCs w:val="32"/>
          <w:lang w:val="en-US" w:eastAsia="zh-CN"/>
        </w:rPr>
      </w:pPr>
      <w:r>
        <w:rPr>
          <w:rFonts w:ascii="仿宋_GB2312" w:eastAsia="仿宋_GB2312" w:hint="eastAsia"/>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年度财政拨款收入</w:t>
      </w:r>
      <w:r>
        <w:rPr>
          <w:rFonts w:ascii="仿宋_GB2312" w:eastAsia="仿宋_GB2312" w:cs="仿宋_GB2312" w:hint="eastAsia"/>
          <w:sz w:val="32"/>
          <w:szCs w:val="32"/>
          <w:lang w:val="en-US" w:eastAsia="zh-CN"/>
        </w:rPr>
        <w:t>290.68</w:t>
      </w:r>
      <w:r>
        <w:rPr>
          <w:rFonts w:ascii="仿宋_GB2312" w:eastAsia="仿宋_GB2312" w:hint="eastAsia"/>
          <w:color w:val="000000"/>
          <w:sz w:val="32"/>
          <w:szCs w:val="32"/>
        </w:rPr>
        <w:t>万元。与20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年相</w:t>
      </w:r>
      <w:r>
        <w:rPr>
          <w:rFonts w:ascii="仿宋_GB2312" w:eastAsia="仿宋_GB2312" w:hint="eastAsia"/>
          <w:color w:val="000000"/>
          <w:sz w:val="32"/>
          <w:szCs w:val="32"/>
          <w:lang w:eastAsia="zh-CN"/>
        </w:rPr>
        <w:t>比较</w:t>
      </w:r>
      <w:r>
        <w:rPr>
          <w:rFonts w:ascii="仿宋_GB2312" w:eastAsia="仿宋_GB2312" w:hint="eastAsia"/>
          <w:color w:val="000000"/>
          <w:sz w:val="32"/>
          <w:szCs w:val="32"/>
        </w:rPr>
        <w:t>财政拨款收入总计</w:t>
      </w:r>
      <w:r>
        <w:rPr>
          <w:rFonts w:ascii="仿宋_GB2312" w:eastAsia="仿宋_GB2312" w:cs="仿宋_GB2312" w:hint="eastAsia"/>
          <w:sz w:val="32"/>
          <w:szCs w:val="32"/>
          <w:lang w:eastAsia="zh-CN"/>
        </w:rPr>
        <w:t>增加</w:t>
      </w:r>
      <w:r>
        <w:rPr>
          <w:rFonts w:ascii="仿宋_GB2312" w:eastAsia="仿宋_GB2312" w:cs="仿宋_GB2312" w:hint="eastAsia"/>
          <w:sz w:val="32"/>
          <w:szCs w:val="32"/>
          <w:lang w:val="en-US" w:eastAsia="zh-CN"/>
        </w:rPr>
        <w:t>48.5</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增加率</w:t>
      </w:r>
      <w:r>
        <w:rPr>
          <w:rFonts w:ascii="仿宋_GB2312" w:eastAsia="仿宋_GB2312" w:cs="仿宋_GB2312" w:hint="eastAsia"/>
          <w:sz w:val="32"/>
          <w:szCs w:val="32"/>
          <w:lang w:val="en-US" w:eastAsia="zh-CN"/>
        </w:rPr>
        <w:t>20.03</w:t>
      </w:r>
      <w:r>
        <w:rPr>
          <w:rFonts w:ascii="仿宋_GB2312" w:eastAsia="仿宋_GB2312" w:cs="仿宋_GB2312" w:hint="eastAsia"/>
          <w:sz w:val="32"/>
          <w:szCs w:val="32"/>
        </w:rPr>
        <w:t>%</w:t>
      </w:r>
      <w:r>
        <w:rPr>
          <w:rFonts w:ascii="仿宋_GB2312" w:eastAsia="仿宋_GB2312" w:cs="仿宋_GB2312" w:hint="eastAsia"/>
          <w:sz w:val="32"/>
          <w:szCs w:val="32"/>
          <w:lang w:eastAsia="zh-CN"/>
        </w:rPr>
        <w:t>；增加原因：</w:t>
      </w:r>
      <w:r>
        <w:rPr>
          <w:rFonts w:ascii="仿宋_GB2312" w:eastAsia="仿宋_GB2312" w:cs="仿宋_GB2312" w:hint="eastAsia"/>
          <w:sz w:val="32"/>
          <w:szCs w:val="32"/>
          <w:lang w:val="en-US" w:eastAsia="zh-CN"/>
        </w:rPr>
        <w:t>1、2022年6月有10人职务职级变动；2、2022年1月调资；3、正常晋升。</w:t>
      </w:r>
    </w:p>
    <w:p>
      <w:pPr>
        <w:spacing w:line="240" w:lineRule="auto"/>
        <w:ind w:firstLine="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drawing>
          <wp:inline distT="0" distB="0" distL="114300" distR="114300">
            <wp:extent cx="5327015" cy="2844165"/>
            <wp:effectExtent l="0" t="0" r="0" b="0"/>
            <wp:docPr id="1" name="图表 1"/>
            <wp:cNvGraphicFramePr>
              <a:graphicFrameLocks noChangeAspect="0"/>
            </wp:cNvGraphicFramePr>
            <a:graphic>
              <a:graphicData uri="http://schemas.openxmlformats.org/drawingml/2006/chart">
                <c:chart xmlns:c="http://schemas.openxmlformats.org/drawingml/2006/chart" r:id="rId3"/>
              </a:graphicData>
            </a:graphic>
          </wp:inline>
        </w:drawing>
      </w:r>
    </w:p>
    <w:p>
      <w:pPr>
        <w:spacing w:line="600" w:lineRule="exact"/>
        <w:rPr>
          <w:rFonts w:ascii="仿宋" w:eastAsia="仿宋" w:cs="仿宋" w:hint="eastAsia"/>
          <w:b/>
          <w:bCs/>
          <w:color w:val="000000"/>
          <w:sz w:val="32"/>
          <w:szCs w:val="32"/>
        </w:rPr>
      </w:pPr>
      <w:r>
        <w:rPr>
          <w:rFonts w:ascii="仿宋" w:eastAsia="仿宋" w:cs="仿宋" w:hint="eastAsia"/>
          <w:b/>
          <w:bCs/>
          <w:color w:val="000000"/>
          <w:sz w:val="32"/>
          <w:szCs w:val="32"/>
          <w:lang w:eastAsia="zh-CN"/>
        </w:rPr>
        <w:t>（二）</w:t>
      </w:r>
      <w:r>
        <w:rPr>
          <w:rFonts w:ascii="仿宋" w:eastAsia="仿宋" w:cs="仿宋" w:hint="eastAsia"/>
          <w:b/>
          <w:bCs/>
          <w:color w:val="000000"/>
          <w:sz w:val="32"/>
          <w:szCs w:val="32"/>
        </w:rPr>
        <w:t>、一般公共预算财政拨款支出决算情况说明</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一般公共预算财政拨款支出决算总体情况</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年度一般公共预算财政拨款支出</w:t>
      </w:r>
      <w:r>
        <w:rPr>
          <w:rFonts w:ascii="仿宋_GB2312" w:eastAsia="仿宋_GB2312" w:cs="仿宋_GB2312" w:hint="eastAsia"/>
          <w:sz w:val="32"/>
          <w:szCs w:val="32"/>
          <w:lang w:val="en-US" w:eastAsia="zh-CN"/>
        </w:rPr>
        <w:t>290.68</w:t>
      </w:r>
      <w:r>
        <w:rPr>
          <w:rFonts w:ascii="仿宋_GB2312" w:eastAsia="仿宋_GB2312" w:hint="eastAsia"/>
          <w:color w:val="000000"/>
          <w:sz w:val="32"/>
          <w:szCs w:val="32"/>
        </w:rPr>
        <w:t>万元，占本年支出合计的100%。与20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年相比，一般公共预算财政拨款</w:t>
      </w:r>
      <w:r>
        <w:rPr>
          <w:rFonts w:ascii="仿宋_GB2312" w:eastAsia="仿宋_GB2312" w:cs="仿宋_GB2312" w:hint="eastAsia"/>
          <w:sz w:val="32"/>
          <w:szCs w:val="32"/>
          <w:lang w:eastAsia="zh-CN"/>
        </w:rPr>
        <w:t>增加</w:t>
      </w:r>
      <w:r>
        <w:rPr>
          <w:rFonts w:ascii="仿宋_GB2312" w:eastAsia="仿宋_GB2312" w:cs="仿宋_GB2312" w:hint="eastAsia"/>
          <w:sz w:val="32"/>
          <w:szCs w:val="32"/>
          <w:lang w:val="en-US" w:eastAsia="zh-CN"/>
        </w:rPr>
        <w:t>48.5</w:t>
      </w:r>
      <w:r>
        <w:rPr>
          <w:rFonts w:ascii="仿宋_GB2312" w:eastAsia="仿宋_GB2312" w:cs="仿宋_GB2312" w:hint="eastAsia"/>
          <w:sz w:val="32"/>
          <w:szCs w:val="32"/>
        </w:rPr>
        <w:t xml:space="preserve">万元, </w:t>
      </w:r>
      <w:r>
        <w:rPr>
          <w:rFonts w:ascii="仿宋_GB2312" w:eastAsia="仿宋_GB2312" w:cs="仿宋_GB2312" w:hint="eastAsia"/>
          <w:sz w:val="32"/>
          <w:szCs w:val="32"/>
          <w:lang w:eastAsia="zh-CN"/>
        </w:rPr>
        <w:t>增率</w:t>
      </w:r>
      <w:r>
        <w:rPr>
          <w:rFonts w:ascii="仿宋_GB2312" w:eastAsia="仿宋_GB2312" w:cs="仿宋_GB2312" w:hint="eastAsia"/>
          <w:sz w:val="32"/>
          <w:szCs w:val="32"/>
          <w:lang w:val="en-US" w:eastAsia="zh-CN"/>
        </w:rPr>
        <w:t>20.03</w:t>
      </w:r>
      <w:r>
        <w:rPr>
          <w:rFonts w:ascii="仿宋_GB2312" w:eastAsia="仿宋_GB2312" w:hint="eastAsia"/>
          <w:color w:val="000000"/>
          <w:sz w:val="32"/>
          <w:szCs w:val="32"/>
        </w:rPr>
        <w:t>%</w:t>
      </w:r>
      <w:r>
        <w:rPr>
          <w:rFonts w:ascii="仿宋_GB2312" w:eastAsia="仿宋_GB2312" w:hint="eastAsia"/>
          <w:color w:val="000000"/>
          <w:sz w:val="32"/>
          <w:szCs w:val="32"/>
          <w:lang w:eastAsia="zh-CN"/>
        </w:rPr>
        <w:t>；增加原因：</w:t>
      </w:r>
      <w:r>
        <w:rPr>
          <w:rFonts w:ascii="仿宋_GB2312" w:eastAsia="仿宋_GB2312" w:cs="仿宋_GB2312" w:hint="eastAsia"/>
          <w:sz w:val="32"/>
          <w:szCs w:val="32"/>
          <w:lang w:val="en-US" w:eastAsia="zh-CN"/>
        </w:rPr>
        <w:t>1、2022年6月有10人职务职级变动；2、2022年1月调资；3、正常晋升。</w:t>
      </w:r>
    </w:p>
    <w:p>
      <w:pPr>
        <w:pStyle w:val="27"/>
        <w:ind w:firstLineChars="200" w:firstLine="640"/>
        <w:rPr>
          <w:rFonts w:ascii="仿宋_GB2312" w:eastAsia="仿宋_GB2312" w:hint="eastAsia"/>
          <w:b w:val="0"/>
          <w:bCs w:val="0"/>
          <w:sz w:val="32"/>
          <w:szCs w:val="32"/>
        </w:rPr>
      </w:pPr>
      <w:r>
        <w:rPr>
          <w:rFonts w:ascii="仿宋_GB2312" w:eastAsia="仿宋_GB2312" w:hint="eastAsia"/>
          <w:b w:val="0"/>
          <w:bCs w:val="0"/>
          <w:sz w:val="32"/>
          <w:szCs w:val="32"/>
          <w:lang w:val="en-US" w:eastAsia="zh-CN"/>
        </w:rPr>
        <w:t>2、</w:t>
      </w:r>
      <w:r>
        <w:rPr>
          <w:rFonts w:ascii="仿宋_GB2312" w:eastAsia="仿宋_GB2312" w:hint="eastAsia"/>
          <w:b w:val="0"/>
          <w:bCs w:val="0"/>
          <w:sz w:val="32"/>
          <w:szCs w:val="32"/>
        </w:rPr>
        <w:t>一般公共预算财政拨款支出决算结构情况</w:t>
      </w:r>
    </w:p>
    <w:p>
      <w:pPr>
        <w:pStyle w:val="27"/>
        <w:ind w:firstLineChars="250" w:firstLine="800"/>
        <w:rPr>
          <w:rFonts w:ascii="仿宋_GB2312" w:eastAsia="仿宋_GB2312" w:cs="仿宋_GB2312" w:hint="eastAsia"/>
          <w:sz w:val="32"/>
          <w:szCs w:val="32"/>
          <w:lang w:val="en-US" w:eastAsia="zh-CN"/>
        </w:rPr>
      </w:pPr>
      <w:r>
        <w:rPr>
          <w:rFonts w:ascii="仿宋_GB2312" w:eastAsia="仿宋_GB2312" w:hint="eastAsia"/>
          <w:sz w:val="32"/>
          <w:szCs w:val="32"/>
        </w:rPr>
        <w:t>20</w:t>
      </w:r>
      <w:r>
        <w:rPr>
          <w:rFonts w:ascii="仿宋_GB2312" w:eastAsia="仿宋_GB2312" w:hint="eastAsia"/>
          <w:sz w:val="32"/>
          <w:szCs w:val="32"/>
          <w:lang w:val="en-US" w:eastAsia="zh-CN"/>
        </w:rPr>
        <w:t>22</w:t>
      </w:r>
      <w:r>
        <w:rPr>
          <w:rFonts w:ascii="仿宋_GB2312" w:eastAsia="仿宋_GB2312" w:hint="eastAsia"/>
          <w:sz w:val="32"/>
          <w:szCs w:val="32"/>
        </w:rPr>
        <w:t>年一般公共预算财政拨款支出</w:t>
      </w:r>
      <w:r>
        <w:rPr>
          <w:rFonts w:ascii="仿宋_GB2312" w:eastAsia="仿宋_GB2312" w:hint="eastAsia"/>
          <w:sz w:val="32"/>
          <w:szCs w:val="32"/>
          <w:lang w:val="en-US" w:eastAsia="zh-CN"/>
        </w:rPr>
        <w:t>290.68</w:t>
      </w:r>
      <w:r>
        <w:rPr>
          <w:rFonts w:ascii="仿宋_GB2312" w:eastAsia="仿宋_GB2312" w:hint="eastAsia"/>
          <w:sz w:val="32"/>
          <w:szCs w:val="32"/>
        </w:rPr>
        <w:t>万元，主要用于以下方面:</w:t>
      </w:r>
      <w:r>
        <w:rPr>
          <w:rFonts w:ascii="仿宋_GB2312" w:eastAsia="仿宋_GB2312" w:hint="eastAsia"/>
          <w:sz w:val="32"/>
          <w:szCs w:val="32"/>
          <w:lang w:eastAsia="zh-CN"/>
        </w:rPr>
        <w:t>教育</w:t>
      </w:r>
      <w:r>
        <w:rPr>
          <w:rFonts w:ascii="仿宋_GB2312" w:eastAsia="仿宋_GB2312" w:hint="eastAsia"/>
          <w:sz w:val="32"/>
          <w:szCs w:val="32"/>
        </w:rPr>
        <w:t>支出</w:t>
      </w:r>
      <w:r>
        <w:rPr>
          <w:rFonts w:ascii="仿宋_GB2312" w:eastAsia="仿宋_GB2312" w:hint="eastAsia"/>
          <w:sz w:val="32"/>
          <w:szCs w:val="32"/>
          <w:lang w:val="en-US" w:eastAsia="zh-CN"/>
        </w:rPr>
        <w:t>0.03</w:t>
      </w:r>
      <w:r>
        <w:rPr>
          <w:rFonts w:ascii="仿宋_GB2312" w:eastAsia="仿宋_GB2312" w:hint="eastAsia"/>
          <w:sz w:val="32"/>
          <w:szCs w:val="32"/>
        </w:rPr>
        <w:t>万元，占</w:t>
      </w:r>
      <w:r>
        <w:rPr>
          <w:rFonts w:ascii="仿宋_GB2312" w:eastAsia="仿宋_GB2312" w:hint="eastAsia"/>
          <w:sz w:val="32"/>
          <w:szCs w:val="32"/>
          <w:lang w:val="en-US" w:eastAsia="zh-CN"/>
        </w:rPr>
        <w:t>0.01</w:t>
      </w:r>
      <w:r>
        <w:rPr>
          <w:rFonts w:ascii="仿宋_GB2312" w:eastAsia="仿宋_GB2312" w:hint="eastAsia"/>
          <w:sz w:val="32"/>
          <w:szCs w:val="32"/>
        </w:rPr>
        <w:t>%</w:t>
      </w:r>
      <w:r>
        <w:rPr>
          <w:rFonts w:ascii="仿宋_GB2312" w:eastAsia="仿宋_GB2312" w:hint="eastAsia"/>
          <w:sz w:val="32"/>
          <w:szCs w:val="32"/>
          <w:lang w:eastAsia="zh-CN"/>
        </w:rPr>
        <w:t>；</w:t>
      </w:r>
      <w:r>
        <w:rPr>
          <w:rFonts w:ascii="仿宋_GB2312" w:eastAsia="仿宋_GB2312" w:hint="eastAsia"/>
          <w:sz w:val="32"/>
          <w:szCs w:val="32"/>
        </w:rPr>
        <w:t>社会保障和就业支出</w:t>
      </w:r>
      <w:r>
        <w:rPr>
          <w:rFonts w:ascii="仿宋_GB2312" w:eastAsia="仿宋_GB2312" w:cs="仿宋_GB2312" w:hint="eastAsia"/>
          <w:sz w:val="32"/>
          <w:szCs w:val="32"/>
          <w:lang w:val="en-US" w:eastAsia="zh-CN"/>
        </w:rPr>
        <w:t>259.17</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89.16</w:t>
      </w:r>
      <w:r>
        <w:rPr>
          <w:rFonts w:ascii="仿宋_GB2312" w:eastAsia="仿宋_GB2312" w:cs="仿宋_GB2312" w:hint="eastAsia"/>
          <w:sz w:val="32"/>
          <w:szCs w:val="32"/>
        </w:rPr>
        <w:t>%</w:t>
      </w:r>
      <w:r>
        <w:rPr>
          <w:rFonts w:ascii="仿宋_GB2312" w:eastAsia="仿宋_GB2312" w:hint="eastAsia"/>
          <w:sz w:val="32"/>
          <w:szCs w:val="32"/>
        </w:rPr>
        <w:t>；医疗卫生支出</w:t>
      </w:r>
      <w:r>
        <w:rPr>
          <w:rFonts w:ascii="仿宋_GB2312" w:eastAsia="仿宋_GB2312" w:cs="仿宋_GB2312" w:hint="eastAsia"/>
          <w:sz w:val="32"/>
          <w:szCs w:val="32"/>
          <w:lang w:val="en-US" w:eastAsia="zh-CN"/>
        </w:rPr>
        <w:t>12.50</w:t>
      </w:r>
      <w:r>
        <w:rPr>
          <w:rFonts w:ascii="仿宋_GB2312" w:eastAsia="仿宋_GB2312" w:cs="仿宋_GB2312" w:hint="eastAsia"/>
          <w:sz w:val="32"/>
          <w:szCs w:val="32"/>
        </w:rPr>
        <w:t>万元, 占</w:t>
      </w:r>
      <w:r>
        <w:rPr>
          <w:rFonts w:ascii="仿宋_GB2312" w:eastAsia="仿宋_GB2312" w:cs="仿宋_GB2312" w:hint="eastAsia"/>
          <w:sz w:val="32"/>
          <w:szCs w:val="32"/>
          <w:lang w:val="en-US" w:eastAsia="zh-CN"/>
        </w:rPr>
        <w:t>4.30</w:t>
      </w:r>
      <w:r>
        <w:rPr>
          <w:rFonts w:ascii="仿宋_GB2312" w:eastAsia="仿宋_GB2312" w:cs="仿宋_GB2312" w:hint="eastAsia"/>
          <w:sz w:val="32"/>
          <w:szCs w:val="32"/>
        </w:rPr>
        <w:t>%</w:t>
      </w:r>
      <w:r>
        <w:rPr>
          <w:rFonts w:ascii="仿宋_GB2312" w:eastAsia="仿宋_GB2312" w:hint="eastAsia"/>
          <w:sz w:val="32"/>
          <w:szCs w:val="32"/>
        </w:rPr>
        <w:t>；住房保障支出</w:t>
      </w:r>
      <w:r>
        <w:rPr>
          <w:rFonts w:ascii="仿宋_GB2312" w:eastAsia="仿宋_GB2312" w:cs="仿宋_GB2312" w:hint="eastAsia"/>
          <w:sz w:val="32"/>
          <w:szCs w:val="32"/>
          <w:lang w:val="en-US" w:eastAsia="zh-CN"/>
        </w:rPr>
        <w:t>18.98</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6.53</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w:t>
      </w:r>
    </w:p>
    <w:p>
      <w:pPr>
        <w:pStyle w:val="27"/>
        <w:ind w:firstLineChars="250" w:firstLine="80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drawing>
          <wp:inline distT="0" distB="0" distL="114300" distR="114300">
            <wp:extent cx="4522470" cy="2201545"/>
            <wp:effectExtent l="0" t="0" r="0" b="0"/>
            <wp:docPr id="2" name="图表 3"/>
            <wp:cNvGraphicFramePr>
              <a:graphicFrameLocks noChangeAspect="0"/>
            </wp:cNvGraphicFramePr>
            <a:graphic>
              <a:graphicData uri="http://schemas.openxmlformats.org/drawingml/2006/chart">
                <c:chart xmlns:c="http://schemas.openxmlformats.org/drawingml/2006/chart" r:id="rId4"/>
              </a:graphicData>
            </a:graphic>
          </wp:inline>
        </w:drawing>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一般公共预算财政拨款支出决算具体情况</w:t>
      </w:r>
    </w:p>
    <w:p>
      <w:pPr>
        <w:spacing w:line="600" w:lineRule="exact"/>
        <w:ind w:firstLineChars="200" w:firstLine="640"/>
        <w:rPr>
          <w:rStyle w:val="20"/>
          <w:rFonts w:ascii="仿宋_GB2312" w:eastAsia="仿宋_GB2312" w:hint="eastAsia"/>
          <w:color w:val="000000"/>
          <w:sz w:val="32"/>
          <w:szCs w:val="32"/>
        </w:rPr>
      </w:pPr>
      <w:r>
        <w:rPr>
          <w:rStyle w:val="20"/>
          <w:rFonts w:ascii="仿宋_GB2312" w:eastAsia="仿宋_GB2312" w:hint="eastAsia"/>
          <w:color w:val="000000"/>
          <w:sz w:val="32"/>
          <w:szCs w:val="32"/>
          <w:lang w:val="en-US" w:eastAsia="zh-CN"/>
        </w:rPr>
        <w:t>1）</w:t>
      </w:r>
      <w:r>
        <w:rPr>
          <w:rStyle w:val="20"/>
          <w:rFonts w:ascii="仿宋_GB2312" w:eastAsia="仿宋_GB2312" w:hint="eastAsia"/>
          <w:color w:val="000000"/>
          <w:sz w:val="32"/>
          <w:szCs w:val="32"/>
        </w:rPr>
        <w:t>.</w:t>
      </w:r>
      <w:r>
        <w:rPr>
          <w:rFonts w:hint="eastAsia"/>
        </w:rPr>
        <w:t xml:space="preserve"> </w:t>
      </w:r>
      <w:r>
        <w:rPr>
          <w:rStyle w:val="20"/>
          <w:rFonts w:ascii="仿宋_GB2312" w:eastAsia="仿宋_GB2312" w:hint="eastAsia"/>
          <w:color w:val="000000"/>
          <w:sz w:val="32"/>
          <w:szCs w:val="32"/>
        </w:rPr>
        <w:t>208社会保障和就业(类）：</w:t>
      </w:r>
      <w:r>
        <w:rPr>
          <w:rFonts w:ascii="仿宋_GB2312" w:eastAsia="仿宋_GB2312" w:cs="仿宋_GB2312" w:hint="eastAsia"/>
          <w:sz w:val="32"/>
          <w:szCs w:val="32"/>
          <w:lang w:val="en-US" w:eastAsia="zh-CN"/>
        </w:rPr>
        <w:t>259.17</w:t>
      </w:r>
      <w:r>
        <w:rPr>
          <w:rStyle w:val="20"/>
          <w:rFonts w:ascii="仿宋_GB2312" w:eastAsia="仿宋_GB2312" w:hint="eastAsia"/>
          <w:color w:val="000000"/>
          <w:sz w:val="32"/>
          <w:szCs w:val="32"/>
        </w:rPr>
        <w:t>万元</w:t>
      </w:r>
    </w:p>
    <w:p>
      <w:pPr>
        <w:spacing w:line="600" w:lineRule="exact"/>
        <w:ind w:left="142" w:firstLineChars="150" w:firstLine="480"/>
        <w:rPr>
          <w:rStyle w:val="20"/>
          <w:rFonts w:ascii="仿宋_GB2312" w:eastAsia="仿宋_GB2312" w:hint="eastAsia"/>
          <w:b w:val="0"/>
          <w:bCs w:val="0"/>
          <w:color w:val="000000"/>
          <w:sz w:val="32"/>
          <w:szCs w:val="32"/>
          <w:lang w:val="en-US" w:eastAsia="zh-CN"/>
        </w:rPr>
      </w:pPr>
      <w:r>
        <w:rPr>
          <w:rStyle w:val="20"/>
          <w:rFonts w:ascii="仿宋_GB2312" w:eastAsia="仿宋_GB2312" w:hint="eastAsia"/>
          <w:b w:val="0"/>
          <w:bCs w:val="0"/>
          <w:color w:val="000000"/>
          <w:sz w:val="32"/>
          <w:szCs w:val="32"/>
          <w:lang w:eastAsia="zh-CN"/>
        </w:rPr>
        <w:t>（</w:t>
      </w:r>
      <w:r>
        <w:rPr>
          <w:rStyle w:val="20"/>
          <w:rFonts w:ascii="仿宋_GB2312" w:eastAsia="仿宋_GB2312" w:hint="eastAsia"/>
          <w:b w:val="0"/>
          <w:bCs w:val="0"/>
          <w:color w:val="000000"/>
          <w:sz w:val="32"/>
          <w:szCs w:val="32"/>
          <w:lang w:val="en-US" w:eastAsia="zh-CN"/>
        </w:rPr>
        <w:t>1</w:t>
      </w:r>
      <w:r>
        <w:rPr>
          <w:rStyle w:val="20"/>
          <w:rFonts w:ascii="仿宋_GB2312" w:eastAsia="仿宋_GB2312" w:hint="eastAsia"/>
          <w:b w:val="0"/>
          <w:bCs w:val="0"/>
          <w:color w:val="000000"/>
          <w:sz w:val="32"/>
          <w:szCs w:val="32"/>
          <w:lang w:eastAsia="zh-CN"/>
        </w:rPr>
        <w:t>）</w:t>
      </w:r>
      <w:r>
        <w:rPr>
          <w:rStyle w:val="20"/>
          <w:rFonts w:ascii="仿宋_GB2312" w:eastAsia="仿宋_GB2312" w:hint="eastAsia"/>
          <w:b w:val="0"/>
          <w:bCs w:val="0"/>
          <w:color w:val="000000"/>
          <w:sz w:val="32"/>
          <w:szCs w:val="32"/>
        </w:rPr>
        <w:t>社会保障和就业208（类）</w:t>
      </w:r>
      <w:r>
        <w:rPr>
          <w:rStyle w:val="20"/>
          <w:rFonts w:ascii="仿宋_GB2312" w:eastAsia="仿宋_GB2312" w:hint="eastAsia"/>
          <w:b w:val="0"/>
          <w:bCs w:val="0"/>
          <w:color w:val="000000"/>
          <w:sz w:val="32"/>
          <w:szCs w:val="32"/>
          <w:lang w:eastAsia="zh-CN"/>
        </w:rPr>
        <w:t>人力资源和社会保障管理事务</w:t>
      </w:r>
      <w:r>
        <w:rPr>
          <w:rStyle w:val="20"/>
          <w:rFonts w:ascii="仿宋_GB2312" w:eastAsia="仿宋_GB2312" w:hint="eastAsia"/>
          <w:b w:val="0"/>
          <w:bCs w:val="0"/>
          <w:color w:val="000000"/>
          <w:sz w:val="32"/>
          <w:szCs w:val="32"/>
          <w:lang w:val="en-US" w:eastAsia="zh-CN"/>
        </w:rPr>
        <w:t>01（款）社会保险经办机构09（项）：支出结算数226.44万元，完成预算100%。</w:t>
      </w:r>
      <w:r>
        <w:rPr>
          <w:rStyle w:val="20"/>
          <w:rFonts w:ascii="仿宋_GB2312" w:eastAsia="仿宋_GB2312" w:hint="eastAsia"/>
          <w:b w:val="0"/>
          <w:color w:val="000000"/>
          <w:sz w:val="32"/>
          <w:szCs w:val="32"/>
        </w:rPr>
        <w:t>决算数</w:t>
      </w:r>
      <w:r>
        <w:rPr>
          <w:rStyle w:val="20"/>
          <w:rFonts w:ascii="仿宋_GB2312" w:eastAsia="仿宋_GB2312" w:hint="eastAsia"/>
          <w:b w:val="0"/>
          <w:color w:val="000000"/>
          <w:sz w:val="32"/>
          <w:szCs w:val="32"/>
          <w:lang w:eastAsia="zh-CN"/>
        </w:rPr>
        <w:t>大</w:t>
      </w:r>
      <w:r>
        <w:rPr>
          <w:rStyle w:val="20"/>
          <w:rFonts w:ascii="仿宋_GB2312" w:eastAsia="仿宋_GB2312" w:hint="eastAsia"/>
          <w:b w:val="0"/>
          <w:color w:val="000000"/>
          <w:sz w:val="32"/>
          <w:szCs w:val="32"/>
        </w:rPr>
        <w:t>于预算数的主要原因是</w:t>
      </w:r>
      <w:r>
        <w:rPr>
          <w:rStyle w:val="20"/>
          <w:rFonts w:ascii="仿宋_GB2312" w:eastAsia="仿宋_GB2312" w:hint="eastAsia"/>
          <w:b w:val="0"/>
          <w:color w:val="000000"/>
          <w:sz w:val="32"/>
          <w:szCs w:val="32"/>
          <w:lang w:val="en-US" w:eastAsia="zh-CN"/>
        </w:rPr>
        <w:t>2022</w:t>
      </w:r>
      <w:r>
        <w:rPr>
          <w:rStyle w:val="20"/>
          <w:rFonts w:ascii="仿宋_GB2312" w:eastAsia="仿宋_GB2312" w:hint="eastAsia"/>
          <w:b w:val="0"/>
          <w:color w:val="000000"/>
          <w:sz w:val="32"/>
          <w:szCs w:val="32"/>
        </w:rPr>
        <w:t>年</w:t>
      </w:r>
      <w:r>
        <w:rPr>
          <w:rStyle w:val="20"/>
          <w:rFonts w:ascii="仿宋_GB2312" w:eastAsia="仿宋_GB2312" w:hint="eastAsia"/>
          <w:b w:val="0"/>
          <w:color w:val="000000"/>
          <w:sz w:val="32"/>
          <w:szCs w:val="32"/>
          <w:lang w:val="en-US" w:eastAsia="zh-CN"/>
        </w:rPr>
        <w:t>调资、正常晋升和职务变动</w:t>
      </w:r>
      <w:r>
        <w:rPr>
          <w:rStyle w:val="20"/>
          <w:rFonts w:ascii="仿宋_GB2312" w:eastAsia="仿宋_GB2312" w:hint="eastAsia"/>
          <w:b w:val="0"/>
          <w:color w:val="000000"/>
          <w:sz w:val="32"/>
          <w:szCs w:val="32"/>
        </w:rPr>
        <w:t>。</w:t>
      </w:r>
    </w:p>
    <w:p>
      <w:pPr>
        <w:spacing w:line="600" w:lineRule="exact"/>
        <w:ind w:left="142" w:firstLineChars="150" w:firstLine="480"/>
        <w:rPr>
          <w:rStyle w:val="20"/>
          <w:rFonts w:ascii="仿宋_GB2312" w:eastAsia="仿宋_GB2312" w:hint="eastAsia"/>
          <w:b w:val="0"/>
          <w:color w:val="000000"/>
          <w:sz w:val="32"/>
          <w:szCs w:val="32"/>
          <w:lang w:val="en-US" w:eastAsia="zh-CN"/>
        </w:rPr>
      </w:pPr>
      <w:r>
        <w:rPr>
          <w:rStyle w:val="20"/>
          <w:rFonts w:ascii="仿宋_GB2312" w:eastAsia="仿宋_GB2312" w:hint="eastAsia"/>
          <w:b w:val="0"/>
          <w:bCs w:val="0"/>
          <w:color w:val="000000"/>
          <w:sz w:val="32"/>
          <w:szCs w:val="32"/>
        </w:rPr>
        <w:t>(</w:t>
      </w:r>
      <w:r>
        <w:rPr>
          <w:rStyle w:val="20"/>
          <w:rFonts w:ascii="仿宋_GB2312" w:eastAsia="仿宋_GB2312" w:hint="eastAsia"/>
          <w:b w:val="0"/>
          <w:bCs w:val="0"/>
          <w:color w:val="000000"/>
          <w:sz w:val="32"/>
          <w:szCs w:val="32"/>
          <w:lang w:val="en-US" w:eastAsia="zh-CN"/>
        </w:rPr>
        <w:t>2）</w:t>
      </w:r>
      <w:r>
        <w:rPr>
          <w:rStyle w:val="20"/>
          <w:rFonts w:ascii="仿宋_GB2312" w:eastAsia="仿宋_GB2312" w:hint="eastAsia"/>
          <w:b w:val="0"/>
          <w:bCs w:val="0"/>
          <w:color w:val="000000"/>
          <w:sz w:val="32"/>
          <w:szCs w:val="32"/>
        </w:rPr>
        <w:t>社会保障和就业208（类）</w:t>
      </w:r>
      <w:r>
        <w:rPr>
          <w:rStyle w:val="20"/>
          <w:rFonts w:ascii="仿宋_GB2312" w:eastAsia="仿宋_GB2312" w:hint="eastAsia"/>
          <w:b w:val="0"/>
          <w:bCs w:val="0"/>
          <w:color w:val="000000"/>
          <w:sz w:val="32"/>
          <w:szCs w:val="32"/>
          <w:lang w:eastAsia="zh-CN"/>
        </w:rPr>
        <w:t>行政事业单位离退休</w:t>
      </w:r>
      <w:r>
        <w:rPr>
          <w:rStyle w:val="20"/>
          <w:rFonts w:ascii="仿宋_GB2312" w:eastAsia="仿宋_GB2312" w:hint="eastAsia"/>
          <w:b w:val="0"/>
          <w:bCs w:val="0"/>
          <w:color w:val="000000"/>
          <w:sz w:val="32"/>
          <w:szCs w:val="32"/>
        </w:rPr>
        <w:t>05（款）机关事业单位基本养老保险费05（项）:支出决算为</w:t>
      </w:r>
      <w:r>
        <w:rPr>
          <w:rStyle w:val="20"/>
          <w:rFonts w:ascii="仿宋_GB2312" w:eastAsia="仿宋_GB2312" w:hint="eastAsia"/>
          <w:b w:val="0"/>
          <w:bCs w:val="0"/>
          <w:color w:val="000000"/>
          <w:sz w:val="32"/>
          <w:szCs w:val="32"/>
          <w:lang w:val="en-US" w:eastAsia="zh-CN"/>
        </w:rPr>
        <w:t>21.82</w:t>
      </w:r>
      <w:r>
        <w:rPr>
          <w:rStyle w:val="20"/>
          <w:rFonts w:ascii="仿宋_GB2312" w:eastAsia="仿宋_GB2312" w:hint="eastAsia"/>
          <w:b w:val="0"/>
          <w:bCs w:val="0"/>
          <w:color w:val="000000"/>
          <w:sz w:val="32"/>
          <w:szCs w:val="32"/>
        </w:rPr>
        <w:t>万元，完成预算100%，</w:t>
      </w:r>
      <w:r>
        <w:rPr>
          <w:rStyle w:val="20"/>
          <w:rFonts w:ascii="仿宋_GB2312" w:eastAsia="仿宋_GB2312" w:hint="eastAsia"/>
          <w:b w:val="0"/>
          <w:color w:val="000000"/>
          <w:sz w:val="32"/>
          <w:szCs w:val="32"/>
        </w:rPr>
        <w:t>决算数</w:t>
      </w:r>
      <w:r>
        <w:rPr>
          <w:rStyle w:val="20"/>
          <w:rFonts w:ascii="仿宋_GB2312" w:eastAsia="仿宋_GB2312" w:hint="eastAsia"/>
          <w:b w:val="0"/>
          <w:color w:val="000000"/>
          <w:sz w:val="32"/>
          <w:szCs w:val="32"/>
          <w:lang w:eastAsia="zh-CN"/>
        </w:rPr>
        <w:t>大</w:t>
      </w:r>
      <w:r>
        <w:rPr>
          <w:rStyle w:val="20"/>
          <w:rFonts w:ascii="仿宋_GB2312" w:eastAsia="仿宋_GB2312" w:hint="eastAsia"/>
          <w:b w:val="0"/>
          <w:color w:val="000000"/>
          <w:sz w:val="32"/>
          <w:szCs w:val="32"/>
        </w:rPr>
        <w:t>于预算数的主要原因是</w:t>
      </w:r>
      <w:r>
        <w:rPr>
          <w:rStyle w:val="20"/>
          <w:rFonts w:ascii="仿宋_GB2312" w:eastAsia="仿宋_GB2312" w:hint="eastAsia"/>
          <w:b w:val="0"/>
          <w:color w:val="000000"/>
          <w:sz w:val="32"/>
          <w:szCs w:val="32"/>
          <w:lang w:val="en-US" w:eastAsia="zh-CN"/>
        </w:rPr>
        <w:t>2022</w:t>
      </w:r>
      <w:r>
        <w:rPr>
          <w:rStyle w:val="20"/>
          <w:rFonts w:ascii="仿宋_GB2312" w:eastAsia="仿宋_GB2312" w:hint="eastAsia"/>
          <w:b w:val="0"/>
          <w:color w:val="000000"/>
          <w:sz w:val="32"/>
          <w:szCs w:val="32"/>
        </w:rPr>
        <w:t>年</w:t>
      </w:r>
      <w:r>
        <w:rPr>
          <w:rStyle w:val="20"/>
          <w:rFonts w:ascii="仿宋_GB2312" w:eastAsia="仿宋_GB2312" w:hint="eastAsia"/>
          <w:b w:val="0"/>
          <w:color w:val="000000"/>
          <w:sz w:val="32"/>
          <w:szCs w:val="32"/>
          <w:lang w:val="en-US" w:eastAsia="zh-CN"/>
        </w:rPr>
        <w:t>调资、正常晋升和职务变动</w:t>
      </w:r>
      <w:r>
        <w:rPr>
          <w:rStyle w:val="20"/>
          <w:rFonts w:ascii="仿宋_GB2312" w:eastAsia="仿宋_GB2312" w:hint="eastAsia"/>
          <w:b w:val="0"/>
          <w:color w:val="000000"/>
          <w:sz w:val="32"/>
          <w:szCs w:val="32"/>
        </w:rPr>
        <w:t>。</w:t>
      </w:r>
    </w:p>
    <w:p>
      <w:pPr>
        <w:spacing w:line="600" w:lineRule="exact"/>
        <w:ind w:left="142" w:firstLineChars="150" w:firstLine="480"/>
        <w:rPr>
          <w:rStyle w:val="20"/>
          <w:rFonts w:ascii="仿宋_GB2312" w:eastAsia="仿宋_GB2312" w:hint="eastAsia"/>
          <w:b w:val="0"/>
          <w:color w:val="000000"/>
          <w:sz w:val="32"/>
          <w:szCs w:val="32"/>
          <w:lang w:val="en-US" w:eastAsia="zh-CN"/>
        </w:rPr>
      </w:pPr>
      <w:r>
        <w:rPr>
          <w:rStyle w:val="20"/>
          <w:rFonts w:ascii="仿宋_GB2312" w:eastAsia="仿宋_GB2312" w:hint="eastAsia"/>
          <w:b w:val="0"/>
          <w:color w:val="000000"/>
          <w:sz w:val="32"/>
          <w:szCs w:val="32"/>
        </w:rPr>
        <w:t>(</w:t>
      </w:r>
      <w:r>
        <w:rPr>
          <w:rStyle w:val="20"/>
          <w:rFonts w:ascii="仿宋_GB2312" w:eastAsia="仿宋_GB2312" w:hint="eastAsia"/>
          <w:b w:val="0"/>
          <w:color w:val="000000"/>
          <w:sz w:val="32"/>
          <w:szCs w:val="32"/>
          <w:lang w:val="en-US" w:eastAsia="zh-CN"/>
        </w:rPr>
        <w:t>3</w:t>
      </w:r>
      <w:r>
        <w:rPr>
          <w:rStyle w:val="20"/>
          <w:rFonts w:ascii="仿宋_GB2312" w:eastAsia="仿宋_GB2312" w:hint="eastAsia"/>
          <w:b w:val="0"/>
          <w:color w:val="000000"/>
          <w:sz w:val="32"/>
          <w:szCs w:val="32"/>
        </w:rPr>
        <w:t>)</w:t>
      </w:r>
      <w:r>
        <w:rPr>
          <w:rStyle w:val="20"/>
          <w:rFonts w:ascii="仿宋_GB2312" w:eastAsia="仿宋_GB2312" w:hint="eastAsia"/>
          <w:b w:val="0"/>
          <w:bCs w:val="0"/>
          <w:color w:val="000000"/>
          <w:sz w:val="32"/>
          <w:szCs w:val="32"/>
        </w:rPr>
        <w:t>社会保障和就业208（类）</w:t>
      </w:r>
      <w:r>
        <w:rPr>
          <w:rStyle w:val="20"/>
          <w:rFonts w:ascii="仿宋_GB2312" w:eastAsia="仿宋_GB2312" w:hint="eastAsia"/>
          <w:b w:val="0"/>
          <w:bCs w:val="0"/>
          <w:color w:val="000000"/>
          <w:sz w:val="32"/>
          <w:szCs w:val="32"/>
          <w:lang w:eastAsia="zh-CN"/>
        </w:rPr>
        <w:t>行政事业单位离退休</w:t>
      </w:r>
      <w:r>
        <w:rPr>
          <w:rStyle w:val="20"/>
          <w:rFonts w:ascii="仿宋_GB2312" w:eastAsia="仿宋_GB2312" w:hint="eastAsia"/>
          <w:b w:val="0"/>
          <w:bCs w:val="0"/>
          <w:color w:val="000000"/>
          <w:sz w:val="32"/>
          <w:szCs w:val="32"/>
        </w:rPr>
        <w:t>05（款）</w:t>
      </w:r>
      <w:r>
        <w:rPr>
          <w:rStyle w:val="20"/>
          <w:rFonts w:ascii="仿宋_GB2312" w:eastAsia="仿宋_GB2312" w:hint="eastAsia"/>
          <w:b w:val="0"/>
          <w:bCs/>
          <w:color w:val="000000"/>
          <w:sz w:val="32"/>
          <w:szCs w:val="32"/>
        </w:rPr>
        <w:t>职业年金缴费06（项）</w:t>
      </w:r>
      <w:r>
        <w:rPr>
          <w:rStyle w:val="20"/>
          <w:rFonts w:ascii="仿宋_GB2312" w:eastAsia="仿宋_GB2312" w:hint="eastAsia"/>
          <w:bCs w:val="0"/>
          <w:color w:val="000000"/>
          <w:sz w:val="32"/>
          <w:szCs w:val="32"/>
        </w:rPr>
        <w:t>：</w:t>
      </w:r>
      <w:r>
        <w:rPr>
          <w:rStyle w:val="20"/>
          <w:rFonts w:ascii="仿宋_GB2312" w:eastAsia="仿宋_GB2312" w:hint="eastAsia"/>
          <w:b w:val="0"/>
          <w:color w:val="000000"/>
          <w:sz w:val="32"/>
          <w:szCs w:val="32"/>
        </w:rPr>
        <w:t>支出决算为</w:t>
      </w:r>
      <w:r>
        <w:rPr>
          <w:rStyle w:val="20"/>
          <w:rFonts w:ascii="仿宋_GB2312" w:eastAsia="仿宋_GB2312" w:hint="eastAsia"/>
          <w:b w:val="0"/>
          <w:color w:val="000000"/>
          <w:sz w:val="32"/>
          <w:szCs w:val="32"/>
          <w:lang w:val="en-US" w:eastAsia="zh-CN"/>
        </w:rPr>
        <w:t>10.91</w:t>
      </w:r>
      <w:r>
        <w:rPr>
          <w:rStyle w:val="20"/>
          <w:rFonts w:ascii="仿宋_GB2312" w:eastAsia="仿宋_GB2312" w:hint="eastAsia"/>
          <w:b w:val="0"/>
          <w:color w:val="000000"/>
          <w:sz w:val="32"/>
          <w:szCs w:val="32"/>
        </w:rPr>
        <w:t>万元，完成预算100%</w:t>
      </w:r>
      <w:r>
        <w:rPr>
          <w:rStyle w:val="20"/>
          <w:rFonts w:ascii="仿宋_GB2312" w:eastAsia="仿宋_GB2312" w:hint="eastAsia"/>
          <w:b w:val="0"/>
          <w:color w:val="000000"/>
          <w:sz w:val="32"/>
          <w:szCs w:val="32"/>
          <w:lang w:eastAsia="zh-CN"/>
        </w:rPr>
        <w:t>，</w:t>
      </w:r>
      <w:r>
        <w:rPr>
          <w:rStyle w:val="20"/>
          <w:rFonts w:ascii="仿宋_GB2312" w:eastAsia="仿宋_GB2312" w:hint="eastAsia"/>
          <w:b w:val="0"/>
          <w:color w:val="000000"/>
          <w:sz w:val="32"/>
          <w:szCs w:val="32"/>
        </w:rPr>
        <w:t>决算数</w:t>
      </w:r>
      <w:r>
        <w:rPr>
          <w:rStyle w:val="20"/>
          <w:rFonts w:ascii="仿宋_GB2312" w:eastAsia="仿宋_GB2312" w:hint="eastAsia"/>
          <w:b w:val="0"/>
          <w:color w:val="000000"/>
          <w:sz w:val="32"/>
          <w:szCs w:val="32"/>
          <w:lang w:eastAsia="zh-CN"/>
        </w:rPr>
        <w:t>大</w:t>
      </w:r>
      <w:r>
        <w:rPr>
          <w:rStyle w:val="20"/>
          <w:rFonts w:ascii="仿宋_GB2312" w:eastAsia="仿宋_GB2312" w:hint="eastAsia"/>
          <w:b w:val="0"/>
          <w:color w:val="000000"/>
          <w:sz w:val="32"/>
          <w:szCs w:val="32"/>
        </w:rPr>
        <w:t>于预算数的主要原因是</w:t>
      </w:r>
      <w:r>
        <w:rPr>
          <w:rStyle w:val="20"/>
          <w:rFonts w:ascii="仿宋_GB2312" w:eastAsia="仿宋_GB2312" w:hint="eastAsia"/>
          <w:b w:val="0"/>
          <w:color w:val="000000"/>
          <w:sz w:val="32"/>
          <w:szCs w:val="32"/>
          <w:lang w:val="en-US" w:eastAsia="zh-CN"/>
        </w:rPr>
        <w:t>2022</w:t>
      </w:r>
      <w:r>
        <w:rPr>
          <w:rStyle w:val="20"/>
          <w:rFonts w:ascii="仿宋_GB2312" w:eastAsia="仿宋_GB2312" w:hint="eastAsia"/>
          <w:b w:val="0"/>
          <w:color w:val="000000"/>
          <w:sz w:val="32"/>
          <w:szCs w:val="32"/>
        </w:rPr>
        <w:t>年</w:t>
      </w:r>
      <w:r>
        <w:rPr>
          <w:rStyle w:val="20"/>
          <w:rFonts w:ascii="仿宋_GB2312" w:eastAsia="仿宋_GB2312" w:hint="eastAsia"/>
          <w:b w:val="0"/>
          <w:color w:val="000000"/>
          <w:sz w:val="32"/>
          <w:szCs w:val="32"/>
          <w:lang w:val="en-US" w:eastAsia="zh-CN"/>
        </w:rPr>
        <w:t>调资、正常晋升和职务变动</w:t>
      </w:r>
      <w:r>
        <w:rPr>
          <w:rStyle w:val="20"/>
          <w:rFonts w:ascii="仿宋_GB2312" w:eastAsia="仿宋_GB2312" w:hint="eastAsia"/>
          <w:b w:val="0"/>
          <w:color w:val="000000"/>
          <w:sz w:val="32"/>
          <w:szCs w:val="32"/>
        </w:rPr>
        <w:t>。</w:t>
      </w:r>
    </w:p>
    <w:p>
      <w:pPr>
        <w:spacing w:line="600" w:lineRule="exact"/>
        <w:ind w:left="142" w:firstLineChars="150" w:firstLine="480"/>
        <w:rPr>
          <w:rStyle w:val="20"/>
          <w:rFonts w:ascii="仿宋_GB2312" w:eastAsia="仿宋_GB2312" w:hint="eastAsia"/>
          <w:b w:val="0"/>
          <w:color w:val="000000"/>
          <w:sz w:val="32"/>
          <w:szCs w:val="32"/>
        </w:rPr>
      </w:pPr>
      <w:r>
        <w:rPr>
          <w:rStyle w:val="20"/>
          <w:rFonts w:ascii="仿宋_GB2312" w:eastAsia="仿宋_GB2312" w:hint="eastAsia"/>
          <w:b w:val="0"/>
          <w:bCs w:val="0"/>
          <w:color w:val="000000"/>
          <w:sz w:val="32"/>
          <w:szCs w:val="32"/>
          <w:lang w:val="en-US" w:eastAsia="zh-CN"/>
        </w:rPr>
        <w:t>2）</w:t>
      </w:r>
      <w:r>
        <w:rPr>
          <w:rStyle w:val="20"/>
          <w:rFonts w:ascii="仿宋_GB2312" w:eastAsia="仿宋_GB2312" w:hint="eastAsia"/>
          <w:b w:val="0"/>
          <w:bCs w:val="0"/>
          <w:color w:val="000000"/>
          <w:sz w:val="32"/>
          <w:szCs w:val="32"/>
        </w:rPr>
        <w:t>医疗卫生与计划生育210（类）</w:t>
      </w:r>
      <w:r>
        <w:rPr>
          <w:rStyle w:val="20"/>
          <w:rFonts w:ascii="仿宋_GB2312" w:eastAsia="仿宋_GB2312" w:hint="eastAsia"/>
          <w:b w:val="0"/>
          <w:bCs w:val="0"/>
          <w:color w:val="000000"/>
          <w:sz w:val="32"/>
          <w:szCs w:val="32"/>
          <w:lang w:eastAsia="zh-CN"/>
        </w:rPr>
        <w:t>行政事业单位医疗</w:t>
      </w:r>
      <w:r>
        <w:rPr>
          <w:rStyle w:val="20"/>
          <w:rFonts w:ascii="仿宋_GB2312" w:eastAsia="仿宋_GB2312" w:hint="eastAsia"/>
          <w:b w:val="0"/>
          <w:bCs w:val="0"/>
          <w:color w:val="000000"/>
          <w:sz w:val="32"/>
          <w:szCs w:val="32"/>
        </w:rPr>
        <w:t>11（款）事业单位医疗0</w:t>
      </w:r>
      <w:r>
        <w:rPr>
          <w:rStyle w:val="20"/>
          <w:rFonts w:ascii="仿宋_GB2312" w:eastAsia="仿宋_GB2312" w:hint="eastAsia"/>
          <w:b w:val="0"/>
          <w:bCs w:val="0"/>
          <w:color w:val="000000"/>
          <w:sz w:val="32"/>
          <w:szCs w:val="32"/>
          <w:lang w:val="en-US" w:eastAsia="zh-CN"/>
        </w:rPr>
        <w:t>2</w:t>
      </w:r>
      <w:r>
        <w:rPr>
          <w:rStyle w:val="20"/>
          <w:rFonts w:ascii="仿宋_GB2312" w:eastAsia="仿宋_GB2312" w:hint="eastAsia"/>
          <w:b w:val="0"/>
          <w:bCs w:val="0"/>
          <w:color w:val="000000"/>
          <w:sz w:val="32"/>
          <w:szCs w:val="32"/>
        </w:rPr>
        <w:t>（项）:</w:t>
      </w:r>
      <w:r>
        <w:rPr>
          <w:rStyle w:val="20"/>
          <w:rFonts w:ascii="仿宋_GB2312" w:eastAsia="仿宋_GB2312" w:hint="eastAsia"/>
          <w:b w:val="0"/>
          <w:color w:val="000000"/>
          <w:sz w:val="32"/>
          <w:szCs w:val="32"/>
        </w:rPr>
        <w:t>支出决算为</w:t>
      </w:r>
      <w:r>
        <w:rPr>
          <w:rStyle w:val="20"/>
          <w:rFonts w:ascii="仿宋_GB2312" w:eastAsia="仿宋_GB2312" w:hint="eastAsia"/>
          <w:b w:val="0"/>
          <w:color w:val="000000"/>
          <w:sz w:val="32"/>
          <w:szCs w:val="32"/>
          <w:lang w:val="en-US" w:eastAsia="zh-CN"/>
        </w:rPr>
        <w:t>9.92</w:t>
      </w:r>
      <w:r>
        <w:rPr>
          <w:rStyle w:val="20"/>
          <w:rFonts w:ascii="仿宋_GB2312" w:eastAsia="仿宋_GB2312" w:hint="eastAsia"/>
          <w:b w:val="0"/>
          <w:color w:val="000000"/>
          <w:sz w:val="32"/>
          <w:szCs w:val="32"/>
        </w:rPr>
        <w:t>万元，完成预算100%</w:t>
      </w:r>
      <w:r>
        <w:rPr>
          <w:rStyle w:val="20"/>
          <w:rFonts w:ascii="仿宋_GB2312" w:eastAsia="仿宋_GB2312" w:hint="eastAsia"/>
          <w:b w:val="0"/>
          <w:color w:val="000000"/>
          <w:sz w:val="32"/>
          <w:szCs w:val="32"/>
          <w:lang w:val="en-US" w:eastAsia="zh-CN"/>
        </w:rPr>
        <w:t>；</w:t>
      </w:r>
      <w:r>
        <w:rPr>
          <w:rStyle w:val="20"/>
          <w:rFonts w:ascii="仿宋_GB2312" w:eastAsia="仿宋_GB2312" w:hint="eastAsia"/>
          <w:b w:val="0"/>
          <w:color w:val="000000"/>
          <w:sz w:val="32"/>
          <w:szCs w:val="32"/>
        </w:rPr>
        <w:t>决算数</w:t>
      </w:r>
      <w:r>
        <w:rPr>
          <w:rStyle w:val="20"/>
          <w:rFonts w:ascii="仿宋_GB2312" w:eastAsia="仿宋_GB2312" w:hint="eastAsia"/>
          <w:b w:val="0"/>
          <w:color w:val="000000"/>
          <w:sz w:val="32"/>
          <w:szCs w:val="32"/>
          <w:lang w:eastAsia="zh-CN"/>
        </w:rPr>
        <w:t>大</w:t>
      </w:r>
      <w:r>
        <w:rPr>
          <w:rStyle w:val="20"/>
          <w:rFonts w:ascii="仿宋_GB2312" w:eastAsia="仿宋_GB2312" w:hint="eastAsia"/>
          <w:b w:val="0"/>
          <w:color w:val="000000"/>
          <w:sz w:val="32"/>
          <w:szCs w:val="32"/>
        </w:rPr>
        <w:t>于预算数的主要原因是</w:t>
      </w:r>
      <w:r>
        <w:rPr>
          <w:rStyle w:val="20"/>
          <w:rFonts w:ascii="仿宋_GB2312" w:eastAsia="仿宋_GB2312" w:hint="eastAsia"/>
          <w:b w:val="0"/>
          <w:color w:val="000000"/>
          <w:sz w:val="32"/>
          <w:szCs w:val="32"/>
          <w:lang w:val="en-US" w:eastAsia="zh-CN"/>
        </w:rPr>
        <w:t>2022</w:t>
      </w:r>
      <w:r>
        <w:rPr>
          <w:rStyle w:val="20"/>
          <w:rFonts w:ascii="仿宋_GB2312" w:eastAsia="仿宋_GB2312" w:hint="eastAsia"/>
          <w:b w:val="0"/>
          <w:color w:val="000000"/>
          <w:sz w:val="32"/>
          <w:szCs w:val="32"/>
        </w:rPr>
        <w:t>年</w:t>
      </w:r>
      <w:r>
        <w:rPr>
          <w:rStyle w:val="20"/>
          <w:rFonts w:ascii="仿宋_GB2312" w:eastAsia="仿宋_GB2312" w:hint="eastAsia"/>
          <w:b w:val="0"/>
          <w:color w:val="000000"/>
          <w:sz w:val="32"/>
          <w:szCs w:val="32"/>
          <w:lang w:val="en-US" w:eastAsia="zh-CN"/>
        </w:rPr>
        <w:t>调资、正常晋升和职务变动</w:t>
      </w:r>
      <w:r>
        <w:rPr>
          <w:rStyle w:val="20"/>
          <w:rFonts w:ascii="仿宋_GB2312" w:eastAsia="仿宋_GB2312" w:hint="eastAsia"/>
          <w:b w:val="0"/>
          <w:color w:val="000000"/>
          <w:sz w:val="32"/>
          <w:szCs w:val="32"/>
        </w:rPr>
        <w:t>。</w:t>
      </w:r>
    </w:p>
    <w:p>
      <w:pPr>
        <w:spacing w:line="600" w:lineRule="exact"/>
        <w:ind w:left="142" w:firstLineChars="150" w:firstLine="480"/>
        <w:rPr>
          <w:rStyle w:val="20"/>
          <w:rFonts w:ascii="仿宋_GB2312" w:eastAsia="仿宋_GB2312" w:hint="eastAsia"/>
          <w:b w:val="0"/>
          <w:color w:val="000000"/>
          <w:sz w:val="32"/>
          <w:szCs w:val="32"/>
        </w:rPr>
      </w:pPr>
      <w:r>
        <w:rPr>
          <w:rStyle w:val="20"/>
          <w:rFonts w:ascii="仿宋_GB2312" w:eastAsia="仿宋_GB2312" w:hint="eastAsia"/>
          <w:b w:val="0"/>
          <w:bCs w:val="0"/>
          <w:color w:val="000000"/>
          <w:sz w:val="32"/>
          <w:szCs w:val="32"/>
          <w:lang w:val="en-US" w:eastAsia="zh-CN"/>
        </w:rPr>
        <w:t>3）</w:t>
      </w:r>
      <w:r>
        <w:rPr>
          <w:rStyle w:val="20"/>
          <w:rFonts w:ascii="仿宋_GB2312" w:eastAsia="仿宋_GB2312" w:hint="eastAsia"/>
          <w:b w:val="0"/>
          <w:bCs w:val="0"/>
          <w:color w:val="000000"/>
          <w:sz w:val="32"/>
          <w:szCs w:val="32"/>
        </w:rPr>
        <w:t>医疗卫生与计划生育210（类）</w:t>
      </w:r>
      <w:r>
        <w:rPr>
          <w:rStyle w:val="20"/>
          <w:rFonts w:ascii="仿宋_GB2312" w:eastAsia="仿宋_GB2312" w:hint="eastAsia"/>
          <w:b w:val="0"/>
          <w:bCs w:val="0"/>
          <w:color w:val="000000"/>
          <w:sz w:val="32"/>
          <w:szCs w:val="32"/>
          <w:lang w:eastAsia="zh-CN"/>
        </w:rPr>
        <w:t>行政事业单位医疗</w:t>
      </w:r>
      <w:r>
        <w:rPr>
          <w:rStyle w:val="20"/>
          <w:rFonts w:ascii="仿宋_GB2312" w:eastAsia="仿宋_GB2312" w:hint="eastAsia"/>
          <w:b w:val="0"/>
          <w:bCs w:val="0"/>
          <w:color w:val="000000"/>
          <w:sz w:val="32"/>
          <w:szCs w:val="32"/>
        </w:rPr>
        <w:t>11（款）</w:t>
      </w:r>
      <w:r>
        <w:rPr>
          <w:rStyle w:val="20"/>
          <w:rFonts w:ascii="仿宋_GB2312" w:eastAsia="仿宋_GB2312" w:hint="eastAsia"/>
          <w:b w:val="0"/>
          <w:bCs w:val="0"/>
          <w:color w:val="000000"/>
          <w:sz w:val="32"/>
          <w:szCs w:val="32"/>
          <w:lang w:eastAsia="zh-CN"/>
        </w:rPr>
        <w:t>其他行政事业单位医疗支出</w:t>
      </w:r>
      <w:r>
        <w:rPr>
          <w:rStyle w:val="20"/>
          <w:rFonts w:ascii="仿宋_GB2312" w:eastAsia="仿宋_GB2312" w:hint="eastAsia"/>
          <w:b w:val="0"/>
          <w:bCs w:val="0"/>
          <w:color w:val="000000"/>
          <w:sz w:val="32"/>
          <w:szCs w:val="32"/>
          <w:lang w:val="en-US" w:eastAsia="zh-CN"/>
        </w:rPr>
        <w:t>99</w:t>
      </w:r>
      <w:r>
        <w:rPr>
          <w:rStyle w:val="20"/>
          <w:rFonts w:ascii="仿宋_GB2312" w:eastAsia="仿宋_GB2312" w:hint="eastAsia"/>
          <w:b w:val="0"/>
          <w:bCs w:val="0"/>
          <w:color w:val="000000"/>
          <w:sz w:val="32"/>
          <w:szCs w:val="32"/>
        </w:rPr>
        <w:t>（项）</w:t>
      </w:r>
      <w:r>
        <w:rPr>
          <w:rStyle w:val="20"/>
          <w:rFonts w:ascii="仿宋_GB2312" w:eastAsia="仿宋_GB2312" w:hint="eastAsia"/>
          <w:b w:val="0"/>
          <w:bCs w:val="0"/>
          <w:color w:val="000000"/>
          <w:sz w:val="32"/>
          <w:szCs w:val="32"/>
          <w:lang w:eastAsia="zh-CN"/>
        </w:rPr>
        <w:t>：支出决算</w:t>
      </w:r>
      <w:r>
        <w:rPr>
          <w:rStyle w:val="20"/>
          <w:rFonts w:ascii="仿宋_GB2312" w:eastAsia="仿宋_GB2312" w:hint="eastAsia"/>
          <w:b w:val="0"/>
          <w:bCs w:val="0"/>
          <w:color w:val="000000"/>
          <w:sz w:val="32"/>
          <w:szCs w:val="32"/>
          <w:lang w:val="en-US" w:eastAsia="zh-CN"/>
        </w:rPr>
        <w:t>2.58万元，</w:t>
      </w:r>
      <w:r>
        <w:rPr>
          <w:rStyle w:val="20"/>
          <w:rFonts w:ascii="仿宋_GB2312" w:eastAsia="仿宋_GB2312" w:hint="eastAsia"/>
          <w:b w:val="0"/>
          <w:color w:val="000000"/>
          <w:sz w:val="32"/>
          <w:szCs w:val="32"/>
        </w:rPr>
        <w:t>完成预算100%</w:t>
      </w:r>
      <w:r>
        <w:rPr>
          <w:rStyle w:val="20"/>
          <w:rFonts w:ascii="仿宋_GB2312" w:eastAsia="仿宋_GB2312" w:hint="eastAsia"/>
          <w:b w:val="0"/>
          <w:color w:val="000000"/>
          <w:sz w:val="32"/>
          <w:szCs w:val="32"/>
          <w:lang w:val="en-US" w:eastAsia="zh-CN"/>
        </w:rPr>
        <w:t>；</w:t>
      </w:r>
      <w:r>
        <w:rPr>
          <w:rStyle w:val="20"/>
          <w:rFonts w:ascii="仿宋_GB2312" w:eastAsia="仿宋_GB2312" w:hint="eastAsia"/>
          <w:b w:val="0"/>
          <w:color w:val="000000"/>
          <w:sz w:val="32"/>
          <w:szCs w:val="32"/>
        </w:rPr>
        <w:t>决算数</w:t>
      </w:r>
      <w:r>
        <w:rPr>
          <w:rStyle w:val="20"/>
          <w:rFonts w:ascii="仿宋_GB2312" w:eastAsia="仿宋_GB2312" w:hint="eastAsia"/>
          <w:b w:val="0"/>
          <w:color w:val="000000"/>
          <w:sz w:val="32"/>
          <w:szCs w:val="32"/>
          <w:lang w:eastAsia="zh-CN"/>
        </w:rPr>
        <w:t>大</w:t>
      </w:r>
      <w:r>
        <w:rPr>
          <w:rStyle w:val="20"/>
          <w:rFonts w:ascii="仿宋_GB2312" w:eastAsia="仿宋_GB2312" w:hint="eastAsia"/>
          <w:b w:val="0"/>
          <w:color w:val="000000"/>
          <w:sz w:val="32"/>
          <w:szCs w:val="32"/>
        </w:rPr>
        <w:t>于预算数的主要原因是</w:t>
      </w:r>
      <w:r>
        <w:rPr>
          <w:rStyle w:val="20"/>
          <w:rFonts w:ascii="仿宋_GB2312" w:eastAsia="仿宋_GB2312" w:hint="eastAsia"/>
          <w:b w:val="0"/>
          <w:color w:val="000000"/>
          <w:sz w:val="32"/>
          <w:szCs w:val="32"/>
          <w:lang w:val="en-US" w:eastAsia="zh-CN"/>
        </w:rPr>
        <w:t>2022</w:t>
      </w:r>
      <w:r>
        <w:rPr>
          <w:rStyle w:val="20"/>
          <w:rFonts w:ascii="仿宋_GB2312" w:eastAsia="仿宋_GB2312" w:hint="eastAsia"/>
          <w:b w:val="0"/>
          <w:color w:val="000000"/>
          <w:sz w:val="32"/>
          <w:szCs w:val="32"/>
        </w:rPr>
        <w:t>年</w:t>
      </w:r>
      <w:r>
        <w:rPr>
          <w:rStyle w:val="20"/>
          <w:rFonts w:ascii="仿宋_GB2312" w:eastAsia="仿宋_GB2312" w:hint="eastAsia"/>
          <w:b w:val="0"/>
          <w:color w:val="000000"/>
          <w:sz w:val="32"/>
          <w:szCs w:val="32"/>
          <w:lang w:val="en-US" w:eastAsia="zh-CN"/>
        </w:rPr>
        <w:t>调资、正常晋升和职务变动</w:t>
      </w:r>
      <w:r>
        <w:rPr>
          <w:rStyle w:val="20"/>
          <w:rFonts w:ascii="仿宋_GB2312" w:eastAsia="仿宋_GB2312" w:hint="eastAsia"/>
          <w:b w:val="0"/>
          <w:color w:val="000000"/>
          <w:sz w:val="32"/>
          <w:szCs w:val="32"/>
        </w:rPr>
        <w:t>。</w:t>
      </w:r>
    </w:p>
    <w:p>
      <w:pPr>
        <w:spacing w:line="600" w:lineRule="exact"/>
        <w:ind w:firstLineChars="200" w:firstLine="640"/>
        <w:rPr>
          <w:rStyle w:val="20"/>
          <w:rFonts w:ascii="仿宋_GB2312" w:eastAsia="仿宋_GB2312" w:hint="eastAsia"/>
          <w:b w:val="0"/>
          <w:color w:val="000000"/>
          <w:sz w:val="32"/>
          <w:szCs w:val="32"/>
        </w:rPr>
      </w:pPr>
      <w:r>
        <w:rPr>
          <w:rFonts w:ascii="仿宋_GB2312" w:eastAsia="仿宋_GB2312" w:hint="eastAsia"/>
          <w:b w:val="0"/>
          <w:bCs w:val="0"/>
          <w:color w:val="000000"/>
          <w:sz w:val="32"/>
          <w:szCs w:val="32"/>
          <w:lang w:val="en-US" w:eastAsia="zh-CN"/>
        </w:rPr>
        <w:t>4）</w:t>
      </w:r>
      <w:r>
        <w:rPr>
          <w:rFonts w:ascii="仿宋_GB2312" w:eastAsia="仿宋_GB2312" w:hint="eastAsia"/>
          <w:b w:val="0"/>
          <w:bCs w:val="0"/>
          <w:color w:val="000000"/>
          <w:sz w:val="32"/>
          <w:szCs w:val="32"/>
        </w:rPr>
        <w:t>住房保障支出</w:t>
      </w:r>
      <w:r>
        <w:rPr>
          <w:rFonts w:hint="eastAsia"/>
          <w:b w:val="0"/>
          <w:bCs w:val="0"/>
        </w:rPr>
        <w:t xml:space="preserve"> </w:t>
      </w:r>
      <w:r>
        <w:rPr>
          <w:rFonts w:ascii="仿宋_GB2312" w:eastAsia="仿宋_GB2312" w:hint="eastAsia"/>
          <w:b w:val="0"/>
          <w:bCs w:val="0"/>
          <w:color w:val="000000"/>
          <w:sz w:val="32"/>
          <w:szCs w:val="32"/>
        </w:rPr>
        <w:t>221（类）住房改革支出02（款）住房公积金01（项）：</w:t>
      </w:r>
      <w:r>
        <w:rPr>
          <w:rFonts w:ascii="仿宋_GB2312" w:eastAsia="仿宋_GB2312" w:hint="eastAsia"/>
          <w:color w:val="000000"/>
          <w:sz w:val="32"/>
          <w:szCs w:val="32"/>
        </w:rPr>
        <w:t>支出决算为</w:t>
      </w:r>
      <w:r>
        <w:rPr>
          <w:rFonts w:ascii="仿宋_GB2312" w:eastAsia="仿宋_GB2312" w:hint="eastAsia"/>
          <w:color w:val="000000"/>
          <w:sz w:val="32"/>
          <w:szCs w:val="32"/>
          <w:lang w:val="en-US" w:eastAsia="zh-CN"/>
        </w:rPr>
        <w:t>18.98</w:t>
      </w:r>
      <w:r>
        <w:rPr>
          <w:rFonts w:ascii="仿宋_GB2312" w:eastAsia="仿宋_GB2312" w:hint="eastAsia"/>
          <w:color w:val="000000"/>
          <w:sz w:val="32"/>
          <w:szCs w:val="32"/>
        </w:rPr>
        <w:t>万元，</w:t>
      </w:r>
      <w:r>
        <w:rPr>
          <w:rStyle w:val="20"/>
          <w:rFonts w:ascii="仿宋_GB2312" w:eastAsia="仿宋_GB2312" w:hint="eastAsia"/>
          <w:b w:val="0"/>
          <w:color w:val="000000"/>
          <w:sz w:val="32"/>
          <w:szCs w:val="32"/>
        </w:rPr>
        <w:t>决算数</w:t>
      </w:r>
      <w:r>
        <w:rPr>
          <w:rStyle w:val="20"/>
          <w:rFonts w:ascii="仿宋_GB2312" w:eastAsia="仿宋_GB2312" w:hint="eastAsia"/>
          <w:b w:val="0"/>
          <w:color w:val="000000"/>
          <w:sz w:val="32"/>
          <w:szCs w:val="32"/>
          <w:lang w:eastAsia="zh-CN"/>
        </w:rPr>
        <w:t>大</w:t>
      </w:r>
      <w:r>
        <w:rPr>
          <w:rStyle w:val="20"/>
          <w:rFonts w:ascii="仿宋_GB2312" w:eastAsia="仿宋_GB2312" w:hint="eastAsia"/>
          <w:b w:val="0"/>
          <w:color w:val="000000"/>
          <w:sz w:val="32"/>
          <w:szCs w:val="32"/>
        </w:rPr>
        <w:t>于预算数的主要原因是20</w:t>
      </w:r>
      <w:r>
        <w:rPr>
          <w:rStyle w:val="20"/>
          <w:rFonts w:ascii="仿宋_GB2312" w:eastAsia="仿宋_GB2312" w:hint="eastAsia"/>
          <w:b w:val="0"/>
          <w:color w:val="000000"/>
          <w:sz w:val="32"/>
          <w:szCs w:val="32"/>
          <w:lang w:val="en-US" w:eastAsia="zh-CN"/>
        </w:rPr>
        <w:t>22</w:t>
      </w:r>
      <w:r>
        <w:rPr>
          <w:rStyle w:val="20"/>
          <w:rFonts w:ascii="仿宋_GB2312" w:eastAsia="仿宋_GB2312" w:hint="eastAsia"/>
          <w:b w:val="0"/>
          <w:color w:val="000000"/>
          <w:sz w:val="32"/>
          <w:szCs w:val="32"/>
        </w:rPr>
        <w:t>年</w:t>
      </w:r>
      <w:r>
        <w:rPr>
          <w:rStyle w:val="20"/>
          <w:rFonts w:ascii="仿宋_GB2312" w:eastAsia="仿宋_GB2312" w:hint="eastAsia"/>
          <w:b w:val="0"/>
          <w:color w:val="000000"/>
          <w:sz w:val="32"/>
          <w:szCs w:val="32"/>
          <w:lang w:val="en-US" w:eastAsia="zh-CN"/>
        </w:rPr>
        <w:t>6月调整住房公积金基数</w:t>
      </w:r>
      <w:r>
        <w:rPr>
          <w:rStyle w:val="20"/>
          <w:rFonts w:ascii="仿宋_GB2312" w:eastAsia="仿宋_GB2312" w:hint="eastAsia"/>
          <w:b w:val="0"/>
          <w:color w:val="000000"/>
          <w:sz w:val="32"/>
          <w:szCs w:val="32"/>
        </w:rPr>
        <w:t>。</w:t>
      </w:r>
    </w:p>
    <w:p>
      <w:pPr>
        <w:spacing w:line="600" w:lineRule="exact"/>
        <w:ind w:firstLineChars="200" w:firstLine="640"/>
        <w:rPr>
          <w:rStyle w:val="20"/>
          <w:rFonts w:ascii="仿宋_GB2312" w:eastAsia="仿宋_GB2312" w:hint="eastAsia"/>
          <w:b w:val="0"/>
          <w:color w:val="000000"/>
          <w:sz w:val="32"/>
          <w:szCs w:val="32"/>
          <w:lang w:val="en-US" w:eastAsia="zh-CN"/>
        </w:rPr>
      </w:pPr>
      <w:r>
        <w:rPr>
          <w:rStyle w:val="20"/>
          <w:rFonts w:ascii="仿宋_GB2312" w:eastAsia="仿宋_GB2312" w:hint="eastAsia"/>
          <w:b w:val="0"/>
          <w:color w:val="000000"/>
          <w:sz w:val="32"/>
          <w:szCs w:val="32"/>
          <w:lang w:val="en-US" w:eastAsia="zh-CN"/>
        </w:rPr>
        <w:t>5）</w:t>
      </w:r>
      <w:r>
        <w:rPr>
          <w:rFonts w:ascii="仿宋_GB2312" w:eastAsia="仿宋_GB2312" w:hint="eastAsia"/>
          <w:color w:val="000000"/>
          <w:sz w:val="32"/>
          <w:szCs w:val="32"/>
          <w:lang w:val="en-US" w:eastAsia="zh-CN"/>
        </w:rPr>
        <w:t>教育支出205（类）进修及培训08（款）培训支出03（项）：支出决算数0.03万元，</w:t>
      </w:r>
      <w:r>
        <w:rPr>
          <w:rStyle w:val="20"/>
          <w:rFonts w:ascii="仿宋_GB2312" w:eastAsia="仿宋_GB2312" w:hint="eastAsia"/>
          <w:b w:val="0"/>
          <w:color w:val="000000"/>
          <w:sz w:val="32"/>
          <w:szCs w:val="32"/>
        </w:rPr>
        <w:t>完成预算</w:t>
      </w:r>
      <w:r>
        <w:rPr>
          <w:rStyle w:val="20"/>
          <w:rFonts w:ascii="仿宋_GB2312" w:eastAsia="仿宋_GB2312" w:hint="eastAsia"/>
          <w:b w:val="0"/>
          <w:color w:val="000000"/>
          <w:sz w:val="32"/>
          <w:szCs w:val="32"/>
          <w:lang w:val="en-US" w:eastAsia="zh-CN"/>
        </w:rPr>
        <w:t>10</w:t>
      </w:r>
      <w:r>
        <w:rPr>
          <w:rStyle w:val="20"/>
          <w:rFonts w:ascii="仿宋_GB2312" w:eastAsia="仿宋_GB2312" w:hint="eastAsia"/>
          <w:b w:val="0"/>
          <w:color w:val="000000"/>
          <w:sz w:val="32"/>
          <w:szCs w:val="32"/>
        </w:rPr>
        <w:t>%</w:t>
      </w:r>
      <w:r>
        <w:rPr>
          <w:rStyle w:val="20"/>
          <w:rFonts w:ascii="仿宋_GB2312" w:eastAsia="仿宋_GB2312" w:hint="eastAsia"/>
          <w:b w:val="0"/>
          <w:color w:val="000000"/>
          <w:sz w:val="32"/>
          <w:szCs w:val="32"/>
          <w:lang w:val="en-US" w:eastAsia="zh-CN"/>
        </w:rPr>
        <w:t>；</w:t>
      </w:r>
      <w:r>
        <w:rPr>
          <w:rStyle w:val="20"/>
          <w:rFonts w:ascii="仿宋_GB2312" w:eastAsia="仿宋_GB2312" w:hint="eastAsia"/>
          <w:b w:val="0"/>
          <w:color w:val="000000"/>
          <w:sz w:val="32"/>
          <w:szCs w:val="32"/>
        </w:rPr>
        <w:t>决算数</w:t>
      </w:r>
      <w:r>
        <w:rPr>
          <w:rStyle w:val="20"/>
          <w:rFonts w:ascii="仿宋_GB2312" w:eastAsia="仿宋_GB2312" w:hint="eastAsia"/>
          <w:b w:val="0"/>
          <w:color w:val="000000"/>
          <w:sz w:val="32"/>
          <w:szCs w:val="32"/>
          <w:lang w:eastAsia="zh-CN"/>
        </w:rPr>
        <w:t>小</w:t>
      </w:r>
      <w:r>
        <w:rPr>
          <w:rStyle w:val="20"/>
          <w:rFonts w:ascii="仿宋_GB2312" w:eastAsia="仿宋_GB2312" w:hint="eastAsia"/>
          <w:b w:val="0"/>
          <w:color w:val="000000"/>
          <w:sz w:val="32"/>
          <w:szCs w:val="32"/>
        </w:rPr>
        <w:t>于预算数的主要原因是</w:t>
      </w:r>
      <w:r>
        <w:rPr>
          <w:rStyle w:val="20"/>
          <w:rFonts w:ascii="仿宋_GB2312" w:eastAsia="仿宋_GB2312" w:hint="eastAsia"/>
          <w:b w:val="0"/>
          <w:color w:val="000000"/>
          <w:sz w:val="32"/>
          <w:szCs w:val="32"/>
          <w:lang w:val="en-US" w:eastAsia="zh-CN"/>
        </w:rPr>
        <w:t>2022</w:t>
      </w:r>
      <w:r>
        <w:rPr>
          <w:rStyle w:val="20"/>
          <w:rFonts w:ascii="仿宋_GB2312" w:eastAsia="仿宋_GB2312" w:hint="eastAsia"/>
          <w:b w:val="0"/>
          <w:color w:val="000000"/>
          <w:sz w:val="32"/>
          <w:szCs w:val="32"/>
        </w:rPr>
        <w:t>年</w:t>
      </w:r>
      <w:r>
        <w:rPr>
          <w:rStyle w:val="20"/>
          <w:rFonts w:ascii="仿宋_GB2312" w:eastAsia="仿宋_GB2312" w:hint="eastAsia"/>
          <w:b w:val="0"/>
          <w:color w:val="000000"/>
          <w:sz w:val="32"/>
          <w:szCs w:val="32"/>
          <w:lang w:val="en-US" w:eastAsia="zh-CN"/>
        </w:rPr>
        <w:t>因疫情减少培训</w:t>
      </w:r>
      <w:r>
        <w:rPr>
          <w:rStyle w:val="20"/>
          <w:rFonts w:ascii="仿宋_GB2312" w:eastAsia="仿宋_GB2312" w:hint="eastAsia"/>
          <w:b w:val="0"/>
          <w:color w:val="000000"/>
          <w:sz w:val="32"/>
          <w:szCs w:val="32"/>
        </w:rPr>
        <w:t>。</w:t>
      </w:r>
    </w:p>
    <w:p>
      <w:pPr>
        <w:spacing w:line="600" w:lineRule="exact"/>
        <w:jc w:val="left"/>
        <w:rPr>
          <w:rFonts w:ascii="黑体" w:eastAsia="黑体" w:hint="eastAsia"/>
          <w:color w:val="000000"/>
          <w:sz w:val="32"/>
          <w:szCs w:val="32"/>
        </w:rPr>
      </w:pPr>
      <w:r>
        <w:rPr>
          <w:rFonts w:ascii="黑体" w:eastAsia="黑体" w:hint="eastAsia"/>
          <w:color w:val="000000"/>
          <w:sz w:val="32"/>
          <w:szCs w:val="32"/>
          <w:lang w:val="en-US" w:eastAsia="zh-CN"/>
        </w:rPr>
        <w:t>（三）</w:t>
      </w:r>
      <w:r>
        <w:rPr>
          <w:rFonts w:ascii="黑体" w:eastAsia="黑体" w:hint="eastAsia"/>
          <w:color w:val="000000"/>
          <w:sz w:val="32"/>
          <w:szCs w:val="32"/>
        </w:rPr>
        <w:t>、一般公共预算财政拨款基本支出决算情况说明</w:t>
      </w:r>
    </w:p>
    <w:p>
      <w:pPr>
        <w:spacing w:line="600" w:lineRule="exact"/>
        <w:ind w:firstLine="645"/>
        <w:rPr>
          <w:rFonts w:ascii="仿宋_GB2312" w:eastAsia="仿宋_GB2312" w:hint="eastAsia"/>
          <w:color w:val="000000"/>
          <w:sz w:val="32"/>
          <w:szCs w:val="32"/>
        </w:rPr>
      </w:pPr>
      <w:r>
        <w:rPr>
          <w:rFonts w:ascii="仿宋_GB2312" w:eastAsia="仿宋_GB2312" w:hint="eastAsia"/>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年度一般公共预算财政拨款基本支出</w:t>
      </w:r>
      <w:r>
        <w:rPr>
          <w:rFonts w:ascii="仿宋_GB2312" w:eastAsia="仿宋_GB2312" w:cs="仿宋_GB2312" w:hint="eastAsia"/>
          <w:sz w:val="32"/>
          <w:szCs w:val="32"/>
          <w:lang w:val="en-US" w:eastAsia="zh-CN"/>
        </w:rPr>
        <w:t>290.6</w:t>
      </w:r>
      <w:r>
        <w:rPr>
          <w:rFonts w:ascii="仿宋_GB2312" w:eastAsia="仿宋_GB2312" w:cs="仿宋_GB2312"/>
          <w:sz w:val="32"/>
          <w:szCs w:val="32"/>
          <w:lang w:eastAsia="zh-CN"/>
        </w:rPr>
        <w:t>5</w:t>
      </w:r>
      <w:r>
        <w:rPr>
          <w:rFonts w:ascii="仿宋_GB2312" w:eastAsia="仿宋_GB2312" w:hint="eastAsia"/>
          <w:color w:val="000000"/>
          <w:sz w:val="32"/>
          <w:szCs w:val="32"/>
        </w:rPr>
        <w:t>万元，其中：</w:t>
      </w:r>
    </w:p>
    <w:p>
      <w:pPr>
        <w:spacing w:line="600" w:lineRule="exact"/>
        <w:ind w:firstLine="645"/>
        <w:rPr>
          <w:rFonts w:ascii="仿宋_GB2312" w:eastAsia="仿宋_GB2312" w:cs="仿宋_GB2312" w:hint="eastAsia"/>
          <w:sz w:val="32"/>
          <w:szCs w:val="32"/>
          <w:lang w:val="en-US" w:eastAsia="zh-CN"/>
        </w:rPr>
      </w:pPr>
      <w:r>
        <w:rPr>
          <w:rFonts w:ascii="仿宋_GB2312" w:eastAsia="仿宋_GB2312" w:hint="eastAsia"/>
          <w:color w:val="000000"/>
          <w:sz w:val="32"/>
          <w:szCs w:val="32"/>
        </w:rPr>
        <w:t>人员经费</w:t>
      </w:r>
      <w:r>
        <w:rPr>
          <w:rFonts w:ascii="仿宋_GB2312" w:eastAsia="仿宋_GB2312" w:cs="仿宋_GB2312" w:hint="eastAsia"/>
          <w:color w:val="auto"/>
          <w:sz w:val="32"/>
          <w:szCs w:val="32"/>
          <w:lang w:val="en-US" w:eastAsia="zh-CN"/>
        </w:rPr>
        <w:t>273.5</w:t>
      </w:r>
      <w:r>
        <w:rPr>
          <w:rFonts w:ascii="仿宋_GB2312" w:eastAsia="仿宋_GB2312" w:hint="eastAsia"/>
          <w:color w:val="auto"/>
          <w:sz w:val="32"/>
          <w:szCs w:val="32"/>
        </w:rPr>
        <w:t>万</w:t>
      </w:r>
      <w:r>
        <w:rPr>
          <w:rFonts w:ascii="仿宋_GB2312" w:eastAsia="仿宋_GB2312" w:hint="eastAsia"/>
          <w:color w:val="000000"/>
          <w:sz w:val="32"/>
          <w:szCs w:val="32"/>
        </w:rPr>
        <w:t>元，主要包括：基本工资</w:t>
      </w:r>
      <w:r>
        <w:rPr>
          <w:rFonts w:ascii="仿宋_GB2312" w:eastAsia="仿宋_GB2312" w:cs="仿宋_GB2312" w:hint="eastAsia"/>
          <w:sz w:val="32"/>
          <w:szCs w:val="32"/>
          <w:lang w:val="en-US" w:eastAsia="zh-CN"/>
        </w:rPr>
        <w:t>55.62</w:t>
      </w:r>
      <w:r>
        <w:rPr>
          <w:rFonts w:ascii="仿宋_GB2312" w:eastAsia="仿宋_GB2312" w:hint="eastAsia"/>
          <w:color w:val="000000"/>
          <w:sz w:val="32"/>
          <w:szCs w:val="32"/>
        </w:rPr>
        <w:t>万元、津贴补贴</w:t>
      </w:r>
      <w:r>
        <w:rPr>
          <w:rFonts w:ascii="仿宋_GB2312" w:eastAsia="仿宋_GB2312" w:cs="仿宋_GB2312" w:hint="eastAsia"/>
          <w:sz w:val="32"/>
          <w:szCs w:val="32"/>
          <w:lang w:val="en-US" w:eastAsia="zh-CN"/>
        </w:rPr>
        <w:t>23.52</w:t>
      </w:r>
      <w:r>
        <w:rPr>
          <w:rFonts w:ascii="仿宋_GB2312" w:eastAsia="仿宋_GB2312" w:hint="eastAsia"/>
          <w:color w:val="000000"/>
          <w:sz w:val="32"/>
          <w:szCs w:val="32"/>
        </w:rPr>
        <w:t>万元、奖金</w:t>
      </w:r>
      <w:r>
        <w:rPr>
          <w:rFonts w:ascii="仿宋_GB2312" w:eastAsia="仿宋_GB2312" w:cs="仿宋_GB2312" w:hint="eastAsia"/>
          <w:sz w:val="32"/>
          <w:szCs w:val="32"/>
          <w:lang w:val="en-US" w:eastAsia="zh-CN"/>
        </w:rPr>
        <w:t>52.44</w:t>
      </w:r>
      <w:r>
        <w:rPr>
          <w:rFonts w:ascii="仿宋_GB2312" w:eastAsia="仿宋_GB2312" w:hint="eastAsia"/>
          <w:color w:val="000000"/>
          <w:sz w:val="32"/>
          <w:szCs w:val="32"/>
        </w:rPr>
        <w:t>万元、绩效工资</w:t>
      </w:r>
      <w:r>
        <w:rPr>
          <w:rFonts w:ascii="仿宋_GB2312" w:eastAsia="仿宋_GB2312" w:hint="eastAsia"/>
          <w:color w:val="000000"/>
          <w:sz w:val="32"/>
          <w:szCs w:val="32"/>
          <w:lang w:val="en-US" w:eastAsia="zh-CN"/>
        </w:rPr>
        <w:t>41.89万元</w:t>
      </w:r>
      <w:r>
        <w:rPr>
          <w:rFonts w:ascii="仿宋_GB2312" w:eastAsia="仿宋_GB2312" w:hint="eastAsia"/>
          <w:color w:val="000000"/>
          <w:sz w:val="32"/>
          <w:szCs w:val="32"/>
        </w:rPr>
        <w:t>、机关事业单位基本养老保险缴费</w:t>
      </w:r>
      <w:r>
        <w:rPr>
          <w:rFonts w:ascii="仿宋_GB2312" w:eastAsia="仿宋_GB2312" w:cs="仿宋_GB2312" w:hint="eastAsia"/>
          <w:sz w:val="32"/>
          <w:szCs w:val="32"/>
          <w:lang w:val="en-US" w:eastAsia="zh-CN"/>
        </w:rPr>
        <w:t>21.82</w:t>
      </w:r>
      <w:r>
        <w:rPr>
          <w:rFonts w:ascii="仿宋_GB2312" w:eastAsia="仿宋_GB2312" w:hint="eastAsia"/>
          <w:color w:val="000000"/>
          <w:sz w:val="32"/>
          <w:szCs w:val="32"/>
        </w:rPr>
        <w:t>万元、职业年金缴费</w:t>
      </w:r>
      <w:r>
        <w:rPr>
          <w:rFonts w:ascii="仿宋_GB2312" w:eastAsia="仿宋_GB2312" w:cs="仿宋_GB2312" w:hint="eastAsia"/>
          <w:sz w:val="32"/>
          <w:szCs w:val="32"/>
          <w:lang w:val="en-US" w:eastAsia="zh-CN"/>
        </w:rPr>
        <w:t>10.91</w:t>
      </w:r>
      <w:r>
        <w:rPr>
          <w:rFonts w:ascii="仿宋_GB2312" w:eastAsia="仿宋_GB2312" w:hint="eastAsia"/>
          <w:color w:val="000000"/>
          <w:sz w:val="32"/>
          <w:szCs w:val="32"/>
        </w:rPr>
        <w:t>万元、其他社会保障缴费</w:t>
      </w:r>
      <w:r>
        <w:rPr>
          <w:rFonts w:ascii="仿宋_GB2312" w:eastAsia="仿宋_GB2312" w:cs="仿宋_GB2312" w:hint="eastAsia"/>
          <w:sz w:val="32"/>
          <w:szCs w:val="32"/>
          <w:lang w:val="en-US" w:eastAsia="zh-CN"/>
        </w:rPr>
        <w:t>2.66</w:t>
      </w:r>
      <w:r>
        <w:rPr>
          <w:rFonts w:ascii="仿宋_GB2312" w:eastAsia="仿宋_GB2312" w:hint="eastAsia"/>
          <w:color w:val="000000"/>
          <w:sz w:val="32"/>
          <w:szCs w:val="32"/>
        </w:rPr>
        <w:t>万元、奖励金</w:t>
      </w:r>
      <w:r>
        <w:rPr>
          <w:rFonts w:ascii="仿宋_GB2312" w:eastAsia="仿宋_GB2312" w:hint="eastAsia"/>
          <w:color w:val="000000"/>
          <w:sz w:val="32"/>
          <w:szCs w:val="32"/>
          <w:lang w:val="en-US" w:eastAsia="zh-CN"/>
        </w:rPr>
        <w:t>33.16万元</w:t>
      </w:r>
      <w:r>
        <w:rPr>
          <w:rFonts w:ascii="仿宋_GB2312" w:eastAsia="仿宋_GB2312" w:hint="eastAsia"/>
          <w:color w:val="000000"/>
          <w:sz w:val="32"/>
          <w:szCs w:val="32"/>
        </w:rPr>
        <w:t>、住房公积金</w:t>
      </w:r>
      <w:r>
        <w:rPr>
          <w:rFonts w:ascii="仿宋_GB2312" w:eastAsia="仿宋_GB2312" w:cs="仿宋_GB2312" w:hint="eastAsia"/>
          <w:sz w:val="32"/>
          <w:szCs w:val="32"/>
          <w:lang w:val="en-US" w:eastAsia="zh-CN"/>
        </w:rPr>
        <w:t>18.97万元，事业单位医疗保险9.92万元，其他行政事业单位医疗保险2.59万元。</w:t>
      </w:r>
    </w:p>
    <w:p>
      <w:pPr>
        <w:spacing w:line="600" w:lineRule="exact"/>
        <w:ind w:firstLine="645"/>
        <w:rPr>
          <w:rFonts w:ascii="仿宋_GB2312" w:eastAsia="仿宋_GB2312" w:hint="eastAsia"/>
          <w:color w:val="000000"/>
          <w:sz w:val="32"/>
          <w:szCs w:val="32"/>
        </w:rPr>
      </w:pPr>
      <w:r>
        <w:rPr>
          <w:rFonts w:ascii="仿宋_GB2312" w:eastAsia="仿宋_GB2312" w:hint="eastAsia"/>
          <w:color w:val="000000"/>
          <w:sz w:val="32"/>
          <w:szCs w:val="32"/>
        </w:rPr>
        <w:t>公用经费</w:t>
      </w:r>
      <w:r>
        <w:rPr>
          <w:rFonts w:ascii="仿宋_GB2312" w:eastAsia="仿宋_GB2312" w:cs="仿宋_GB2312" w:hint="eastAsia"/>
          <w:sz w:val="32"/>
          <w:szCs w:val="32"/>
          <w:lang w:val="en-US" w:eastAsia="zh-CN"/>
        </w:rPr>
        <w:t>17.15</w:t>
      </w:r>
      <w:r>
        <w:rPr>
          <w:rFonts w:ascii="仿宋_GB2312" w:eastAsia="仿宋_GB2312" w:hint="eastAsia"/>
          <w:color w:val="000000"/>
          <w:sz w:val="32"/>
          <w:szCs w:val="32"/>
        </w:rPr>
        <w:t>万元，主要包括：办公费</w:t>
      </w:r>
      <w:r>
        <w:rPr>
          <w:rFonts w:ascii="仿宋_GB2312" w:eastAsia="仿宋_GB2312" w:cs="仿宋_GB2312" w:hint="eastAsia"/>
          <w:sz w:val="32"/>
          <w:szCs w:val="32"/>
          <w:lang w:val="en-US" w:eastAsia="zh-CN"/>
        </w:rPr>
        <w:t>3.78</w:t>
      </w:r>
      <w:r>
        <w:rPr>
          <w:rFonts w:ascii="仿宋_GB2312" w:eastAsia="仿宋_GB2312" w:hint="eastAsia"/>
          <w:color w:val="000000"/>
          <w:sz w:val="32"/>
          <w:szCs w:val="32"/>
        </w:rPr>
        <w:t>万元、印刷费</w:t>
      </w:r>
      <w:r>
        <w:rPr>
          <w:rFonts w:ascii="仿宋_GB2312" w:eastAsia="仿宋_GB2312" w:hint="eastAsia"/>
          <w:color w:val="000000"/>
          <w:sz w:val="32"/>
          <w:szCs w:val="32"/>
          <w:lang w:val="en-US" w:eastAsia="zh-CN"/>
        </w:rPr>
        <w:t>1.53万元</w:t>
      </w:r>
      <w:r>
        <w:rPr>
          <w:rFonts w:ascii="仿宋_GB2312" w:eastAsia="仿宋_GB2312" w:hint="eastAsia"/>
          <w:color w:val="000000"/>
          <w:sz w:val="32"/>
          <w:szCs w:val="32"/>
        </w:rPr>
        <w:t>、电费</w:t>
      </w:r>
      <w:r>
        <w:rPr>
          <w:rFonts w:ascii="仿宋_GB2312" w:eastAsia="仿宋_GB2312" w:hint="eastAsia"/>
          <w:color w:val="000000"/>
          <w:sz w:val="32"/>
          <w:szCs w:val="32"/>
          <w:lang w:val="en-US" w:eastAsia="zh-CN"/>
        </w:rPr>
        <w:t>0.5</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水费</w:t>
      </w:r>
      <w:r>
        <w:rPr>
          <w:rFonts w:ascii="仿宋_GB2312" w:eastAsia="仿宋_GB2312" w:hint="eastAsia"/>
          <w:color w:val="000000"/>
          <w:sz w:val="32"/>
          <w:szCs w:val="32"/>
          <w:lang w:val="en-US" w:eastAsia="zh-CN"/>
        </w:rPr>
        <w:t>0.03万元、</w:t>
      </w:r>
      <w:r>
        <w:rPr>
          <w:rFonts w:ascii="仿宋_GB2312" w:eastAsia="仿宋_GB2312" w:hint="eastAsia"/>
          <w:color w:val="000000"/>
          <w:sz w:val="32"/>
          <w:szCs w:val="32"/>
        </w:rPr>
        <w:t>邮电费</w:t>
      </w:r>
      <w:r>
        <w:rPr>
          <w:rFonts w:ascii="仿宋_GB2312" w:eastAsia="仿宋_GB2312" w:hint="eastAsia"/>
          <w:color w:val="000000"/>
          <w:sz w:val="32"/>
          <w:szCs w:val="32"/>
          <w:lang w:val="en-US" w:eastAsia="zh-CN"/>
        </w:rPr>
        <w:t>0.62</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万元、劳务费0.</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维修费</w:t>
      </w:r>
      <w:r>
        <w:rPr>
          <w:rFonts w:ascii="仿宋_GB2312" w:eastAsia="仿宋_GB2312" w:hint="eastAsia"/>
          <w:color w:val="000000"/>
          <w:sz w:val="32"/>
          <w:szCs w:val="32"/>
          <w:lang w:val="en-US" w:eastAsia="zh-CN"/>
        </w:rPr>
        <w:t>0.3万元、</w:t>
      </w:r>
      <w:r>
        <w:rPr>
          <w:rFonts w:ascii="仿宋_GB2312" w:eastAsia="仿宋_GB2312" w:hint="eastAsia"/>
          <w:color w:val="000000"/>
          <w:sz w:val="32"/>
          <w:szCs w:val="32"/>
        </w:rPr>
        <w:t>其他交通费</w:t>
      </w:r>
      <w:r>
        <w:rPr>
          <w:rFonts w:ascii="仿宋_GB2312" w:eastAsia="仿宋_GB2312" w:hint="eastAsia"/>
          <w:color w:val="000000"/>
          <w:sz w:val="32"/>
          <w:szCs w:val="32"/>
          <w:lang w:val="en-US" w:eastAsia="zh-CN"/>
        </w:rPr>
        <w:t>5.19</w:t>
      </w:r>
      <w:r>
        <w:rPr>
          <w:rFonts w:ascii="仿宋_GB2312" w:eastAsia="仿宋_GB2312" w:hint="eastAsia"/>
          <w:color w:val="000000"/>
          <w:sz w:val="32"/>
          <w:szCs w:val="32"/>
        </w:rPr>
        <w:t>万元。</w:t>
      </w:r>
    </w:p>
    <w:p>
      <w:pPr>
        <w:spacing w:line="600" w:lineRule="exact"/>
        <w:jc w:val="left"/>
        <w:rPr>
          <w:rFonts w:ascii="黑体" w:eastAsia="黑体" w:hint="eastAsia"/>
          <w:color w:val="000000"/>
          <w:sz w:val="32"/>
          <w:szCs w:val="32"/>
        </w:rPr>
      </w:pPr>
      <w:r>
        <w:rPr>
          <w:rFonts w:ascii="黑体" w:eastAsia="黑体" w:hint="eastAsia"/>
          <w:color w:val="000000"/>
          <w:sz w:val="32"/>
          <w:szCs w:val="32"/>
          <w:lang w:val="en-US" w:eastAsia="zh-CN"/>
        </w:rPr>
        <w:t>（四）</w:t>
      </w:r>
      <w:r>
        <w:rPr>
          <w:rFonts w:ascii="黑体" w:eastAsia="黑体" w:hint="eastAsia"/>
          <w:color w:val="000000"/>
          <w:sz w:val="32"/>
          <w:szCs w:val="32"/>
        </w:rPr>
        <w:t>、一般公共预算财政拨款</w:t>
      </w:r>
      <w:r>
        <w:rPr>
          <w:rFonts w:ascii="黑体" w:eastAsia="黑体" w:hint="eastAsia"/>
          <w:color w:val="000000"/>
          <w:sz w:val="32"/>
          <w:szCs w:val="32"/>
          <w:lang w:eastAsia="zh-CN"/>
        </w:rPr>
        <w:t>项目</w:t>
      </w:r>
      <w:r>
        <w:rPr>
          <w:rFonts w:ascii="黑体" w:eastAsia="黑体" w:hint="eastAsia"/>
          <w:color w:val="000000"/>
          <w:sz w:val="32"/>
          <w:szCs w:val="32"/>
        </w:rPr>
        <w:t>支出决算情况说明</w:t>
      </w:r>
    </w:p>
    <w:p>
      <w:pPr>
        <w:spacing w:line="600" w:lineRule="exact"/>
        <w:ind w:firstLine="645"/>
        <w:rPr>
          <w:rFonts w:ascii="仿宋_GB2312" w:eastAsia="仿宋_GB2312" w:hint="eastAsia"/>
          <w:color w:val="000000"/>
          <w:sz w:val="32"/>
          <w:szCs w:val="32"/>
        </w:rPr>
      </w:pPr>
      <w:r>
        <w:rPr>
          <w:rFonts w:ascii="仿宋_GB2312" w:eastAsia="仿宋_GB2312" w:hint="eastAsia"/>
          <w:color w:val="000000"/>
          <w:sz w:val="32"/>
          <w:szCs w:val="32"/>
        </w:rPr>
        <w:t>公用经费</w:t>
      </w:r>
      <w:r>
        <w:rPr>
          <w:rFonts w:ascii="仿宋_GB2312" w:eastAsia="仿宋_GB2312" w:cs="仿宋_GB2312" w:hint="eastAsia"/>
          <w:sz w:val="32"/>
          <w:szCs w:val="32"/>
          <w:lang w:val="en-US" w:eastAsia="zh-CN"/>
        </w:rPr>
        <w:t>0.03</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，用于</w:t>
      </w:r>
      <w:r>
        <w:rPr>
          <w:rFonts w:ascii="仿宋_GB2312" w:eastAsia="仿宋_GB2312" w:hint="eastAsia"/>
          <w:color w:val="000000"/>
          <w:sz w:val="32"/>
          <w:szCs w:val="32"/>
          <w:lang w:val="en-US" w:eastAsia="zh-CN"/>
        </w:rPr>
        <w:t>2022年培训费支出。</w:t>
      </w:r>
    </w:p>
    <w:p>
      <w:pPr>
        <w:spacing w:line="600" w:lineRule="exact"/>
        <w:rPr>
          <w:rFonts w:ascii="黑体" w:eastAsia="黑体" w:hint="eastAsia"/>
          <w:color w:val="000000"/>
          <w:sz w:val="32"/>
          <w:szCs w:val="32"/>
        </w:rPr>
      </w:pPr>
      <w:r>
        <w:rPr>
          <w:rFonts w:ascii="黑体" w:eastAsia="黑体" w:hint="eastAsia"/>
          <w:color w:val="000000"/>
          <w:sz w:val="32"/>
          <w:szCs w:val="32"/>
          <w:lang w:eastAsia="zh-CN"/>
        </w:rPr>
        <w:t>三</w:t>
      </w:r>
      <w:r>
        <w:rPr>
          <w:rFonts w:ascii="黑体" w:eastAsia="黑体" w:hint="eastAsia"/>
          <w:color w:val="000000"/>
          <w:sz w:val="32"/>
          <w:szCs w:val="32"/>
        </w:rPr>
        <w:t>、“三公”经费财政拨款支出决算情况说明</w:t>
      </w:r>
    </w:p>
    <w:p>
      <w:pPr>
        <w:spacing w:line="600" w:lineRule="exact"/>
        <w:rPr>
          <w:rFonts w:ascii="仿宋_GB2312" w:eastAsia="仿宋_GB2312" w:hint="eastAsia"/>
          <w:b/>
          <w:color w:val="000000"/>
          <w:sz w:val="32"/>
          <w:szCs w:val="32"/>
        </w:rPr>
      </w:pPr>
      <w:r>
        <w:rPr>
          <w:rFonts w:ascii="仿宋_GB2312" w:eastAsia="仿宋_GB2312" w:hint="eastAsia"/>
          <w:b/>
          <w:color w:val="000000"/>
          <w:sz w:val="32"/>
          <w:szCs w:val="32"/>
        </w:rPr>
        <w:t>（一）“三公”经费财政拨款支出决算总体情况说明</w:t>
      </w:r>
    </w:p>
    <w:p>
      <w:pPr>
        <w:spacing w:line="600" w:lineRule="exact"/>
        <w:ind w:firstLine="640"/>
        <w:rPr>
          <w:rFonts w:ascii="仿宋_GB2312" w:eastAsia="仿宋_GB2312" w:hint="eastAsia"/>
          <w:color w:val="000000"/>
          <w:sz w:val="32"/>
          <w:szCs w:val="32"/>
        </w:rPr>
      </w:pPr>
      <w:r>
        <w:rPr>
          <w:rFonts w:ascii="仿宋_GB2312" w:eastAsia="仿宋_GB2312" w:hint="eastAsia"/>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年度“三公”经费财政拨款支出决算为0万元，</w:t>
      </w:r>
      <w:r>
        <w:rPr>
          <w:rFonts w:ascii="仿宋_GB2312" w:eastAsia="仿宋_GB2312" w:hint="eastAsia"/>
          <w:color w:val="000000"/>
          <w:sz w:val="32"/>
          <w:szCs w:val="32"/>
          <w:lang w:eastAsia="zh-CN"/>
        </w:rPr>
        <w:t>与年初预算数一致</w:t>
      </w:r>
      <w:r>
        <w:rPr>
          <w:rFonts w:ascii="仿宋_GB2312" w:eastAsia="仿宋_GB2312" w:hint="eastAsia"/>
          <w:color w:val="000000"/>
          <w:sz w:val="32"/>
          <w:szCs w:val="32"/>
        </w:rPr>
        <w:t>。</w:t>
      </w:r>
    </w:p>
    <w:p>
      <w:pPr>
        <w:spacing w:line="600" w:lineRule="exact"/>
        <w:rPr>
          <w:rFonts w:ascii="仿宋_GB2312" w:eastAsia="仿宋_GB2312" w:hint="eastAsia"/>
          <w:b/>
          <w:color w:val="000000"/>
          <w:sz w:val="32"/>
          <w:szCs w:val="32"/>
        </w:rPr>
      </w:pPr>
      <w:r>
        <w:rPr>
          <w:rFonts w:ascii="仿宋_GB2312" w:eastAsia="仿宋_GB2312" w:hint="eastAsia"/>
          <w:b/>
          <w:color w:val="000000"/>
          <w:sz w:val="32"/>
          <w:szCs w:val="32"/>
        </w:rPr>
        <w:t>（二）“三公”经费财政拨款支出决算具体情况说明</w:t>
      </w:r>
    </w:p>
    <w:p>
      <w:pPr>
        <w:spacing w:line="600" w:lineRule="exact"/>
        <w:ind w:firstLine="640"/>
        <w:rPr>
          <w:rFonts w:ascii="仿宋_GB2312" w:eastAsia="仿宋_GB2312" w:hint="eastAsia"/>
          <w:color w:val="000000"/>
          <w:sz w:val="32"/>
          <w:szCs w:val="32"/>
        </w:rPr>
      </w:pPr>
      <w:r>
        <w:rPr>
          <w:rFonts w:ascii="仿宋_GB2312" w:eastAsia="仿宋_GB2312" w:hint="eastAsia"/>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年度“三公”经费财政拨款支出决算中，因公出国（境）费支出决算0万元，占0%；公务用车购置及运行维护费支出决算0万元，占0%；公务接待费支出决算0万元，占0%。具体情况如下：</w:t>
      </w:r>
    </w:p>
    <w:p>
      <w:pPr>
        <w:spacing w:line="600" w:lineRule="exact"/>
        <w:ind w:firstLine="640"/>
        <w:rPr>
          <w:rFonts w:ascii="仿宋_GB2312" w:eastAsia="仿宋_GB2312" w:hint="eastAsia"/>
          <w:b/>
          <w:color w:val="000000"/>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0万元。全年安排因公出国（境）团组0次，出国（境）0人。因公出国（境）支出决算</w:t>
      </w:r>
      <w:r>
        <w:rPr>
          <w:rFonts w:ascii="仿宋_GB2312" w:eastAsia="仿宋_GB2312" w:hint="eastAsia"/>
          <w:color w:val="000000"/>
          <w:sz w:val="32"/>
          <w:szCs w:val="32"/>
          <w:lang w:eastAsia="zh-CN"/>
        </w:rPr>
        <w:t>与</w:t>
      </w:r>
      <w:r>
        <w:rPr>
          <w:rFonts w:ascii="仿宋_GB2312" w:eastAsia="仿宋_GB2312" w:hint="eastAsia"/>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预算数比较无变动</w:t>
      </w:r>
      <w:r>
        <w:rPr>
          <w:rFonts w:ascii="仿宋_GB2312" w:eastAsia="仿宋_GB2312" w:hint="eastAsia"/>
          <w:color w:val="000000"/>
          <w:sz w:val="32"/>
          <w:szCs w:val="32"/>
        </w:rPr>
        <w:t>。</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2.公务用车购置及运行维护费支出</w:t>
      </w:r>
      <w:r>
        <w:rPr>
          <w:rFonts w:ascii="仿宋_GB2312" w:eastAsia="仿宋_GB2312" w:hint="eastAsia"/>
          <w:color w:val="000000"/>
          <w:sz w:val="32"/>
          <w:szCs w:val="32"/>
        </w:rPr>
        <w:t>0万元。其中：</w:t>
      </w:r>
    </w:p>
    <w:p>
      <w:pPr>
        <w:spacing w:line="600" w:lineRule="exact"/>
        <w:ind w:firstLineChars="200" w:firstLine="640"/>
        <w:rPr>
          <w:rFonts w:ascii="仿宋_GB2312" w:eastAsia="仿宋_GB2312" w:hint="eastAsia"/>
          <w:b/>
          <w:color w:val="000000"/>
          <w:sz w:val="32"/>
          <w:szCs w:val="32"/>
        </w:rPr>
      </w:pP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0万元。全年按规定更新购置公务用车0辆，其中：轿车0辆、金额0万元</w:t>
      </w:r>
      <w:r>
        <w:rPr>
          <w:rFonts w:ascii="仿宋_GB2312" w:eastAsia="仿宋_GB2312" w:hint="eastAsia"/>
          <w:color w:val="000000"/>
          <w:sz w:val="32"/>
          <w:szCs w:val="32"/>
          <w:lang w:eastAsia="zh-CN"/>
        </w:rPr>
        <w:t>；</w:t>
      </w:r>
      <w:r>
        <w:rPr>
          <w:rFonts w:ascii="仿宋_GB2312" w:eastAsia="仿宋_GB2312" w:hint="eastAsia"/>
          <w:color w:val="000000"/>
          <w:sz w:val="32"/>
          <w:szCs w:val="32"/>
        </w:rPr>
        <w:t>越野车0辆、金额0万元</w:t>
      </w:r>
      <w:r>
        <w:rPr>
          <w:rFonts w:ascii="仿宋_GB2312" w:eastAsia="仿宋_GB2312" w:hint="eastAsia"/>
          <w:color w:val="000000"/>
          <w:sz w:val="32"/>
          <w:szCs w:val="32"/>
          <w:lang w:eastAsia="zh-CN"/>
        </w:rPr>
        <w:t>；</w:t>
      </w:r>
      <w:r>
        <w:rPr>
          <w:rFonts w:ascii="仿宋_GB2312" w:eastAsia="仿宋_GB2312" w:hint="eastAsia"/>
          <w:color w:val="000000"/>
          <w:sz w:val="32"/>
          <w:szCs w:val="32"/>
        </w:rPr>
        <w:t>载客汽车0辆、金额0万元。截至20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年12月底，单位共有公务用车0辆。</w:t>
      </w:r>
    </w:p>
    <w:p>
      <w:pPr>
        <w:spacing w:line="60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0万元。主要用于公务用车燃料费、维修费、过路过桥费、保险费等支出。</w:t>
      </w:r>
    </w:p>
    <w:p>
      <w:pPr>
        <w:spacing w:line="600" w:lineRule="exact"/>
        <w:ind w:firstLine="640"/>
        <w:rPr>
          <w:rFonts w:ascii="仿宋_GB2312" w:eastAsia="仿宋_GB2312" w:hint="eastAsia"/>
          <w:color w:val="000000"/>
          <w:sz w:val="32"/>
          <w:szCs w:val="32"/>
        </w:rPr>
      </w:pP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lang w:eastAsia="zh-CN"/>
        </w:rPr>
        <w:t>与</w:t>
      </w:r>
      <w:r>
        <w:rPr>
          <w:rFonts w:ascii="仿宋_GB2312" w:eastAsia="仿宋_GB2312" w:hint="eastAsia"/>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比较无变动；与年初预算一致。</w:t>
      </w:r>
      <w:r>
        <w:rPr>
          <w:rFonts w:ascii="仿宋_GB2312" w:eastAsia="仿宋_GB2312" w:hint="eastAsia"/>
          <w:color w:val="000000"/>
          <w:sz w:val="32"/>
          <w:szCs w:val="32"/>
        </w:rPr>
        <w:t>主要原因是本单位无公务用车。</w:t>
      </w:r>
    </w:p>
    <w:p>
      <w:pPr>
        <w:spacing w:line="60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3.公务接待费支出</w:t>
      </w:r>
      <w:r>
        <w:rPr>
          <w:rFonts w:ascii="仿宋_GB2312" w:eastAsia="仿宋_GB2312" w:hint="eastAsia"/>
          <w:color w:val="000000"/>
          <w:sz w:val="32"/>
          <w:szCs w:val="32"/>
        </w:rPr>
        <w:t>0万元。主要用于执行公务、开展业务活动开支的交通费、住宿费、用餐费等。国内公务接待0批次，0人次（不包括陪同人员），共计支出0万元。</w:t>
      </w:r>
    </w:p>
    <w:p>
      <w:pPr>
        <w:spacing w:line="600" w:lineRule="exact"/>
        <w:ind w:firstLine="640"/>
        <w:rPr>
          <w:rFonts w:ascii="仿宋_GB2312" w:eastAsia="仿宋_GB2312" w:hint="eastAsia"/>
          <w:color w:val="000000"/>
          <w:sz w:val="32"/>
          <w:szCs w:val="32"/>
        </w:rPr>
      </w:pPr>
      <w:r>
        <w:rPr>
          <w:rFonts w:ascii="仿宋_GB2312" w:eastAsia="仿宋_GB2312" w:hint="eastAsia"/>
          <w:color w:val="000000"/>
          <w:sz w:val="32"/>
          <w:szCs w:val="32"/>
        </w:rPr>
        <w:t>公务接待费支出决算</w:t>
      </w:r>
      <w:r>
        <w:rPr>
          <w:rFonts w:ascii="仿宋_GB2312" w:eastAsia="仿宋_GB2312" w:hint="eastAsia"/>
          <w:color w:val="000000"/>
          <w:sz w:val="32"/>
          <w:szCs w:val="32"/>
          <w:lang w:eastAsia="zh-CN"/>
        </w:rPr>
        <w:t>与</w:t>
      </w:r>
      <w:r>
        <w:rPr>
          <w:rFonts w:ascii="仿宋_GB2312" w:eastAsia="仿宋_GB2312" w:hint="eastAsia"/>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比对无变动；与年初预算一致</w:t>
      </w:r>
      <w:r>
        <w:rPr>
          <w:rFonts w:ascii="仿宋_GB2312" w:eastAsia="仿宋_GB2312" w:hint="eastAsia"/>
          <w:color w:val="000000"/>
          <w:sz w:val="32"/>
          <w:szCs w:val="32"/>
        </w:rPr>
        <w:t>。</w:t>
      </w:r>
    </w:p>
    <w:p>
      <w:pPr>
        <w:spacing w:line="600" w:lineRule="exact"/>
        <w:rPr>
          <w:rFonts w:ascii="仿宋_GB2312" w:eastAsia="仿宋_GB2312" w:cs="仿宋_GB2312" w:hint="eastAsia"/>
          <w:color w:val="000000"/>
          <w:sz w:val="30"/>
          <w:szCs w:val="30"/>
        </w:rPr>
      </w:pPr>
      <w:r>
        <w:rPr>
          <w:rFonts w:ascii="仿宋_GB2312" w:eastAsia="仿宋_GB2312" w:cs="仿宋_GB2312" w:hint="eastAsia"/>
          <w:b/>
          <w:bCs/>
          <w:sz w:val="30"/>
          <w:szCs w:val="30"/>
          <w:lang w:eastAsia="zh-CN"/>
        </w:rPr>
        <w:t>四</w:t>
      </w:r>
      <w:r>
        <w:rPr>
          <w:rFonts w:ascii="仿宋_GB2312" w:eastAsia="仿宋_GB2312" w:cs="仿宋_GB2312" w:hint="eastAsia"/>
          <w:b/>
          <w:bCs/>
          <w:sz w:val="30"/>
          <w:szCs w:val="30"/>
        </w:rPr>
        <w:t>、资产负债情况分析</w:t>
      </w:r>
    </w:p>
    <w:p>
      <w:pPr>
        <w:spacing w:line="600" w:lineRule="exact"/>
        <w:ind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rPr>
        <w:t>资产负债情况分析：20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固定</w:t>
      </w:r>
      <w:r>
        <w:rPr>
          <w:rFonts w:ascii="仿宋_GB2312" w:eastAsia="仿宋_GB2312" w:hint="eastAsia"/>
          <w:color w:val="000000"/>
          <w:sz w:val="32"/>
          <w:szCs w:val="32"/>
        </w:rPr>
        <w:t>资产</w:t>
      </w:r>
      <w:r>
        <w:rPr>
          <w:rFonts w:ascii="仿宋_GB2312" w:eastAsia="仿宋_GB2312" w:hint="eastAsia"/>
          <w:color w:val="000000"/>
          <w:sz w:val="32"/>
          <w:szCs w:val="32"/>
          <w:lang w:eastAsia="zh-CN"/>
        </w:rPr>
        <w:t>原值</w:t>
      </w:r>
      <w:r>
        <w:rPr>
          <w:rFonts w:ascii="仿宋_GB2312" w:eastAsia="仿宋_GB2312" w:hint="eastAsia"/>
          <w:color w:val="000000"/>
          <w:sz w:val="32"/>
          <w:szCs w:val="32"/>
        </w:rPr>
        <w:t>总计</w:t>
      </w:r>
      <w:r>
        <w:rPr>
          <w:rFonts w:ascii="仿宋_GB2312" w:eastAsia="仿宋_GB2312" w:hint="eastAsia"/>
          <w:color w:val="000000"/>
          <w:sz w:val="32"/>
          <w:szCs w:val="32"/>
          <w:lang w:val="en-US" w:eastAsia="zh-CN"/>
        </w:rPr>
        <w:t>65808</w:t>
      </w:r>
      <w:r>
        <w:rPr>
          <w:rFonts w:ascii="仿宋_GB2312" w:eastAsia="仿宋_GB2312" w:hint="eastAsia"/>
          <w:color w:val="000000"/>
          <w:sz w:val="32"/>
          <w:szCs w:val="32"/>
        </w:rPr>
        <w:t>元，</w:t>
      </w:r>
      <w:r>
        <w:rPr>
          <w:rFonts w:ascii="仿宋_GB2312" w:eastAsia="仿宋_GB2312" w:hint="eastAsia"/>
          <w:color w:val="000000"/>
          <w:sz w:val="32"/>
          <w:szCs w:val="32"/>
          <w:lang w:eastAsia="zh-CN"/>
        </w:rPr>
        <w:t>累计折旧</w:t>
      </w:r>
      <w:r>
        <w:rPr>
          <w:rFonts w:ascii="仿宋_GB2312" w:eastAsia="仿宋_GB2312" w:hint="eastAsia"/>
          <w:color w:val="000000"/>
          <w:sz w:val="32"/>
          <w:szCs w:val="32"/>
          <w:lang w:val="en-US" w:eastAsia="zh-CN"/>
        </w:rPr>
        <w:t>43295.53元，固定资产净值22512.47元。2022年本期折旧2284.48元；会计账面数固定资产折旧金额与固定资产系统折旧金额比较相差0.0元。</w:t>
      </w:r>
    </w:p>
    <w:p>
      <w:pPr>
        <w:spacing w:line="600" w:lineRule="exact"/>
        <w:ind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2022年无负债。</w:t>
      </w:r>
    </w:p>
    <w:p>
      <w:pPr>
        <w:snapToGrid w:val="0"/>
        <w:spacing w:line="520" w:lineRule="exact"/>
        <w:rPr>
          <w:rFonts w:ascii="楷体_GB2312" w:eastAsia="楷体_GB2312" w:hint="eastAsia"/>
          <w:b/>
          <w:sz w:val="32"/>
          <w:szCs w:val="32"/>
        </w:rPr>
      </w:pPr>
      <w:r>
        <w:rPr>
          <w:rFonts w:ascii="楷体_GB2312" w:eastAsia="楷体_GB2312" w:hint="eastAsia"/>
          <w:b/>
          <w:sz w:val="32"/>
          <w:szCs w:val="32"/>
        </w:rPr>
        <w:t>资产负债结构情况</w:t>
      </w:r>
    </w:p>
    <w:p>
      <w:pPr>
        <w:ind w:firstLineChars="200" w:firstLine="640"/>
        <w:rPr>
          <w:rFonts w:ascii="仿宋_GB2312" w:eastAsia="仿宋_GB2312" w:hint="eastAsia"/>
          <w:color w:val="000000"/>
          <w:sz w:val="32"/>
          <w:szCs w:val="32"/>
          <w:lang w:eastAsia="zh-CN"/>
        </w:rPr>
      </w:pPr>
      <w:r>
        <w:rPr>
          <w:rFonts w:ascii="仿宋_GB2312" w:eastAsia="仿宋_GB2312" w:hint="eastAsia"/>
          <w:color w:val="000000"/>
          <w:sz w:val="32"/>
          <w:szCs w:val="32"/>
          <w:lang w:eastAsia="zh-CN"/>
        </w:rPr>
        <w:t>1、流动资产变动情况:</w:t>
      </w:r>
    </w:p>
    <w:p>
      <w:pPr>
        <w:ind w:firstLineChars="200" w:firstLine="640"/>
        <w:rPr>
          <w:rFonts w:ascii="仿宋_GB2312" w:eastAsia="仿宋_GB2312" w:hint="eastAsia"/>
          <w:color w:val="000000"/>
          <w:sz w:val="32"/>
          <w:szCs w:val="32"/>
          <w:lang w:eastAsia="zh-CN"/>
        </w:rPr>
      </w:pPr>
      <w:r>
        <w:rPr>
          <w:rFonts w:ascii="仿宋_GB2312" w:eastAsia="仿宋_GB2312" w:hint="eastAsia"/>
          <w:color w:val="000000"/>
          <w:sz w:val="32"/>
          <w:szCs w:val="32"/>
          <w:lang w:eastAsia="zh-CN"/>
        </w:rPr>
        <w:t>财政应返还额度年初数为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lang w:eastAsia="zh-CN"/>
        </w:rPr>
        <w:t>万元,年末数为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lang w:eastAsia="zh-CN"/>
        </w:rPr>
        <w:t>万元,无变动。</w:t>
      </w:r>
    </w:p>
    <w:p>
      <w:pPr>
        <w:ind w:firstLineChars="200" w:firstLine="640"/>
        <w:rPr>
          <w:rFonts w:ascii="仿宋_GB2312" w:eastAsia="仿宋_GB2312" w:hint="eastAsia"/>
          <w:color w:val="000000"/>
          <w:sz w:val="32"/>
          <w:szCs w:val="32"/>
          <w:lang w:eastAsia="zh-CN"/>
        </w:rPr>
      </w:pPr>
      <w:r>
        <w:rPr>
          <w:rFonts w:ascii="仿宋_GB2312" w:eastAsia="仿宋_GB2312" w:hint="eastAsia"/>
          <w:color w:val="000000"/>
          <w:sz w:val="32"/>
          <w:szCs w:val="32"/>
          <w:lang w:val="en-US" w:eastAsia="zh-CN"/>
        </w:rPr>
        <w:t>2、</w:t>
      </w:r>
      <w:r>
        <w:rPr>
          <w:rFonts w:ascii="仿宋_GB2312" w:eastAsia="仿宋_GB2312" w:hint="eastAsia"/>
          <w:color w:val="000000"/>
          <w:sz w:val="32"/>
          <w:szCs w:val="32"/>
          <w:lang w:eastAsia="zh-CN"/>
        </w:rPr>
        <w:t>资产负债对比分析。</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 xml:space="preserve">  2022年负债0元。与2021年比较减少0.09元。</w:t>
      </w:r>
    </w:p>
    <w:p>
      <w:pPr>
        <w:spacing w:line="600" w:lineRule="exact"/>
        <w:outlineLvl w:val="0"/>
        <w:rPr>
          <w:rFonts w:ascii="仿宋_GB2312" w:eastAsia="仿宋_GB2312" w:cs="仿宋_GB2312" w:hint="eastAsia"/>
          <w:b/>
          <w:bCs/>
          <w:color w:val="000000"/>
          <w:sz w:val="30"/>
          <w:szCs w:val="30"/>
        </w:rPr>
      </w:pPr>
      <w:bookmarkStart w:id="24" w:name="_Toc7698"/>
      <w:bookmarkStart w:id="25" w:name="_Toc6898"/>
      <w:r>
        <w:rPr>
          <w:rFonts w:ascii="仿宋_GB2312" w:eastAsia="仿宋_GB2312" w:cs="仿宋_GB2312" w:hint="eastAsia"/>
          <w:b/>
          <w:bCs/>
          <w:color w:val="000000"/>
          <w:sz w:val="30"/>
          <w:szCs w:val="30"/>
          <w:lang w:eastAsia="zh-CN"/>
        </w:rPr>
        <w:t>五</w:t>
      </w:r>
      <w:r>
        <w:rPr>
          <w:rFonts w:ascii="仿宋_GB2312" w:eastAsia="仿宋_GB2312" w:cs="仿宋_GB2312" w:hint="eastAsia"/>
          <w:b/>
          <w:bCs/>
          <w:color w:val="000000"/>
          <w:sz w:val="30"/>
          <w:szCs w:val="30"/>
        </w:rPr>
        <w:t>、政府性基金预算财政拨款支出决算情况</w:t>
      </w:r>
      <w:bookmarkEnd w:id="24"/>
      <w:bookmarkEnd w:id="25"/>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金川县城乡居民养老保险事务中心2022年无政府性基金预算财政拨款支出。</w:t>
      </w:r>
    </w:p>
    <w:p>
      <w:pPr>
        <w:spacing w:line="600" w:lineRule="exact"/>
        <w:outlineLvl w:val="0"/>
        <w:rPr>
          <w:rFonts w:ascii="仿宋_GB2312" w:eastAsia="仿宋_GB2312" w:cs="仿宋_GB2312" w:hint="eastAsia"/>
          <w:b/>
          <w:bCs/>
          <w:color w:val="000000"/>
          <w:sz w:val="30"/>
          <w:szCs w:val="30"/>
        </w:rPr>
      </w:pPr>
      <w:bookmarkStart w:id="26" w:name="_Toc11209"/>
      <w:bookmarkStart w:id="27" w:name="_Toc12269"/>
      <w:r>
        <w:rPr>
          <w:rFonts w:ascii="仿宋_GB2312" w:eastAsia="仿宋_GB2312" w:cs="仿宋_GB2312" w:hint="eastAsia"/>
          <w:b/>
          <w:bCs/>
          <w:color w:val="000000"/>
          <w:sz w:val="30"/>
          <w:szCs w:val="30"/>
          <w:lang w:eastAsia="zh-CN"/>
        </w:rPr>
        <w:t>六、</w:t>
      </w:r>
      <w:r>
        <w:rPr>
          <w:rFonts w:ascii="仿宋_GB2312" w:eastAsia="仿宋_GB2312" w:cs="仿宋_GB2312" w:hint="eastAsia"/>
          <w:b/>
          <w:bCs/>
          <w:color w:val="000000"/>
          <w:sz w:val="30"/>
          <w:szCs w:val="30"/>
        </w:rPr>
        <w:t>其他重要事项的情况说明</w:t>
      </w:r>
      <w:bookmarkEnd w:id="26"/>
      <w:bookmarkEnd w:id="27"/>
    </w:p>
    <w:p>
      <w:pPr>
        <w:ind w:firstLine="709"/>
        <w:rPr>
          <w:rFonts w:ascii="仿宋_GB2312" w:eastAsia="仿宋_GB2312" w:cs="仿宋_GB2312" w:hint="eastAsia"/>
          <w:sz w:val="32"/>
          <w:szCs w:val="32"/>
          <w:lang w:val="en-US" w:eastAsia="zh-CN"/>
        </w:rPr>
      </w:pPr>
      <w:r>
        <w:rPr>
          <w:rFonts w:ascii="楷体_GB2312" w:eastAsia="楷体_GB2312" w:hint="eastAsia"/>
          <w:b w:val="0"/>
          <w:bCs/>
          <w:sz w:val="32"/>
          <w:szCs w:val="32"/>
          <w:lang w:val="en-US" w:eastAsia="zh-CN"/>
        </w:rPr>
        <w:t>无</w:t>
      </w:r>
    </w:p>
    <w:p>
      <w:pPr>
        <w:spacing w:line="600" w:lineRule="exact"/>
        <w:outlineLvl w:val="1"/>
        <w:rPr>
          <w:rFonts w:ascii="仿宋_GB2312" w:eastAsia="仿宋_GB2312" w:cs="仿宋_GB2312" w:hint="eastAsia"/>
          <w:b/>
          <w:color w:val="000000"/>
          <w:sz w:val="30"/>
          <w:szCs w:val="30"/>
        </w:rPr>
      </w:pPr>
      <w:r>
        <w:rPr>
          <w:rFonts w:ascii="仿宋_GB2312" w:eastAsia="仿宋_GB2312" w:cs="仿宋_GB2312" w:hint="eastAsia"/>
          <w:b/>
          <w:color w:val="000000"/>
          <w:sz w:val="30"/>
          <w:szCs w:val="30"/>
        </w:rPr>
        <w:t>（一）</w:t>
      </w:r>
      <w:r>
        <w:rPr>
          <w:rFonts w:ascii="仿宋_GB2312" w:eastAsia="仿宋_GB2312" w:cs="仿宋_GB2312"/>
          <w:b/>
          <w:color w:val="000000"/>
          <w:sz w:val="30"/>
          <w:szCs w:val="30"/>
        </w:rPr>
        <w:t>机关运行</w:t>
      </w:r>
      <w:r>
        <w:rPr>
          <w:rFonts w:ascii="仿宋_GB2312" w:eastAsia="仿宋_GB2312" w:cs="仿宋_GB2312" w:hint="eastAsia"/>
          <w:b/>
          <w:color w:val="000000"/>
          <w:sz w:val="30"/>
          <w:szCs w:val="30"/>
        </w:rPr>
        <w:t>经费支出情况</w:t>
      </w:r>
    </w:p>
    <w:p>
      <w:pPr>
        <w:ind w:firstLine="709"/>
        <w:rPr>
          <w:rFonts w:ascii="楷体_GB2312" w:eastAsia="楷体_GB2312" w:hint="eastAsia"/>
          <w:b w:val="0"/>
          <w:bCs/>
          <w:sz w:val="32"/>
          <w:szCs w:val="32"/>
          <w:lang w:val="en-US" w:eastAsia="zh-CN"/>
        </w:rPr>
      </w:pPr>
      <w:r>
        <w:rPr>
          <w:rFonts w:ascii="楷体_GB2312" w:eastAsia="楷体_GB2312" w:hint="eastAsia"/>
          <w:b w:val="0"/>
          <w:bCs/>
          <w:sz w:val="32"/>
          <w:szCs w:val="32"/>
          <w:lang w:val="en-US" w:eastAsia="zh-CN"/>
        </w:rPr>
        <w:t>2022年度，金川县城乡居民养老保险事务中心运行经费</w:t>
      </w:r>
      <w:r>
        <w:rPr>
          <w:rFonts w:ascii="楷体_GB2312" w:eastAsia="楷体_GB2312"/>
          <w:b w:val="0"/>
          <w:bCs/>
          <w:sz w:val="32"/>
          <w:szCs w:val="32"/>
          <w:lang w:val="en-US" w:eastAsia="zh-CN"/>
        </w:rPr>
        <w:t>0</w:t>
      </w:r>
      <w:r>
        <w:rPr>
          <w:rFonts w:ascii="楷体_GB2312" w:eastAsia="楷体_GB2312" w:hint="eastAsia"/>
          <w:b w:val="0"/>
          <w:bCs/>
          <w:sz w:val="32"/>
          <w:szCs w:val="32"/>
          <w:lang w:val="en-US" w:eastAsia="zh-CN"/>
        </w:rPr>
        <w:t>万元。</w:t>
      </w:r>
    </w:p>
    <w:p>
      <w:pPr>
        <w:autoSpaceDE w:val="0"/>
        <w:autoSpaceDN w:val="0"/>
        <w:adjustRightInd w:val="0"/>
        <w:spacing w:line="600" w:lineRule="exact"/>
        <w:jc w:val="left"/>
        <w:outlineLvl w:val="1"/>
        <w:rPr>
          <w:rFonts w:ascii="仿宋_GB2312" w:eastAsia="仿宋_GB2312" w:cs="仿宋_GB2312" w:hint="eastAsia"/>
          <w:b/>
          <w:color w:val="000000"/>
          <w:sz w:val="30"/>
          <w:szCs w:val="30"/>
        </w:rPr>
      </w:pPr>
      <w:bookmarkStart w:id="28" w:name="_Toc17192"/>
      <w:r>
        <w:rPr>
          <w:rFonts w:ascii="仿宋_GB2312" w:eastAsia="仿宋_GB2312" w:cs="仿宋_GB2312" w:hint="eastAsia"/>
          <w:b/>
          <w:color w:val="000000"/>
          <w:sz w:val="30"/>
          <w:szCs w:val="30"/>
        </w:rPr>
        <w:t>（二）政府采购支出情况</w:t>
      </w:r>
      <w:bookmarkEnd w:id="28"/>
    </w:p>
    <w:p>
      <w:pPr>
        <w:pStyle w:val="19"/>
        <w:keepNext w:val="0"/>
        <w:keepLines w:val="0"/>
        <w:widowControl/>
        <w:suppressLineNumbers w:val="0"/>
        <w:spacing w:before="0" w:beforeAutospacing="0"/>
        <w:ind w:left="0" w:firstLineChars="200" w:firstLine="640"/>
        <w:rPr>
          <w:rFonts w:ascii="仿宋" w:eastAsia="仿宋" w:cs="仿宋" w:hint="eastAsia"/>
          <w:sz w:val="32"/>
          <w:szCs w:val="32"/>
          <w:shd w:val="clear" w:color="auto" w:fill="FFFFFF"/>
        </w:rPr>
      </w:pPr>
      <w:r>
        <w:rPr>
          <w:rFonts w:ascii="仿宋" w:eastAsia="仿宋" w:cs="仿宋" w:hint="eastAsia"/>
          <w:sz w:val="32"/>
          <w:szCs w:val="32"/>
          <w:shd w:val="clear" w:color="auto" w:fill="FFFFFF"/>
          <w:lang w:bidi="ar-SA"/>
        </w:rPr>
        <w:t>2022年，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pPr>
        <w:autoSpaceDE w:val="0"/>
        <w:autoSpaceDN w:val="0"/>
        <w:adjustRightInd w:val="0"/>
        <w:spacing w:line="600" w:lineRule="exact"/>
        <w:jc w:val="left"/>
        <w:outlineLvl w:val="1"/>
        <w:rPr>
          <w:rFonts w:ascii="仿宋_GB2312" w:eastAsia="仿宋_GB2312" w:cs="仿宋_GB2312" w:hint="eastAsia"/>
          <w:b/>
          <w:color w:val="000000"/>
          <w:sz w:val="30"/>
          <w:szCs w:val="30"/>
        </w:rPr>
      </w:pPr>
      <w:bookmarkStart w:id="29" w:name="_Toc8299"/>
      <w:r>
        <w:rPr>
          <w:rFonts w:ascii="仿宋_GB2312" w:eastAsia="仿宋_GB2312" w:cs="仿宋_GB2312" w:hint="eastAsia"/>
          <w:b/>
          <w:color w:val="000000"/>
          <w:sz w:val="30"/>
          <w:szCs w:val="30"/>
        </w:rPr>
        <w:t>（三）国有资产占有使用情况</w:t>
      </w:r>
      <w:bookmarkEnd w:id="29"/>
    </w:p>
    <w:p>
      <w:pPr>
        <w:ind w:firstLine="709"/>
        <w:rPr>
          <w:rFonts w:ascii="楷体_GB2312" w:eastAsia="楷体_GB2312" w:hint="eastAsia"/>
          <w:b w:val="0"/>
          <w:bCs/>
          <w:sz w:val="32"/>
          <w:szCs w:val="32"/>
          <w:lang w:val="en-US" w:eastAsia="zh-CN"/>
        </w:rPr>
      </w:pPr>
      <w:r>
        <w:rPr>
          <w:rFonts w:ascii="楷体_GB2312" w:eastAsia="楷体_GB2312" w:hint="eastAsia"/>
          <w:b w:val="0"/>
          <w:bCs/>
          <w:sz w:val="32"/>
          <w:szCs w:val="32"/>
          <w:lang w:val="en-US" w:eastAsia="zh-CN"/>
        </w:rPr>
        <w:t>截至2022年12月31日，没有国有资产使用，也没有占用国有资产。</w:t>
      </w:r>
    </w:p>
    <w:p>
      <w:pPr>
        <w:autoSpaceDE w:val="0"/>
        <w:autoSpaceDN w:val="0"/>
        <w:adjustRightInd w:val="0"/>
        <w:spacing w:line="600" w:lineRule="exact"/>
        <w:jc w:val="left"/>
        <w:outlineLvl w:val="1"/>
        <w:rPr>
          <w:rFonts w:ascii="仿宋_GB2312" w:eastAsia="仿宋_GB2312" w:cs="仿宋_GB2312" w:hint="eastAsia"/>
          <w:b/>
          <w:color w:val="000000"/>
          <w:sz w:val="30"/>
          <w:szCs w:val="30"/>
        </w:rPr>
      </w:pPr>
      <w:bookmarkStart w:id="30" w:name="_Toc8700"/>
      <w:r>
        <w:rPr>
          <w:rFonts w:ascii="仿宋_GB2312" w:eastAsia="仿宋_GB2312" w:cs="仿宋_GB2312" w:hint="eastAsia"/>
          <w:b/>
          <w:color w:val="000000"/>
          <w:sz w:val="30"/>
          <w:szCs w:val="30"/>
        </w:rPr>
        <w:t>（四）预算绩效情况</w:t>
      </w:r>
      <w:bookmarkEnd w:id="30"/>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按照预算绩效管理要求，本部门对2022年一般公共预算项目支出开展了绩效目标管理，编制绩效目标，涉及财政资金1894.04万元，覆盖率达到100%。我中心积极开展项目绩效自评，自评得分92分。</w:t>
      </w:r>
    </w:p>
    <w:p>
      <w:pPr>
        <w:spacing w:line="600" w:lineRule="atLeast"/>
        <w:ind w:firstLineChars="200" w:firstLine="600"/>
        <w:outlineLvl w:val="2"/>
        <w:rPr>
          <w:rFonts w:ascii="仿宋_GB2312" w:eastAsia="仿宋_GB2312" w:cs="仿宋_GB2312" w:hint="eastAsia"/>
          <w:b/>
          <w:bCs/>
          <w:sz w:val="30"/>
          <w:szCs w:val="30"/>
        </w:rPr>
      </w:pPr>
      <w:bookmarkStart w:id="31" w:name="_Toc13295"/>
      <w:r>
        <w:rPr>
          <w:rFonts w:ascii="仿宋_GB2312" w:eastAsia="仿宋_GB2312" w:cs="仿宋_GB2312" w:hint="eastAsia"/>
          <w:b/>
          <w:bCs/>
          <w:sz w:val="30"/>
          <w:szCs w:val="30"/>
        </w:rPr>
        <w:t>1、评价结论</w:t>
      </w:r>
      <w:bookmarkEnd w:id="31"/>
    </w:p>
    <w:p>
      <w:pPr>
        <w:ind w:firstLine="709"/>
        <w:rPr>
          <w:rFonts w:ascii="楷体_GB2312" w:eastAsia="楷体_GB2312" w:hint="eastAsia"/>
          <w:b w:val="0"/>
          <w:bCs/>
          <w:sz w:val="32"/>
          <w:szCs w:val="32"/>
          <w:lang w:val="en-US" w:eastAsia="zh-CN"/>
        </w:rPr>
      </w:pPr>
      <w:r>
        <w:rPr>
          <w:rFonts w:ascii="仿宋_GB2312" w:eastAsia="仿宋_GB2312" w:hint="eastAsia"/>
          <w:color w:val="000000"/>
          <w:sz w:val="32"/>
          <w:szCs w:val="32"/>
          <w:lang w:val="en-US" w:eastAsia="zh-CN"/>
        </w:rPr>
        <w:t>部门预算执行情况良好，无不良记录及违规违纪行为，预算支出和决算支出基本情况相符。</w:t>
      </w:r>
    </w:p>
    <w:p>
      <w:pPr>
        <w:spacing w:line="600" w:lineRule="atLeast"/>
        <w:ind w:firstLineChars="200" w:firstLine="600"/>
        <w:outlineLvl w:val="2"/>
        <w:rPr>
          <w:rFonts w:ascii="仿宋_GB2312" w:eastAsia="仿宋_GB2312" w:cs="仿宋_GB2312" w:hint="eastAsia"/>
          <w:b/>
          <w:bCs/>
          <w:sz w:val="30"/>
          <w:szCs w:val="30"/>
        </w:rPr>
      </w:pPr>
      <w:bookmarkStart w:id="32" w:name="_Toc21013"/>
      <w:r>
        <w:rPr>
          <w:rFonts w:ascii="仿宋_GB2312" w:eastAsia="仿宋_GB2312" w:cs="仿宋_GB2312" w:hint="eastAsia"/>
          <w:b/>
          <w:bCs/>
          <w:sz w:val="30"/>
          <w:szCs w:val="30"/>
        </w:rPr>
        <w:t>2、存在问题</w:t>
      </w:r>
      <w:bookmarkEnd w:id="32"/>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一是预算经费支出进度较快；二是部门决算上报处理效率还需继续提升。</w:t>
      </w:r>
    </w:p>
    <w:p>
      <w:pPr>
        <w:spacing w:line="600" w:lineRule="atLeast"/>
        <w:ind w:firstLineChars="200" w:firstLine="600"/>
        <w:outlineLvl w:val="2"/>
        <w:rPr>
          <w:rFonts w:ascii="仿宋_GB2312" w:eastAsia="仿宋_GB2312" w:cs="仿宋_GB2312" w:hint="eastAsia"/>
          <w:b/>
          <w:bCs/>
          <w:sz w:val="30"/>
          <w:szCs w:val="30"/>
        </w:rPr>
      </w:pPr>
      <w:bookmarkStart w:id="33" w:name="_Toc29651"/>
      <w:r>
        <w:rPr>
          <w:rFonts w:ascii="仿宋_GB2312" w:eastAsia="仿宋_GB2312" w:cs="仿宋_GB2312" w:hint="eastAsia"/>
          <w:b/>
          <w:bCs/>
          <w:sz w:val="30"/>
          <w:szCs w:val="30"/>
        </w:rPr>
        <w:t>3、改进建议</w:t>
      </w:r>
      <w:bookmarkEnd w:id="33"/>
    </w:p>
    <w:p>
      <w:pPr>
        <w:ind w:firstLine="709"/>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加快完成机关事业单位财务管理规章制度建设、加强会计核算和财务管理能力，及时与财政局相关科室对接工作，提升工作效率。</w:t>
      </w:r>
    </w:p>
    <w:p>
      <w:pPr>
        <w:autoSpaceDE w:val="0"/>
        <w:autoSpaceDN w:val="0"/>
        <w:adjustRightInd w:val="0"/>
        <w:spacing w:line="600" w:lineRule="exact"/>
        <w:jc w:val="left"/>
        <w:rPr>
          <w:rFonts w:ascii="黑体" w:eastAsia="黑体" w:hint="eastAsia"/>
          <w:color w:val="000000"/>
          <w:sz w:val="32"/>
          <w:szCs w:val="32"/>
        </w:rPr>
      </w:pPr>
      <w:r>
        <w:rPr>
          <w:rFonts w:ascii="黑体" w:eastAsia="黑体" w:hint="eastAsia"/>
          <w:color w:val="000000"/>
          <w:sz w:val="32"/>
          <w:szCs w:val="32"/>
          <w:lang w:eastAsia="zh-CN"/>
        </w:rPr>
        <w:t>七</w:t>
      </w:r>
      <w:r>
        <w:rPr>
          <w:rFonts w:ascii="黑体" w:eastAsia="黑体" w:hint="eastAsia"/>
          <w:color w:val="000000"/>
          <w:sz w:val="32"/>
          <w:szCs w:val="32"/>
        </w:rPr>
        <w:t>、名词解释</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1、财政拨款收入：指县级财政当年拨付的资金。</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2、年初结转和结余：指以前年度尚未完成、结转到本年按有关规定继续使用的资金。</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3、社会保障和就业208人力资源和社会保障管理事务01社会保险经办机构09：指社会保险经办机构开展业务工作的支出。</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4、社会保障和就业208行政事业单位离退休05机关事业单位基本养老保险缴费支出05：指机关事业单位实施养老保险制度由单位缴纳的基本养老保险费支出。</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5、社会保障和就业208行政事业单位离退休05机关事业单位职业年金缴费支出06：指机关事业单位实施养老保险制度由单位缴纳的职业年金支出。</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6、医疗卫生与计划生育支出210医疗保障05事业单位医疗02：指反映财政部门集中安排的事业单位基本医疗保险缴费经费。</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7、住房保障支出221住房改革支出02住房公积金01：指反映行政事业单位按人力资源和社会保障部、财政部规定的基本工资和津贴补贴以及规定比例为职工缴纳的住房公积金。</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8、社会保障和就业208财政对基本养老保险基金的补助26财政对城乡居民基金养老保险基金的补助02：指反映财政对城乡居民养老保险基金的补助支出（财政对养老保险个档次缴费补助）。</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9、社会保障和就业208财政对其他社会保险基金的补助27其他财政对社会保险基金的补助99：指反映其他财政对社会保险基金的补助（被征地农民养老保险补助）。</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10、教育支出205进修及培训08培训支出03：指反映各部门安排的用于培训的支出。教育部门的师资培训，党校、行政学院等专业干部教育机构的支出，以及退役士兵、转业士官的培训支出，不在本科目反映。</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11、年末结转和结余：指本年度或以前年度预算安排、因客观条件发生变化无法按原计划实施，需延迟到以后年度按有关规定继续使用的资金。</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12、基本支出：指为保障机构正常运转、完成日常工作任务而发生的人员支出和公用支出。</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13、“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 </w:t>
      </w:r>
    </w:p>
    <w:sectPr>
      <w:footerReference w:type="default" r:id="rId2"/>
      <w:pgSz w:w="11906" w:h="16838"/>
      <w:pgMar w:top="1440" w:right="1588" w:bottom="1440"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Arial">
    <w:altName w:val="DejaVu Sans"/>
    <w:panose1 w:val="020B0604020202020204"/>
    <w:charset w:val="01"/>
    <w:family w:val="swiss"/>
    <w:pitch w:val="variable"/>
    <w:sig w:usb0="E0002AFF" w:usb1="C0007843" w:usb2="00000009" w:usb3="00000000" w:csb0="400001FF" w:csb1="FFFF0000"/>
  </w:font>
  <w:font w:name="黑体">
    <w:altName w:val="方正黑体_GBK"/>
    <w:panose1 w:val="02010609060101010101"/>
    <w:charset w:val="86"/>
    <w:family w:val="auto"/>
    <w:pitch w:val="variable"/>
    <w:sig w:usb0="800002BF" w:usb1="38CF7CFA" w:usb2="00000016" w:usb3="00000000" w:csb0="00040001" w:csb1="00000000"/>
  </w:font>
  <w:font w:name="方正小标宋简体">
    <w:altName w:val="AR PL UKai CN"/>
    <w:panose1 w:val="03000509000000000000"/>
    <w:charset w:val="86"/>
    <w:family w:val="script"/>
    <w:pitch w:val="variable"/>
    <w:sig w:usb0="00000000" w:usb1="00000000" w:usb2="00000000" w:usb3="00000000" w:csb0="00040000" w:csb1="00000000"/>
  </w:font>
  <w:font w:name="仿宋">
    <w:altName w:val="仿宋_GB2312"/>
    <w:panose1 w:val="02010609060101010101"/>
    <w:charset w:val="86"/>
    <w:family w:val="modern"/>
    <w:pitch w:val="variable"/>
    <w:sig w:usb0="800002BF" w:usb1="38CF7CFA" w:usb2="00000016" w:usb3="00000000" w:csb0="00040001" w:csb1="00000000"/>
  </w:font>
  <w:font w:name="Calibri">
    <w:altName w:val="DejaVu Sans"/>
    <w:panose1 w:val="020F0502020204030204"/>
    <w:charset w:val="00"/>
    <w:family w:val="swiss"/>
    <w:pitch w:val="variable"/>
    <w:sig w:usb0="E00002FF" w:usb1="4000ACFF" w:usb2="00000001" w:usb3="00000000" w:csb0="2000019F" w:csb1="00000000"/>
  </w:font>
  <w:font w:name="仿宋_GB2312">
    <w:altName w:val="仿宋"/>
    <w:panose1 w:val="02010609030101010101"/>
    <w:charset w:val="86"/>
    <w:family w:val="modern"/>
    <w:pitch w:val="variable"/>
    <w:sig w:usb0="00000000" w:usb1="00000000" w:usb2="00000000" w:usb3="00000000" w:csb0="00040000" w:csb1="00000000"/>
  </w:font>
  <w:font w:name="楷体">
    <w:altName w:val="楷体_GB2312"/>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Times New Roman">
    <w:altName w:val="DejaVu Sans"/>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variable"/>
    <w:sig w:usb0="00000003" w:usb1="288F0000" w:usb2="00000006" w:usb3="00000000" w:csb0="00040001" w:csb1="00000000"/>
  </w:font>
  <w:font w:name="Luxi Sans">
    <w:altName w:val="DejaVu Sans"/>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jc w:val="center"/>
      <w:rPr>
        <w:rFonts w:ascii="Arial" w:cs="Arial" w:hAnsi="Arial"/>
        <w:sz w:val="24"/>
        <w:szCs w:val="24"/>
      </w:rPr>
    </w:pPr>
    <w:r>
      <w:rPr>
        <w:rFonts w:ascii="Arial" w:cs="Arial" w:hAnsi="Arial"/>
        <w:sz w:val="24"/>
        <w:szCs w:val="24"/>
      </w:rPr>
      <w:fldChar w:fldCharType="begin"/>
    </w:r>
    <w:r>
      <w:rPr>
        <w:rFonts w:ascii="Arial" w:cs="Arial" w:hAnsi="Arial"/>
        <w:sz w:val="24"/>
        <w:szCs w:val="24"/>
      </w:rPr>
      <w:instrText xml:space="preserve"> PAGE   \* MERGEFORMAT </w:instrText>
    </w:r>
    <w:r>
      <w:rPr>
        <w:rFonts w:ascii="Arial" w:cs="Arial" w:hAnsi="Arial"/>
        <w:sz w:val="24"/>
        <w:szCs w:val="24"/>
      </w:rPr>
      <w:fldChar w:fldCharType="separate"/>
    </w:r>
    <w:r>
      <w:rPr>
        <w:rFonts w:ascii="Arial" w:cs="Arial" w:hAnsi="Arial"/>
        <w:sz w:val="24"/>
        <w:szCs w:val="24"/>
        <w:lang w:val="zh-CN"/>
      </w:rPr>
      <w:t>6</w:t>
    </w:r>
    <w:r>
      <w:rPr>
        <w:rFonts w:ascii="Arial" w:cs="Arial" w:hAnsi="Arial"/>
        <w:sz w:val="24"/>
        <w:szCs w:val="24"/>
      </w:rPr>
      <w:fldChar w:fldCharType="end"/>
    </w:r>
  </w:p>
  <w:p>
    <w:pPr>
      <w:pStyle w:val="16"/>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683897A"/>
    <w:multiLevelType w:val="singleLevel"/>
    <w:tmpl w:val="5683897A"/>
    <w:lvl w:ilvl="0">
      <w:start w:val="1"/>
      <w:numFmt w:val="chineseCounting"/>
      <w:lvlRestart w:val="0"/>
      <w:suff w:val="nothing"/>
      <w:lvlText w:val="%1、"/>
      <w:lvlJc w:val="left"/>
      <w:pPr>
        <w:tabs>
          <w:tab w:val="num" w:pos="0"/>
        </w:tabs>
        <w:ind w:left="0" w:hanging="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GRjNGE1NTBjMTIwYjJjODZkOGVlOWY0YzAzZDQ1M2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Calibri" w:hAnsi="Calibri"/>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Balloon Text"/>
    <w:basedOn w:val="0"/>
    <w:rPr>
      <w:rFonts w:cs="Times New Roman"/>
      <w:sz w:val="18"/>
      <w:szCs w:val="18"/>
    </w:rPr>
  </w:style>
  <w:style w:type="paragraph" w:styleId="16">
    <w:name w:val="footer"/>
    <w:basedOn w:val="0"/>
    <w:pPr>
      <w:tabs>
        <w:tab w:val="center" w:pos="4153"/>
        <w:tab w:val="right" w:pos="8306"/>
      </w:tabs>
      <w:snapToGrid w:val="0"/>
      <w:jc w:val="left"/>
    </w:pPr>
    <w:rPr>
      <w:rFonts w:ascii="Times New Roman" w:cs="Times New Roman" w:hAnsi="Times New Roman"/>
      <w:kern w:val="0"/>
      <w:sz w:val="18"/>
      <w:szCs w:val="18"/>
    </w:rPr>
  </w:style>
  <w:style w:type="paragraph" w:styleId="17">
    <w:name w:val="header"/>
    <w:basedOn w:val="0"/>
    <w:pPr>
      <w:pBdr>
        <w:bottom w:val="single" w:sz="6" w:space="1" w:color="auto"/>
      </w:pBdr>
      <w:tabs>
        <w:tab w:val="center" w:pos="4153"/>
        <w:tab w:val="right" w:pos="8306"/>
      </w:tabs>
      <w:snapToGrid w:val="0"/>
      <w:jc w:val="center"/>
    </w:pPr>
    <w:rPr>
      <w:rFonts w:ascii="Times New Roman" w:cs="Times New Roman" w:hAnsi="Times New Roman"/>
      <w:kern w:val="0"/>
      <w:sz w:val="18"/>
      <w:szCs w:val="18"/>
    </w:rPr>
  </w:style>
  <w:style w:type="paragraph" w:styleId="18">
    <w:name w:val="toc 1"/>
    <w:basedOn w:val="0"/>
    <w:next w:val="0"/>
    <w:pPr>
      <w:tabs>
        <w:tab w:val="right" w:leader="dot" w:pos="8296"/>
      </w:tabs>
      <w:spacing w:before="93"/>
      <w:jc w:val="center"/>
    </w:pPr>
    <w:rPr>
      <w:rFonts w:ascii="仿宋" w:eastAsia="仿宋"/>
      <w:sz w:val="28"/>
      <w:szCs w:val="28"/>
    </w:rPr>
  </w:style>
  <w:style w:type="paragraph" w:styleId="19">
    <w:name w:val="Normal (Web)"/>
    <w:pPr>
      <w:widowControl/>
      <w:spacing w:before="100" w:beforeAutospacing="1" w:after="100" w:afterAutospacing="1"/>
      <w:jc w:val="left"/>
    </w:pPr>
    <w:rPr>
      <w:rFonts w:ascii="宋体" w:eastAsia="宋体" w:cs="宋体"/>
      <w:kern w:val="0"/>
      <w:sz w:val="24"/>
      <w:szCs w:val="21"/>
      <w:lang w:val="en-US" w:eastAsia="zh-CN" w:bidi="ar-SA"/>
    </w:rPr>
  </w:style>
  <w:style w:type="character" w:styleId="20">
    <w:name w:val="Strong"/>
    <w:rPr>
      <w:b/>
      <w:bCs/>
    </w:rPr>
  </w:style>
  <w:style w:type="character" w:styleId="21">
    <w:name w:val="FollowedHyperlink"/>
    <w:rPr>
      <w:color w:val="800080"/>
      <w:u w:val="single"/>
    </w:rPr>
  </w:style>
  <w:style w:type="character" w:styleId="22">
    <w:name w:val="Hyperlink"/>
    <w:rPr>
      <w:color w:val="0000FF"/>
      <w:u w:val="single"/>
    </w:rPr>
  </w:style>
  <w:style w:type="character" w:customStyle="1" w:styleId="23">
    <w:name w:val="页脚 Char"/>
    <w:basedOn w:val="10"/>
    <w:rPr>
      <w:rFonts w:ascii="Calibri" w:eastAsia="宋体" w:cs="Calibri" w:hAnsi="Calibri"/>
      <w:sz w:val="18"/>
      <w:szCs w:val="18"/>
    </w:rPr>
  </w:style>
  <w:style w:type="character" w:customStyle="1" w:styleId="24">
    <w:name w:val="页眉 Char"/>
    <w:basedOn w:val="10"/>
    <w:rPr>
      <w:rFonts w:ascii="Calibri" w:eastAsia="宋体" w:cs="Calibri" w:hAnsi="Calibri"/>
      <w:sz w:val="18"/>
      <w:szCs w:val="18"/>
    </w:rPr>
  </w:style>
  <w:style w:type="character" w:customStyle="1" w:styleId="25">
    <w:name w:val="apple-converted-space"/>
    <w:basedOn w:val="10"/>
  </w:style>
  <w:style w:type="character" w:customStyle="1" w:styleId="26">
    <w:name w:val="批注框文本 Char"/>
    <w:basedOn w:val="10"/>
    <w:rPr>
      <w:rFonts w:ascii="Calibri" w:eastAsia="宋体" w:cs="Calibri" w:hAnsi="Calibri"/>
      <w:sz w:val="18"/>
      <w:szCs w:val="18"/>
    </w:rPr>
  </w:style>
  <w:style w:type="paragraph" w:styleId="27">
    <w:name w:val="No Spacing"/>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chart" Target="charts/chart1.xml"/><Relationship Id="rId4" Type="http://schemas.openxmlformats.org/officeDocument/2006/relationships/chart" Target="charts/chart2.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财政拔款收入</a:t>
            </a:r>
          </a:p>
        </c:rich>
      </c:tx>
      <c:layout/>
      <c:overlay val="0"/>
      <c:spPr>
        <a:noFill/>
        <a:ln>
          <a:noFill/>
        </a:ln>
      </c:spPr>
    </c:title>
    <c:autoTitleDeleted val="1"/>
    <c:plotArea>
      <c:layout/>
      <c:barChart>
        <c:barDir val="col"/>
        <c:grouping val="clustered"/>
        <c:varyColors val="0"/>
        <c:ser>
          <c:idx val="0"/>
          <c:order val="0"/>
          <c:tx>
            <c:strRef>
              <c:f>'Sheet1'!$B$1</c:f>
              <c:strCache>
                <c:ptCount val="1"/>
                <c:pt idx="0">
                  <c:v>2022年</c:v>
                </c:pt>
              </c:strCache>
            </c:strRef>
          </c:tx>
          <c:spPr>
            <a:solidFill>
              <a:srgbClr val="4F81BD"/>
            </a:solidFill>
            <a:ln>
              <a:noFill/>
            </a:ln>
          </c:spPr>
          <c:invertIfNegative val="0"/>
          <c:dLbls>
            <c:showLegendKey val="0"/>
            <c:showVal val="0"/>
            <c:showCatName val="0"/>
            <c:showSerName val="0"/>
            <c:showPercent val="0"/>
            <c:showBubbleSize val="0"/>
            <c:showLeaderLines val="0"/>
          </c:dLbls>
          <c:cat>
            <c:strRef>
              <c:f>'Sheet1'!$A$2</c:f>
              <c:strCache>
                <c:ptCount val="1"/>
                <c:pt idx="0">
                  <c:v>财政拔款收入</c:v>
                </c:pt>
              </c:strCache>
            </c:strRef>
          </c:cat>
          <c:val>
            <c:numRef>
              <c:f>Sheet1!$B$2</c:f>
              <c:numCache>
                <c:formatCode>General</c:formatCode>
                <c:ptCount val="1"/>
                <c:pt idx="0">
                  <c:v>290.68</c:v>
                </c:pt>
              </c:numCache>
            </c:numRef>
          </c:val>
        </c:ser>
        <c:ser>
          <c:idx val="1"/>
          <c:order val="1"/>
          <c:tx>
            <c:strRef>
              <c:f>'Sheet1'!$C$1</c:f>
              <c:strCache>
                <c:ptCount val="1"/>
                <c:pt idx="0">
                  <c:v>2021年</c:v>
                </c:pt>
              </c:strCache>
            </c:strRef>
          </c:tx>
          <c:spPr>
            <a:solidFill>
              <a:srgbClr val="C0504D"/>
            </a:solidFill>
            <a:ln>
              <a:noFill/>
            </a:ln>
          </c:spPr>
          <c:invertIfNegative val="0"/>
          <c:dLbls>
            <c:showLegendKey val="0"/>
            <c:showVal val="0"/>
            <c:showCatName val="0"/>
            <c:showSerName val="0"/>
            <c:showPercent val="0"/>
            <c:showBubbleSize val="0"/>
            <c:showLeaderLines val="0"/>
          </c:dLbls>
          <c:cat>
            <c:strRef>
              <c:f>'Sheet1'!$A$2</c:f>
              <c:strCache>
                <c:ptCount val="1"/>
                <c:pt idx="0">
                  <c:v>财政拔款收入</c:v>
                </c:pt>
              </c:strCache>
            </c:strRef>
          </c:cat>
          <c:val>
            <c:numRef>
              <c:f>Sheet1!$C$2</c:f>
              <c:numCache>
                <c:formatCode>General</c:formatCode>
                <c:ptCount val="1"/>
                <c:pt idx="0">
                  <c:v>242.18</c:v>
                </c:pt>
              </c:numCache>
            </c:numRef>
          </c:val>
        </c:ser>
        <c:ser>
          <c:idx val="2"/>
          <c:order val="2"/>
          <c:spPr>
            <a:solidFill>
              <a:srgbClr val="9BBB59"/>
            </a:solidFill>
            <a:ln>
              <a:noFill/>
            </a:ln>
          </c:spPr>
          <c:invertIfNegative val="0"/>
          <c:dLbls>
            <c:showLegendKey val="0"/>
            <c:showVal val="0"/>
            <c:showCatName val="0"/>
            <c:showSerName val="0"/>
            <c:showPercent val="0"/>
            <c:showBubbleSize val="0"/>
            <c:showLeaderLines val="0"/>
          </c:dLbls>
          <c:cat>
            <c:strRef>
              <c:f>'Sheet1'!$A$2</c:f>
              <c:strCache>
                <c:ptCount val="1"/>
                <c:pt idx="0">
                  <c:v>财政拔款收入</c:v>
                </c:pt>
              </c:strCache>
            </c:strRef>
          </c:cat>
          <c:val>
            <c:numRef>
              <c:f/>
              <c:numCache>
                <c:formatCode>General</c:formatCode>
                <c:ptCount val="1"/>
                <c:pt idx="0">
                  <c:v>1.0</c:v>
                </c:pt>
              </c:numCache>
            </c:numRef>
          </c:val>
        </c:ser>
        <c:overlap val="-27"/>
        <c:gapWidth val="219"/>
        <c:axId val="0"/>
        <c:axId val="1"/>
      </c:barChart>
      <c:catAx>
        <c:axId val="0"/>
        <c:scaling>
          <c:orientation val="minMax"/>
        </c:scaling>
        <c:delete val="1"/>
        <c:axPos val="b"/>
        <c:numFmt formatCode="General" sourceLinked="1"/>
        <c:majorTickMark val="none"/>
        <c:minorTickMark val="none"/>
        <c:tickLblPos val="nextTo"/>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manualLayout>
          <c:xMode val="edge"/>
          <c:yMode val="edge"/>
          <c:x val="0.356125"/>
          <c:y val="0.9061667"/>
          <c:w val="0.359625"/>
          <c:h val="0.07383333"/>
        </c:manualLayou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Entry>
        <c:idx val="2"/>
        <c:delete val="1"/>
      </c:legendEntry>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财政拔款支出</a:t>
            </a:r>
          </a:p>
        </c:rich>
      </c:tx>
      <c:layout/>
      <c:overlay val="0"/>
      <c:spPr>
        <a:noFill/>
        <a:ln>
          <a:noFill/>
        </a:ln>
      </c:spPr>
    </c:title>
    <c:autoTitleDeleted val="1"/>
    <c:plotArea>
      <c:layout/>
      <c:pieChart>
        <c:varyColors val="1"/>
        <c:ser>
          <c:idx val="0"/>
          <c:order val="0"/>
          <c:tx>
            <c:strRef>
              <c:f>'Sheet1 (2)'!$B$1</c:f>
              <c:strCache>
                <c:ptCount val="1"/>
                <c:pt idx="0">
                  <c:v>财政拔款支出</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showLegendKey val="0"/>
            <c:showVal val="0"/>
            <c:showCatName val="0"/>
            <c:showSerName val="0"/>
            <c:showPercent val="0"/>
            <c:showBubbleSize val="0"/>
            <c:showLeaderLines val="0"/>
          </c:dLbls>
          <c:cat>
            <c:strRef>
              <c:f>'Sheet1 (2)'!$A$2:$A$5</c:f>
              <c:strCache>
                <c:ptCount val="4"/>
                <c:pt idx="0">
                  <c:v>教育支出</c:v>
                </c:pt>
                <c:pt idx="1">
                  <c:v>社会保障和就业支出</c:v>
                </c:pt>
                <c:pt idx="2">
                  <c:v>医疗卫生支出</c:v>
                </c:pt>
                <c:pt idx="3">
                  <c:v>住房保障支出</c:v>
                </c:pt>
              </c:strCache>
            </c:strRef>
          </c:cat>
          <c:val>
            <c:numRef>
              <c:f>'Sheet1 (2)'!$B$2:$B$5</c:f>
              <c:numCache>
                <c:formatCode>General</c:formatCode>
                <c:ptCount val="4"/>
                <c:pt idx="0">
                  <c:v>0.03</c:v>
                </c:pt>
                <c:pt idx="1">
                  <c:v>259.17</c:v>
                </c:pt>
                <c:pt idx="2">
                  <c:v>12.5</c:v>
                </c:pt>
                <c:pt idx="3">
                  <c:v>18.98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5</TotalTime>
  <Application>Yozo_Office27021597764231179</Application>
  <Pages>14</Pages>
  <Words>4593</Words>
  <Characters>5319</Characters>
  <Lines>277</Lines>
  <Paragraphs>131</Paragraphs>
  <CharactersWithSpaces>5362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闻吉</dc:creator>
  <cp:lastModifiedBy>user</cp:lastModifiedBy>
  <cp:revision>13</cp:revision>
  <cp:lastPrinted>2023-09-21T01:46:27Z</cp:lastPrinted>
  <dcterms:created xsi:type="dcterms:W3CDTF">2018-09-18T09:06:00Z</dcterms:created>
  <dcterms:modified xsi:type="dcterms:W3CDTF">2023-09-21T03:48:48Z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890F88624E0D421F800D36BD61149FD5_12</vt:lpwstr>
  </property>
</Properties>
</file>