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5377193"/>
      <w:bookmarkStart w:id="3" w:name="_Toc15396597"/>
      <w:bookmarkStart w:id="4" w:name="_Toc15378441"/>
      <w:bookmarkStart w:id="5" w:name="_Toc15396475"/>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426"/>
      <w:bookmarkStart w:id="7" w:name="_Toc15378442"/>
      <w:bookmarkStart w:id="8" w:name="_Toc15396476"/>
      <w:bookmarkStart w:id="9" w:name="_Toc15396598"/>
      <w:bookmarkStart w:id="10" w:name="_Toc15377194"/>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金川县城乡居民养老保险事务中心部门决算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sz w:val="28"/>
          <w:szCs w:val="28"/>
        </w:rPr>
      </w:pPr>
      <w:r>
        <w:rPr>
          <w:rStyle w:val="15"/>
          <w:rFonts w:hint="eastAsia" w:ascii="仿宋" w:eastAsia="仿宋"/>
          <w:bCs/>
          <w:sz w:val="28"/>
          <w:szCs w:val="28"/>
        </w:rPr>
        <w:t xml:space="preserve"> 十、预算绩效情况说明..................................12</w:t>
      </w:r>
    </w:p>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4</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7</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7</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3</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96600"/>
      <w:bookmarkStart w:id="15" w:name="_Toc15377197"/>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ind w:firstLine="640" w:firstLineChars="200"/>
        <w:rPr>
          <w:rFonts w:ascii="仿宋" w:hAnsi="仿宋" w:eastAsia="仿宋" w:cs="仿宋"/>
          <w:sz w:val="32"/>
          <w:szCs w:val="32"/>
        </w:rPr>
      </w:pPr>
      <w:r>
        <w:rPr>
          <w:rFonts w:hint="eastAsia" w:ascii="仿宋" w:hAnsi="仿宋" w:eastAsia="仿宋" w:cs="仿宋"/>
          <w:sz w:val="32"/>
          <w:szCs w:val="32"/>
        </w:rPr>
        <w:t>1).承担城乡居民养老保险收支管理的责任。负责编制年度预决算并组织执行。接受县人事委托，向县人民代表大会报告我局预算及其执行情况。</w:t>
      </w:r>
    </w:p>
    <w:p>
      <w:pPr>
        <w:ind w:firstLine="640" w:firstLineChars="200"/>
        <w:rPr>
          <w:rFonts w:ascii="仿宋" w:hAnsi="仿宋" w:eastAsia="仿宋" w:cs="仿宋"/>
          <w:sz w:val="32"/>
          <w:szCs w:val="32"/>
        </w:rPr>
      </w:pPr>
      <w:r>
        <w:rPr>
          <w:rFonts w:hint="eastAsia" w:ascii="仿宋" w:hAnsi="仿宋" w:eastAsia="仿宋" w:cs="仿宋"/>
          <w:sz w:val="32"/>
          <w:szCs w:val="32"/>
        </w:rPr>
        <w:t>2).负责政府非税收入管理。负责政府性基金管理，按规定管理行政事业性收费，管理非税票据。</w:t>
      </w:r>
    </w:p>
    <w:p>
      <w:pPr>
        <w:ind w:firstLine="640" w:firstLineChars="200"/>
        <w:rPr>
          <w:rFonts w:ascii="仿宋" w:hAnsi="仿宋" w:eastAsia="仿宋" w:cs="仿宋"/>
          <w:sz w:val="32"/>
          <w:szCs w:val="32"/>
        </w:rPr>
      </w:pPr>
      <w:r>
        <w:rPr>
          <w:rFonts w:hint="eastAsia" w:ascii="仿宋" w:hAnsi="仿宋" w:eastAsia="仿宋" w:cs="仿宋"/>
          <w:sz w:val="32"/>
          <w:szCs w:val="32"/>
        </w:rPr>
        <w:t>3).负责管理我局的会计工作，监督和规范会计行为，组织实施国家统一的会计制度。</w:t>
      </w:r>
    </w:p>
    <w:p>
      <w:pPr>
        <w:ind w:firstLine="640" w:firstLineChars="200"/>
        <w:rPr>
          <w:rFonts w:ascii="仿宋" w:hAnsi="仿宋" w:eastAsia="仿宋" w:cs="仿宋"/>
          <w:sz w:val="32"/>
          <w:szCs w:val="32"/>
        </w:rPr>
      </w:pPr>
      <w:r>
        <w:rPr>
          <w:rFonts w:hint="eastAsia" w:ascii="仿宋" w:hAnsi="仿宋" w:eastAsia="仿宋" w:cs="仿宋"/>
          <w:sz w:val="32"/>
          <w:szCs w:val="32"/>
        </w:rPr>
        <w:t>4).负责财政资金绩效评价。监督财税法规、政策的执行情况，反映财政收支管理中的重大问题。</w:t>
      </w:r>
    </w:p>
    <w:p>
      <w:pPr>
        <w:ind w:firstLine="640" w:firstLineChars="200"/>
        <w:rPr>
          <w:rFonts w:ascii="仿宋" w:hAnsi="仿宋" w:eastAsia="仿宋" w:cs="仿宋"/>
          <w:sz w:val="32"/>
          <w:szCs w:val="32"/>
        </w:rPr>
      </w:pPr>
      <w:r>
        <w:rPr>
          <w:rFonts w:hint="eastAsia" w:ascii="仿宋" w:hAnsi="仿宋" w:eastAsia="仿宋" w:cs="仿宋"/>
          <w:sz w:val="32"/>
          <w:szCs w:val="32"/>
        </w:rPr>
        <w:t>5).金川县城乡居民养老保险事务中心是主管农民、居民养老保险收支、统筹、管理及利用的部门。</w:t>
      </w:r>
    </w:p>
    <w:p>
      <w:pPr>
        <w:ind w:firstLine="640" w:firstLineChars="200"/>
        <w:rPr>
          <w:rFonts w:ascii="仿宋" w:hAnsi="仿宋" w:eastAsia="仿宋" w:cs="仿宋"/>
          <w:sz w:val="32"/>
          <w:szCs w:val="32"/>
        </w:rPr>
      </w:pPr>
      <w:r>
        <w:rPr>
          <w:rFonts w:hint="eastAsia" w:ascii="仿宋" w:hAnsi="仿宋" w:eastAsia="仿宋" w:cs="仿宋"/>
          <w:sz w:val="32"/>
          <w:szCs w:val="32"/>
        </w:rPr>
        <w:t>6).承办县政府交办的其他事项。</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60" w:lineRule="exact"/>
        <w:ind w:firstLine="640" w:firstLineChars="200"/>
        <w:rPr>
          <w:rFonts w:ascii="仿宋" w:hAnsi="仿宋" w:eastAsia="仿宋" w:cs="仿宋"/>
          <w:sz w:val="32"/>
          <w:szCs w:val="32"/>
        </w:rPr>
      </w:pPr>
      <w:bookmarkStart w:id="20" w:name="_Toc15377200"/>
      <w:bookmarkStart w:id="21" w:name="_Toc15396601"/>
      <w:r>
        <w:rPr>
          <w:rFonts w:hint="eastAsia" w:ascii="仿宋" w:hAnsi="仿宋" w:eastAsia="仿宋" w:cs="仿宋"/>
          <w:sz w:val="32"/>
          <w:szCs w:val="32"/>
        </w:rPr>
        <w:t>截至12月，全县城乡居保覆盖人数为32916人，缴费人数18973人，其中由省级财政代缴未标注脱贫人员、低保对象、特困人群等困难群体代缴城乡居民养老保险549人；我县对2016年以来的扶贫人员代缴城乡居民养老保险3373人；为重症残疾人、失独人员代缴养老保险209人，合计代缴4131人，代缴金额41.31万元。</w:t>
      </w:r>
    </w:p>
    <w:p>
      <w:pPr>
        <w:spacing w:line="578" w:lineRule="exact"/>
        <w:ind w:firstLine="640" w:firstLineChars="200"/>
        <w:rPr>
          <w:rFonts w:ascii="仿宋" w:hAnsi="仿宋" w:eastAsia="仿宋" w:cs="仿宋"/>
          <w:sz w:val="32"/>
          <w:szCs w:val="32"/>
        </w:rPr>
      </w:pPr>
      <w:r>
        <w:rPr>
          <w:rFonts w:hint="eastAsia" w:ascii="仿宋" w:hAnsi="仿宋" w:eastAsia="仿宋" w:cs="仿宋"/>
          <w:sz w:val="32"/>
          <w:szCs w:val="32"/>
        </w:rPr>
        <w:t>截止12月底，征收城乡居民养老保险费532.35万元，为10775人发放城乡居民养老保险金1468.97万元。</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spacing w:line="576" w:lineRule="exact"/>
        <w:ind w:firstLine="640" w:firstLineChars="200"/>
        <w:rPr>
          <w:rFonts w:ascii="仿宋" w:hAnsi="仿宋" w:eastAsia="仿宋" w:cs="仿宋"/>
          <w:bCs/>
          <w:sz w:val="32"/>
        </w:rPr>
      </w:pPr>
      <w:bookmarkStart w:id="22" w:name="_Toc15396602"/>
      <w:bookmarkStart w:id="23" w:name="_Toc15377204"/>
      <w:r>
        <w:rPr>
          <w:rFonts w:hint="eastAsia" w:ascii="仿宋" w:hAnsi="仿宋" w:eastAsia="仿宋" w:cs="仿宋"/>
          <w:bCs/>
          <w:sz w:val="32"/>
        </w:rPr>
        <w:t>金川县</w:t>
      </w:r>
      <w:r>
        <w:rPr>
          <w:rFonts w:hint="eastAsia" w:ascii="仿宋" w:hAnsi="仿宋" w:eastAsia="仿宋" w:cs="仿宋"/>
          <w:color w:val="333333"/>
          <w:sz w:val="32"/>
          <w:szCs w:val="32"/>
          <w:shd w:val="clear" w:color="auto" w:fill="FFFFFF"/>
        </w:rPr>
        <w:t>城乡居民养老保险</w:t>
      </w:r>
      <w:r>
        <w:rPr>
          <w:rFonts w:hint="eastAsia" w:ascii="仿宋" w:hAnsi="仿宋" w:eastAsia="仿宋" w:cs="仿宋"/>
          <w:bCs/>
          <w:sz w:val="32"/>
        </w:rPr>
        <w:t>事务中心属独立编制的机构和独立核算的事业单位。</w:t>
      </w:r>
    </w:p>
    <w:p>
      <w:pPr>
        <w:snapToGrid w:val="0"/>
        <w:spacing w:line="520" w:lineRule="exact"/>
        <w:ind w:firstLine="640" w:firstLineChars="200"/>
        <w:rPr>
          <w:rFonts w:ascii="仿宋" w:hAnsi="仿宋" w:eastAsia="仿宋" w:cs="仿宋"/>
          <w:sz w:val="32"/>
          <w:szCs w:val="32"/>
        </w:rPr>
      </w:pPr>
      <w:r>
        <w:rPr>
          <w:rFonts w:hint="eastAsia" w:ascii="仿宋" w:hAnsi="仿宋" w:eastAsia="仿宋" w:cs="仿宋"/>
          <w:bCs/>
          <w:sz w:val="32"/>
        </w:rPr>
        <w:t>人员编制数15人，其中：事业15人。2020年调走1人，2020年末实有在职职工14人,(其中：事业管理13人，专技1人)，退休0人。</w:t>
      </w:r>
    </w:p>
    <w:p>
      <w:pPr>
        <w:pStyle w:val="2"/>
        <w:ind w:right="440"/>
        <w:jc w:val="center"/>
      </w:pPr>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1"/>
        </w:numPr>
        <w:ind w:left="0" w:firstLine="0" w:firstLineChars="0"/>
        <w:outlineLvl w:val="1"/>
        <w:rPr>
          <w:rStyle w:val="17"/>
          <w:rFonts w:ascii="黑体" w:eastAsia="黑体"/>
          <w:b w:val="0"/>
        </w:rPr>
      </w:pPr>
      <w:bookmarkStart w:id="24" w:name="_Toc15396603"/>
      <w:bookmarkStart w:id="25" w:name="_Toc15377205"/>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napToGrid w:val="0"/>
        <w:spacing w:line="520" w:lineRule="exact"/>
        <w:ind w:firstLine="632" w:firstLineChars="200"/>
        <w:rPr>
          <w:rFonts w:ascii="仿宋" w:hAnsi="仿宋" w:eastAsia="仿宋" w:cs="仿宋"/>
          <w:color w:val="000000"/>
          <w:spacing w:val="-2"/>
          <w:sz w:val="32"/>
          <w:szCs w:val="32"/>
        </w:rPr>
      </w:pPr>
      <w:r>
        <w:rPr>
          <w:rFonts w:hint="eastAsia" w:ascii="仿宋" w:hAnsi="仿宋" w:eastAsia="仿宋" w:cs="仿宋"/>
          <w:color w:val="000000"/>
          <w:spacing w:val="-2"/>
          <w:sz w:val="32"/>
          <w:szCs w:val="32"/>
        </w:rPr>
        <w:t>2020年度决算总收入228.72万元，较上年收入增加2.09万元，增加0.92%。增加的主要原因是2020年目标奖纳入年终决算，2019年是归集调入。</w:t>
      </w:r>
    </w:p>
    <w:p>
      <w:pPr>
        <w:snapToGrid w:val="0"/>
        <w:spacing w:line="520" w:lineRule="exact"/>
        <w:ind w:firstLine="632" w:firstLineChars="200"/>
        <w:rPr>
          <w:rFonts w:ascii="仿宋" w:hAnsi="仿宋" w:eastAsia="仿宋" w:cs="仿宋"/>
          <w:sz w:val="32"/>
          <w:szCs w:val="32"/>
        </w:rPr>
      </w:pPr>
      <w:r>
        <w:rPr>
          <w:rFonts w:hint="eastAsia" w:ascii="仿宋" w:hAnsi="仿宋" w:eastAsia="仿宋" w:cs="仿宋"/>
          <w:spacing w:val="-2"/>
          <w:sz w:val="32"/>
          <w:szCs w:val="32"/>
        </w:rPr>
        <w:t>2020年总支出228.72万元，较上年支出减少28.36万元，减少11.03%。主要原因一是2020年</w:t>
      </w:r>
      <w:r>
        <w:rPr>
          <w:rFonts w:hint="eastAsia" w:ascii="仿宋" w:hAnsi="仿宋" w:eastAsia="仿宋" w:cs="仿宋"/>
          <w:spacing w:val="-2"/>
          <w:sz w:val="32"/>
          <w:szCs w:val="32"/>
          <w:lang w:eastAsia="zh-CN"/>
        </w:rPr>
        <w:t>疫情防控期间</w:t>
      </w:r>
      <w:r>
        <w:rPr>
          <w:rFonts w:hint="eastAsia" w:ascii="仿宋" w:hAnsi="仿宋" w:eastAsia="仿宋" w:cs="仿宋"/>
          <w:spacing w:val="-2"/>
          <w:sz w:val="32"/>
          <w:szCs w:val="32"/>
        </w:rPr>
        <w:t>，减少外出开会及培训，经费较上年有所减少；二是2020年项目支出（扶贫代缴）财政代列。</w:t>
      </w:r>
    </w:p>
    <w:p>
      <w:pPr>
        <w:spacing w:line="600" w:lineRule="exact"/>
        <w:ind w:firstLine="640" w:firstLineChars="200"/>
        <w:rPr>
          <w:rStyle w:val="17"/>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305435</wp:posOffset>
            </wp:positionH>
            <wp:positionV relativeFrom="paragraph">
              <wp:posOffset>45720</wp:posOffset>
            </wp:positionV>
            <wp:extent cx="5080000" cy="2582545"/>
            <wp:effectExtent l="4445" t="4445" r="5715" b="1905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Style w:val="17"/>
          <w:rFonts w:ascii="黑体" w:eastAsia="黑体"/>
          <w:b w:val="0"/>
        </w:rPr>
      </w:pPr>
      <w:r>
        <w:rPr>
          <w:rFonts w:ascii="仿宋" w:eastAsia="仿宋"/>
          <w:color w:val="000000"/>
          <w:sz w:val="32"/>
          <w:szCs w:val="32"/>
        </w:rPr>
        <w:t>20</w:t>
      </w:r>
      <w:r>
        <w:rPr>
          <w:rFonts w:hint="eastAsia" w:ascii="仿宋" w:eastAsia="仿宋"/>
          <w:color w:val="000000"/>
          <w:sz w:val="32"/>
          <w:szCs w:val="32"/>
        </w:rPr>
        <w:t>20年总收入228.72万元，其中：一般公共预算财政拨款收入228.72万元，占100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2020年本年总支出228.72万元，其中：基本支出228.27万元，占99.81%；项目支出0.45万元，占0.19%；上缴上级支出0万元，占0%；经营支出0万元，占0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7"/>
          <w:rFonts w:ascii="黑体" w:eastAsia="黑体"/>
          <w:b w:val="0"/>
        </w:rPr>
      </w:pPr>
      <w:bookmarkStart w:id="30" w:name="_Toc15377208"/>
      <w:bookmarkStart w:id="31" w:name="_Toc15396606"/>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hAnsi="仿宋" w:eastAsia="仿宋" w:cs="仿宋"/>
          <w:color w:val="000000"/>
          <w:spacing w:val="-2"/>
          <w:sz w:val="32"/>
          <w:szCs w:val="32"/>
        </w:rPr>
      </w:pPr>
      <w:r>
        <w:rPr>
          <w:rFonts w:hint="eastAsia" w:ascii="仿宋" w:eastAsia="仿宋"/>
          <w:color w:val="000000"/>
          <w:sz w:val="32"/>
          <w:szCs w:val="32"/>
        </w:rPr>
        <w:t>2020年财政拨款收入228.72万元。与2019年相比，一般公共预算财政拨款收入较上年增加2.09元，增加0.92%。增加的主要原因是</w:t>
      </w:r>
      <w:r>
        <w:rPr>
          <w:rFonts w:hint="eastAsia" w:ascii="仿宋" w:hAnsi="仿宋" w:eastAsia="仿宋" w:cs="仿宋"/>
          <w:color w:val="000000"/>
          <w:spacing w:val="-2"/>
          <w:sz w:val="32"/>
          <w:szCs w:val="32"/>
        </w:rPr>
        <w:t>增加的主要原因是2020年目标奖纳入年终决算，2019年是归集调入。</w:t>
      </w:r>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2020年财政拨款支出228.72万元，</w:t>
      </w:r>
      <w:r>
        <w:rPr>
          <w:rFonts w:hint="eastAsia" w:ascii="仿宋" w:eastAsia="仿宋"/>
          <w:sz w:val="32"/>
          <w:szCs w:val="32"/>
        </w:rPr>
        <w:t>较上年支出减少28.36万元，减少11.03%</w:t>
      </w:r>
      <w:r>
        <w:rPr>
          <w:rFonts w:hint="eastAsia" w:ascii="仿宋_GB2312" w:eastAsia="仿宋_GB2312"/>
          <w:spacing w:val="-2"/>
          <w:sz w:val="32"/>
          <w:szCs w:val="32"/>
        </w:rPr>
        <w:t>。</w:t>
      </w:r>
    </w:p>
    <w:p>
      <w:pPr>
        <w:spacing w:line="600" w:lineRule="exact"/>
        <w:ind w:firstLine="640" w:firstLineChars="200"/>
        <w:rPr>
          <w:rStyle w:val="17"/>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96607"/>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 w:hAnsi="仿宋" w:eastAsia="仿宋" w:cs="仿宋"/>
          <w:color w:val="00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一般公共预算财政拨款支出228.72万元，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支出增加2.09万元，增加0.92%。</w:t>
      </w:r>
      <w:r>
        <w:rPr>
          <w:rFonts w:hint="eastAsia" w:ascii="仿宋" w:hAnsi="仿宋" w:eastAsia="仿宋" w:cs="仿宋"/>
          <w:color w:val="000000"/>
          <w:spacing w:val="-2"/>
          <w:sz w:val="32"/>
          <w:szCs w:val="32"/>
        </w:rPr>
        <w:t>增加的主要原因是2020年目标奖纳入年终决算，2019年是归集调入。</w:t>
      </w:r>
    </w:p>
    <w:p>
      <w:pPr>
        <w:snapToGrid w:val="0"/>
        <w:spacing w:line="520" w:lineRule="exact"/>
        <w:ind w:firstLine="632" w:firstLineChars="200"/>
        <w:rPr>
          <w:rFonts w:ascii="仿宋_GB2312" w:eastAsia="仿宋_GB2312"/>
          <w:color w:val="FF0000"/>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20年一般公共预算财政拨款支出228.72万元，主要用于以下方面</w:t>
      </w:r>
      <w:r>
        <w:rPr>
          <w:rFonts w:ascii="仿宋" w:eastAsia="仿宋"/>
          <w:color w:val="000000"/>
          <w:sz w:val="32"/>
          <w:szCs w:val="32"/>
        </w:rPr>
        <w:t>:</w:t>
      </w:r>
      <w:r>
        <w:rPr>
          <w:rFonts w:hint="eastAsia" w:ascii="仿宋" w:eastAsia="仿宋"/>
          <w:b/>
          <w:bCs/>
          <w:color w:val="000000"/>
          <w:sz w:val="32"/>
          <w:szCs w:val="32"/>
        </w:rPr>
        <w:t>教育</w:t>
      </w:r>
      <w:r>
        <w:rPr>
          <w:rFonts w:hint="eastAsia" w:ascii="仿宋" w:eastAsia="仿宋"/>
          <w:b/>
          <w:bCs/>
          <w:color w:val="000000"/>
          <w:sz w:val="32"/>
          <w:szCs w:val="32"/>
          <w:lang w:eastAsia="zh-CN"/>
        </w:rPr>
        <w:t>支出</w:t>
      </w:r>
      <w:r>
        <w:rPr>
          <w:rFonts w:hint="eastAsia" w:ascii="仿宋" w:eastAsia="仿宋"/>
          <w:color w:val="000000"/>
          <w:sz w:val="32"/>
          <w:szCs w:val="32"/>
        </w:rPr>
        <w:t>0.45万元占，0.2%；</w:t>
      </w:r>
      <w:r>
        <w:rPr>
          <w:rFonts w:hint="eastAsia" w:ascii="仿宋" w:eastAsia="仿宋"/>
          <w:b/>
          <w:color w:val="000000"/>
          <w:sz w:val="32"/>
          <w:szCs w:val="32"/>
        </w:rPr>
        <w:t>社会保障和就业</w:t>
      </w:r>
      <w:r>
        <w:rPr>
          <w:rFonts w:hint="eastAsia" w:ascii="仿宋" w:eastAsia="仿宋"/>
          <w:color w:val="000000"/>
          <w:sz w:val="32"/>
          <w:szCs w:val="32"/>
        </w:rPr>
        <w:t>支出199.26万元，占87.12</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10.74万元，占4.7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18.27万元，占7.98</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7213"/>
      <w:bookmarkStart w:id="37" w:name="_Toc15378460"/>
      <w:bookmarkStart w:id="38" w:name="_Toc15377444"/>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2020年一般公共预算年初预算数为386.3万元，支出决算数为228.72万元，决算完</w:t>
      </w:r>
      <w:r>
        <w:rPr>
          <w:rStyle w:val="14"/>
          <w:rFonts w:hint="eastAsia" w:ascii="仿宋" w:eastAsia="仿宋"/>
          <w:b w:val="0"/>
          <w:bCs/>
          <w:color w:val="000000"/>
          <w:sz w:val="32"/>
          <w:szCs w:val="32"/>
        </w:rPr>
        <w:t>成预算59.20</w:t>
      </w:r>
      <w:r>
        <w:rPr>
          <w:rStyle w:val="14"/>
          <w:rFonts w:ascii="仿宋" w:eastAsia="仿宋"/>
          <w:b w:val="0"/>
          <w:bCs/>
          <w:color w:val="000000"/>
          <w:sz w:val="32"/>
          <w:szCs w:val="32"/>
        </w:rPr>
        <w:t>%</w:t>
      </w:r>
      <w:r>
        <w:rPr>
          <w:rStyle w:val="14"/>
          <w:rFonts w:hint="eastAsia" w:ascii="仿宋" w:eastAsia="仿宋"/>
          <w:b w:val="0"/>
          <w:bCs/>
          <w:color w:val="000000"/>
          <w:sz w:val="32"/>
          <w:szCs w:val="32"/>
        </w:rPr>
        <w:t>，因扶贫代缴33.73万元；失地农民“出口”补助54.52万元；失地农民养老保险代缴51.62万元；各档次缴费补助27.17万元；合计167.04万元是财政代列。结转下年0万元。其中：</w:t>
      </w:r>
      <w:bookmarkEnd w:id="36"/>
      <w:bookmarkEnd w:id="37"/>
      <w:bookmarkEnd w:id="38"/>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1.教育支出（类）进修及培训（款）培训支出（项）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支出决算为0.45万元，完成预算100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社会保障和就业（类）人力资源和社会保障管理（款）社会保险经办机构（项）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支出决算为171.09万元，完成预算100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社会保障和就业（类）行政事业单位离退休（款）机关事业单位基本养老保险缴费支出（项）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支出决算为18.78万元，完成预算100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社会保障和就业（类）行政事业单位离退休（款）机关事业单位基本职业年金缴费支出（项）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支出决算为9.39万元，完成预算100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5.卫生健康支出（类）行政事业单位医疗（款）事业单位医疗（项）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支出决算为8.22万元，完成预算100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6.卫生健康支出（类）行政事业单位医疗（款）公务员医疗补助（项）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支出决算为2.52万元，完成预算100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3" w:firstLineChars="200"/>
        <w:rPr>
          <w:rStyle w:val="14"/>
          <w:rFonts w:ascii="仿宋" w:eastAsia="仿宋"/>
          <w:bCs/>
          <w:color w:val="000000"/>
          <w:sz w:val="32"/>
          <w:szCs w:val="32"/>
        </w:rPr>
      </w:pPr>
      <w:bookmarkStart w:id="40" w:name="_Toc15377214"/>
      <w:bookmarkStart w:id="41" w:name="_Toc15396608"/>
      <w:r>
        <w:rPr>
          <w:rStyle w:val="14"/>
          <w:rFonts w:hint="eastAsia" w:ascii="仿宋" w:eastAsia="仿宋"/>
          <w:bCs/>
          <w:color w:val="000000"/>
          <w:sz w:val="32"/>
          <w:szCs w:val="32"/>
        </w:rPr>
        <w:t>7.住房保障（类）住房改革支出（款）住房公积金（项）：</w:t>
      </w:r>
      <w:r>
        <w:rPr>
          <w:rStyle w:val="14"/>
          <w:rFonts w:hint="eastAsia" w:ascii="仿宋" w:eastAsia="仿宋"/>
          <w:b w:val="0"/>
          <w:bCs/>
          <w:color w:val="000000"/>
          <w:sz w:val="32"/>
          <w:szCs w:val="32"/>
        </w:rPr>
        <w:t>支出决算为18.27万元，完成预算100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，决算数等于预算数。</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20年一般公共预算财政拨款基本支出228.27万元，其中：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215.88万元，主要包括：基本工资47.93万元、津贴补贴23.72万元、奖金3.63万元、绩效工资45.34万元、机关事业单位基本养老保险缴费18.78万元、职业年金缴费9.39万元、职工基本医疗保险缴费8.22万元、其他社会保障缴费4.73万元、住房公积金18.27万元、其他对个人和家庭的补助支出35.87万元等。</w:t>
      </w:r>
    </w:p>
    <w:p>
      <w:pPr>
        <w:spacing w:line="600" w:lineRule="exact"/>
        <w:ind w:firstLine="645"/>
        <w:rPr>
          <w:rFonts w:ascii="仿宋" w:eastAsia="仿宋"/>
          <w:color w:val="000000"/>
          <w:sz w:val="32"/>
          <w:szCs w:val="32"/>
        </w:rPr>
      </w:pPr>
      <w:r>
        <w:rPr>
          <w:rFonts w:hint="eastAsia" w:ascii="仿宋" w:eastAsia="仿宋"/>
          <w:color w:val="000000"/>
          <w:sz w:val="32"/>
          <w:szCs w:val="32"/>
        </w:rPr>
        <w:t>　　公用经费12.4万元，主要包括：办公费3.5万元、印刷费0.5万元、电费0.5万元、邮电费0.72万元、差旅费3.5万元、因公出国（境）费用0万元、维修（护）费0万元、租赁费0万元、会议费0万元、培训费0万元、劳务费0.4万元、其他交通费3.28万元、公务接待费0万元、福利费0万元、公务用车运行维护费0万元、其他商品和服务支出0万元、办公设备购置0万元、无形资产购置0万元等。</w:t>
      </w:r>
    </w:p>
    <w:p>
      <w:pPr>
        <w:spacing w:line="600" w:lineRule="exact"/>
        <w:ind w:firstLine="640" w:firstLineChars="200"/>
        <w:outlineLvl w:val="1"/>
        <w:rPr>
          <w:rStyle w:val="17"/>
          <w:rFonts w:ascii="黑体" w:eastAsia="黑体"/>
          <w:b w:val="0"/>
        </w:rPr>
      </w:pPr>
      <w:bookmarkStart w:id="42" w:name="_Toc15396609"/>
      <w:bookmarkStart w:id="43" w:name="_Toc15377215"/>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20年“三公”经费财政拨款支出决算为0万元。</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决算0万元</w:t>
      </w:r>
      <w:r>
        <w:rPr>
          <w:rFonts w:hint="eastAsia" w:ascii="仿宋" w:eastAsia="仿宋"/>
          <w:color w:val="000000"/>
          <w:sz w:val="32"/>
          <w:szCs w:val="32"/>
        </w:rPr>
        <w:t>，其中：因公出国（境）费支出决算0万元；公务用车购置及运行维护费支出决算0万元；公务接待费支出决算0万元。具体情况如下：</w:t>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0万元。</w:t>
      </w:r>
    </w:p>
    <w:p>
      <w:pPr>
        <w:spacing w:line="600" w:lineRule="exact"/>
        <w:ind w:firstLine="640"/>
        <w:outlineLvl w:val="1"/>
        <w:rPr>
          <w:rFonts w:ascii="仿宋_GB2312" w:eastAsia="仿宋_GB2312"/>
          <w:color w:val="000000"/>
          <w:sz w:val="32"/>
          <w:szCs w:val="32"/>
        </w:rPr>
      </w:pPr>
      <w:r>
        <w:rPr>
          <w:rFonts w:hint="eastAsia" w:ascii="仿宋" w:hAnsi="仿宋" w:eastAsia="仿宋" w:cs="仿宋"/>
          <w:b/>
          <w:color w:val="000000"/>
          <w:sz w:val="32"/>
          <w:szCs w:val="32"/>
        </w:rPr>
        <w:t>3.公务接待费支出</w:t>
      </w:r>
      <w:r>
        <w:rPr>
          <w:rFonts w:hint="eastAsia" w:ascii="仿宋" w:hAnsi="仿宋" w:eastAsia="仿宋" w:cs="仿宋"/>
          <w:bCs/>
          <w:color w:val="000000"/>
          <w:sz w:val="32"/>
          <w:szCs w:val="32"/>
        </w:rPr>
        <w:t>0万元</w:t>
      </w:r>
      <w:bookmarkStart w:id="46" w:name="_Toc15396610"/>
      <w:bookmarkStart w:id="47" w:name="_Toc15377218"/>
      <w:r>
        <w:rPr>
          <w:rFonts w:hint="eastAsia" w:ascii="仿宋_GB2312" w:eastAsia="仿宋_GB2312"/>
          <w:color w:val="000000"/>
          <w:sz w:val="32"/>
          <w:szCs w:val="32"/>
        </w:rPr>
        <w:t>。</w:t>
      </w:r>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2020年政府性基金预算拨款支出0万元。</w:t>
      </w:r>
    </w:p>
    <w:p>
      <w:pPr>
        <w:numPr>
          <w:ilvl w:val="0"/>
          <w:numId w:val="3"/>
        </w:numPr>
        <w:spacing w:line="600" w:lineRule="exact"/>
        <w:ind w:firstLine="640"/>
        <w:outlineLvl w:val="1"/>
        <w:rPr>
          <w:rStyle w:val="17"/>
          <w:rFonts w:ascii="黑体" w:eastAsia="黑体"/>
          <w:b w:val="0"/>
        </w:rPr>
      </w:pPr>
      <w:bookmarkStart w:id="48" w:name="_Toc15396611"/>
      <w:bookmarkStart w:id="49" w:name="_Toc15377219"/>
      <w:r>
        <w:rPr>
          <w:rStyle w:val="17"/>
          <w:rFonts w:hint="eastAsia" w:ascii="黑体" w:eastAsia="黑体"/>
          <w:b w:val="0"/>
        </w:rPr>
        <w:t>国有资本经营预算支出决算情况说明</w:t>
      </w:r>
      <w:bookmarkEnd w:id="48"/>
      <w:bookmarkEnd w:id="49"/>
    </w:p>
    <w:p>
      <w:pPr>
        <w:spacing w:line="600" w:lineRule="exact"/>
        <w:ind w:firstLine="640"/>
        <w:rPr>
          <w:rFonts w:ascii="仿宋" w:hAnsi="仿宋" w:eastAsia="仿宋" w:cs="仿宋"/>
          <w:color w:val="000000"/>
          <w:sz w:val="32"/>
          <w:szCs w:val="32"/>
        </w:rPr>
      </w:pPr>
      <w:r>
        <w:rPr>
          <w:rFonts w:hint="eastAsia" w:ascii="仿宋" w:hAnsi="仿宋" w:eastAsia="仿宋" w:cs="仿宋"/>
          <w:color w:val="000000"/>
          <w:sz w:val="32"/>
          <w:szCs w:val="32"/>
        </w:rPr>
        <w:t>2020年国有资本经营预算拨款支出0万元。</w:t>
      </w:r>
    </w:p>
    <w:p>
      <w:pPr>
        <w:pStyle w:val="22"/>
        <w:numPr>
          <w:ilvl w:val="0"/>
          <w:numId w:val="4"/>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5"/>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根据预算绩效管理要求，我单位在年初预算编制阶段，组织对项目开展了预算事前绩效评估，对4个项目编制了绩效目标，预算执行过程中，4个项目开展绩效监控，年终执行完毕后，对4个项目开展了绩效目标完成情况梳理。</w:t>
      </w:r>
    </w:p>
    <w:p>
      <w:pPr>
        <w:spacing w:line="580" w:lineRule="exact"/>
        <w:ind w:firstLine="640" w:firstLineChars="200"/>
        <w:rPr>
          <w:rFonts w:ascii="仿宋" w:hAnsi="仿宋" w:eastAsia="仿宋" w:cs="仿宋"/>
          <w:sz w:val="32"/>
          <w:szCs w:val="32"/>
        </w:rPr>
      </w:pPr>
      <w:r>
        <w:rPr>
          <w:rFonts w:hint="eastAsia" w:ascii="仿宋" w:hAnsi="仿宋" w:eastAsia="仿宋" w:cs="仿宋"/>
          <w:sz w:val="32"/>
          <w:szCs w:val="32"/>
        </w:rPr>
        <w:t>本单位按要求对2020年部门整体支出开展绩效自评，经全面综合评价，我单位预算支出绩效自评得分90</w:t>
      </w:r>
      <w:r>
        <w:rPr>
          <w:rFonts w:hint="eastAsia" w:ascii="仿宋" w:hAnsi="仿宋" w:eastAsia="仿宋" w:cs="仿宋"/>
          <w:color w:val="000000"/>
          <w:sz w:val="32"/>
          <w:szCs w:val="32"/>
        </w:rPr>
        <w:t>分</w:t>
      </w:r>
      <w:r>
        <w:rPr>
          <w:rFonts w:hint="eastAsia" w:ascii="仿宋" w:hAnsi="仿宋" w:eastAsia="仿宋" w:cs="仿宋"/>
          <w:sz w:val="32"/>
          <w:szCs w:val="32"/>
        </w:rPr>
        <w:t>（扣除我单位不存在的评价指标分值,总分为92.2分）。我单位深入贯彻落实十九大关于“全面实施绩效管理”的要求，努力提升本单位绩效预算管理业务水平。主动公开绩效结果，加大资金使用效率，提升政府管理水平。</w:t>
      </w:r>
    </w:p>
    <w:p>
      <w:pPr>
        <w:numPr>
          <w:ilvl w:val="0"/>
          <w:numId w:val="5"/>
        </w:numPr>
        <w:spacing w:line="580" w:lineRule="exact"/>
        <w:ind w:firstLine="643" w:firstLineChars="200"/>
        <w:jc w:val="left"/>
        <w:rPr>
          <w:rFonts w:ascii="仿宋" w:hAnsi="仿宋" w:eastAsia="仿宋" w:cs="仿宋"/>
          <w:sz w:val="32"/>
          <w:szCs w:val="32"/>
        </w:rPr>
      </w:pPr>
      <w:r>
        <w:rPr>
          <w:rFonts w:hint="eastAsia" w:ascii="仿宋" w:eastAsia="仿宋" w:cs="楷体_GB2312"/>
          <w:b/>
          <w:bCs/>
          <w:sz w:val="32"/>
          <w:szCs w:val="32"/>
        </w:rPr>
        <w:t>项目绩效目标完成情况。</w:t>
      </w:r>
    </w:p>
    <w:p>
      <w:pPr>
        <w:numPr>
          <w:ilvl w:val="0"/>
          <w:numId w:val="5"/>
        </w:numPr>
        <w:spacing w:line="58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本单位在2020年度部门决算中反映“培训费”项目绩效目标实际完成情况。</w:t>
      </w:r>
    </w:p>
    <w:p>
      <w:pPr>
        <w:spacing w:line="580" w:lineRule="exact"/>
        <w:ind w:firstLine="640" w:firstLineChars="200"/>
        <w:rPr>
          <w:rFonts w:ascii="仿宋_GB2312" w:eastAsia="仿宋_GB2312" w:cs="仿宋_GB2312"/>
          <w:sz w:val="32"/>
          <w:szCs w:val="32"/>
        </w:rPr>
      </w:pPr>
      <w:r>
        <w:rPr>
          <w:rFonts w:hint="eastAsia" w:ascii="仿宋" w:hAnsi="仿宋" w:eastAsia="仿宋" w:cs="仿宋"/>
          <w:sz w:val="32"/>
          <w:szCs w:val="32"/>
        </w:rPr>
        <w:t>1.“培训费”项目绩效目标完成情况综述。项目全年预算数0.45万元，执行数为0.45万元，完成预算的100%。</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2"/>
              <w:widowControl/>
              <w:ind w:left="4173" w:leftChars="1310" w:hanging="1422" w:hangingChars="395"/>
              <w:textAlignment w:val="center"/>
              <w:rPr>
                <w:rFonts w:ascii="黑体" w:eastAsia="黑体" w:cs="宋体"/>
                <w:bCs/>
                <w:color w:val="000000"/>
                <w:kern w:val="0"/>
                <w:sz w:val="36"/>
                <w:szCs w:val="36"/>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培训费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金川县城乡居民养老保险事务中心</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0.45万元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0.45万元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0.45万元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0.45万元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eastAsia="zh-CN"/>
              </w:rPr>
              <w:t>其他</w:t>
            </w:r>
            <w:r>
              <w:rPr>
                <w:rFonts w:hint="eastAsia" w:ascii="仿宋" w:hAnsi="仿宋" w:eastAsia="仿宋" w:cs="仿宋"/>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lang w:eastAsia="zh-CN"/>
              </w:rPr>
              <w:t>其他</w:t>
            </w:r>
            <w:r>
              <w:rPr>
                <w:rFonts w:hint="eastAsia" w:ascii="仿宋" w:hAnsi="仿宋" w:eastAsia="仿宋" w:cs="仿宋"/>
                <w:color w:val="000000"/>
                <w:kern w:val="0"/>
                <w:sz w:val="24"/>
              </w:rPr>
              <w:t>资金</w:t>
            </w:r>
            <w:r>
              <w:rPr>
                <w:rFonts w:hint="eastAsia" w:ascii="仿宋" w:hAnsi="仿宋" w:eastAsia="仿宋" w:cs="仿宋"/>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仿宋" w:hAnsi="仿宋" w:eastAsia="仿宋" w:cs="仿宋"/>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2020年度安排人员到外学习。</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全面实现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人员培训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sz w:val="24"/>
              </w:rPr>
              <w:t>2020年8月参加人社部能力建设中心举办“三区三州”人社系统行风建设培训班。</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费用控制在0.45万元以内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0.45万元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rPr>
                <w:rFonts w:ascii="仿宋" w:hAnsi="仿宋" w:eastAsia="仿宋" w:cs="仿宋"/>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 w:hAnsi="仿宋" w:eastAsia="仿宋" w:cs="仿宋"/>
                <w:color w:val="000000"/>
                <w:sz w:val="24"/>
              </w:rPr>
            </w:pPr>
            <w:r>
              <w:rPr>
                <w:rFonts w:hint="eastAsia" w:ascii="仿宋" w:hAnsi="仿宋" w:eastAsia="仿宋" w:cs="仿宋"/>
                <w:color w:val="000000"/>
                <w:sz w:val="24"/>
              </w:rPr>
              <w:t>满意</w:t>
            </w:r>
          </w:p>
        </w:tc>
      </w:tr>
    </w:tbl>
    <w:p>
      <w:pPr>
        <w:jc w:val="left"/>
        <w:rPr>
          <w:rFonts w:ascii="Calibri" w:hAnsi="Calibri"/>
        </w:rPr>
      </w:pPr>
      <w:r>
        <w:rPr>
          <w:rFonts w:hint="eastAsia" w:ascii="仿宋" w:hAnsi="仿宋" w:eastAsia="仿宋" w:cs="仿宋"/>
          <w:sz w:val="32"/>
          <w:szCs w:val="32"/>
        </w:rPr>
        <w:t xml:space="preserve">                                                </w:t>
      </w:r>
      <w:r>
        <w:rPr>
          <w:rFonts w:hint="eastAsia" w:ascii="仿宋_GB2312" w:eastAsia="仿宋_GB2312" w:cs="仿宋_GB2312"/>
          <w:sz w:val="32"/>
          <w:szCs w:val="32"/>
        </w:rPr>
        <w:t xml:space="preserve">                                 </w:t>
      </w:r>
    </w:p>
    <w:p>
      <w:pPr>
        <w:numPr>
          <w:ilvl w:val="0"/>
          <w:numId w:val="5"/>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 w:hAnsi="仿宋" w:eastAsia="仿宋" w:cs="仿宋"/>
          <w:sz w:val="32"/>
          <w:szCs w:val="32"/>
        </w:rPr>
      </w:pPr>
      <w:r>
        <w:rPr>
          <w:rFonts w:hint="eastAsia" w:ascii="仿宋_GB2312" w:eastAsia="仿宋_GB2312" w:cs="仿宋_GB2312"/>
          <w:sz w:val="32"/>
          <w:szCs w:val="32"/>
        </w:rPr>
        <w:t>本单位按要求对2020年部门整体支出绩效评价情况开展自评，</w:t>
      </w:r>
      <w:r>
        <w:rPr>
          <w:rFonts w:hint="eastAsia" w:ascii="仿宋_GB2312" w:eastAsia="仿宋_GB2312"/>
          <w:sz w:val="32"/>
          <w:szCs w:val="32"/>
        </w:rPr>
        <w:t>《</w:t>
      </w:r>
      <w:r>
        <w:rPr>
          <w:rFonts w:hint="eastAsia" w:ascii="仿宋" w:hAnsi="仿宋" w:eastAsia="仿宋" w:cs="仿宋"/>
          <w:sz w:val="32"/>
          <w:szCs w:val="32"/>
        </w:rPr>
        <w:t>金川县财政局关于开展2020年财政支出绩效评价工作的通知》见附件。</w:t>
      </w:r>
    </w:p>
    <w:p>
      <w:pPr>
        <w:spacing w:line="600" w:lineRule="exact"/>
        <w:ind w:firstLine="640" w:firstLineChars="200"/>
        <w:outlineLvl w:val="1"/>
        <w:rPr>
          <w:rStyle w:val="17"/>
          <w:rFonts w:ascii="黑体" w:eastAsia="黑体"/>
        </w:rPr>
      </w:pPr>
      <w:bookmarkStart w:id="50" w:name="_Toc15377221"/>
      <w:bookmarkStart w:id="51" w:name="_Toc15396612"/>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 w:hAnsi="仿宋" w:eastAsia="仿宋" w:cs="仿宋"/>
          <w:sz w:val="32"/>
          <w:szCs w:val="32"/>
        </w:rPr>
      </w:pPr>
      <w:r>
        <w:rPr>
          <w:rFonts w:hint="eastAsia" w:ascii="仿宋" w:hAnsi="仿宋" w:eastAsia="仿宋" w:cs="仿宋"/>
          <w:color w:val="000000"/>
          <w:sz w:val="32"/>
          <w:szCs w:val="32"/>
        </w:rPr>
        <w:t>2020年，金川县城乡居民养老保险事务中心运行经费支出05万元</w:t>
      </w:r>
      <w:r>
        <w:rPr>
          <w:rFonts w:hint="eastAsia" w:ascii="仿宋" w:hAnsi="仿宋" w:eastAsia="仿宋" w:cs="仿宋"/>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_GB2312"/>
          <w:b/>
          <w:sz w:val="32"/>
          <w:szCs w:val="32"/>
        </w:rPr>
      </w:pPr>
      <w:r>
        <w:rPr>
          <w:rFonts w:hint="eastAsia" w:ascii="仿宋" w:hAnsi="仿宋" w:eastAsia="仿宋" w:cs="仿宋"/>
          <w:color w:val="000000"/>
          <w:sz w:val="32"/>
          <w:szCs w:val="32"/>
        </w:rPr>
        <w:t>2020年，政府采购支出总额0万元。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 w:hAnsi="仿宋" w:eastAsia="仿宋" w:cs="仿宋"/>
          <w:b/>
          <w:color w:val="000000"/>
          <w:sz w:val="32"/>
          <w:szCs w:val="32"/>
        </w:rPr>
      </w:pPr>
      <w:r>
        <w:rPr>
          <w:rFonts w:hint="eastAsia" w:ascii="仿宋" w:hAnsi="仿宋" w:eastAsia="仿宋" w:cs="仿宋"/>
          <w:color w:val="000000"/>
          <w:sz w:val="32"/>
          <w:szCs w:val="32"/>
        </w:rPr>
        <w:t>截至2020年12月31日，共有车辆0辆。</w:t>
      </w:r>
    </w:p>
    <w:p>
      <w:pPr>
        <w:numPr>
          <w:ilvl w:val="0"/>
          <w:numId w:val="6"/>
        </w:numPr>
        <w:spacing w:line="600" w:lineRule="exact"/>
        <w:ind w:firstLine="663" w:firstLineChars="150"/>
        <w:jc w:val="center"/>
        <w:outlineLvl w:val="0"/>
        <w:rPr>
          <w:rStyle w:val="16"/>
          <w:rFonts w:ascii="黑体" w:eastAsia="黑体"/>
          <w:b w:val="0"/>
        </w:rPr>
      </w:pPr>
      <w:bookmarkStart w:id="55" w:name="_Toc15396613"/>
      <w:bookmarkStart w:id="56" w:name="_Toc15377225"/>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hAnsi="仿宋"/>
          <w:sz w:val="32"/>
          <w:szCs w:val="32"/>
        </w:rPr>
      </w:pPr>
      <w:r>
        <w:rPr>
          <w:rFonts w:hint="eastAsia" w:hAnsi="仿宋"/>
          <w:sz w:val="32"/>
          <w:szCs w:val="32"/>
        </w:rPr>
        <w:t>1.财政拨款收入：指单位从同级财政部门取得的财政预算资金。</w:t>
      </w:r>
    </w:p>
    <w:p>
      <w:pPr>
        <w:pStyle w:val="21"/>
        <w:spacing w:line="560" w:lineRule="exact"/>
        <w:ind w:firstLine="640" w:firstLineChars="200"/>
        <w:rPr>
          <w:rFonts w:hAnsi="仿宋"/>
          <w:sz w:val="32"/>
          <w:szCs w:val="32"/>
        </w:rPr>
      </w:pPr>
      <w:r>
        <w:rPr>
          <w:rFonts w:hint="eastAsia" w:hAnsi="仿宋"/>
          <w:sz w:val="32"/>
          <w:szCs w:val="32"/>
        </w:rPr>
        <w:t>2.事业收入：指事业单位开展专业业务活动及辅助活动取得的收入。</w:t>
      </w:r>
    </w:p>
    <w:p>
      <w:pPr>
        <w:pStyle w:val="21"/>
        <w:spacing w:line="560" w:lineRule="exact"/>
        <w:ind w:firstLine="640" w:firstLineChars="200"/>
        <w:rPr>
          <w:rFonts w:hAnsi="仿宋"/>
          <w:sz w:val="32"/>
          <w:szCs w:val="32"/>
        </w:rPr>
      </w:pPr>
      <w:r>
        <w:rPr>
          <w:rFonts w:hint="eastAsia" w:hAnsi="仿宋"/>
          <w:sz w:val="32"/>
          <w:szCs w:val="32"/>
        </w:rPr>
        <w:t>3.经营收入：指事业单位在专业业务活动及其辅助活动之外开展非独立核算经营活动取得的收入。</w:t>
      </w:r>
    </w:p>
    <w:p>
      <w:pPr>
        <w:pStyle w:val="21"/>
        <w:spacing w:line="560" w:lineRule="exact"/>
        <w:ind w:firstLine="640" w:firstLineChars="200"/>
        <w:rPr>
          <w:rFonts w:hAnsi="仿宋"/>
          <w:sz w:val="32"/>
          <w:szCs w:val="32"/>
        </w:rPr>
      </w:pPr>
      <w:r>
        <w:rPr>
          <w:rFonts w:hint="eastAsia" w:hAnsi="仿宋"/>
          <w:sz w:val="32"/>
          <w:szCs w:val="32"/>
        </w:rPr>
        <w:t xml:space="preserve">4.其他收入：指单位取得的除上述收入以外的各项收入。主要是银行存款利息和伙食团缴费等。 </w:t>
      </w:r>
    </w:p>
    <w:p>
      <w:pPr>
        <w:pStyle w:val="21"/>
        <w:spacing w:line="560" w:lineRule="exact"/>
        <w:ind w:firstLine="640" w:firstLineChars="200"/>
        <w:rPr>
          <w:rFonts w:hAnsi="仿宋"/>
          <w:sz w:val="32"/>
          <w:szCs w:val="32"/>
        </w:rPr>
      </w:pPr>
      <w:r>
        <w:rPr>
          <w:rFonts w:hint="eastAsia" w:hAnsi="仿宋"/>
          <w:sz w:val="32"/>
          <w:szCs w:val="32"/>
        </w:rPr>
        <w:t xml:space="preserve">5. 年初结转和结余：指以前年度尚未完成、结转到本年按有关规定继续使用的资金。 </w:t>
      </w:r>
    </w:p>
    <w:p>
      <w:pPr>
        <w:pStyle w:val="21"/>
        <w:spacing w:line="560" w:lineRule="exact"/>
        <w:ind w:firstLine="640" w:firstLineChars="200"/>
        <w:rPr>
          <w:rFonts w:hAnsi="仿宋"/>
          <w:sz w:val="32"/>
          <w:szCs w:val="32"/>
        </w:rPr>
      </w:pPr>
      <w:r>
        <w:rPr>
          <w:rFonts w:hint="eastAsia" w:hAnsi="仿宋"/>
          <w:sz w:val="32"/>
          <w:szCs w:val="32"/>
        </w:rPr>
        <w:t>6.结余分配：指事业单位按照事业单位会计制度的规定从非财政补助结余中分配的事业基金和职工福利基金等。</w:t>
      </w:r>
    </w:p>
    <w:p>
      <w:pPr>
        <w:pStyle w:val="21"/>
        <w:spacing w:line="560" w:lineRule="exact"/>
        <w:ind w:firstLine="640" w:firstLineChars="200"/>
        <w:rPr>
          <w:rFonts w:hAnsi="仿宋"/>
          <w:sz w:val="32"/>
          <w:szCs w:val="32"/>
        </w:rPr>
      </w:pPr>
      <w:r>
        <w:rPr>
          <w:rFonts w:hint="eastAsia" w:hAnsi="仿宋"/>
          <w:sz w:val="32"/>
          <w:szCs w:val="32"/>
        </w:rPr>
        <w:t>7、年末结转和结余：指单位按有关规定结转到下年或以后年度继续使用的资金。</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8.</w:t>
      </w:r>
      <w:r>
        <w:rPr>
          <w:rFonts w:hint="eastAsia" w:ascii="仿宋" w:hAnsi="仿宋" w:eastAsia="仿宋" w:cs="仿宋"/>
          <w:color w:val="000000"/>
          <w:kern w:val="0"/>
          <w:sz w:val="32"/>
          <w:szCs w:val="32"/>
        </w:rPr>
        <w:t>社会保障和就业（类）人力资源和社会保障管理事务（款）社会保险经办机构（项）：指社会保险经办机构开展业务工作的支出</w:t>
      </w:r>
      <w:r>
        <w:rPr>
          <w:rFonts w:hint="eastAsia" w:ascii="仿宋" w:hAnsi="仿宋" w:eastAsia="仿宋" w:cs="仿宋"/>
          <w:color w:val="000000"/>
          <w:sz w:val="32"/>
          <w:szCs w:val="32"/>
        </w:rPr>
        <w:t>。</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9.</w:t>
      </w:r>
      <w:r>
        <w:rPr>
          <w:rFonts w:hint="eastAsia" w:ascii="仿宋" w:hAnsi="仿宋" w:eastAsia="仿宋" w:cs="仿宋"/>
          <w:color w:val="000000"/>
          <w:kern w:val="0"/>
          <w:sz w:val="32"/>
          <w:szCs w:val="32"/>
        </w:rPr>
        <w:t>教育（类）其他教育支出（款）其他教育支出（项）：</w:t>
      </w:r>
      <w:r>
        <w:rPr>
          <w:rFonts w:hint="eastAsia" w:ascii="仿宋" w:hAnsi="仿宋" w:eastAsia="仿宋" w:cs="仿宋"/>
          <w:color w:val="000000"/>
          <w:sz w:val="32"/>
          <w:szCs w:val="32"/>
        </w:rPr>
        <w:t>除</w:t>
      </w:r>
      <w:r>
        <w:rPr>
          <w:rFonts w:hint="eastAsia" w:ascii="仿宋" w:hAnsi="仿宋" w:eastAsia="仿宋" w:cs="仿宋"/>
          <w:color w:val="000000"/>
          <w:sz w:val="32"/>
          <w:szCs w:val="32"/>
          <w:lang w:eastAsia="zh-CN"/>
        </w:rPr>
        <w:t>上述</w:t>
      </w:r>
      <w:r>
        <w:rPr>
          <w:rFonts w:hint="eastAsia" w:ascii="仿宋" w:hAnsi="仿宋" w:eastAsia="仿宋" w:cs="仿宋"/>
          <w:color w:val="000000"/>
          <w:sz w:val="32"/>
          <w:szCs w:val="32"/>
        </w:rPr>
        <w:t>项目以外用于教育管理事务方面的支出。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10.</w:t>
      </w:r>
      <w:r>
        <w:rPr>
          <w:rFonts w:hint="eastAsia" w:ascii="仿宋" w:hAnsi="仿宋" w:eastAsia="仿宋" w:cs="仿宋"/>
          <w:color w:val="000000"/>
          <w:kern w:val="0"/>
          <w:sz w:val="32"/>
          <w:szCs w:val="32"/>
        </w:rPr>
        <w:t>社会保障和就业（类）行政事业单位离退休（款）机关事业单位基本养老保险缴费支出（项）：</w:t>
      </w:r>
      <w:r>
        <w:rPr>
          <w:rFonts w:hint="eastAsia" w:ascii="仿宋" w:hAnsi="仿宋" w:eastAsia="仿宋" w:cs="仿宋"/>
          <w:color w:val="000000"/>
          <w:sz w:val="32"/>
          <w:szCs w:val="32"/>
        </w:rPr>
        <w:t>指单位为职工缴纳的基本养老保险费。</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11.</w:t>
      </w:r>
      <w:r>
        <w:rPr>
          <w:rFonts w:hint="eastAsia" w:ascii="仿宋" w:hAnsi="仿宋" w:eastAsia="仿宋" w:cs="仿宋"/>
          <w:color w:val="000000"/>
          <w:kern w:val="0"/>
          <w:sz w:val="32"/>
          <w:szCs w:val="32"/>
        </w:rPr>
        <w:t>社会保障和就业（类）行政事业单位离退休（款）机关事业单位基本职业年金缴费支出（项）：</w:t>
      </w:r>
      <w:r>
        <w:rPr>
          <w:rFonts w:hint="eastAsia" w:ascii="仿宋" w:hAnsi="仿宋" w:eastAsia="仿宋" w:cs="仿宋"/>
          <w:color w:val="000000"/>
          <w:sz w:val="32"/>
          <w:szCs w:val="32"/>
        </w:rPr>
        <w:t>指单位为职工实际缴纳的职业年金。</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12.医疗卫生与计划生育（类）行政事业单位医疗（款）行政单位医疗（项）：指反映职工缴纳的基本医疗保险费。</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13.医疗卫生与计划生育（类）行政事业单位医疗（款）公务员医疗补助（项）：指按规定可享受公务员医疗补助单位为职工缴纳的公务员医疗补助费。</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14.住房保障（类）住房改革支出（款）住房公积金（项）：指单位按规定为职工缴纳的住房公积金。</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15.基本支出：指为保障机构正常运转、完成日常工作任务而发生的人员支出和公用支出。</w:t>
      </w:r>
    </w:p>
    <w:p>
      <w:pPr>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 xml:space="preserve">16.项目支出：指在基本支出之外为完成特定行政任务和事业发展目标所发生的支出。 </w:t>
      </w:r>
    </w:p>
    <w:p>
      <w:pPr>
        <w:pStyle w:val="21"/>
        <w:spacing w:line="560" w:lineRule="exact"/>
        <w:ind w:firstLine="640" w:firstLineChars="200"/>
        <w:rPr>
          <w:rFonts w:hAnsi="仿宋"/>
          <w:sz w:val="32"/>
          <w:szCs w:val="32"/>
        </w:rPr>
      </w:pPr>
      <w:r>
        <w:rPr>
          <w:rFonts w:hint="eastAsia" w:hAnsi="仿宋"/>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hAnsi="仿宋"/>
          <w:sz w:val="32"/>
          <w:szCs w:val="32"/>
        </w:rPr>
      </w:pPr>
      <w:r>
        <w:rPr>
          <w:rFonts w:hint="eastAsia" w:hAnsi="仿宋"/>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仿宋" w:hAnsi="仿宋" w:eastAsia="仿宋" w:cs="仿宋"/>
          <w:color w:val="000000"/>
          <w:sz w:val="44"/>
          <w:szCs w:val="44"/>
        </w:rPr>
      </w:pPr>
      <w:bookmarkStart w:id="57" w:name="_Toc15396614"/>
      <w:bookmarkStart w:id="58" w:name="_Toc15377226"/>
    </w:p>
    <w:p>
      <w:pPr>
        <w:pStyle w:val="3"/>
        <w:rPr>
          <w:rStyle w:val="16"/>
          <w:rFonts w:ascii="仿宋" w:eastAsia="仿宋"/>
          <w:b w:val="0"/>
          <w:bCs w:val="0"/>
          <w:sz w:val="32"/>
          <w:szCs w:val="32"/>
        </w:rPr>
      </w:pPr>
      <w:bookmarkStart w:id="59" w:name="_Toc15396615"/>
      <w:r>
        <w:rPr>
          <w:rStyle w:val="16"/>
          <w:rFonts w:hint="eastAsia" w:ascii="仿宋" w:eastAsia="仿宋"/>
          <w:b w:val="0"/>
          <w:bCs w:val="0"/>
          <w:sz w:val="32"/>
          <w:szCs w:val="32"/>
        </w:rPr>
        <w:t>附件1</w:t>
      </w:r>
      <w:bookmarkEnd w:id="59"/>
    </w:p>
    <w:p>
      <w:pPr>
        <w:numPr>
          <w:ilvl w:val="0"/>
          <w:numId w:val="6"/>
        </w:numPr>
        <w:spacing w:line="600" w:lineRule="exact"/>
        <w:ind w:firstLine="660" w:firstLineChars="150"/>
        <w:jc w:val="center"/>
        <w:outlineLvl w:val="0"/>
        <w:rPr>
          <w:rStyle w:val="16"/>
          <w:rFonts w:ascii="黑体" w:eastAsia="黑体"/>
          <w:b w:val="0"/>
        </w:rPr>
      </w:pPr>
      <w:r>
        <w:rPr>
          <w:rStyle w:val="16"/>
          <w:rFonts w:hint="eastAsia" w:ascii="黑体" w:eastAsia="黑体"/>
          <w:b w:val="0"/>
        </w:rPr>
        <w:t>附件</w:t>
      </w:r>
      <w:bookmarkEnd w:id="57"/>
    </w:p>
    <w:p>
      <w:pPr>
        <w:outlineLvl w:val="0"/>
        <w:rPr>
          <w:rStyle w:val="16"/>
          <w:rFonts w:ascii="黑体" w:eastAsia="黑体"/>
          <w:b w:val="0"/>
        </w:rPr>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金川县城乡居民养老保险事务中心</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2020年部门整体支出绩效评价报告</w:t>
      </w:r>
    </w:p>
    <w:p>
      <w:pPr>
        <w:spacing w:line="560" w:lineRule="auto"/>
        <w:ind w:firstLine="876" w:firstLineChars="300"/>
        <w:rPr>
          <w:rFonts w:ascii="仿宋" w:hAnsi="仿宋" w:eastAsia="仿宋" w:cs="楷体_GB2312"/>
          <w:color w:val="000000"/>
          <w:spacing w:val="-14"/>
          <w:sz w:val="32"/>
          <w:szCs w:val="32"/>
        </w:rPr>
      </w:pPr>
      <w:r>
        <w:rPr>
          <w:rFonts w:hint="eastAsia" w:ascii="仿宋" w:hAnsi="仿宋" w:eastAsia="仿宋" w:cs="宋体"/>
          <w:color w:val="000000"/>
          <w:spacing w:val="-14"/>
          <w:sz w:val="32"/>
          <w:szCs w:val="32"/>
        </w:rPr>
        <w:t>根据</w:t>
      </w:r>
      <w:r>
        <w:rPr>
          <w:rFonts w:ascii="仿宋" w:hAnsi="仿宋" w:eastAsia="仿宋" w:cs="宋体"/>
          <w:sz w:val="32"/>
          <w:szCs w:val="32"/>
        </w:rPr>
        <w:t>《金川县财政局关于开展</w:t>
      </w:r>
      <w:r>
        <w:rPr>
          <w:rFonts w:ascii="仿宋" w:hAnsi="仿宋" w:eastAsia="仿宋" w:cs="仿宋_GB2312"/>
          <w:sz w:val="32"/>
          <w:szCs w:val="32"/>
        </w:rPr>
        <w:t>201</w:t>
      </w:r>
      <w:r>
        <w:rPr>
          <w:rFonts w:hint="eastAsia" w:ascii="仿宋" w:hAnsi="仿宋" w:eastAsia="仿宋" w:cs="仿宋_GB2312"/>
          <w:sz w:val="32"/>
          <w:szCs w:val="32"/>
        </w:rPr>
        <w:t>9</w:t>
      </w:r>
      <w:r>
        <w:rPr>
          <w:rFonts w:ascii="仿宋" w:hAnsi="仿宋" w:eastAsia="仿宋" w:cs="宋体"/>
          <w:sz w:val="32"/>
          <w:szCs w:val="32"/>
        </w:rPr>
        <w:t>年财政支出绩效评价工作的通知》（金财</w:t>
      </w:r>
      <w:r>
        <w:rPr>
          <w:rFonts w:hint="eastAsia" w:ascii="仿宋" w:hAnsi="仿宋" w:eastAsia="仿宋" w:cs="宋体"/>
          <w:sz w:val="32"/>
          <w:szCs w:val="32"/>
        </w:rPr>
        <w:t>监绩</w:t>
      </w:r>
      <w:r>
        <w:rPr>
          <w:rFonts w:ascii="仿宋" w:hAnsi="仿宋" w:eastAsia="仿宋" w:cs="宋体"/>
          <w:sz w:val="32"/>
          <w:szCs w:val="32"/>
        </w:rPr>
        <w:t>〔</w:t>
      </w:r>
      <w:r>
        <w:rPr>
          <w:rFonts w:ascii="仿宋" w:hAnsi="仿宋" w:eastAsia="仿宋" w:cs="仿宋_GB2312"/>
          <w:sz w:val="32"/>
          <w:szCs w:val="32"/>
        </w:rPr>
        <w:t>20</w:t>
      </w:r>
      <w:r>
        <w:rPr>
          <w:rFonts w:hint="eastAsia" w:ascii="仿宋" w:hAnsi="仿宋" w:eastAsia="仿宋" w:cs="仿宋_GB2312"/>
          <w:sz w:val="32"/>
          <w:szCs w:val="32"/>
        </w:rPr>
        <w:t>20</w:t>
      </w:r>
      <w:r>
        <w:rPr>
          <w:rFonts w:ascii="仿宋" w:hAnsi="仿宋" w:eastAsia="仿宋" w:cs="宋体"/>
          <w:sz w:val="32"/>
          <w:szCs w:val="32"/>
        </w:rPr>
        <w:t>〕</w:t>
      </w:r>
      <w:r>
        <w:rPr>
          <w:rFonts w:hint="eastAsia" w:ascii="仿宋" w:hAnsi="仿宋" w:eastAsia="仿宋" w:cs="宋体"/>
          <w:sz w:val="32"/>
          <w:szCs w:val="32"/>
        </w:rPr>
        <w:t>21</w:t>
      </w:r>
      <w:r>
        <w:rPr>
          <w:rFonts w:ascii="仿宋" w:hAnsi="仿宋" w:eastAsia="仿宋" w:cs="宋体"/>
          <w:sz w:val="32"/>
          <w:szCs w:val="32"/>
        </w:rPr>
        <w:t>号）文件要求，为深入贯彻落实《预算法》和《国务院关于深入预算管理制度改革的决定》（国发〔</w:t>
      </w:r>
      <w:r>
        <w:rPr>
          <w:rFonts w:ascii="仿宋" w:hAnsi="仿宋" w:eastAsia="仿宋" w:cs="仿宋_GB2312"/>
          <w:sz w:val="32"/>
          <w:szCs w:val="32"/>
        </w:rPr>
        <w:t>2015</w:t>
      </w:r>
      <w:r>
        <w:rPr>
          <w:rFonts w:ascii="仿宋" w:hAnsi="仿宋" w:eastAsia="仿宋" w:cs="宋体"/>
          <w:sz w:val="32"/>
          <w:szCs w:val="32"/>
        </w:rPr>
        <w:t>〕45号）文件精神，结合本单位的实际，认真开展部门预算支出绩效自评工作，现将</w:t>
      </w:r>
      <w:r>
        <w:rPr>
          <w:rFonts w:ascii="仿宋" w:hAnsi="仿宋" w:eastAsia="仿宋" w:cs="仿宋_GB2312"/>
          <w:sz w:val="32"/>
          <w:szCs w:val="32"/>
        </w:rPr>
        <w:t>201</w:t>
      </w:r>
      <w:r>
        <w:rPr>
          <w:rFonts w:hint="eastAsia" w:ascii="仿宋" w:hAnsi="仿宋" w:eastAsia="仿宋" w:cs="仿宋_GB2312"/>
          <w:sz w:val="32"/>
          <w:szCs w:val="32"/>
        </w:rPr>
        <w:t>9</w:t>
      </w:r>
      <w:r>
        <w:rPr>
          <w:rFonts w:ascii="仿宋" w:hAnsi="仿宋" w:eastAsia="仿宋" w:cs="宋体"/>
          <w:sz w:val="32"/>
          <w:szCs w:val="32"/>
        </w:rPr>
        <w:t>年和</w:t>
      </w:r>
      <w:r>
        <w:rPr>
          <w:rFonts w:ascii="仿宋" w:hAnsi="仿宋" w:eastAsia="仿宋" w:cs="仿宋_GB2312"/>
          <w:sz w:val="32"/>
          <w:szCs w:val="32"/>
        </w:rPr>
        <w:t>20</w:t>
      </w:r>
      <w:r>
        <w:rPr>
          <w:rFonts w:hint="eastAsia" w:ascii="仿宋" w:hAnsi="仿宋" w:eastAsia="仿宋" w:cs="仿宋_GB2312"/>
          <w:sz w:val="32"/>
          <w:szCs w:val="32"/>
        </w:rPr>
        <w:t>20</w:t>
      </w:r>
      <w:r>
        <w:rPr>
          <w:rFonts w:ascii="仿宋" w:hAnsi="仿宋" w:eastAsia="仿宋" w:cs="宋体"/>
          <w:sz w:val="32"/>
          <w:szCs w:val="32"/>
        </w:rPr>
        <w:t>年</w:t>
      </w:r>
      <w:r>
        <w:rPr>
          <w:rFonts w:ascii="仿宋" w:hAnsi="仿宋" w:eastAsia="仿宋" w:cs="仿宋_GB2312"/>
          <w:sz w:val="32"/>
          <w:szCs w:val="32"/>
        </w:rPr>
        <w:t>1-6</w:t>
      </w:r>
      <w:r>
        <w:rPr>
          <w:rFonts w:ascii="仿宋" w:hAnsi="仿宋" w:eastAsia="仿宋" w:cs="宋体"/>
          <w:sz w:val="32"/>
          <w:szCs w:val="32"/>
        </w:rPr>
        <w:t>月部门预算支出绩效自评工作报告如下：</w:t>
      </w:r>
    </w:p>
    <w:p>
      <w:pPr>
        <w:ind w:firstLine="640" w:firstLineChars="200"/>
        <w:rPr>
          <w:rFonts w:ascii="黑体" w:eastAsia="黑体"/>
          <w:sz w:val="32"/>
          <w:szCs w:val="32"/>
        </w:rPr>
      </w:pPr>
      <w:r>
        <w:rPr>
          <w:rFonts w:hint="eastAsia" w:ascii="黑体" w:eastAsia="黑体"/>
          <w:sz w:val="32"/>
          <w:szCs w:val="32"/>
        </w:rPr>
        <w:t>一、部门概况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spacing w:line="576" w:lineRule="exact"/>
        <w:ind w:firstLine="640" w:firstLineChars="200"/>
        <w:rPr>
          <w:rFonts w:ascii="仿宋" w:hAnsi="仿宋" w:eastAsia="仿宋" w:cs="宋体"/>
          <w:color w:val="000000"/>
          <w:kern w:val="0"/>
          <w:sz w:val="32"/>
          <w:szCs w:val="32"/>
          <w:lang w:val="zh-CN"/>
        </w:rPr>
      </w:pPr>
      <w:r>
        <w:rPr>
          <w:rFonts w:hint="eastAsia" w:ascii="仿宋" w:hAnsi="仿宋" w:eastAsia="仿宋"/>
          <w:bCs/>
          <w:sz w:val="32"/>
          <w:szCs w:val="32"/>
        </w:rPr>
        <w:t>金川县</w:t>
      </w:r>
      <w:r>
        <w:rPr>
          <w:rFonts w:hint="eastAsia" w:ascii="仿宋" w:hAnsi="仿宋" w:eastAsia="仿宋" w:cs="仿宋_GB2312"/>
          <w:color w:val="333333"/>
          <w:sz w:val="32"/>
          <w:szCs w:val="32"/>
          <w:shd w:val="clear" w:color="auto" w:fill="FFFFFF"/>
        </w:rPr>
        <w:t>城乡居民养老保险</w:t>
      </w:r>
      <w:r>
        <w:rPr>
          <w:rFonts w:hint="eastAsia" w:ascii="仿宋" w:hAnsi="仿宋" w:eastAsia="仿宋"/>
          <w:bCs/>
          <w:sz w:val="32"/>
          <w:szCs w:val="32"/>
        </w:rPr>
        <w:t>事务中心属独立编制和核算的事业单位1个，内设6个股室：</w:t>
      </w:r>
      <w:r>
        <w:rPr>
          <w:rFonts w:hint="eastAsia" w:ascii="仿宋" w:hAnsi="仿宋" w:eastAsia="仿宋" w:cs="宋体"/>
          <w:color w:val="000000"/>
          <w:kern w:val="0"/>
          <w:sz w:val="32"/>
          <w:szCs w:val="32"/>
          <w:lang w:val="zh-CN"/>
        </w:rPr>
        <w:t>办公室、财务股、待遇股、稽核股、统筹股、征地补偿股。</w:t>
      </w:r>
    </w:p>
    <w:p>
      <w:pPr>
        <w:ind w:firstLine="643" w:firstLineChars="200"/>
        <w:rPr>
          <w:rFonts w:ascii="楷体_GB2312" w:eastAsia="楷体_GB2312"/>
          <w:b/>
          <w:sz w:val="32"/>
          <w:szCs w:val="32"/>
        </w:rPr>
      </w:pPr>
      <w:r>
        <w:rPr>
          <w:rFonts w:hint="eastAsia" w:ascii="楷体_GB2312" w:eastAsia="楷体_GB2312"/>
          <w:b/>
          <w:sz w:val="32"/>
          <w:szCs w:val="32"/>
        </w:rPr>
        <w:t>（二）机构职能</w:t>
      </w:r>
    </w:p>
    <w:p>
      <w:pPr>
        <w:widowControl/>
        <w:spacing w:line="560" w:lineRule="exact"/>
        <w:ind w:firstLine="640" w:firstLineChars="200"/>
        <w:jc w:val="left"/>
        <w:rPr>
          <w:rFonts w:ascii="仿宋" w:hAnsi="仿宋" w:eastAsia="仿宋" w:cs="仿宋_GB2312"/>
          <w:color w:val="333333"/>
          <w:sz w:val="32"/>
          <w:szCs w:val="32"/>
          <w:shd w:val="clear" w:color="auto" w:fill="FFFFFF"/>
        </w:rPr>
      </w:pPr>
      <w:r>
        <w:rPr>
          <w:rFonts w:hint="eastAsia" w:ascii="仿宋" w:hAnsi="仿宋" w:eastAsia="仿宋" w:cs="仿宋_GB2312"/>
          <w:color w:val="333333"/>
          <w:sz w:val="32"/>
          <w:szCs w:val="32"/>
          <w:shd w:val="clear" w:color="auto" w:fill="FFFFFF"/>
        </w:rPr>
        <w:t>1、根据有关法律、法规和规章，制定全县城乡养老保险登记、申报、征缴、管理、使用、运营和待遇支付以及社会保险关系建立、中断、转移、接续和基金转移的办事程序与操作规范并组织实施；</w:t>
      </w:r>
    </w:p>
    <w:p>
      <w:pPr>
        <w:widowControl/>
        <w:spacing w:line="560" w:lineRule="exact"/>
        <w:ind w:firstLine="640" w:firstLineChars="200"/>
        <w:jc w:val="left"/>
        <w:rPr>
          <w:rFonts w:ascii="仿宋" w:hAnsi="仿宋" w:eastAsia="仿宋" w:cs="仿宋_GB2312"/>
          <w:color w:val="333333"/>
          <w:sz w:val="32"/>
          <w:szCs w:val="32"/>
          <w:shd w:val="clear" w:color="auto" w:fill="FFFFFF"/>
        </w:rPr>
      </w:pPr>
      <w:r>
        <w:rPr>
          <w:rFonts w:hint="eastAsia" w:ascii="仿宋" w:hAnsi="仿宋" w:eastAsia="仿宋" w:cs="仿宋_GB2312"/>
          <w:color w:val="333333"/>
          <w:sz w:val="32"/>
          <w:szCs w:val="32"/>
          <w:shd w:val="clear" w:color="auto" w:fill="FFFFFF"/>
        </w:rPr>
        <w:t>2、制定全县城乡养老保险个人账户、缴费记录、档案管理等业务工作规范并组织实施；</w:t>
      </w:r>
    </w:p>
    <w:p>
      <w:pPr>
        <w:widowControl/>
        <w:spacing w:line="560" w:lineRule="exact"/>
        <w:ind w:firstLine="640" w:firstLineChars="200"/>
        <w:jc w:val="left"/>
        <w:rPr>
          <w:rFonts w:ascii="仿宋" w:hAnsi="仿宋" w:eastAsia="仿宋"/>
          <w:bCs/>
          <w:sz w:val="32"/>
          <w:szCs w:val="32"/>
          <w:shd w:val="clear" w:color="auto" w:fill="FFFFFF"/>
        </w:rPr>
      </w:pPr>
      <w:r>
        <w:rPr>
          <w:rFonts w:hint="eastAsia" w:ascii="仿宋" w:hAnsi="仿宋" w:eastAsia="仿宋"/>
          <w:bCs/>
          <w:sz w:val="32"/>
          <w:szCs w:val="32"/>
          <w:shd w:val="clear" w:color="auto" w:fill="FFFFFF"/>
        </w:rPr>
        <w:t>3、制定全县</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基金财务、会计制度的具体操作办法并组织实施，指导各乡镇按照</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基金财务、会计制度进行规范管理，编制汇总全县</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基金年度预决算报告，加强基金财务管理和会计核算；</w:t>
      </w:r>
    </w:p>
    <w:p>
      <w:pPr>
        <w:widowControl/>
        <w:spacing w:line="560" w:lineRule="exact"/>
        <w:ind w:firstLine="640" w:firstLineChars="200"/>
        <w:jc w:val="left"/>
        <w:rPr>
          <w:rFonts w:ascii="仿宋" w:hAnsi="仿宋" w:eastAsia="仿宋"/>
          <w:bCs/>
          <w:sz w:val="32"/>
          <w:szCs w:val="32"/>
          <w:shd w:val="clear" w:color="auto" w:fill="FFFFFF"/>
        </w:rPr>
      </w:pPr>
      <w:r>
        <w:rPr>
          <w:rFonts w:hint="eastAsia" w:ascii="仿宋" w:hAnsi="仿宋" w:eastAsia="仿宋"/>
          <w:bCs/>
          <w:sz w:val="32"/>
          <w:szCs w:val="32"/>
          <w:shd w:val="clear" w:color="auto" w:fill="FFFFFF"/>
        </w:rPr>
        <w:t>4、负责全县社</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统筹规划，研究提出年度筹划和实施意见，负责全县</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调剂金的上解；</w:t>
      </w:r>
    </w:p>
    <w:p>
      <w:pPr>
        <w:widowControl/>
        <w:spacing w:line="560" w:lineRule="exact"/>
        <w:ind w:firstLine="640" w:firstLineChars="200"/>
        <w:jc w:val="left"/>
        <w:rPr>
          <w:rFonts w:ascii="仿宋" w:hAnsi="仿宋" w:eastAsia="仿宋"/>
          <w:bCs/>
          <w:sz w:val="32"/>
          <w:szCs w:val="32"/>
          <w:shd w:val="clear" w:color="auto" w:fill="FFFFFF"/>
        </w:rPr>
      </w:pPr>
      <w:r>
        <w:rPr>
          <w:rFonts w:hint="eastAsia" w:ascii="仿宋" w:hAnsi="仿宋" w:eastAsia="仿宋"/>
          <w:bCs/>
          <w:sz w:val="32"/>
          <w:szCs w:val="32"/>
          <w:shd w:val="clear" w:color="auto" w:fill="FFFFFF"/>
        </w:rPr>
        <w:t>5、督促检查全县参保人员基本养老保险金按时足额发放，制定</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管理规范。</w:t>
      </w:r>
    </w:p>
    <w:p>
      <w:pPr>
        <w:widowControl/>
        <w:spacing w:line="560" w:lineRule="exact"/>
        <w:ind w:firstLine="640" w:firstLineChars="200"/>
        <w:jc w:val="left"/>
        <w:rPr>
          <w:rFonts w:ascii="仿宋" w:hAnsi="仿宋" w:eastAsia="仿宋"/>
          <w:bCs/>
          <w:sz w:val="32"/>
          <w:szCs w:val="32"/>
          <w:shd w:val="clear" w:color="auto" w:fill="FFFFFF"/>
        </w:rPr>
      </w:pPr>
      <w:r>
        <w:rPr>
          <w:rFonts w:hint="eastAsia" w:ascii="仿宋" w:hAnsi="仿宋" w:eastAsia="仿宋"/>
          <w:bCs/>
          <w:sz w:val="32"/>
          <w:szCs w:val="32"/>
          <w:shd w:val="clear" w:color="auto" w:fill="FFFFFF"/>
        </w:rPr>
        <w:t>6、制定全县</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稽核工作规范，并开展社会保险稽核工作；</w:t>
      </w:r>
    </w:p>
    <w:p>
      <w:pPr>
        <w:widowControl/>
        <w:spacing w:line="560" w:lineRule="exact"/>
        <w:ind w:firstLine="640" w:firstLineChars="200"/>
        <w:jc w:val="left"/>
        <w:rPr>
          <w:rFonts w:ascii="仿宋" w:hAnsi="仿宋" w:eastAsia="仿宋"/>
          <w:bCs/>
          <w:sz w:val="32"/>
          <w:szCs w:val="32"/>
          <w:shd w:val="clear" w:color="auto" w:fill="FFFFFF"/>
        </w:rPr>
      </w:pPr>
      <w:r>
        <w:rPr>
          <w:rFonts w:hint="eastAsia" w:ascii="仿宋" w:hAnsi="仿宋" w:eastAsia="仿宋"/>
          <w:bCs/>
          <w:sz w:val="32"/>
          <w:szCs w:val="32"/>
          <w:shd w:val="clear" w:color="auto" w:fill="FFFFFF"/>
        </w:rPr>
        <w:t>7、承担全县</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信息、统计数据的采集、整理、分析及管理工作，负责全县</w:t>
      </w:r>
      <w:r>
        <w:rPr>
          <w:rFonts w:hint="eastAsia" w:ascii="仿宋" w:hAnsi="仿宋" w:eastAsia="仿宋" w:cs="仿宋_GB2312"/>
          <w:color w:val="333333"/>
          <w:sz w:val="32"/>
          <w:szCs w:val="32"/>
          <w:shd w:val="clear" w:color="auto" w:fill="FFFFFF"/>
        </w:rPr>
        <w:t>城乡养老保险</w:t>
      </w:r>
      <w:r>
        <w:rPr>
          <w:rFonts w:hint="eastAsia" w:ascii="仿宋" w:hAnsi="仿宋" w:eastAsia="仿宋"/>
          <w:bCs/>
          <w:sz w:val="32"/>
          <w:szCs w:val="32"/>
          <w:shd w:val="clear" w:color="auto" w:fill="FFFFFF"/>
        </w:rPr>
        <w:t>信息管理系统的开发建设、运行管理和网络管理等工作。</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 w:hAnsi="仿宋" w:eastAsia="仿宋" w:cs="仿宋"/>
          <w:sz w:val="32"/>
          <w:szCs w:val="32"/>
        </w:rPr>
      </w:pPr>
      <w:r>
        <w:rPr>
          <w:rFonts w:hint="eastAsia" w:ascii="仿宋" w:hAnsi="仿宋" w:eastAsia="仿宋" w:cs="仿宋"/>
          <w:sz w:val="32"/>
          <w:szCs w:val="32"/>
        </w:rPr>
        <w:t>2020年12月单位编制数15人,其中:核定事业编制15人，其中：事业管理13人，专技2人。2020年实有人数14人（事业管理13人，专技1人）。</w:t>
      </w:r>
    </w:p>
    <w:p>
      <w:pPr>
        <w:ind w:firstLine="640" w:firstLineChars="200"/>
        <w:rPr>
          <w:rFonts w:ascii="黑体" w:eastAsia="黑体"/>
          <w:sz w:val="32"/>
          <w:szCs w:val="32"/>
        </w:rPr>
      </w:pPr>
      <w:r>
        <w:rPr>
          <w:rFonts w:hint="eastAsia" w:ascii="黑体" w:eastAsia="黑体"/>
          <w:sz w:val="32"/>
          <w:szCs w:val="32"/>
        </w:rPr>
        <w:t>二、2019年及2020年1-6月财政资金当年收支情况</w:t>
      </w:r>
    </w:p>
    <w:p>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收入情况</w:t>
      </w:r>
    </w:p>
    <w:p>
      <w:pPr>
        <w:spacing w:line="560" w:lineRule="auto"/>
        <w:ind w:firstLine="480" w:firstLineChars="150"/>
        <w:rPr>
          <w:rFonts w:ascii="仿宋" w:hAnsi="仿宋" w:eastAsia="仿宋" w:cs="仿宋"/>
          <w:color w:val="000000"/>
          <w:sz w:val="32"/>
          <w:szCs w:val="32"/>
        </w:rPr>
      </w:pPr>
      <w:r>
        <w:rPr>
          <w:rFonts w:hint="eastAsia" w:ascii="仿宋" w:hAnsi="仿宋" w:eastAsia="仿宋" w:cs="仿宋"/>
          <w:sz w:val="32"/>
          <w:szCs w:val="32"/>
        </w:rPr>
        <w:t xml:space="preserve"> 2019年我局收入合计257.08万元，</w:t>
      </w:r>
      <w:r>
        <w:rPr>
          <w:rFonts w:hint="eastAsia" w:ascii="仿宋" w:hAnsi="仿宋" w:eastAsia="仿宋" w:cs="仿宋"/>
          <w:color w:val="000000"/>
          <w:sz w:val="32"/>
          <w:szCs w:val="32"/>
        </w:rPr>
        <w:t>其中：一般公共预算财政拨款收入226.64万元；年初财政拨款结转和结余30.44万元。</w:t>
      </w:r>
    </w:p>
    <w:p>
      <w:pPr>
        <w:spacing w:line="560" w:lineRule="auto"/>
        <w:ind w:firstLine="640" w:firstLineChars="200"/>
        <w:rPr>
          <w:rFonts w:ascii="仿宋" w:hAnsi="仿宋" w:eastAsia="仿宋" w:cs="仿宋"/>
          <w:color w:val="000000"/>
          <w:kern w:val="0"/>
          <w:sz w:val="32"/>
          <w:szCs w:val="32"/>
        </w:rPr>
      </w:pPr>
      <w:r>
        <w:rPr>
          <w:rFonts w:hint="eastAsia" w:ascii="仿宋" w:hAnsi="仿宋" w:eastAsia="仿宋" w:cs="仿宋"/>
          <w:color w:val="000000"/>
          <w:sz w:val="32"/>
          <w:szCs w:val="32"/>
        </w:rPr>
        <w:t>2020年1至6月县我局收入合计1424.87万元，其中：财政拨款基本收入1424.87万元。包括：工资福利224.16万元，公务经费1.72万元，对社会保障基金补助1198.99万元。</w:t>
      </w:r>
    </w:p>
    <w:p>
      <w:pPr>
        <w:ind w:firstLine="643" w:firstLineChars="200"/>
        <w:rPr>
          <w:rFonts w:ascii="楷体_GB2312" w:eastAsia="楷体_GB2312"/>
          <w:b/>
          <w:sz w:val="32"/>
          <w:szCs w:val="32"/>
        </w:rPr>
      </w:pPr>
      <w:r>
        <w:rPr>
          <w:rFonts w:hint="eastAsia" w:ascii="楷体_GB2312" w:eastAsia="楷体_GB2312"/>
          <w:b/>
          <w:sz w:val="32"/>
          <w:szCs w:val="32"/>
        </w:rPr>
        <w:t>（二）支出情况</w:t>
      </w:r>
    </w:p>
    <w:p>
      <w:pPr>
        <w:spacing w:line="560" w:lineRule="auto"/>
        <w:ind w:left="319" w:leftChars="152" w:firstLine="420" w:firstLineChars="150"/>
        <w:rPr>
          <w:rFonts w:ascii="仿宋" w:hAnsi="仿宋" w:eastAsia="仿宋" w:cs="宋体"/>
          <w:sz w:val="32"/>
          <w:szCs w:val="32"/>
        </w:rPr>
      </w:pPr>
      <w:r>
        <w:rPr>
          <w:rFonts w:hint="eastAsia" w:ascii="仿宋" w:hAnsi="仿宋" w:eastAsia="仿宋" w:cs="仿宋_GB2312"/>
          <w:color w:val="000000"/>
          <w:sz w:val="28"/>
          <w:szCs w:val="28"/>
        </w:rPr>
        <w:t xml:space="preserve"> </w:t>
      </w:r>
      <w:r>
        <w:rPr>
          <w:rFonts w:hint="eastAsia" w:ascii="仿宋" w:hAnsi="仿宋" w:eastAsia="仿宋" w:cs="仿宋_GB2312"/>
          <w:color w:val="000000"/>
          <w:sz w:val="32"/>
          <w:szCs w:val="32"/>
        </w:rPr>
        <w:t>2019</w:t>
      </w:r>
      <w:r>
        <w:rPr>
          <w:rFonts w:ascii="仿宋" w:hAnsi="仿宋" w:eastAsia="仿宋" w:cs="宋体"/>
          <w:color w:val="000000"/>
          <w:sz w:val="32"/>
          <w:szCs w:val="32"/>
        </w:rPr>
        <w:t>年</w:t>
      </w:r>
      <w:r>
        <w:rPr>
          <w:rFonts w:hint="eastAsia" w:ascii="仿宋" w:hAnsi="仿宋" w:eastAsia="仿宋" w:cs="宋体"/>
          <w:color w:val="000000"/>
          <w:sz w:val="32"/>
          <w:szCs w:val="32"/>
        </w:rPr>
        <w:t>城居保</w:t>
      </w:r>
      <w:r>
        <w:rPr>
          <w:rFonts w:ascii="仿宋" w:hAnsi="仿宋" w:eastAsia="仿宋" w:cs="宋体"/>
          <w:color w:val="000000"/>
          <w:sz w:val="32"/>
          <w:szCs w:val="32"/>
        </w:rPr>
        <w:t>局支出合计</w:t>
      </w:r>
      <w:r>
        <w:rPr>
          <w:rFonts w:hint="eastAsia" w:ascii="仿宋" w:hAnsi="仿宋" w:eastAsia="仿宋" w:cs="仿宋_GB2312"/>
          <w:color w:val="000000"/>
          <w:sz w:val="32"/>
          <w:szCs w:val="32"/>
        </w:rPr>
        <w:t>257.08</w:t>
      </w:r>
      <w:r>
        <w:rPr>
          <w:rFonts w:ascii="仿宋" w:hAnsi="仿宋" w:eastAsia="仿宋" w:cs="宋体"/>
          <w:color w:val="000000"/>
          <w:sz w:val="32"/>
          <w:szCs w:val="32"/>
        </w:rPr>
        <w:t>万元，其中：</w:t>
      </w:r>
      <w:r>
        <w:rPr>
          <w:rFonts w:hint="eastAsia" w:ascii="仿宋" w:hAnsi="仿宋" w:eastAsia="仿宋" w:cs="宋体"/>
          <w:color w:val="000000"/>
          <w:sz w:val="32"/>
          <w:szCs w:val="32"/>
        </w:rPr>
        <w:t>1、</w:t>
      </w:r>
      <w:r>
        <w:rPr>
          <w:rFonts w:ascii="仿宋" w:hAnsi="仿宋" w:eastAsia="仿宋" w:cs="宋体"/>
          <w:color w:val="000000"/>
          <w:sz w:val="32"/>
          <w:szCs w:val="32"/>
        </w:rPr>
        <w:t>基本支出</w:t>
      </w:r>
      <w:r>
        <w:rPr>
          <w:rFonts w:hint="eastAsia" w:ascii="仿宋" w:hAnsi="仿宋" w:eastAsia="仿宋" w:cs="仿宋_GB2312"/>
          <w:color w:val="000000"/>
          <w:sz w:val="32"/>
          <w:szCs w:val="32"/>
        </w:rPr>
        <w:t>226.34</w:t>
      </w:r>
      <w:r>
        <w:rPr>
          <w:rFonts w:ascii="仿宋" w:hAnsi="仿宋" w:eastAsia="仿宋" w:cs="宋体"/>
          <w:color w:val="000000"/>
          <w:sz w:val="32"/>
          <w:szCs w:val="32"/>
        </w:rPr>
        <w:t>万元，占</w:t>
      </w:r>
      <w:r>
        <w:rPr>
          <w:rFonts w:hint="eastAsia" w:ascii="仿宋" w:hAnsi="仿宋" w:eastAsia="仿宋" w:cs="仿宋_GB2312"/>
          <w:color w:val="000000"/>
          <w:sz w:val="32"/>
          <w:szCs w:val="32"/>
        </w:rPr>
        <w:t>87.95</w:t>
      </w:r>
      <w:r>
        <w:rPr>
          <w:rFonts w:ascii="仿宋" w:hAnsi="仿宋" w:eastAsia="仿宋" w:cs="仿宋_GB2312"/>
          <w:color w:val="000000"/>
          <w:sz w:val="32"/>
          <w:szCs w:val="32"/>
        </w:rPr>
        <w:t>%</w:t>
      </w:r>
      <w:r>
        <w:rPr>
          <w:rFonts w:ascii="仿宋" w:hAnsi="仿宋" w:eastAsia="仿宋" w:cs="宋体"/>
          <w:color w:val="000000"/>
          <w:sz w:val="32"/>
          <w:szCs w:val="32"/>
        </w:rPr>
        <w:t>；</w:t>
      </w:r>
      <w:r>
        <w:rPr>
          <w:rFonts w:hint="eastAsia" w:ascii="仿宋" w:hAnsi="仿宋" w:eastAsia="仿宋" w:cs="宋体"/>
          <w:color w:val="000000"/>
          <w:sz w:val="32"/>
          <w:szCs w:val="32"/>
        </w:rPr>
        <w:t>其中：</w:t>
      </w:r>
      <w:r>
        <w:rPr>
          <w:rFonts w:ascii="仿宋" w:hAnsi="仿宋" w:eastAsia="仿宋" w:cs="宋体"/>
          <w:sz w:val="32"/>
          <w:szCs w:val="32"/>
        </w:rPr>
        <w:t>包括基本工资</w:t>
      </w:r>
      <w:r>
        <w:rPr>
          <w:rFonts w:hint="eastAsia" w:ascii="仿宋" w:hAnsi="仿宋" w:eastAsia="仿宋" w:cs="仿宋_GB2312"/>
          <w:sz w:val="32"/>
          <w:szCs w:val="32"/>
        </w:rPr>
        <w:t>48.50</w:t>
      </w:r>
      <w:r>
        <w:rPr>
          <w:rFonts w:ascii="仿宋" w:hAnsi="仿宋" w:eastAsia="仿宋" w:cs="宋体"/>
          <w:sz w:val="32"/>
          <w:szCs w:val="32"/>
        </w:rPr>
        <w:t>万元</w:t>
      </w:r>
      <w:r>
        <w:rPr>
          <w:rFonts w:hint="eastAsia" w:ascii="仿宋" w:hAnsi="仿宋" w:eastAsia="仿宋" w:cs="宋体"/>
          <w:sz w:val="32"/>
          <w:szCs w:val="32"/>
        </w:rPr>
        <w:t>、</w:t>
      </w:r>
      <w:r>
        <w:rPr>
          <w:rFonts w:ascii="仿宋" w:hAnsi="仿宋" w:eastAsia="仿宋" w:cs="宋体"/>
          <w:sz w:val="32"/>
          <w:szCs w:val="32"/>
        </w:rPr>
        <w:t>津贴补贴</w:t>
      </w:r>
      <w:r>
        <w:rPr>
          <w:rFonts w:hint="eastAsia" w:ascii="仿宋" w:hAnsi="仿宋" w:eastAsia="仿宋" w:cs="仿宋_GB2312"/>
          <w:sz w:val="32"/>
          <w:szCs w:val="32"/>
        </w:rPr>
        <w:t>23.92</w:t>
      </w:r>
      <w:r>
        <w:rPr>
          <w:rFonts w:ascii="仿宋" w:hAnsi="仿宋" w:eastAsia="仿宋" w:cs="宋体"/>
          <w:sz w:val="32"/>
          <w:szCs w:val="32"/>
        </w:rPr>
        <w:t>万元</w:t>
      </w:r>
      <w:r>
        <w:rPr>
          <w:rFonts w:hint="eastAsia" w:ascii="仿宋" w:hAnsi="仿宋" w:eastAsia="仿宋" w:cs="宋体"/>
          <w:sz w:val="32"/>
          <w:szCs w:val="32"/>
        </w:rPr>
        <w:t>、奖金4.05万元、绩效工资45.65万元、机关事业单位养老保险费20.02万元、奖励金29.66万元、职业年金缴费9.24万元、事业单位医疗保险8.41万元、公务员医疗补助2.20万元、</w:t>
      </w:r>
      <w:r>
        <w:rPr>
          <w:rFonts w:ascii="仿宋" w:hAnsi="仿宋" w:eastAsia="仿宋" w:cs="宋体"/>
          <w:sz w:val="32"/>
          <w:szCs w:val="32"/>
        </w:rPr>
        <w:t>其他社会保障缴费</w:t>
      </w:r>
      <w:r>
        <w:rPr>
          <w:rFonts w:hint="eastAsia" w:ascii="仿宋" w:hAnsi="仿宋" w:eastAsia="仿宋" w:cs="宋体"/>
          <w:sz w:val="32"/>
          <w:szCs w:val="32"/>
        </w:rPr>
        <w:t>3.03</w:t>
      </w:r>
      <w:r>
        <w:rPr>
          <w:rFonts w:ascii="仿宋" w:hAnsi="仿宋" w:eastAsia="仿宋" w:cs="宋体"/>
          <w:sz w:val="32"/>
          <w:szCs w:val="32"/>
        </w:rPr>
        <w:t>万元</w:t>
      </w:r>
      <w:r>
        <w:rPr>
          <w:rFonts w:hint="eastAsia" w:ascii="仿宋" w:hAnsi="仿宋" w:eastAsia="仿宋" w:cs="宋体"/>
          <w:sz w:val="32"/>
          <w:szCs w:val="32"/>
        </w:rPr>
        <w:t>、</w:t>
      </w:r>
      <w:r>
        <w:rPr>
          <w:rFonts w:ascii="仿宋" w:hAnsi="仿宋" w:eastAsia="仿宋" w:cs="宋体"/>
          <w:sz w:val="32"/>
          <w:szCs w:val="32"/>
        </w:rPr>
        <w:t>住房保障支出</w:t>
      </w:r>
      <w:r>
        <w:rPr>
          <w:rFonts w:hint="eastAsia" w:ascii="仿宋" w:hAnsi="仿宋" w:eastAsia="仿宋" w:cs="宋体"/>
          <w:sz w:val="32"/>
          <w:szCs w:val="32"/>
        </w:rPr>
        <w:t>17.93</w:t>
      </w:r>
      <w:r>
        <w:rPr>
          <w:rFonts w:ascii="仿宋" w:hAnsi="仿宋" w:eastAsia="仿宋" w:cs="宋体"/>
          <w:sz w:val="32"/>
          <w:szCs w:val="32"/>
        </w:rPr>
        <w:t>万元</w:t>
      </w:r>
      <w:r>
        <w:rPr>
          <w:rFonts w:hint="eastAsia" w:ascii="仿宋" w:hAnsi="仿宋" w:eastAsia="仿宋" w:cs="宋体"/>
          <w:sz w:val="32"/>
          <w:szCs w:val="32"/>
        </w:rPr>
        <w:t>、</w:t>
      </w:r>
      <w:r>
        <w:rPr>
          <w:rFonts w:ascii="仿宋" w:hAnsi="仿宋" w:eastAsia="仿宋" w:cs="宋体"/>
          <w:sz w:val="32"/>
          <w:szCs w:val="32"/>
        </w:rPr>
        <w:t>办公费</w:t>
      </w:r>
      <w:r>
        <w:rPr>
          <w:rFonts w:hint="eastAsia" w:ascii="仿宋" w:hAnsi="仿宋" w:eastAsia="仿宋" w:cs="仿宋_GB2312"/>
          <w:sz w:val="32"/>
          <w:szCs w:val="32"/>
        </w:rPr>
        <w:t>4.16</w:t>
      </w:r>
      <w:r>
        <w:rPr>
          <w:rFonts w:ascii="仿宋" w:hAnsi="仿宋" w:eastAsia="仿宋" w:cs="宋体"/>
          <w:sz w:val="32"/>
          <w:szCs w:val="32"/>
        </w:rPr>
        <w:t>万元</w:t>
      </w:r>
      <w:r>
        <w:rPr>
          <w:rFonts w:hint="eastAsia" w:ascii="仿宋" w:hAnsi="仿宋" w:eastAsia="仿宋" w:cs="宋体"/>
          <w:sz w:val="32"/>
          <w:szCs w:val="32"/>
        </w:rPr>
        <w:t>、印刷费0.5万元、</w:t>
      </w:r>
      <w:r>
        <w:rPr>
          <w:rFonts w:ascii="仿宋" w:hAnsi="仿宋" w:eastAsia="仿宋" w:cs="宋体"/>
          <w:sz w:val="32"/>
          <w:szCs w:val="32"/>
        </w:rPr>
        <w:t>水费</w:t>
      </w:r>
      <w:r>
        <w:rPr>
          <w:rFonts w:hint="eastAsia" w:ascii="仿宋" w:hAnsi="仿宋" w:eastAsia="仿宋" w:cs="仿宋_GB2312"/>
          <w:sz w:val="32"/>
          <w:szCs w:val="32"/>
        </w:rPr>
        <w:t>0.2</w:t>
      </w:r>
      <w:r>
        <w:rPr>
          <w:rFonts w:ascii="仿宋" w:hAnsi="仿宋" w:eastAsia="仿宋" w:cs="宋体"/>
          <w:sz w:val="32"/>
          <w:szCs w:val="32"/>
        </w:rPr>
        <w:t>万元</w:t>
      </w:r>
      <w:r>
        <w:rPr>
          <w:rFonts w:hint="eastAsia" w:ascii="仿宋" w:hAnsi="仿宋" w:eastAsia="仿宋" w:cs="宋体"/>
          <w:sz w:val="32"/>
          <w:szCs w:val="32"/>
        </w:rPr>
        <w:t>、</w:t>
      </w:r>
      <w:r>
        <w:rPr>
          <w:rFonts w:ascii="仿宋" w:hAnsi="仿宋" w:eastAsia="仿宋" w:cs="宋体"/>
          <w:sz w:val="32"/>
          <w:szCs w:val="32"/>
        </w:rPr>
        <w:t>电费</w:t>
      </w:r>
      <w:r>
        <w:rPr>
          <w:rFonts w:ascii="仿宋" w:hAnsi="仿宋" w:eastAsia="仿宋" w:cs="仿宋_GB2312"/>
          <w:sz w:val="32"/>
          <w:szCs w:val="32"/>
        </w:rPr>
        <w:t>0.</w:t>
      </w:r>
      <w:r>
        <w:rPr>
          <w:rFonts w:hint="eastAsia" w:ascii="仿宋" w:hAnsi="仿宋" w:eastAsia="仿宋" w:cs="仿宋_GB2312"/>
          <w:sz w:val="32"/>
          <w:szCs w:val="32"/>
        </w:rPr>
        <w:t>5</w:t>
      </w:r>
      <w:r>
        <w:rPr>
          <w:rFonts w:ascii="仿宋" w:hAnsi="仿宋" w:eastAsia="仿宋" w:cs="宋体"/>
          <w:sz w:val="32"/>
          <w:szCs w:val="32"/>
        </w:rPr>
        <w:t>万元</w:t>
      </w:r>
      <w:r>
        <w:rPr>
          <w:rFonts w:hint="eastAsia" w:ascii="仿宋" w:hAnsi="仿宋" w:eastAsia="仿宋" w:cs="宋体"/>
          <w:sz w:val="32"/>
          <w:szCs w:val="32"/>
        </w:rPr>
        <w:t>、邮电费0.94万元、</w:t>
      </w:r>
      <w:r>
        <w:rPr>
          <w:rFonts w:ascii="仿宋" w:hAnsi="仿宋" w:eastAsia="仿宋" w:cs="宋体"/>
          <w:sz w:val="32"/>
          <w:szCs w:val="32"/>
        </w:rPr>
        <w:t>差旅费</w:t>
      </w:r>
      <w:r>
        <w:rPr>
          <w:rFonts w:hint="eastAsia" w:ascii="仿宋" w:hAnsi="仿宋" w:eastAsia="仿宋" w:cs="仿宋_GB2312"/>
          <w:sz w:val="32"/>
          <w:szCs w:val="32"/>
        </w:rPr>
        <w:t>3.03</w:t>
      </w:r>
      <w:r>
        <w:rPr>
          <w:rFonts w:ascii="仿宋" w:hAnsi="仿宋" w:eastAsia="仿宋" w:cs="宋体"/>
          <w:sz w:val="32"/>
          <w:szCs w:val="32"/>
        </w:rPr>
        <w:t>万元</w:t>
      </w:r>
      <w:r>
        <w:rPr>
          <w:rFonts w:hint="eastAsia" w:ascii="仿宋" w:hAnsi="仿宋" w:eastAsia="仿宋" w:cs="宋体"/>
          <w:sz w:val="32"/>
          <w:szCs w:val="32"/>
        </w:rPr>
        <w:t>、会议费0.66万元、劳务费0.2万元、其他交通</w:t>
      </w:r>
      <w:r>
        <w:rPr>
          <w:rFonts w:ascii="仿宋" w:hAnsi="仿宋" w:eastAsia="仿宋" w:cs="宋体"/>
          <w:sz w:val="32"/>
          <w:szCs w:val="32"/>
        </w:rPr>
        <w:t>费</w:t>
      </w:r>
      <w:r>
        <w:rPr>
          <w:rFonts w:hint="eastAsia" w:ascii="仿宋" w:hAnsi="仿宋" w:eastAsia="仿宋" w:cs="仿宋_GB2312"/>
          <w:sz w:val="32"/>
          <w:szCs w:val="32"/>
        </w:rPr>
        <w:t>3.54</w:t>
      </w:r>
      <w:r>
        <w:rPr>
          <w:rFonts w:ascii="仿宋" w:hAnsi="仿宋" w:eastAsia="仿宋" w:cs="宋体"/>
          <w:sz w:val="32"/>
          <w:szCs w:val="32"/>
        </w:rPr>
        <w:t>万元。</w:t>
      </w:r>
      <w:r>
        <w:rPr>
          <w:rFonts w:hint="eastAsia" w:ascii="仿宋" w:hAnsi="仿宋" w:eastAsia="仿宋" w:cs="宋体"/>
          <w:sz w:val="32"/>
          <w:szCs w:val="32"/>
        </w:rPr>
        <w:t>2、项目支出30.75万元（建档立卡贫困人员养老保险代缴30.33万元、培训费0.42万元），</w:t>
      </w:r>
      <w:r>
        <w:rPr>
          <w:rFonts w:ascii="仿宋" w:hAnsi="仿宋" w:eastAsia="仿宋" w:cs="宋体"/>
          <w:sz w:val="32"/>
          <w:szCs w:val="32"/>
        </w:rPr>
        <w:t>占总支出的</w:t>
      </w:r>
      <w:r>
        <w:rPr>
          <w:rFonts w:hint="eastAsia" w:ascii="仿宋" w:hAnsi="仿宋" w:eastAsia="仿宋" w:cs="仿宋_GB2312"/>
          <w:sz w:val="32"/>
          <w:szCs w:val="32"/>
        </w:rPr>
        <w:t>12.05</w:t>
      </w:r>
      <w:r>
        <w:rPr>
          <w:rFonts w:ascii="仿宋" w:hAnsi="仿宋" w:eastAsia="仿宋" w:cs="仿宋_GB2312"/>
          <w:sz w:val="32"/>
          <w:szCs w:val="32"/>
        </w:rPr>
        <w:t>%</w:t>
      </w:r>
      <w:r>
        <w:rPr>
          <w:rFonts w:hint="eastAsia" w:ascii="仿宋" w:hAnsi="仿宋" w:eastAsia="仿宋" w:cs="宋体"/>
          <w:sz w:val="32"/>
          <w:szCs w:val="32"/>
        </w:rPr>
        <w:t>。</w:t>
      </w:r>
    </w:p>
    <w:p>
      <w:pPr>
        <w:spacing w:line="560" w:lineRule="auto"/>
        <w:ind w:left="319" w:leftChars="152" w:firstLine="640" w:firstLineChars="200"/>
        <w:rPr>
          <w:rFonts w:ascii="仿宋" w:hAnsi="仿宋" w:eastAsia="仿宋" w:cs="宋体"/>
          <w:sz w:val="32"/>
          <w:szCs w:val="32"/>
        </w:rPr>
      </w:pPr>
      <w:r>
        <w:rPr>
          <w:rFonts w:hint="eastAsia" w:ascii="仿宋" w:hAnsi="仿宋" w:eastAsia="仿宋" w:cs="仿宋_GB2312"/>
          <w:color w:val="000000"/>
          <w:sz w:val="32"/>
          <w:szCs w:val="32"/>
        </w:rPr>
        <w:t xml:space="preserve"> 2020</w:t>
      </w:r>
      <w:r>
        <w:rPr>
          <w:rFonts w:ascii="仿宋" w:hAnsi="仿宋" w:eastAsia="仿宋" w:cs="宋体"/>
          <w:color w:val="000000"/>
          <w:sz w:val="32"/>
          <w:szCs w:val="32"/>
        </w:rPr>
        <w:t>年</w:t>
      </w:r>
      <w:r>
        <w:rPr>
          <w:rFonts w:ascii="仿宋" w:hAnsi="仿宋" w:eastAsia="仿宋" w:cs="仿宋_GB2312"/>
          <w:color w:val="000000"/>
          <w:sz w:val="32"/>
          <w:szCs w:val="32"/>
        </w:rPr>
        <w:t>1</w:t>
      </w:r>
      <w:r>
        <w:rPr>
          <w:rFonts w:ascii="仿宋" w:hAnsi="仿宋" w:eastAsia="仿宋" w:cs="宋体"/>
          <w:color w:val="000000"/>
          <w:sz w:val="32"/>
          <w:szCs w:val="32"/>
        </w:rPr>
        <w:t>至</w:t>
      </w:r>
      <w:r>
        <w:rPr>
          <w:rFonts w:ascii="仿宋" w:hAnsi="仿宋" w:eastAsia="仿宋" w:cs="仿宋_GB2312"/>
          <w:color w:val="000000"/>
          <w:sz w:val="32"/>
          <w:szCs w:val="32"/>
        </w:rPr>
        <w:t>6</w:t>
      </w:r>
      <w:r>
        <w:rPr>
          <w:rFonts w:ascii="仿宋" w:hAnsi="仿宋" w:eastAsia="仿宋" w:cs="宋体"/>
          <w:color w:val="000000"/>
          <w:sz w:val="32"/>
          <w:szCs w:val="32"/>
        </w:rPr>
        <w:t>月</w:t>
      </w:r>
      <w:r>
        <w:rPr>
          <w:rFonts w:hint="eastAsia" w:ascii="仿宋" w:hAnsi="仿宋" w:eastAsia="仿宋" w:cs="宋体"/>
          <w:color w:val="000000"/>
          <w:sz w:val="32"/>
          <w:szCs w:val="32"/>
        </w:rPr>
        <w:t>城居保</w:t>
      </w:r>
      <w:r>
        <w:rPr>
          <w:rFonts w:ascii="仿宋" w:hAnsi="仿宋" w:eastAsia="仿宋" w:cs="宋体"/>
          <w:color w:val="000000"/>
          <w:sz w:val="32"/>
          <w:szCs w:val="32"/>
        </w:rPr>
        <w:t>局支出合计</w:t>
      </w:r>
      <w:r>
        <w:rPr>
          <w:rFonts w:hint="eastAsia" w:ascii="仿宋" w:hAnsi="仿宋" w:eastAsia="仿宋" w:cs="仿宋_GB2312"/>
          <w:color w:val="000000"/>
          <w:sz w:val="32"/>
          <w:szCs w:val="32"/>
        </w:rPr>
        <w:t>1424.87</w:t>
      </w:r>
      <w:r>
        <w:rPr>
          <w:rFonts w:ascii="仿宋" w:hAnsi="仿宋" w:eastAsia="仿宋" w:cs="宋体"/>
          <w:color w:val="000000"/>
          <w:sz w:val="32"/>
          <w:szCs w:val="32"/>
        </w:rPr>
        <w:t>万元。其中：基本工资</w:t>
      </w:r>
      <w:r>
        <w:rPr>
          <w:rFonts w:hint="eastAsia" w:ascii="仿宋" w:hAnsi="仿宋" w:eastAsia="仿宋" w:cs="仿宋_GB2312"/>
          <w:color w:val="000000"/>
          <w:sz w:val="32"/>
          <w:szCs w:val="32"/>
        </w:rPr>
        <w:t>24.28</w:t>
      </w:r>
      <w:r>
        <w:rPr>
          <w:rFonts w:ascii="仿宋" w:hAnsi="仿宋" w:eastAsia="仿宋" w:cs="宋体"/>
          <w:color w:val="000000"/>
          <w:sz w:val="32"/>
          <w:szCs w:val="32"/>
        </w:rPr>
        <w:t>万元，津贴补贴</w:t>
      </w:r>
      <w:r>
        <w:rPr>
          <w:rFonts w:hint="eastAsia" w:ascii="仿宋" w:hAnsi="仿宋" w:eastAsia="仿宋" w:cs="仿宋_GB2312"/>
          <w:color w:val="000000"/>
          <w:sz w:val="32"/>
          <w:szCs w:val="32"/>
        </w:rPr>
        <w:t>12.14</w:t>
      </w:r>
      <w:r>
        <w:rPr>
          <w:rFonts w:ascii="仿宋" w:hAnsi="仿宋" w:eastAsia="仿宋" w:cs="宋体"/>
          <w:color w:val="000000"/>
          <w:sz w:val="32"/>
          <w:szCs w:val="32"/>
        </w:rPr>
        <w:t>万元，绩效工资</w:t>
      </w:r>
      <w:r>
        <w:rPr>
          <w:rFonts w:hint="eastAsia" w:ascii="仿宋" w:hAnsi="仿宋" w:eastAsia="仿宋" w:cs="仿宋_GB2312"/>
          <w:color w:val="000000"/>
          <w:sz w:val="32"/>
          <w:szCs w:val="32"/>
        </w:rPr>
        <w:t>16.14</w:t>
      </w:r>
      <w:r>
        <w:rPr>
          <w:rFonts w:ascii="仿宋" w:hAnsi="仿宋" w:eastAsia="仿宋" w:cs="宋体"/>
          <w:color w:val="000000"/>
          <w:sz w:val="32"/>
          <w:szCs w:val="32"/>
        </w:rPr>
        <w:t>万元，其他社会保障缴费</w:t>
      </w:r>
      <w:r>
        <w:rPr>
          <w:rFonts w:hint="eastAsia" w:ascii="仿宋" w:hAnsi="仿宋" w:eastAsia="仿宋" w:cs="仿宋_GB2312"/>
          <w:color w:val="000000"/>
          <w:sz w:val="32"/>
          <w:szCs w:val="32"/>
        </w:rPr>
        <w:t>52.11</w:t>
      </w:r>
      <w:r>
        <w:rPr>
          <w:rFonts w:ascii="仿宋" w:hAnsi="仿宋" w:eastAsia="仿宋" w:cs="宋体"/>
          <w:color w:val="000000"/>
          <w:sz w:val="32"/>
          <w:szCs w:val="32"/>
        </w:rPr>
        <w:t>万元，办公费</w:t>
      </w:r>
      <w:r>
        <w:rPr>
          <w:rFonts w:hint="eastAsia" w:ascii="仿宋" w:hAnsi="仿宋" w:eastAsia="仿宋" w:cs="仿宋_GB2312"/>
          <w:color w:val="000000"/>
          <w:sz w:val="32"/>
          <w:szCs w:val="32"/>
        </w:rPr>
        <w:t>0.43</w:t>
      </w:r>
      <w:r>
        <w:rPr>
          <w:rFonts w:ascii="仿宋" w:hAnsi="仿宋" w:eastAsia="仿宋" w:cs="宋体"/>
          <w:color w:val="000000"/>
          <w:sz w:val="32"/>
          <w:szCs w:val="32"/>
        </w:rPr>
        <w:t>万元，差旅费</w:t>
      </w:r>
      <w:r>
        <w:rPr>
          <w:rFonts w:hint="eastAsia" w:ascii="仿宋" w:hAnsi="仿宋" w:eastAsia="仿宋" w:cs="仿宋_GB2312"/>
          <w:color w:val="000000"/>
          <w:sz w:val="32"/>
          <w:szCs w:val="32"/>
        </w:rPr>
        <w:t>1.29</w:t>
      </w:r>
      <w:r>
        <w:rPr>
          <w:rFonts w:ascii="仿宋" w:hAnsi="仿宋" w:eastAsia="仿宋" w:cs="宋体"/>
          <w:color w:val="000000"/>
          <w:sz w:val="32"/>
          <w:szCs w:val="32"/>
        </w:rPr>
        <w:t>万元</w:t>
      </w:r>
      <w:r>
        <w:rPr>
          <w:rFonts w:hint="eastAsia" w:ascii="仿宋" w:hAnsi="仿宋" w:eastAsia="仿宋" w:cs="宋体"/>
          <w:color w:val="000000"/>
          <w:sz w:val="32"/>
          <w:szCs w:val="32"/>
        </w:rPr>
        <w:t>，奖励金35.85万元，</w:t>
      </w:r>
      <w:r>
        <w:rPr>
          <w:rFonts w:ascii="仿宋" w:hAnsi="仿宋" w:eastAsia="仿宋" w:cs="宋体"/>
          <w:color w:val="000000"/>
          <w:sz w:val="32"/>
          <w:szCs w:val="32"/>
        </w:rPr>
        <w:t>养老保险支</w:t>
      </w:r>
      <w:r>
        <w:rPr>
          <w:rFonts w:hint="eastAsia" w:ascii="仿宋" w:hAnsi="仿宋" w:eastAsia="仿宋" w:cs="宋体"/>
          <w:color w:val="000000"/>
          <w:sz w:val="32"/>
          <w:szCs w:val="32"/>
        </w:rPr>
        <w:t>9.54</w:t>
      </w:r>
      <w:r>
        <w:rPr>
          <w:rFonts w:ascii="仿宋" w:hAnsi="仿宋" w:eastAsia="仿宋" w:cs="宋体"/>
          <w:color w:val="000000"/>
          <w:sz w:val="32"/>
          <w:szCs w:val="32"/>
        </w:rPr>
        <w:t>万元，职业年金</w:t>
      </w:r>
      <w:r>
        <w:rPr>
          <w:rFonts w:hint="eastAsia" w:ascii="仿宋" w:hAnsi="仿宋" w:eastAsia="仿宋" w:cs="仿宋_GB2312"/>
          <w:color w:val="000000"/>
          <w:sz w:val="32"/>
          <w:szCs w:val="32"/>
        </w:rPr>
        <w:t>4.77</w:t>
      </w:r>
      <w:r>
        <w:rPr>
          <w:rFonts w:ascii="仿宋" w:hAnsi="仿宋" w:eastAsia="仿宋" w:cs="宋体"/>
          <w:color w:val="000000"/>
          <w:sz w:val="32"/>
          <w:szCs w:val="32"/>
        </w:rPr>
        <w:t>万元，</w:t>
      </w:r>
      <w:r>
        <w:rPr>
          <w:rFonts w:hint="eastAsia" w:ascii="仿宋" w:hAnsi="仿宋" w:eastAsia="仿宋" w:cs="宋体"/>
          <w:color w:val="000000"/>
          <w:sz w:val="32"/>
          <w:szCs w:val="32"/>
        </w:rPr>
        <w:t>事业</w:t>
      </w:r>
      <w:r>
        <w:rPr>
          <w:rFonts w:ascii="仿宋" w:hAnsi="仿宋" w:eastAsia="仿宋" w:cs="宋体"/>
          <w:color w:val="000000"/>
          <w:sz w:val="32"/>
          <w:szCs w:val="32"/>
        </w:rPr>
        <w:t>单位医疗</w:t>
      </w:r>
      <w:r>
        <w:rPr>
          <w:rFonts w:hint="eastAsia" w:ascii="仿宋" w:hAnsi="仿宋" w:eastAsia="仿宋" w:cs="仿宋_GB2312"/>
          <w:color w:val="000000"/>
          <w:sz w:val="32"/>
          <w:szCs w:val="32"/>
        </w:rPr>
        <w:t>4.17</w:t>
      </w:r>
      <w:r>
        <w:rPr>
          <w:rFonts w:ascii="仿宋" w:hAnsi="仿宋" w:eastAsia="仿宋" w:cs="宋体"/>
          <w:color w:val="000000"/>
          <w:sz w:val="32"/>
          <w:szCs w:val="32"/>
        </w:rPr>
        <w:t>万元，</w:t>
      </w:r>
      <w:r>
        <w:rPr>
          <w:rFonts w:hint="eastAsia" w:ascii="仿宋" w:hAnsi="仿宋" w:eastAsia="仿宋" w:cs="宋体"/>
          <w:color w:val="000000"/>
          <w:sz w:val="32"/>
          <w:szCs w:val="32"/>
        </w:rPr>
        <w:t>公务员医疗补助1.28万元，</w:t>
      </w:r>
      <w:r>
        <w:rPr>
          <w:rFonts w:ascii="仿宋" w:hAnsi="仿宋" w:eastAsia="仿宋" w:cs="宋体"/>
          <w:color w:val="000000"/>
          <w:sz w:val="32"/>
          <w:szCs w:val="32"/>
        </w:rPr>
        <w:t>住房公积金</w:t>
      </w:r>
      <w:r>
        <w:rPr>
          <w:rFonts w:hint="eastAsia" w:ascii="仿宋" w:hAnsi="仿宋" w:eastAsia="仿宋" w:cs="仿宋_GB2312"/>
          <w:color w:val="000000"/>
          <w:sz w:val="32"/>
          <w:szCs w:val="32"/>
        </w:rPr>
        <w:t>9.37</w:t>
      </w:r>
      <w:r>
        <w:rPr>
          <w:rFonts w:ascii="仿宋" w:hAnsi="仿宋" w:eastAsia="仿宋" w:cs="宋体"/>
          <w:color w:val="000000"/>
          <w:sz w:val="32"/>
          <w:szCs w:val="32"/>
        </w:rPr>
        <w:t>万元</w:t>
      </w:r>
      <w:r>
        <w:rPr>
          <w:rFonts w:hint="eastAsia" w:ascii="仿宋" w:hAnsi="仿宋" w:eastAsia="仿宋" w:cs="宋体"/>
          <w:color w:val="000000"/>
          <w:sz w:val="32"/>
          <w:szCs w:val="32"/>
        </w:rPr>
        <w:t>，</w:t>
      </w:r>
      <w:r>
        <w:rPr>
          <w:rFonts w:hint="eastAsia" w:ascii="仿宋" w:hAnsi="仿宋" w:eastAsia="仿宋" w:cs="宋体"/>
          <w:sz w:val="32"/>
          <w:szCs w:val="32"/>
        </w:rPr>
        <w:t>对社会保险基金补助1167.06万元（中央和省级财政养老保险转移支付补助），</w:t>
      </w:r>
      <w:r>
        <w:rPr>
          <w:rFonts w:ascii="仿宋" w:hAnsi="仿宋" w:eastAsia="仿宋" w:cs="宋体"/>
          <w:color w:val="000000"/>
          <w:sz w:val="32"/>
          <w:szCs w:val="32"/>
        </w:rPr>
        <w:t>其他社会保障缴费</w:t>
      </w:r>
      <w:r>
        <w:rPr>
          <w:rFonts w:hint="eastAsia" w:ascii="仿宋" w:hAnsi="仿宋" w:eastAsia="仿宋" w:cs="宋体"/>
          <w:sz w:val="32"/>
          <w:szCs w:val="32"/>
        </w:rPr>
        <w:t>54.52万元（失地农民</w:t>
      </w:r>
      <w:r>
        <w:rPr>
          <w:rFonts w:hint="eastAsia" w:ascii="仿宋" w:hAnsi="仿宋" w:eastAsia="仿宋" w:cs="宋体"/>
          <w:color w:val="000000"/>
          <w:sz w:val="32"/>
          <w:szCs w:val="32"/>
        </w:rPr>
        <w:t>生活保障），代缴社保缴费31.93万元（建档立卡贫困户养老保险代缴）</w:t>
      </w:r>
      <w:r>
        <w:rPr>
          <w:rFonts w:ascii="仿宋" w:hAnsi="仿宋" w:eastAsia="仿宋" w:cs="宋体"/>
          <w:color w:val="000000"/>
          <w:sz w:val="32"/>
          <w:szCs w:val="32"/>
        </w:rPr>
        <w:t>。</w:t>
      </w:r>
    </w:p>
    <w:p>
      <w:pPr>
        <w:numPr>
          <w:ilvl w:val="0"/>
          <w:numId w:val="8"/>
        </w:numPr>
        <w:ind w:firstLine="640" w:firstLineChars="200"/>
        <w:rPr>
          <w:rFonts w:ascii="黑体" w:eastAsia="黑体"/>
          <w:sz w:val="32"/>
          <w:szCs w:val="32"/>
        </w:rPr>
      </w:pPr>
      <w:r>
        <w:rPr>
          <w:rFonts w:hint="eastAsia" w:ascii="黑体" w:eastAsia="黑体"/>
          <w:sz w:val="32"/>
          <w:szCs w:val="32"/>
        </w:rPr>
        <w:t>2019年及2020年1-6月年财政支出管理情况</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（一）预算编制情况</w:t>
      </w:r>
    </w:p>
    <w:p>
      <w:pPr>
        <w:ind w:firstLine="604"/>
        <w:rPr>
          <w:rFonts w:ascii="仿宋" w:eastAsia="仿宋" w:cs="仿宋"/>
          <w:sz w:val="32"/>
          <w:szCs w:val="32"/>
        </w:rPr>
      </w:pPr>
      <w:r>
        <w:rPr>
          <w:rFonts w:hint="eastAsia" w:ascii="仿宋" w:eastAsia="仿宋" w:cs="仿宋"/>
          <w:sz w:val="32"/>
          <w:szCs w:val="32"/>
        </w:rPr>
        <w:t>我中心严格按照县级部门预算编制通知和有关要求，按时完成基础库、项目库报送工作，按时完成2019、2020年预算编制工作，并及时提交部门预算草案。按规定编制政府采购预算，预算编制全面、科学。</w:t>
      </w:r>
    </w:p>
    <w:p>
      <w:pPr>
        <w:rPr>
          <w:rFonts w:ascii="楷体_GB2312" w:eastAsia="楷体_GB2312"/>
          <w:b/>
          <w:sz w:val="32"/>
          <w:szCs w:val="32"/>
          <w:lang w:val="zh-CN"/>
        </w:rPr>
      </w:pPr>
      <w:r>
        <w:rPr>
          <w:rFonts w:hint="eastAsia" w:ascii="楷体_GB2312" w:eastAsia="楷体_GB2312"/>
          <w:b/>
          <w:sz w:val="32"/>
          <w:szCs w:val="32"/>
        </w:rPr>
        <w:t xml:space="preserve">    </w:t>
      </w:r>
      <w:r>
        <w:rPr>
          <w:rFonts w:hint="eastAsia" w:ascii="楷体_GB2312" w:eastAsia="楷体_GB2312"/>
          <w:b/>
          <w:sz w:val="32"/>
          <w:szCs w:val="32"/>
          <w:lang w:val="zh-CN"/>
        </w:rPr>
        <w:t>（二）执行管理情况</w:t>
      </w:r>
    </w:p>
    <w:p>
      <w:pPr>
        <w:ind w:firstLine="640" w:firstLineChars="200"/>
        <w:rPr>
          <w:rFonts w:ascii="仿宋" w:hAnsi="仿宋" w:eastAsia="仿宋" w:cs="仿宋"/>
          <w:sz w:val="32"/>
          <w:szCs w:val="32"/>
        </w:rPr>
      </w:pPr>
      <w:r>
        <w:rPr>
          <w:rFonts w:hint="eastAsia" w:ascii="仿宋" w:hAnsi="仿宋" w:eastAsia="仿宋" w:cs="仿宋"/>
          <w:sz w:val="32"/>
          <w:szCs w:val="32"/>
        </w:rPr>
        <w:t>2019年“三公”经费支出决算数为0万元。</w:t>
      </w:r>
    </w:p>
    <w:p>
      <w:pPr>
        <w:ind w:firstLine="640" w:firstLineChars="200"/>
        <w:rPr>
          <w:rFonts w:ascii="仿宋" w:hAnsi="仿宋" w:eastAsia="仿宋" w:cs="仿宋"/>
          <w:sz w:val="32"/>
          <w:szCs w:val="32"/>
        </w:rPr>
      </w:pPr>
      <w:r>
        <w:rPr>
          <w:rFonts w:hint="eastAsia" w:ascii="仿宋" w:hAnsi="仿宋" w:eastAsia="仿宋" w:cs="仿宋"/>
          <w:sz w:val="32"/>
          <w:szCs w:val="32"/>
        </w:rPr>
        <w:t>2020年1-6月“三公”经费公务用车运行费支出0万元。</w:t>
      </w:r>
    </w:p>
    <w:p>
      <w:pPr>
        <w:ind w:firstLine="607"/>
        <w:rPr>
          <w:rFonts w:ascii="楷体_GB2312" w:eastAsia="楷体_GB2312"/>
          <w:b/>
          <w:sz w:val="32"/>
          <w:szCs w:val="32"/>
          <w:lang w:val="zh-CN"/>
        </w:rPr>
      </w:pPr>
      <w:r>
        <w:rPr>
          <w:rFonts w:hint="eastAsia" w:ascii="楷体_GB2312" w:eastAsia="楷体_GB2312"/>
          <w:b/>
          <w:sz w:val="32"/>
          <w:szCs w:val="32"/>
          <w:lang w:val="zh-CN"/>
        </w:rPr>
        <w:t>（三）综合管理情况</w:t>
      </w:r>
    </w:p>
    <w:p>
      <w:pPr>
        <w:rPr>
          <w:rFonts w:ascii="仿宋" w:hAnsi="仿宋" w:eastAsia="仿宋" w:cs="仿宋"/>
          <w:b/>
          <w:color w:val="FF0000"/>
          <w:sz w:val="32"/>
          <w:szCs w:val="32"/>
          <w:lang w:val="zh-CN"/>
        </w:rPr>
      </w:pPr>
      <w:r>
        <w:rPr>
          <w:rFonts w:hint="eastAsia" w:ascii="仿宋" w:eastAsia="仿宋" w:cs="仿宋"/>
          <w:sz w:val="32"/>
          <w:szCs w:val="32"/>
        </w:rPr>
        <w:t xml:space="preserve">    </w:t>
      </w:r>
      <w:r>
        <w:rPr>
          <w:rFonts w:hint="eastAsia" w:ascii="仿宋" w:hAnsi="仿宋" w:eastAsia="仿宋" w:cs="仿宋"/>
          <w:sz w:val="32"/>
          <w:szCs w:val="32"/>
        </w:rPr>
        <w:t>为进一步加大城乡居民养老保险参保扩面宣传力度，让城乡居民养老保险政策更好地惠及百姓民生，推动我县城乡居民养老保险工作有序开展，我中心积极和主管、税务等部门开展“社会保险扩面宣传暨参保缴费业务培训”，对全县各乡（镇）开展城乡居民养老保险相关政策、业务宣传指导。在宣传活动上我中心工作人员通过散发《金川县城乡居民养老保险政策宣传》册的方式大力宣传城乡居民基本养老保险政策的优惠性；并依据《城乡居民养老保险缴费及待遇测算表》给参会乡、村（社）干部、业务经办人员认真</w:t>
      </w:r>
      <w:r>
        <w:rPr>
          <w:rFonts w:hint="eastAsia" w:ascii="仿宋" w:hAnsi="仿宋" w:eastAsia="仿宋" w:cs="仿宋"/>
          <w:sz w:val="32"/>
          <w:szCs w:val="32"/>
          <w:lang w:eastAsia="zh-CN"/>
        </w:rPr>
        <w:t>细致地进行</w:t>
      </w:r>
      <w:r>
        <w:rPr>
          <w:rFonts w:hint="eastAsia" w:ascii="仿宋" w:hAnsi="仿宋" w:eastAsia="仿宋" w:cs="仿宋"/>
          <w:sz w:val="32"/>
          <w:szCs w:val="32"/>
        </w:rPr>
        <w:t>现场宣讲，通过基础养老金发放、到龄人员待遇领取等典型事例让其充分感受到</w:t>
      </w:r>
      <w:r>
        <w:rPr>
          <w:rFonts w:hint="eastAsia" w:ascii="仿宋" w:hAnsi="仿宋" w:eastAsia="仿宋" w:cs="仿宋"/>
          <w:sz w:val="32"/>
          <w:szCs w:val="32"/>
          <w:lang w:eastAsia="zh-CN"/>
        </w:rPr>
        <w:t>城乡居民</w:t>
      </w:r>
      <w:r>
        <w:rPr>
          <w:rFonts w:hint="eastAsia" w:ascii="仿宋" w:hAnsi="仿宋" w:eastAsia="仿宋" w:cs="仿宋"/>
          <w:sz w:val="32"/>
          <w:szCs w:val="32"/>
        </w:rPr>
        <w:t>养老保险看得</w:t>
      </w:r>
      <w:r>
        <w:rPr>
          <w:rFonts w:hint="eastAsia" w:ascii="仿宋" w:hAnsi="仿宋" w:eastAsia="仿宋" w:cs="仿宋"/>
          <w:sz w:val="32"/>
          <w:szCs w:val="32"/>
          <w:lang w:eastAsia="zh-CN"/>
        </w:rPr>
        <w:t>到得实惠</w:t>
      </w:r>
      <w:r>
        <w:rPr>
          <w:rFonts w:hint="eastAsia" w:ascii="仿宋" w:hAnsi="仿宋" w:eastAsia="仿宋" w:cs="仿宋"/>
          <w:sz w:val="32"/>
          <w:szCs w:val="32"/>
        </w:rPr>
        <w:t>，力争把宣传成果转化为实际工作效果。通过这种咨询解答交流方式，让各乡（镇）进一步了解城乡居民养老保险政策，并从中感受到政府对广大群众的关怀，切实带动广大群众依法参保缴费意识，受到了广泛赞誉和好评，达到了良好的宣传效果。</w:t>
      </w:r>
    </w:p>
    <w:p>
      <w:pPr>
        <w:ind w:firstLine="604"/>
        <w:rPr>
          <w:rFonts w:ascii="仿宋_GB2312" w:eastAsia="仿宋_GB2312"/>
          <w:sz w:val="32"/>
          <w:szCs w:val="32"/>
        </w:rPr>
      </w:pPr>
      <w:r>
        <w:rPr>
          <w:rFonts w:hint="eastAsia" w:ascii="仿宋" w:hAnsi="仿宋" w:eastAsia="仿宋" w:cs="仿宋"/>
          <w:sz w:val="32"/>
          <w:szCs w:val="32"/>
        </w:rPr>
        <w:t>我单位财务管理制度健全，执行制度严格合规，会计核算符合相关规定，资金专款专用，资金支付依据和开支标准合法合规，严格执行政府采购，并依法接受财政监督。</w:t>
      </w:r>
    </w:p>
    <w:p>
      <w:pPr>
        <w:ind w:firstLine="604"/>
        <w:rPr>
          <w:rFonts w:ascii="楷体_GB2312" w:eastAsia="楷体_GB2312"/>
          <w:b/>
          <w:sz w:val="32"/>
          <w:szCs w:val="32"/>
          <w:lang w:val="zh-CN"/>
        </w:rPr>
      </w:pPr>
      <w:r>
        <w:rPr>
          <w:rFonts w:hint="eastAsia" w:ascii="楷体_GB2312" w:eastAsia="楷体_GB2312"/>
          <w:b/>
          <w:sz w:val="32"/>
          <w:szCs w:val="32"/>
          <w:lang w:val="zh-CN"/>
        </w:rPr>
        <w:t>（</w:t>
      </w:r>
      <w:r>
        <w:rPr>
          <w:rFonts w:hint="eastAsia" w:ascii="楷体_GB2312" w:eastAsia="楷体_GB2312"/>
          <w:b/>
          <w:sz w:val="32"/>
          <w:szCs w:val="32"/>
        </w:rPr>
        <w:t>四</w:t>
      </w:r>
      <w:r>
        <w:rPr>
          <w:rFonts w:hint="eastAsia" w:ascii="楷体_GB2312" w:eastAsia="楷体_GB2312"/>
          <w:b/>
          <w:sz w:val="32"/>
          <w:szCs w:val="32"/>
          <w:lang w:val="zh-CN"/>
        </w:rPr>
        <w:t>）整体绩效</w:t>
      </w:r>
    </w:p>
    <w:p>
      <w:pPr>
        <w:ind w:firstLine="640"/>
        <w:rPr>
          <w:rFonts w:ascii="仿宋" w:hAnsi="仿宋" w:eastAsia="仿宋" w:cs="仿宋"/>
          <w:sz w:val="32"/>
          <w:szCs w:val="32"/>
        </w:rPr>
      </w:pPr>
      <w:r>
        <w:rPr>
          <w:rFonts w:hint="eastAsia" w:ascii="仿宋" w:hAnsi="仿宋" w:eastAsia="仿宋" w:cs="仿宋"/>
          <w:sz w:val="32"/>
          <w:szCs w:val="32"/>
        </w:rPr>
        <w:t>我单位深入贯彻落实“全面实施绩效管理”的要求，努力提升本单位绩效预算管理业务水平。主动公开绩效结果，加大资金使用效率，提升政府管理水平。及时告知各部门（科室）部门预算及项目支出进度。截至目前，我单位项目支出进度未过半，主要原因为专项资金上半年均处于项目进程实施中，资金尚未支付。</w:t>
      </w:r>
    </w:p>
    <w:p>
      <w:pPr>
        <w:numPr>
          <w:ilvl w:val="0"/>
          <w:numId w:val="8"/>
        </w:numPr>
        <w:ind w:firstLine="640" w:firstLineChars="200"/>
        <w:rPr>
          <w:rFonts w:ascii="黑体" w:eastAsia="黑体"/>
          <w:sz w:val="32"/>
          <w:szCs w:val="32"/>
        </w:rPr>
      </w:pPr>
      <w:r>
        <w:rPr>
          <w:rFonts w:hint="eastAsia" w:ascii="黑体" w:eastAsia="黑体"/>
          <w:sz w:val="32"/>
          <w:szCs w:val="32"/>
        </w:rPr>
        <w:t>评价结论及建议</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评价结论</w:t>
      </w:r>
    </w:p>
    <w:p>
      <w:pPr>
        <w:ind w:firstLine="640" w:firstLineChars="200"/>
        <w:rPr>
          <w:rFonts w:ascii="仿宋" w:eastAsia="仿宋" w:cs="仿宋"/>
          <w:sz w:val="32"/>
          <w:szCs w:val="32"/>
          <w:lang w:val="zh-CN"/>
        </w:rPr>
      </w:pPr>
      <w:r>
        <w:rPr>
          <w:rFonts w:hint="eastAsia" w:ascii="仿宋" w:eastAsia="仿宋" w:cs="仿宋"/>
          <w:sz w:val="32"/>
          <w:szCs w:val="32"/>
          <w:lang w:val="zh-CN"/>
        </w:rPr>
        <w:t>综上所述</w:t>
      </w:r>
      <w:bookmarkStart w:id="74" w:name="_GoBack"/>
      <w:bookmarkEnd w:id="74"/>
      <w:r>
        <w:rPr>
          <w:rFonts w:hint="eastAsia" w:ascii="仿宋" w:eastAsia="仿宋" w:cs="仿宋"/>
          <w:sz w:val="32"/>
          <w:szCs w:val="32"/>
          <w:lang w:val="zh-CN"/>
        </w:rPr>
        <w:t>，</w:t>
      </w:r>
      <w:r>
        <w:rPr>
          <w:rFonts w:hint="eastAsia" w:ascii="仿宋" w:eastAsia="仿宋" w:cs="仿宋"/>
          <w:sz w:val="32"/>
          <w:szCs w:val="32"/>
        </w:rPr>
        <w:t>扣除不存在的评价指标分值,总分为92.2分，我办部门预算支出绩效自评得分90分。</w:t>
      </w:r>
    </w:p>
    <w:p>
      <w:pPr>
        <w:numPr>
          <w:ilvl w:val="0"/>
          <w:numId w:val="9"/>
        </w:numPr>
        <w:ind w:left="420" w:leftChars="200" w:firstLine="321" w:firstLineChars="100"/>
        <w:rPr>
          <w:rFonts w:ascii="楷体_GB2312" w:eastAsia="楷体_GB2312"/>
          <w:b/>
          <w:sz w:val="32"/>
          <w:szCs w:val="32"/>
          <w:lang w:val="zh-CN"/>
        </w:rPr>
      </w:pPr>
      <w:r>
        <w:rPr>
          <w:rFonts w:hint="eastAsia" w:ascii="楷体_GB2312" w:eastAsia="楷体_GB2312"/>
          <w:b/>
          <w:sz w:val="32"/>
          <w:szCs w:val="32"/>
          <w:lang w:val="zh-CN"/>
        </w:rPr>
        <w:t>存在的问题</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我县城乡居保工作开展以来，开局良好，整体推进顺利，取得了较为明显的成效，但仍然存在一些问题。</w:t>
      </w:r>
    </w:p>
    <w:p>
      <w:pPr>
        <w:spacing w:line="560" w:lineRule="exact"/>
        <w:ind w:firstLine="480" w:firstLineChars="150"/>
        <w:rPr>
          <w:rFonts w:ascii="仿宋" w:hAnsi="仿宋" w:eastAsia="仿宋" w:cs="仿宋"/>
          <w:sz w:val="32"/>
          <w:szCs w:val="32"/>
        </w:rPr>
      </w:pPr>
      <w:r>
        <w:rPr>
          <w:rFonts w:hint="eastAsia" w:ascii="仿宋" w:hAnsi="仿宋" w:eastAsia="仿宋" w:cs="仿宋"/>
          <w:sz w:val="32"/>
          <w:szCs w:val="32"/>
        </w:rPr>
        <w:t>1.收入渠道单一、基础养老金偏低等因素仍是制约群众参保的瓶颈。</w:t>
      </w:r>
    </w:p>
    <w:p>
      <w:pPr>
        <w:spacing w:line="560" w:lineRule="exact"/>
        <w:ind w:firstLine="480" w:firstLineChars="150"/>
        <w:rPr>
          <w:rFonts w:ascii="仿宋" w:hAnsi="仿宋" w:eastAsia="仿宋" w:cs="仿宋"/>
          <w:sz w:val="32"/>
          <w:szCs w:val="32"/>
        </w:rPr>
      </w:pPr>
      <w:r>
        <w:rPr>
          <w:rFonts w:hint="eastAsia" w:ascii="仿宋" w:hAnsi="仿宋" w:eastAsia="仿宋" w:cs="仿宋"/>
          <w:sz w:val="32"/>
          <w:szCs w:val="32"/>
        </w:rPr>
        <w:t>2.宣传力度不足，群众对城乡居民养老保险认知不到位，导致参保积极性不高。</w:t>
      </w:r>
    </w:p>
    <w:p>
      <w:pPr>
        <w:spacing w:line="560" w:lineRule="exact"/>
        <w:ind w:firstLine="480" w:firstLineChars="150"/>
        <w:rPr>
          <w:rFonts w:ascii="仿宋" w:hAnsi="仿宋" w:eastAsia="仿宋" w:cs="仿宋"/>
          <w:sz w:val="32"/>
          <w:szCs w:val="32"/>
        </w:rPr>
      </w:pPr>
      <w:r>
        <w:rPr>
          <w:rFonts w:hint="eastAsia" w:ascii="仿宋" w:hAnsi="仿宋" w:eastAsia="仿宋" w:cs="仿宋"/>
          <w:sz w:val="32"/>
          <w:szCs w:val="32"/>
        </w:rPr>
        <w:t>3.资金使用方面预算经费支出进度较缓；部门决算上报处理效率还需继续提升。</w:t>
      </w:r>
    </w:p>
    <w:p>
      <w:pPr>
        <w:ind w:firstLine="643" w:firstLineChars="200"/>
        <w:rPr>
          <w:rFonts w:ascii="楷体_GB2312" w:eastAsia="楷体_GB2312"/>
          <w:b/>
          <w:sz w:val="32"/>
          <w:szCs w:val="32"/>
          <w:lang w:val="zh-CN"/>
        </w:rPr>
      </w:pPr>
      <w:r>
        <w:rPr>
          <w:rFonts w:hint="eastAsia" w:ascii="楷体_GB2312" w:eastAsia="楷体_GB2312"/>
          <w:b/>
          <w:sz w:val="32"/>
          <w:szCs w:val="32"/>
          <w:lang w:val="zh-CN"/>
        </w:rPr>
        <w:t>（三）改进建议</w:t>
      </w:r>
    </w:p>
    <w:p>
      <w:pPr>
        <w:ind w:firstLine="640" w:firstLineChars="200"/>
        <w:rPr>
          <w:rFonts w:ascii="黑体" w:eastAsia="黑体"/>
          <w:color w:val="000000"/>
          <w:sz w:val="44"/>
          <w:szCs w:val="44"/>
        </w:rPr>
      </w:pPr>
      <w:r>
        <w:rPr>
          <w:rFonts w:hint="eastAsia" w:ascii="仿宋" w:hAnsi="仿宋" w:eastAsia="仿宋" w:cs="仿宋"/>
          <w:sz w:val="32"/>
          <w:szCs w:val="32"/>
        </w:rPr>
        <w:t>在今后的工作中，州政府办公室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bookmarkStart w:id="60" w:name="_Toc15396618"/>
      <w:bookmarkStart w:id="61" w:name="_Toc15396619"/>
    </w:p>
    <w:p>
      <w:pPr>
        <w:spacing w:line="600" w:lineRule="exact"/>
        <w:jc w:val="center"/>
        <w:outlineLvl w:val="0"/>
        <w:rPr>
          <w:rFonts w:ascii="黑体" w:eastAsia="黑体"/>
          <w:color w:val="000000"/>
          <w:sz w:val="44"/>
          <w:szCs w:val="44"/>
        </w:rPr>
      </w:pPr>
    </w:p>
    <w:p>
      <w:pPr>
        <w:spacing w:line="600" w:lineRule="exact"/>
        <w:jc w:val="center"/>
        <w:outlineLvl w:val="0"/>
        <w:rPr>
          <w:rStyle w:val="16"/>
          <w:rFonts w:ascii="黑体" w:eastAsia="黑体"/>
          <w:b w:val="0"/>
        </w:rPr>
      </w:pPr>
      <w:r>
        <w:rPr>
          <w:rFonts w:hint="eastAsia" w:ascii="黑体" w:eastAsia="黑体"/>
          <w:color w:val="000000"/>
          <w:sz w:val="44"/>
          <w:szCs w:val="44"/>
        </w:rPr>
        <w:t>第</w:t>
      </w:r>
      <w:r>
        <w:rPr>
          <w:rStyle w:val="16"/>
          <w:rFonts w:hint="eastAsia" w:ascii="黑体" w:eastAsia="黑体"/>
          <w:b w:val="0"/>
        </w:rPr>
        <w:t>五部分 附表</w:t>
      </w:r>
      <w:bookmarkEnd w:id="60"/>
    </w:p>
    <w:p>
      <w:pPr>
        <w:pStyle w:val="3"/>
        <w:rPr>
          <w:rFonts w:ascii="仿宋" w:eastAsia="仿宋"/>
          <w:color w:val="000000"/>
        </w:rPr>
      </w:pPr>
      <w:r>
        <w:rPr>
          <w:rFonts w:hint="eastAsia" w:ascii="仿宋" w:eastAsia="仿宋"/>
          <w:b w:val="0"/>
          <w:color w:val="000000"/>
        </w:rPr>
        <w:t>一、收</w:t>
      </w:r>
      <w:r>
        <w:rPr>
          <w:rStyle w:val="17"/>
          <w:rFonts w:hint="eastAsia" w:ascii="仿宋" w:eastAsia="仿宋"/>
          <w:b w:val="0"/>
          <w:bCs w:val="0"/>
        </w:rPr>
        <w:t>入支出决算总表</w:t>
      </w:r>
      <w:bookmarkEnd w:id="61"/>
    </w:p>
    <w:p>
      <w:pPr>
        <w:pStyle w:val="3"/>
        <w:rPr>
          <w:rFonts w:ascii="仿宋" w:eastAsia="仿宋"/>
          <w:color w:val="000000"/>
        </w:rPr>
      </w:pPr>
      <w:bookmarkStart w:id="62" w:name="_Toc15396620"/>
      <w:r>
        <w:rPr>
          <w:rFonts w:hint="eastAsia" w:ascii="仿宋" w:eastAsia="仿宋"/>
          <w:b w:val="0"/>
          <w:color w:val="000000"/>
        </w:rPr>
        <w:t>二、收</w:t>
      </w:r>
      <w:r>
        <w:rPr>
          <w:rStyle w:val="17"/>
          <w:rFonts w:hint="eastAsia" w:ascii="仿宋" w:eastAsia="仿宋"/>
          <w:b w:val="0"/>
          <w:bCs w:val="0"/>
        </w:rPr>
        <w:t>入总表</w:t>
      </w:r>
      <w:bookmarkEnd w:id="62"/>
    </w:p>
    <w:p>
      <w:pPr>
        <w:pStyle w:val="3"/>
        <w:rPr>
          <w:rFonts w:ascii="仿宋" w:eastAsia="仿宋"/>
          <w:color w:val="000000"/>
        </w:rPr>
      </w:pPr>
      <w:bookmarkStart w:id="63" w:name="_Toc15396621"/>
      <w:r>
        <w:rPr>
          <w:rStyle w:val="17"/>
          <w:rFonts w:hint="eastAsia" w:ascii="仿宋" w:eastAsia="仿宋"/>
          <w:b w:val="0"/>
          <w:bCs w:val="0"/>
        </w:rPr>
        <w:t>三、</w:t>
      </w:r>
      <w:r>
        <w:rPr>
          <w:rFonts w:hint="eastAsia" w:ascii="仿宋" w:eastAsia="仿宋"/>
          <w:b w:val="0"/>
          <w:color w:val="000000"/>
        </w:rPr>
        <w:t>支</w:t>
      </w:r>
      <w:r>
        <w:rPr>
          <w:rStyle w:val="17"/>
          <w:rFonts w:hint="eastAsia" w:ascii="仿宋" w:eastAsia="仿宋"/>
          <w:b w:val="0"/>
          <w:bCs w:val="0"/>
        </w:rPr>
        <w:t>出总表</w:t>
      </w:r>
      <w:bookmarkEnd w:id="63"/>
    </w:p>
    <w:p>
      <w:pPr>
        <w:pStyle w:val="3"/>
        <w:rPr>
          <w:rFonts w:ascii="仿宋" w:eastAsia="仿宋"/>
          <w:b w:val="0"/>
          <w:color w:val="000000"/>
        </w:rPr>
      </w:pPr>
      <w:bookmarkStart w:id="64" w:name="_Toc15396622"/>
      <w:r>
        <w:rPr>
          <w:rStyle w:val="17"/>
          <w:rFonts w:hint="eastAsia" w:ascii="仿宋" w:eastAsia="仿宋"/>
          <w:b w:val="0"/>
          <w:bCs w:val="0"/>
        </w:rPr>
        <w:t>四、</w:t>
      </w:r>
      <w:r>
        <w:rPr>
          <w:rFonts w:hint="eastAsia" w:ascii="仿宋" w:eastAsia="仿宋"/>
          <w:b w:val="0"/>
          <w:color w:val="000000"/>
        </w:rPr>
        <w:t>财</w:t>
      </w:r>
      <w:r>
        <w:rPr>
          <w:rStyle w:val="17"/>
          <w:rFonts w:hint="eastAsia" w:ascii="仿宋" w:eastAsia="仿宋"/>
          <w:b w:val="0"/>
          <w:bCs w:val="0"/>
        </w:rPr>
        <w:t>政拨款收入支出决算总表</w:t>
      </w:r>
      <w:bookmarkEnd w:id="64"/>
    </w:p>
    <w:p>
      <w:pPr>
        <w:pStyle w:val="3"/>
        <w:rPr>
          <w:rFonts w:ascii="仿宋" w:eastAsia="仿宋"/>
          <w:color w:val="000000"/>
        </w:rPr>
      </w:pPr>
      <w:bookmarkStart w:id="65" w:name="_Toc15396623"/>
      <w:r>
        <w:rPr>
          <w:rStyle w:val="17"/>
          <w:rFonts w:hint="eastAsia" w:ascii="仿宋" w:eastAsia="仿宋"/>
          <w:b w:val="0"/>
          <w:bCs w:val="0"/>
        </w:rPr>
        <w:t>五、</w:t>
      </w:r>
      <w:r>
        <w:rPr>
          <w:rFonts w:hint="eastAsia" w:ascii="仿宋" w:eastAsia="仿宋"/>
          <w:b w:val="0"/>
          <w:color w:val="000000"/>
        </w:rPr>
        <w:t>财</w:t>
      </w:r>
      <w:r>
        <w:rPr>
          <w:rStyle w:val="17"/>
          <w:rFonts w:hint="eastAsia" w:ascii="仿宋" w:eastAsia="仿宋"/>
          <w:b w:val="0"/>
          <w:bCs w:val="0"/>
        </w:rPr>
        <w:t>政拨款支出决算明细表（政府经济分类科目）</w:t>
      </w:r>
      <w:bookmarkEnd w:id="65"/>
    </w:p>
    <w:p>
      <w:pPr>
        <w:pStyle w:val="3"/>
        <w:rPr>
          <w:rFonts w:ascii="仿宋" w:eastAsia="仿宋"/>
          <w:color w:val="000000"/>
        </w:rPr>
      </w:pPr>
      <w:bookmarkStart w:id="66" w:name="_Toc15396624"/>
      <w:r>
        <w:rPr>
          <w:rStyle w:val="17"/>
          <w:rFonts w:hint="eastAsia" w:ascii="仿宋" w:eastAsia="仿宋"/>
          <w:b w:val="0"/>
          <w:bCs w:val="0"/>
        </w:rPr>
        <w:t>六、</w:t>
      </w:r>
      <w:r>
        <w:rPr>
          <w:rFonts w:hint="eastAsia" w:ascii="仿宋" w:eastAsia="仿宋"/>
          <w:b w:val="0"/>
          <w:color w:val="000000"/>
        </w:rPr>
        <w:t>一</w:t>
      </w:r>
      <w:r>
        <w:rPr>
          <w:rStyle w:val="17"/>
          <w:rFonts w:hint="eastAsia" w:ascii="仿宋" w:eastAsia="仿宋"/>
          <w:b w:val="0"/>
          <w:bCs w:val="0"/>
        </w:rPr>
        <w:t>般公共预算财政拨款支出决算表</w:t>
      </w:r>
      <w:bookmarkEnd w:id="66"/>
    </w:p>
    <w:p>
      <w:pPr>
        <w:pStyle w:val="3"/>
        <w:rPr>
          <w:rFonts w:ascii="仿宋" w:eastAsia="仿宋"/>
          <w:color w:val="000000"/>
        </w:rPr>
      </w:pPr>
      <w:bookmarkStart w:id="67" w:name="_Toc15396625"/>
      <w:r>
        <w:rPr>
          <w:rStyle w:val="17"/>
          <w:rFonts w:hint="eastAsia" w:ascii="仿宋" w:eastAsia="仿宋"/>
          <w:b w:val="0"/>
          <w:bCs w:val="0"/>
        </w:rPr>
        <w:t>七、</w:t>
      </w:r>
      <w:r>
        <w:rPr>
          <w:rFonts w:hint="eastAsia" w:ascii="仿宋" w:eastAsia="仿宋"/>
          <w:b w:val="0"/>
          <w:color w:val="000000"/>
        </w:rPr>
        <w:t>一</w:t>
      </w:r>
      <w:r>
        <w:rPr>
          <w:rStyle w:val="17"/>
          <w:rFonts w:hint="eastAsia" w:ascii="仿宋" w:eastAsia="仿宋"/>
          <w:b w:val="0"/>
          <w:bCs w:val="0"/>
        </w:rPr>
        <w:t>般公共预算财政拨款支出决算明细表</w:t>
      </w:r>
      <w:bookmarkEnd w:id="67"/>
    </w:p>
    <w:p>
      <w:pPr>
        <w:pStyle w:val="3"/>
        <w:rPr>
          <w:rFonts w:ascii="仿宋" w:eastAsia="仿宋"/>
          <w:color w:val="000000"/>
        </w:rPr>
      </w:pPr>
      <w:bookmarkStart w:id="68" w:name="_Toc15396626"/>
      <w:r>
        <w:rPr>
          <w:rStyle w:val="17"/>
          <w:rFonts w:hint="eastAsia" w:ascii="仿宋" w:eastAsia="仿宋"/>
          <w:b w:val="0"/>
          <w:bCs w:val="0"/>
        </w:rPr>
        <w:t>八、</w:t>
      </w:r>
      <w:r>
        <w:rPr>
          <w:rFonts w:hint="eastAsia" w:ascii="仿宋" w:eastAsia="仿宋"/>
          <w:b w:val="0"/>
          <w:color w:val="000000"/>
        </w:rPr>
        <w:t>一</w:t>
      </w:r>
      <w:r>
        <w:rPr>
          <w:rStyle w:val="17"/>
          <w:rFonts w:hint="eastAsia" w:ascii="仿宋" w:eastAsia="仿宋"/>
          <w:b w:val="0"/>
          <w:bCs w:val="0"/>
        </w:rPr>
        <w:t>般公共预算财政拨款基本支出决算表</w:t>
      </w:r>
      <w:bookmarkEnd w:id="68"/>
    </w:p>
    <w:p>
      <w:pPr>
        <w:pStyle w:val="3"/>
        <w:rPr>
          <w:rFonts w:ascii="仿宋" w:eastAsia="仿宋"/>
          <w:color w:val="000000"/>
        </w:rPr>
      </w:pPr>
      <w:bookmarkStart w:id="69" w:name="_Toc15396627"/>
      <w:r>
        <w:rPr>
          <w:rStyle w:val="17"/>
          <w:rFonts w:hint="eastAsia" w:ascii="仿宋" w:eastAsia="仿宋"/>
          <w:b w:val="0"/>
          <w:bCs w:val="0"/>
        </w:rPr>
        <w:t>九、</w:t>
      </w:r>
      <w:r>
        <w:rPr>
          <w:rFonts w:hint="eastAsia" w:ascii="仿宋" w:eastAsia="仿宋"/>
          <w:b w:val="0"/>
          <w:color w:val="000000"/>
        </w:rPr>
        <w:t>一</w:t>
      </w:r>
      <w:r>
        <w:rPr>
          <w:rStyle w:val="17"/>
          <w:rFonts w:hint="eastAsia" w:ascii="仿宋" w:eastAsia="仿宋"/>
          <w:b w:val="0"/>
          <w:bCs w:val="0"/>
        </w:rPr>
        <w:t>般公共预算财政拨款项目支出决算表</w:t>
      </w:r>
      <w:bookmarkEnd w:id="69"/>
    </w:p>
    <w:p>
      <w:pPr>
        <w:pStyle w:val="3"/>
        <w:rPr>
          <w:rFonts w:ascii="仿宋" w:eastAsia="仿宋"/>
          <w:color w:val="000000"/>
        </w:rPr>
      </w:pPr>
      <w:bookmarkStart w:id="70" w:name="_Toc15396628"/>
      <w:r>
        <w:rPr>
          <w:rStyle w:val="17"/>
          <w:rFonts w:hint="eastAsia" w:ascii="仿宋" w:eastAsia="仿宋"/>
          <w:b w:val="0"/>
          <w:bCs w:val="0"/>
        </w:rPr>
        <w:t>十、</w:t>
      </w:r>
      <w:r>
        <w:rPr>
          <w:rFonts w:hint="eastAsia" w:ascii="仿宋" w:eastAsia="仿宋"/>
          <w:b w:val="0"/>
          <w:color w:val="000000"/>
        </w:rPr>
        <w:t>一</w:t>
      </w:r>
      <w:r>
        <w:rPr>
          <w:rStyle w:val="17"/>
          <w:rFonts w:hint="eastAsia" w:ascii="仿宋" w:eastAsia="仿宋"/>
          <w:b w:val="0"/>
          <w:bCs w:val="0"/>
        </w:rPr>
        <w:t>般公共预算财政拨款“三公”经费支出决算表</w:t>
      </w:r>
      <w:bookmarkEnd w:id="70"/>
    </w:p>
    <w:p>
      <w:pPr>
        <w:pStyle w:val="3"/>
        <w:rPr>
          <w:rFonts w:ascii="仿宋" w:eastAsia="仿宋"/>
          <w:color w:val="000000"/>
        </w:rPr>
      </w:pPr>
      <w:bookmarkStart w:id="71" w:name="_Toc15396629"/>
      <w:r>
        <w:rPr>
          <w:rStyle w:val="17"/>
          <w:rFonts w:hint="eastAsia" w:ascii="仿宋" w:eastAsia="仿宋"/>
          <w:b w:val="0"/>
          <w:bCs w:val="0"/>
        </w:rPr>
        <w:t>十一、</w:t>
      </w:r>
      <w:r>
        <w:rPr>
          <w:rFonts w:hint="eastAsia" w:ascii="仿宋" w:eastAsia="仿宋"/>
          <w:b w:val="0"/>
          <w:color w:val="000000"/>
        </w:rPr>
        <w:t>政</w:t>
      </w:r>
      <w:r>
        <w:rPr>
          <w:rStyle w:val="17"/>
          <w:rFonts w:hint="eastAsia" w:ascii="仿宋" w:eastAsia="仿宋"/>
          <w:b w:val="0"/>
          <w:bCs w:val="0"/>
        </w:rPr>
        <w:t>府性基金预算财政拨款收入支出决算表</w:t>
      </w:r>
      <w:bookmarkEnd w:id="71"/>
    </w:p>
    <w:p>
      <w:pPr>
        <w:pStyle w:val="3"/>
        <w:rPr>
          <w:rFonts w:ascii="仿宋" w:eastAsia="仿宋"/>
          <w:color w:val="000000"/>
        </w:rPr>
      </w:pPr>
      <w:bookmarkStart w:id="72" w:name="_Toc15396630"/>
      <w:r>
        <w:rPr>
          <w:rStyle w:val="17"/>
          <w:rFonts w:hint="eastAsia" w:ascii="仿宋" w:eastAsia="仿宋"/>
          <w:b w:val="0"/>
          <w:bCs w:val="0"/>
        </w:rPr>
        <w:t>十二、</w:t>
      </w:r>
      <w:r>
        <w:rPr>
          <w:rFonts w:hint="eastAsia" w:ascii="仿宋" w:eastAsia="仿宋"/>
          <w:b w:val="0"/>
          <w:color w:val="000000"/>
        </w:rPr>
        <w:t>政</w:t>
      </w:r>
      <w:r>
        <w:rPr>
          <w:rStyle w:val="17"/>
          <w:rFonts w:hint="eastAsia" w:ascii="仿宋" w:eastAsia="仿宋"/>
          <w:b w:val="0"/>
          <w:bCs w:val="0"/>
        </w:rPr>
        <w:t>府性基金预算财政拨款“三公”经费支出决算表</w:t>
      </w:r>
      <w:bookmarkEnd w:id="72"/>
    </w:p>
    <w:p>
      <w:pPr>
        <w:pStyle w:val="3"/>
        <w:rPr>
          <w:rFonts w:ascii="仿宋" w:eastAsia="仿宋"/>
          <w:color w:val="000000"/>
        </w:rPr>
      </w:pPr>
      <w:bookmarkStart w:id="73" w:name="_Toc15396631"/>
      <w:r>
        <w:rPr>
          <w:rStyle w:val="17"/>
          <w:rFonts w:hint="eastAsia" w:ascii="仿宋" w:eastAsia="仿宋"/>
          <w:b w:val="0"/>
          <w:bCs w:val="0"/>
        </w:rPr>
        <w:t>十三、</w:t>
      </w:r>
      <w:r>
        <w:rPr>
          <w:rFonts w:hint="eastAsia" w:ascii="仿宋" w:eastAsia="仿宋"/>
          <w:b w:val="0"/>
          <w:color w:val="000000"/>
        </w:rPr>
        <w:t>国</w:t>
      </w:r>
      <w:r>
        <w:rPr>
          <w:rStyle w:val="17"/>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23</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B030D"/>
    <w:multiLevelType w:val="singleLevel"/>
    <w:tmpl w:val="9F3B030D"/>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01FD797A"/>
    <w:multiLevelType w:val="singleLevel"/>
    <w:tmpl w:val="01FD797A"/>
    <w:lvl w:ilvl="0" w:tentative="0">
      <w:start w:val="1"/>
      <w:numFmt w:val="chineseCounting"/>
      <w:suff w:val="nothing"/>
      <w:lvlText w:val="（%1）"/>
      <w:lvlJc w:val="left"/>
      <w:pPr>
        <w:tabs>
          <w:tab w:val="left" w:pos="0"/>
        </w:tabs>
        <w:ind w:left="0" w:firstLine="0"/>
      </w:pPr>
      <w:rPr>
        <w:rFonts w:hint="eastAsia"/>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5930D3C7"/>
    <w:multiLevelType w:val="singleLevel"/>
    <w:tmpl w:val="5930D3C7"/>
    <w:lvl w:ilvl="0" w:tentative="0">
      <w:start w:val="3"/>
      <w:numFmt w:val="chineseCounting"/>
      <w:suff w:val="nothing"/>
      <w:lvlText w:val="%1、"/>
      <w:lvlJc w:val="left"/>
      <w:pPr>
        <w:tabs>
          <w:tab w:val="left" w:pos="0"/>
        </w:tabs>
        <w:ind w:left="0" w:firstLine="0"/>
      </w:pPr>
    </w:lvl>
  </w:abstractNum>
  <w:abstractNum w:abstractNumId="8">
    <w:nsid w:val="63E78AEE"/>
    <w:multiLevelType w:val="singleLevel"/>
    <w:tmpl w:val="63E78AEE"/>
    <w:lvl w:ilvl="0" w:tentative="0">
      <w:start w:val="1"/>
      <w:numFmt w:val="chineseCounting"/>
      <w:suff w:val="nothing"/>
      <w:lvlText w:val="（%1）"/>
      <w:lvlJc w:val="left"/>
      <w:pPr>
        <w:tabs>
          <w:tab w:val="left" w:pos="0"/>
        </w:tabs>
        <w:ind w:left="0" w:firstLine="0"/>
      </w:pPr>
      <w:rPr>
        <w:rFonts w:hint="eastAsia"/>
      </w:rPr>
    </w:lvl>
  </w:abstractNum>
  <w:num w:numId="1">
    <w:abstractNumId w:val="5"/>
  </w:num>
  <w:num w:numId="2">
    <w:abstractNumId w:val="0"/>
  </w:num>
  <w:num w:numId="3">
    <w:abstractNumId w:val="1"/>
  </w:num>
  <w:num w:numId="4">
    <w:abstractNumId w:val="6"/>
  </w:num>
  <w:num w:numId="5">
    <w:abstractNumId w:val="3"/>
  </w:num>
  <w:num w:numId="6">
    <w:abstractNumId w:val="2"/>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6B511C"/>
    <w:rsid w:val="00474E11"/>
    <w:rsid w:val="006B511C"/>
    <w:rsid w:val="009A77B0"/>
    <w:rsid w:val="00B564C2"/>
    <w:rsid w:val="00EB653D"/>
    <w:rsid w:val="01725E68"/>
    <w:rsid w:val="022E24B0"/>
    <w:rsid w:val="02626AAB"/>
    <w:rsid w:val="03434716"/>
    <w:rsid w:val="04CA1E4A"/>
    <w:rsid w:val="05804319"/>
    <w:rsid w:val="064615E0"/>
    <w:rsid w:val="070A6F25"/>
    <w:rsid w:val="09253FA4"/>
    <w:rsid w:val="09E84A10"/>
    <w:rsid w:val="09F610FE"/>
    <w:rsid w:val="0AC25A21"/>
    <w:rsid w:val="0B023393"/>
    <w:rsid w:val="0E480358"/>
    <w:rsid w:val="0F076FC3"/>
    <w:rsid w:val="0F7E6676"/>
    <w:rsid w:val="0FB243E8"/>
    <w:rsid w:val="0FD66FF7"/>
    <w:rsid w:val="104C75D4"/>
    <w:rsid w:val="10B95D8E"/>
    <w:rsid w:val="10CD5FC6"/>
    <w:rsid w:val="11A1444E"/>
    <w:rsid w:val="127274B3"/>
    <w:rsid w:val="12ED3B56"/>
    <w:rsid w:val="13B17852"/>
    <w:rsid w:val="13E12AF2"/>
    <w:rsid w:val="153A3DF7"/>
    <w:rsid w:val="15C545A7"/>
    <w:rsid w:val="174C498A"/>
    <w:rsid w:val="188F29C1"/>
    <w:rsid w:val="18E349D3"/>
    <w:rsid w:val="19453F10"/>
    <w:rsid w:val="1ABA3C28"/>
    <w:rsid w:val="1BB17297"/>
    <w:rsid w:val="1C1F07A2"/>
    <w:rsid w:val="1C312E3B"/>
    <w:rsid w:val="1FD16602"/>
    <w:rsid w:val="203D4B7D"/>
    <w:rsid w:val="227439F1"/>
    <w:rsid w:val="22CB2B39"/>
    <w:rsid w:val="24201B88"/>
    <w:rsid w:val="25554E71"/>
    <w:rsid w:val="25755CE1"/>
    <w:rsid w:val="25BE7696"/>
    <w:rsid w:val="260F0C43"/>
    <w:rsid w:val="262C6D27"/>
    <w:rsid w:val="26E0026C"/>
    <w:rsid w:val="26F724A5"/>
    <w:rsid w:val="29046B8B"/>
    <w:rsid w:val="291A7D2B"/>
    <w:rsid w:val="29253C8D"/>
    <w:rsid w:val="297D2A23"/>
    <w:rsid w:val="29980866"/>
    <w:rsid w:val="29C77906"/>
    <w:rsid w:val="2A1138D3"/>
    <w:rsid w:val="2B5D0C4D"/>
    <w:rsid w:val="2BF45195"/>
    <w:rsid w:val="2CD23AA6"/>
    <w:rsid w:val="2DD50E2F"/>
    <w:rsid w:val="2E1B4D1A"/>
    <w:rsid w:val="2F672C22"/>
    <w:rsid w:val="2F920CC5"/>
    <w:rsid w:val="31997C71"/>
    <w:rsid w:val="328D4923"/>
    <w:rsid w:val="32F34A41"/>
    <w:rsid w:val="346B446A"/>
    <w:rsid w:val="347845A1"/>
    <w:rsid w:val="360803D9"/>
    <w:rsid w:val="37D61054"/>
    <w:rsid w:val="382E1AFC"/>
    <w:rsid w:val="39303133"/>
    <w:rsid w:val="3AD80A24"/>
    <w:rsid w:val="3BA0400D"/>
    <w:rsid w:val="3BA72A55"/>
    <w:rsid w:val="3C0E39E7"/>
    <w:rsid w:val="3C68723C"/>
    <w:rsid w:val="3C992D8B"/>
    <w:rsid w:val="3CD25320"/>
    <w:rsid w:val="3DF53191"/>
    <w:rsid w:val="3E762663"/>
    <w:rsid w:val="4251101C"/>
    <w:rsid w:val="425D1D7F"/>
    <w:rsid w:val="449E5579"/>
    <w:rsid w:val="46000FBB"/>
    <w:rsid w:val="47F90926"/>
    <w:rsid w:val="48A03B68"/>
    <w:rsid w:val="48F53A9F"/>
    <w:rsid w:val="4A841AB9"/>
    <w:rsid w:val="4A955B8E"/>
    <w:rsid w:val="4B513B24"/>
    <w:rsid w:val="4CCB3053"/>
    <w:rsid w:val="4D0F7F3F"/>
    <w:rsid w:val="4D524020"/>
    <w:rsid w:val="4D81529F"/>
    <w:rsid w:val="4DDA29BB"/>
    <w:rsid w:val="4EC13145"/>
    <w:rsid w:val="4F4C12EC"/>
    <w:rsid w:val="50942DE4"/>
    <w:rsid w:val="5270650B"/>
    <w:rsid w:val="52A24E72"/>
    <w:rsid w:val="53960271"/>
    <w:rsid w:val="53F32CD8"/>
    <w:rsid w:val="56005155"/>
    <w:rsid w:val="57F76510"/>
    <w:rsid w:val="58D465D2"/>
    <w:rsid w:val="59F748F9"/>
    <w:rsid w:val="5A704698"/>
    <w:rsid w:val="5AAD4010"/>
    <w:rsid w:val="5C3C6A35"/>
    <w:rsid w:val="5CE44737"/>
    <w:rsid w:val="5D5828B8"/>
    <w:rsid w:val="5D7D3637"/>
    <w:rsid w:val="5F45588C"/>
    <w:rsid w:val="5FC91227"/>
    <w:rsid w:val="60DD4BEE"/>
    <w:rsid w:val="62D44AC0"/>
    <w:rsid w:val="63440FAC"/>
    <w:rsid w:val="65355AAA"/>
    <w:rsid w:val="65E73BEE"/>
    <w:rsid w:val="663658A1"/>
    <w:rsid w:val="66A6024B"/>
    <w:rsid w:val="66BC2204"/>
    <w:rsid w:val="682540CD"/>
    <w:rsid w:val="691D5E3A"/>
    <w:rsid w:val="69E92846"/>
    <w:rsid w:val="6A7D32E8"/>
    <w:rsid w:val="6A9A0D29"/>
    <w:rsid w:val="6CAC5DC1"/>
    <w:rsid w:val="6CBC4570"/>
    <w:rsid w:val="6EA77074"/>
    <w:rsid w:val="70074F2D"/>
    <w:rsid w:val="72357EE6"/>
    <w:rsid w:val="73274591"/>
    <w:rsid w:val="738072F4"/>
    <w:rsid w:val="742750CA"/>
    <w:rsid w:val="74865FEC"/>
    <w:rsid w:val="7541605E"/>
    <w:rsid w:val="75D25313"/>
    <w:rsid w:val="76CC2D49"/>
    <w:rsid w:val="77E428B4"/>
    <w:rsid w:val="796074AC"/>
    <w:rsid w:val="7A633FD0"/>
    <w:rsid w:val="7AD33A27"/>
    <w:rsid w:val="7BA63B9E"/>
    <w:rsid w:val="7F03442E"/>
    <w:rsid w:val="7FDA2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收、支决算结构图</a:t>
            </a:r>
          </a:p>
        </c:rich>
      </c:tx>
      <c:layout/>
      <c:overlay val="0"/>
      <c:spPr>
        <a:noFill/>
        <a:ln>
          <a:noFill/>
        </a:ln>
        <a:effectLst/>
      </c:spPr>
    </c:title>
    <c:autoTitleDeleted val="0"/>
    <c:plotArea>
      <c:layout>
        <c:manualLayout>
          <c:layoutTarget val="inner"/>
          <c:xMode val="edge"/>
          <c:yMode val="edge"/>
          <c:x val="0.06995"/>
          <c:y val="0.172854684042292"/>
          <c:w val="0.9263"/>
          <c:h val="0.686599459060733"/>
        </c:manualLayout>
      </c:layout>
      <c:barChart>
        <c:barDir val="col"/>
        <c:grouping val="clustered"/>
        <c:varyColors val="0"/>
        <c:ser>
          <c:idx val="0"/>
          <c:order val="0"/>
          <c:tx>
            <c:strRef>
              <c:f>Sheet1!$B$1</c:f>
              <c:strCache>
                <c:ptCount val="1"/>
                <c:pt idx="0">
                  <c:v>总收入</c:v>
                </c:pt>
              </c:strCache>
            </c:strRef>
          </c:tx>
          <c:spPr>
            <a:solidFill>
              <a:schemeClr val="accent1"/>
            </a:solidFill>
            <a:ln>
              <a:noFill/>
            </a:ln>
            <a:effectLst/>
          </c:spPr>
          <c:invertIfNegative val="0"/>
          <c:dLbls>
            <c:dLbl>
              <c:idx val="0"/>
              <c:layout/>
              <c:numFmt formatCode="General" sourceLinked="1"/>
              <c:spPr>
                <a:solidFill>
                  <a:sysClr val="window" lastClr="FFFFFF"/>
                </a:solidFill>
                <a:ln>
                  <a:solidFill>
                    <a:sysClr val="windowText" lastClr="000000">
                      <a:lumMod val="65000"/>
                      <a:lumOff val="3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solidFill>
                  <a:sysClr val="window" lastClr="FFFFFF"/>
                </a:solidFill>
                <a:ln>
                  <a:solidFill>
                    <a:sysClr val="windowText" lastClr="000000">
                      <a:lumMod val="65000"/>
                      <a:lumOff val="3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 </c:v>
                </c:pt>
                <c:pt idx="1">
                  <c:v>2019年</c:v>
                </c:pt>
              </c:strCache>
            </c:strRef>
          </c:cat>
          <c:val>
            <c:numRef>
              <c:f>Sheet1!$B$2:$B$3</c:f>
              <c:numCache>
                <c:formatCode>General</c:formatCode>
                <c:ptCount val="2"/>
                <c:pt idx="0">
                  <c:v>228.72</c:v>
                </c:pt>
                <c:pt idx="1">
                  <c:v>226.64</c:v>
                </c:pt>
              </c:numCache>
            </c:numRef>
          </c:val>
        </c:ser>
        <c:ser>
          <c:idx val="1"/>
          <c:order val="1"/>
          <c:tx>
            <c:strRef>
              <c:f>Sheet1!$C$1</c:f>
              <c:strCache>
                <c:ptCount val="1"/>
                <c:pt idx="0">
                  <c:v>总支出</c:v>
                </c:pt>
              </c:strCache>
            </c:strRef>
          </c:tx>
          <c:spPr>
            <a:solidFill>
              <a:schemeClr val="accent2"/>
            </a:solidFill>
            <a:ln>
              <a:noFill/>
            </a:ln>
            <a:effectLst/>
          </c:spPr>
          <c:invertIfNegative val="0"/>
          <c:dLbls>
            <c:dLbl>
              <c:idx val="0"/>
              <c:layout/>
              <c:numFmt formatCode="General" sourceLinked="1"/>
              <c:spPr>
                <a:solidFill>
                  <a:sysClr val="window" lastClr="FFFFFF"/>
                </a:solidFill>
                <a:ln>
                  <a:solidFill>
                    <a:sysClr val="windowText" lastClr="000000">
                      <a:lumMod val="65000"/>
                      <a:lumOff val="3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solidFill>
                  <a:sysClr val="window" lastClr="FFFFFF"/>
                </a:solidFill>
                <a:ln>
                  <a:solidFill>
                    <a:sysClr val="windowText" lastClr="000000">
                      <a:lumMod val="65000"/>
                      <a:lumOff val="35000"/>
                    </a:sysClr>
                  </a:solid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2020年 </c:v>
                </c:pt>
                <c:pt idx="1">
                  <c:v>2019年</c:v>
                </c:pt>
              </c:strCache>
            </c:strRef>
          </c:cat>
          <c:val>
            <c:numRef>
              <c:f>Sheet1!$C$2:$C$3</c:f>
              <c:numCache>
                <c:formatCode>General</c:formatCode>
                <c:ptCount val="2"/>
                <c:pt idx="0">
                  <c:v>228.72</c:v>
                </c:pt>
                <c:pt idx="1">
                  <c:v>257.08</c:v>
                </c:pt>
              </c:numCache>
            </c:numRef>
          </c:val>
        </c:ser>
        <c:dLbls>
          <c:showLegendKey val="0"/>
          <c:showVal val="1"/>
          <c:showCatName val="0"/>
          <c:showSerName val="0"/>
          <c:showPercent val="0"/>
          <c:showBubbleSize val="0"/>
        </c:dLbls>
        <c:gapWidth val="219"/>
        <c:overlap val="-27"/>
        <c:axId val="94304896"/>
        <c:axId val="95014912"/>
      </c:barChart>
      <c:catAx>
        <c:axId val="94304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014912"/>
        <c:crosses val="autoZero"/>
        <c:auto val="1"/>
        <c:lblAlgn val="ctr"/>
        <c:lblOffset val="100"/>
        <c:noMultiLvlLbl val="0"/>
      </c:catAx>
      <c:valAx>
        <c:axId val="95014912"/>
        <c:scaling>
          <c:orientation val="minMax"/>
          <c:max val="5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304896"/>
        <c:crossesAt val="1"/>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228.71</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elete val="1"/>
          </c:dLbls>
          <c:cat>
            <c:strRef>
              <c:f>'Sheet1 (3)'!$A$2:$A$3</c:f>
              <c:strCache>
                <c:ptCount val="2"/>
                <c:pt idx="0">
                  <c:v>基本支出</c:v>
                </c:pt>
                <c:pt idx="1">
                  <c:v>项目支出</c:v>
                </c:pt>
              </c:strCache>
            </c:strRef>
          </c:cat>
          <c:val>
            <c:numRef>
              <c:f>'Sheet1 (3)'!$B$2:$B$3</c:f>
              <c:numCache>
                <c:formatCode>General</c:formatCode>
                <c:ptCount val="2"/>
                <c:pt idx="0">
                  <c:v>228.27</c:v>
                </c:pt>
                <c:pt idx="1">
                  <c:v>0.45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2020年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228.72</c:v>
                </c:pt>
                <c:pt idx="1">
                  <c:v>228.72</c:v>
                </c:pt>
              </c:numCache>
            </c:numRef>
          </c:val>
        </c:ser>
        <c:ser>
          <c:idx val="1"/>
          <c:order val="1"/>
          <c:tx>
            <c:strRef>
              <c:f>'Sheet1 (4)'!$A$3</c:f>
              <c:strCache>
                <c:ptCount val="1"/>
                <c:pt idx="0">
                  <c:v>2019年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226.64</c:v>
                </c:pt>
                <c:pt idx="1">
                  <c:v>257.08</c:v>
                </c:pt>
              </c:numCache>
            </c:numRef>
          </c:val>
        </c:ser>
        <c:dLbls>
          <c:showLegendKey val="0"/>
          <c:showVal val="1"/>
          <c:showCatName val="0"/>
          <c:showSerName val="0"/>
          <c:showPercent val="0"/>
          <c:showBubbleSize val="0"/>
        </c:dLbls>
        <c:gapWidth val="219"/>
        <c:overlap val="-27"/>
        <c:axId val="95099520"/>
        <c:axId val="95109504"/>
      </c:barChart>
      <c:catAx>
        <c:axId val="9509952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5109504"/>
        <c:crosses val="autoZero"/>
        <c:auto val="1"/>
        <c:lblAlgn val="ctr"/>
        <c:lblOffset val="100"/>
        <c:noMultiLvlLbl val="0"/>
      </c:catAx>
      <c:valAx>
        <c:axId val="95109504"/>
        <c:scaling>
          <c:orientation val="minMax"/>
          <c:max val="500"/>
          <c:min val="0"/>
        </c:scaling>
        <c:delete val="0"/>
        <c:axPos val="l"/>
        <c:majorGridlines/>
        <c:title>
          <c:layout/>
          <c:overlay val="0"/>
          <c:txPr>
            <a:bodyPr rot="-54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title>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crossAx val="9509952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2020年</c:v>
                </c:pt>
                <c:pt idx="1">
                  <c:v>2019年</c:v>
                </c:pt>
              </c:strCache>
            </c:strRef>
          </c:cat>
          <c:val>
            <c:numRef>
              <c:f>'Sheet1 (5)'!$B$2:$B$3</c:f>
              <c:numCache>
                <c:formatCode>General</c:formatCode>
                <c:ptCount val="2"/>
                <c:pt idx="0">
                  <c:v>228.72</c:v>
                </c:pt>
                <c:pt idx="1">
                  <c:v>257.08</c:v>
                </c:pt>
              </c:numCache>
            </c:numRef>
          </c:val>
        </c:ser>
        <c:dLbls>
          <c:showLegendKey val="0"/>
          <c:showVal val="1"/>
          <c:showCatName val="0"/>
          <c:showSerName val="0"/>
          <c:showPercent val="0"/>
          <c:showBubbleSize val="0"/>
        </c:dLbls>
        <c:gapWidth val="219"/>
        <c:overlap val="-27"/>
        <c:axId val="47420160"/>
        <c:axId val="47421696"/>
      </c:barChart>
      <c:catAx>
        <c:axId val="4742016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7421696"/>
        <c:crosses val="autoZero"/>
        <c:auto val="1"/>
        <c:lblAlgn val="ctr"/>
        <c:lblOffset val="100"/>
        <c:noMultiLvlLbl val="0"/>
      </c:catAx>
      <c:valAx>
        <c:axId val="47421696"/>
        <c:scaling>
          <c:orientation val="minMax"/>
          <c:max val="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742016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教育支出</c:v>
                </c:pt>
                <c:pt idx="1">
                  <c:v>社会保障和就业</c:v>
                </c:pt>
                <c:pt idx="2">
                  <c:v>医疗卫生支出</c:v>
                </c:pt>
                <c:pt idx="3">
                  <c:v>住房保障支出</c:v>
                </c:pt>
              </c:strCache>
            </c:strRef>
          </c:cat>
          <c:val>
            <c:numRef>
              <c:f>'Sheet1 (6)'!$B$2:$B$5</c:f>
              <c:numCache>
                <c:formatCode>General</c:formatCode>
                <c:ptCount val="4"/>
                <c:pt idx="0">
                  <c:v>0.45</c:v>
                </c:pt>
                <c:pt idx="1">
                  <c:v>199.26</c:v>
                </c:pt>
                <c:pt idx="2">
                  <c:v>10.74</c:v>
                </c:pt>
                <c:pt idx="3">
                  <c:v>18.27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1453</Words>
  <Characters>8287</Characters>
  <Lines>69</Lines>
  <Paragraphs>19</Paragraphs>
  <TotalTime>2</TotalTime>
  <ScaleCrop>false</ScaleCrop>
  <LinksUpToDate>false</LinksUpToDate>
  <CharactersWithSpaces>9721</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2021-09-17T01:26:00Z</cp:lastPrinted>
  <dcterms:modified xsi:type="dcterms:W3CDTF">2021-09-30T03:32:13Z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DF9A13E757644125A06EB9388577FA30</vt:lpwstr>
  </property>
</Properties>
</file>