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黑体" w:hAnsi="黑体" w:eastAsia="黑体" w:cs="黑体"/>
          <w:sz w:val="28"/>
          <w:szCs w:val="28"/>
        </w:rPr>
      </w:pPr>
      <w:r>
        <w:rPr>
          <w:rFonts w:hint="eastAsia" w:ascii="方正小标宋简体" w:hAnsi="方正小标宋简体" w:eastAsia="方正小标宋简体" w:cs="方正小标宋简体"/>
          <w:b w:val="0"/>
          <w:bCs w:val="0"/>
          <w:sz w:val="72"/>
          <w:szCs w:val="72"/>
        </w:rPr>
        <w:t>2018年</w:t>
      </w: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方正小标宋简体" w:hAnsi="方正小标宋简体" w:eastAsia="方正小标宋简体" w:cs="方正小标宋简体"/>
          <w:b w:val="0"/>
          <w:bCs w:val="0"/>
          <w:sz w:val="72"/>
          <w:szCs w:val="72"/>
        </w:rPr>
      </w:pPr>
      <w:r>
        <w:rPr>
          <w:rFonts w:hint="eastAsia" w:ascii="方正小标宋简体" w:hAnsi="方正小标宋简体" w:eastAsia="方正小标宋简体" w:cs="方正小标宋简体"/>
          <w:b w:val="0"/>
          <w:bCs w:val="0"/>
          <w:sz w:val="72"/>
          <w:szCs w:val="72"/>
        </w:rPr>
        <w:t>金川县城乡居民养老保险事业管理局</w:t>
      </w: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方正小标宋简体" w:hAnsi="方正小标宋简体" w:eastAsia="方正小标宋简体" w:cs="方正小标宋简体"/>
          <w:b w:val="0"/>
          <w:bCs w:val="0"/>
          <w:sz w:val="72"/>
          <w:szCs w:val="72"/>
        </w:rPr>
      </w:pPr>
      <w:r>
        <w:rPr>
          <w:rFonts w:hint="eastAsia" w:ascii="方正小标宋简体" w:hAnsi="方正小标宋简体" w:eastAsia="方正小标宋简体" w:cs="方正小标宋简体"/>
          <w:b w:val="0"/>
          <w:bCs w:val="0"/>
          <w:sz w:val="72"/>
          <w:szCs w:val="72"/>
        </w:rPr>
        <w:t>决算公开</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黑体" w:hAnsi="黑体" w:eastAsia="黑体" w:cs="黑体"/>
          <w:sz w:val="28"/>
          <w:szCs w:val="28"/>
        </w:rPr>
      </w:pPr>
      <w:r>
        <w:rPr>
          <w:rFonts w:hint="eastAsia" w:ascii="黑体" w:hAnsi="黑体" w:eastAsia="黑体" w:cs="黑体"/>
          <w:sz w:val="28"/>
          <w:szCs w:val="28"/>
        </w:rPr>
        <w:t xml:space="preserve"> </w:t>
      </w: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仿宋" w:hAnsi="仿宋" w:eastAsia="仿宋" w:cs="仿宋"/>
          <w:sz w:val="48"/>
          <w:szCs w:val="48"/>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仿宋" w:hAnsi="仿宋" w:eastAsia="仿宋" w:cs="仿宋"/>
          <w:sz w:val="48"/>
          <w:szCs w:val="48"/>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仿宋" w:hAnsi="仿宋" w:eastAsia="仿宋" w:cs="仿宋"/>
          <w:sz w:val="48"/>
          <w:szCs w:val="48"/>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仿宋" w:hAnsi="仿宋" w:eastAsia="仿宋" w:cs="仿宋"/>
          <w:sz w:val="48"/>
          <w:szCs w:val="48"/>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仿宋" w:hAnsi="仿宋" w:eastAsia="仿宋" w:cs="仿宋"/>
          <w:sz w:val="48"/>
          <w:szCs w:val="48"/>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仿宋" w:hAnsi="仿宋" w:eastAsia="仿宋" w:cs="仿宋"/>
          <w:sz w:val="48"/>
          <w:szCs w:val="48"/>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仿宋" w:hAnsi="仿宋" w:eastAsia="仿宋" w:cs="仿宋"/>
          <w:sz w:val="48"/>
          <w:szCs w:val="48"/>
        </w:rPr>
      </w:pPr>
    </w:p>
    <w:p>
      <w:pPr>
        <w:keepNext w:val="0"/>
        <w:keepLines w:val="0"/>
        <w:pageBreakBefore w:val="0"/>
        <w:widowControl w:val="0"/>
        <w:kinsoku/>
        <w:wordWrap/>
        <w:overflowPunct/>
        <w:topLinePunct w:val="0"/>
        <w:autoSpaceDE/>
        <w:autoSpaceDN/>
        <w:bidi w:val="0"/>
        <w:adjustRightInd/>
        <w:spacing w:line="580" w:lineRule="atLeast"/>
        <w:ind w:right="0" w:rightChars="0"/>
        <w:jc w:val="both"/>
        <w:textAlignment w:val="auto"/>
        <w:outlineLvl w:val="9"/>
        <w:rPr>
          <w:rFonts w:hint="eastAsia" w:ascii="仿宋" w:hAnsi="仿宋" w:eastAsia="仿宋" w:cs="仿宋"/>
          <w:sz w:val="48"/>
          <w:szCs w:val="48"/>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仿宋" w:hAnsi="仿宋" w:eastAsia="仿宋" w:cs="仿宋"/>
          <w:sz w:val="48"/>
          <w:szCs w:val="48"/>
        </w:rPr>
      </w:pPr>
      <w:r>
        <w:rPr>
          <w:rFonts w:hint="eastAsia" w:ascii="仿宋" w:hAnsi="仿宋" w:eastAsia="仿宋" w:cs="仿宋"/>
          <w:sz w:val="48"/>
          <w:szCs w:val="48"/>
        </w:rPr>
        <w:t>目</w:t>
      </w:r>
      <w:r>
        <w:rPr>
          <w:rFonts w:hint="eastAsia" w:ascii="仿宋" w:hAnsi="仿宋" w:eastAsia="仿宋" w:cs="仿宋"/>
          <w:sz w:val="48"/>
          <w:szCs w:val="48"/>
          <w:lang w:val="en-US" w:eastAsia="zh-CN"/>
        </w:rPr>
        <w:t xml:space="preserve">   </w:t>
      </w:r>
      <w:r>
        <w:rPr>
          <w:rFonts w:hint="eastAsia" w:ascii="仿宋" w:hAnsi="仿宋" w:eastAsia="仿宋" w:cs="仿宋"/>
          <w:sz w:val="48"/>
          <w:szCs w:val="48"/>
        </w:rPr>
        <w:t xml:space="preserve"> 录</w:t>
      </w: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Theme="majorEastAsia" w:hAnsiTheme="majorEastAsia" w:eastAsiaTheme="majorEastAsia" w:cstheme="majorEastAsia"/>
          <w:sz w:val="32"/>
          <w:szCs w:val="32"/>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一、基本职能及主要工作</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（一）主要职能。</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（二）2018年重点工作完成情况。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二、部门概况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三、收支决算总体情况说明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四、财政拨款收入支出决算总体情况说明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（一）一般公共预算财政拨款支出决算总体情况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（二）一般公共预算财政拨款支出决算结构情况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（三）一般公共预算财政拨款支出决算具体情况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六、一般公共预算财政拨款基本支出决算情况说明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七、“三公”经费财政拨款支出决算情况说明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（一）“三公”经费财政拨款支出决算总体情况说明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（二）“三公”经费财政拨款支出决算具体情况说明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八、政府性基金预算支出决算情况说明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九、国有资本经营预算支出决算情况说明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十、其他重要事项的情况说明</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（一）机关运行经费支出情况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（二）政府采购支出情况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（三）国有资产占有使用情况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（四）预算绩效情况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1.绩效目标管理情况。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2.部门整体支出绩效自评开展情况。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3.部门自行组织绩效评价开展情况。</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32"/>
          <w:szCs w:val="32"/>
        </w:rPr>
      </w:pPr>
      <w:r>
        <w:rPr>
          <w:rFonts w:hint="eastAsia" w:ascii="仿宋" w:hAnsi="仿宋" w:eastAsia="仿宋" w:cs="仿宋"/>
          <w:sz w:val="32"/>
          <w:szCs w:val="32"/>
        </w:rPr>
        <w:t>十一、名词解释</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jc w:val="both"/>
        <w:textAlignment w:val="auto"/>
        <w:outlineLvl w:val="9"/>
        <w:rPr>
          <w:rFonts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Theme="majorEastAsia" w:hAnsiTheme="majorEastAsia" w:eastAsiaTheme="majorEastAsia" w:cstheme="majorEastAsia"/>
          <w:b/>
          <w:bCs/>
          <w:sz w:val="44"/>
          <w:szCs w:val="44"/>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Theme="majorEastAsia" w:hAnsiTheme="majorEastAsia" w:eastAsiaTheme="majorEastAsia" w:cstheme="majorEastAsia"/>
          <w:b/>
          <w:bCs/>
          <w:sz w:val="44"/>
          <w:szCs w:val="44"/>
        </w:rPr>
      </w:pPr>
    </w:p>
    <w:p>
      <w:pPr>
        <w:keepNext w:val="0"/>
        <w:keepLines w:val="0"/>
        <w:pageBreakBefore w:val="0"/>
        <w:widowControl w:val="0"/>
        <w:kinsoku/>
        <w:wordWrap/>
        <w:overflowPunct/>
        <w:topLinePunct w:val="0"/>
        <w:autoSpaceDE/>
        <w:autoSpaceDN/>
        <w:bidi w:val="0"/>
        <w:adjustRightInd/>
        <w:spacing w:line="580" w:lineRule="atLeast"/>
        <w:ind w:right="0" w:rightChars="0"/>
        <w:jc w:val="center"/>
        <w:textAlignment w:val="auto"/>
        <w:outlineLvl w:val="9"/>
        <w:rPr>
          <w:rFonts w:hint="eastAsia" w:asciiTheme="majorEastAsia" w:hAnsiTheme="majorEastAsia" w:eastAsiaTheme="majorEastAsia" w:cstheme="majorEastAsia"/>
          <w:b/>
          <w:bCs/>
          <w:sz w:val="44"/>
          <w:szCs w:val="44"/>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黑体" w:hAnsi="黑体" w:eastAsia="黑体" w:cs="黑体"/>
          <w:b w:val="0"/>
          <w:bCs w:val="0"/>
          <w:sz w:val="32"/>
          <w:szCs w:val="32"/>
        </w:rPr>
      </w:pP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一、基本职能及主要工作</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（一）主要职能</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承担城乡居民养老保险收支管理的责任。负责编制年度预决算并组织执行。受县人事委托，向县人民代表大会报告我局预算及其执行情况。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负责政府非税收入管理。负责政府性基金管理，按规定管理行政事业性收费。管理非税票据。</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负责管理我局的会计工作，监督和规范会计行为，组织实施国家统一的会计制度。</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负责财政资金绩效评价。监督财税法规、政策的执行情况，反映财政收支管理中的重大问题。</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金川县城乡居民养老保险事业管理局是主管农民、居民养老保险收支、统筹、管理及利用的部门。</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承办县政府交办的其他事项。</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（二）2018年重点工作完成情况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截至目前</w:t>
      </w:r>
      <w:r>
        <w:rPr>
          <w:rFonts w:hint="eastAsia" w:ascii="仿宋_GB2312" w:hAnsi="仿宋_GB2312" w:eastAsia="仿宋_GB2312" w:cs="仿宋_GB2312"/>
          <w:sz w:val="32"/>
          <w:szCs w:val="32"/>
        </w:rPr>
        <w:t>，全县城乡居保覆盖人数为31890人，完成州下达目标任务31706人的100.58%；预计缴费人数19583人，其中由省级财政代缴未标注脱贫人员、低保对象2018、特困人群等困难群体代缴城乡居民养老保险2784人；我县对2016年以来的扶贫人员代缴城乡居民养老保险1859人；为重症残疾人员代缴养老保险320人。</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收取城乡居民养老保险费预计340万元，中央、省、州财政补贴1231.23万元。全年我局预计为10365人发放城乡居民养老保险金1276.22万元。</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二、部门概况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我单位属于财政补助的事业单位，为一级预算单位，实有编制15名（其中：事业管理13名，专技编制2名）。年末实有人数15人（其中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事业管理14人，专技1人）。</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三、收支决算总体情况说明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金川县城乡居民养老保险事业管理局本年收入合计208.59万元，其中：一般公共预算财政拨款收入208.59万元，占100%；政府性基金预算财政拨款收入0元，占0%；国有资本经营预算财政拨款收入0万元，占0%；事业收入0万元，占0%；经营收入0万元，占0%；附属单位上缴收入0万元，占0%；其他收入0万元，占0%。</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2018年金川县城乡居民养老保险事业管理局本年支出合计207.7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万元，其中：基本支出189.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万元，占91.02%；项目支出18.66万元，占8.98%；上缴上级支出0万元，占0%；经营支出0万元，占0%；对附属单位补助支出0万元，占0%。财政结转</w:t>
      </w:r>
      <w:r>
        <w:rPr>
          <w:rFonts w:hint="eastAsia" w:ascii="仿宋_GB2312" w:hAnsi="仿宋_GB2312" w:eastAsia="仿宋_GB2312" w:cs="仿宋_GB2312"/>
          <w:sz w:val="32"/>
          <w:szCs w:val="32"/>
          <w:lang w:val="en-US" w:eastAsia="zh-CN"/>
        </w:rPr>
        <w:t>0.83万元</w:t>
      </w:r>
      <w:r>
        <w:rPr>
          <w:rFonts w:hint="eastAsia" w:ascii="仿宋_GB2312" w:hAnsi="仿宋_GB2312" w:eastAsia="仿宋_GB2312" w:cs="仿宋_GB2312"/>
          <w:sz w:val="32"/>
          <w:szCs w:val="32"/>
        </w:rPr>
        <w:t>元，是2018年残疾人就业保障金。</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四、财政拨款收入支出决算总体情况说明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年初预算381.55万元；本年收入合计208.59万元，其中：财政拨款收入208.59万元，占全年收入100%；与2017年比较减少收入116.24万元，原因是2017年底失地农民转入企业养老保险使失地农民养老保险代缴减少，收入也减少。事业收入0万元；经营收入0万元；附属单位上缴收入0万元；其他收入0万元。</w:t>
      </w:r>
    </w:p>
    <w:p>
      <w:pPr>
        <w:keepNext w:val="0"/>
        <w:keepLines w:val="0"/>
        <w:pageBreakBefore w:val="0"/>
        <w:widowControl w:val="0"/>
        <w:kinsoku/>
        <w:wordWrap/>
        <w:overflowPunct/>
        <w:topLinePunct w:val="0"/>
        <w:autoSpaceDE/>
        <w:autoSpaceDN/>
        <w:bidi w:val="0"/>
        <w:adjustRightInd/>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Cs/>
          <w:sz w:val="32"/>
          <w:szCs w:val="32"/>
        </w:rPr>
        <w:t>2018年支出</w:t>
      </w:r>
      <w:r>
        <w:rPr>
          <w:rFonts w:hint="eastAsia" w:ascii="仿宋_GB2312" w:hAnsi="仿宋_GB2312" w:eastAsia="仿宋_GB2312" w:cs="仿宋_GB2312"/>
          <w:bCs/>
          <w:sz w:val="32"/>
          <w:szCs w:val="32"/>
          <w:lang w:val="en-US" w:eastAsia="zh-CN"/>
        </w:rPr>
        <w:t>207.76</w:t>
      </w:r>
      <w:r>
        <w:rPr>
          <w:rFonts w:hint="eastAsia" w:ascii="仿宋_GB2312" w:hAnsi="仿宋_GB2312" w:eastAsia="仿宋_GB2312" w:cs="仿宋_GB2312"/>
          <w:bCs/>
          <w:sz w:val="32"/>
          <w:szCs w:val="32"/>
        </w:rPr>
        <w:t>万元，其中基本支出</w:t>
      </w:r>
      <w:r>
        <w:rPr>
          <w:rFonts w:hint="eastAsia" w:ascii="仿宋_GB2312" w:hAnsi="仿宋_GB2312" w:eastAsia="仿宋_GB2312" w:cs="仿宋_GB2312"/>
          <w:bCs/>
          <w:sz w:val="32"/>
          <w:szCs w:val="32"/>
          <w:lang w:val="en-US" w:eastAsia="zh-CN"/>
        </w:rPr>
        <w:t>189.1</w:t>
      </w:r>
      <w:r>
        <w:rPr>
          <w:rFonts w:hint="eastAsia" w:ascii="仿宋_GB2312" w:hAnsi="仿宋_GB2312" w:eastAsia="仿宋_GB2312" w:cs="仿宋_GB2312"/>
          <w:bCs/>
          <w:sz w:val="32"/>
          <w:szCs w:val="32"/>
        </w:rPr>
        <w:t>万元，项目支出18.66万元。</w:t>
      </w:r>
      <w:r>
        <w:rPr>
          <w:rFonts w:hint="eastAsia" w:ascii="仿宋_GB2312" w:hAnsi="仿宋_GB2312" w:eastAsia="仿宋_GB2312" w:cs="仿宋_GB2312"/>
          <w:sz w:val="32"/>
          <w:szCs w:val="32"/>
        </w:rPr>
        <w:t>与2017年比较减少支出117.07万元，原因是2017年底失地农民转入企业养老保险使失地农民养老保险代缴减少，支出也减少。</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五、一般公共预算财政拨款支出决算情况说明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仿宋_GB2312" w:hAnsi="仿宋_GB2312" w:eastAsia="仿宋_GB2312" w:cs="仿宋_GB2312"/>
          <w:b/>
          <w:bCs/>
          <w:sz w:val="32"/>
          <w:szCs w:val="32"/>
        </w:rPr>
      </w:pPr>
      <w:r>
        <w:rPr>
          <w:rFonts w:hint="eastAsia" w:ascii="楷体" w:hAnsi="楷体" w:eastAsia="楷体" w:cs="楷体"/>
          <w:b/>
          <w:bCs/>
          <w:sz w:val="32"/>
          <w:szCs w:val="32"/>
        </w:rPr>
        <w:t>（一）一般公共预算财政拨款支出决算总体情况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2018年度一般公共预算财政拨款支出207.7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万元，占本年支出合计的100%。与2017年相比，一般公共预算财政拨款减少支出117.07万元，增长36.04%。</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仿宋_GB2312" w:hAnsi="仿宋_GB2312" w:eastAsia="仿宋_GB2312" w:cs="仿宋_GB2312"/>
          <w:b/>
          <w:bCs/>
          <w:sz w:val="32"/>
          <w:szCs w:val="32"/>
        </w:rPr>
      </w:pPr>
      <w:r>
        <w:rPr>
          <w:rFonts w:hint="eastAsia" w:ascii="楷体" w:hAnsi="楷体" w:eastAsia="楷体" w:cs="楷体"/>
          <w:b/>
          <w:bCs/>
          <w:sz w:val="32"/>
          <w:szCs w:val="32"/>
        </w:rPr>
        <w:t>（二）一般公共预算财政拨款支出决算结构情况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2018年一般公共预算财政拨款支出207.7</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万元，主要用于以下方面社会保障就业支出</w:t>
      </w:r>
      <w:r>
        <w:rPr>
          <w:rFonts w:hint="eastAsia" w:ascii="仿宋_GB2312" w:hAnsi="仿宋_GB2312" w:eastAsia="仿宋_GB2312" w:cs="仿宋_GB2312"/>
          <w:sz w:val="32"/>
          <w:szCs w:val="32"/>
          <w:lang w:val="en-US" w:eastAsia="zh-CN"/>
        </w:rPr>
        <w:t>164.01</w:t>
      </w:r>
      <w:r>
        <w:rPr>
          <w:rFonts w:hint="eastAsia" w:ascii="仿宋_GB2312" w:hAnsi="仿宋_GB2312" w:eastAsia="仿宋_GB2312" w:cs="仿宋_GB2312"/>
          <w:sz w:val="32"/>
          <w:szCs w:val="32"/>
        </w:rPr>
        <w:t>万元，占78.94%；农林水支出18.66万元，占8.98%；医疗卫生与计划生育支出9.13万元，占4.39%；住房保障支出15.96万元，占7.69%。</w:t>
      </w:r>
    </w:p>
    <w:p>
      <w:pPr>
        <w:keepNext w:val="0"/>
        <w:keepLines w:val="0"/>
        <w:pageBreakBefore w:val="0"/>
        <w:widowControl w:val="0"/>
        <w:numPr>
          <w:ilvl w:val="0"/>
          <w:numId w:val="0"/>
        </w:numPr>
        <w:kinsoku/>
        <w:wordWrap/>
        <w:overflowPunct/>
        <w:topLinePunct w:val="0"/>
        <w:autoSpaceDE/>
        <w:autoSpaceDN/>
        <w:bidi w:val="0"/>
        <w:adjustRightInd/>
        <w:spacing w:line="580" w:lineRule="atLeast"/>
        <w:ind w:right="0" w:rightChars="0"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lang w:val="en-US" w:eastAsia="zh-CN"/>
        </w:rPr>
        <w:t>(三)</w:t>
      </w:r>
      <w:r>
        <w:rPr>
          <w:rFonts w:hint="eastAsia" w:ascii="楷体" w:hAnsi="楷体" w:eastAsia="楷体" w:cs="楷体"/>
          <w:b/>
          <w:bCs/>
          <w:sz w:val="32"/>
          <w:szCs w:val="32"/>
        </w:rPr>
        <w:t>一般公共预算财政拨款支出决算具体情况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Style w:val="5"/>
          <w:rFonts w:hint="eastAsia" w:ascii="仿宋_GB2312" w:hAnsi="仿宋_GB2312" w:eastAsia="仿宋_GB2312" w:cs="仿宋_GB2312"/>
          <w:b w:val="0"/>
          <w:bCs/>
          <w:color w:val="000000"/>
          <w:sz w:val="32"/>
          <w:szCs w:val="32"/>
        </w:rPr>
      </w:pPr>
      <w:r>
        <w:rPr>
          <w:rStyle w:val="5"/>
          <w:rFonts w:hint="eastAsia" w:ascii="仿宋_GB2312" w:hAnsi="仿宋_GB2312" w:eastAsia="仿宋_GB2312" w:cs="仿宋_GB2312"/>
          <w:b w:val="0"/>
          <w:bCs/>
          <w:color w:val="000000"/>
          <w:sz w:val="32"/>
          <w:szCs w:val="32"/>
        </w:rPr>
        <w:t>1.</w:t>
      </w:r>
      <w:r>
        <w:rPr>
          <w:rFonts w:hint="eastAsia" w:ascii="仿宋_GB2312" w:hAnsi="仿宋_GB2312" w:eastAsia="仿宋_GB2312" w:cs="仿宋_GB2312"/>
          <w:b w:val="0"/>
          <w:bCs/>
          <w:sz w:val="32"/>
          <w:szCs w:val="32"/>
        </w:rPr>
        <w:t xml:space="preserve"> </w:t>
      </w:r>
      <w:r>
        <w:rPr>
          <w:rStyle w:val="5"/>
          <w:rFonts w:hint="eastAsia" w:ascii="仿宋_GB2312" w:hAnsi="仿宋_GB2312" w:eastAsia="仿宋_GB2312" w:cs="仿宋_GB2312"/>
          <w:b w:val="0"/>
          <w:bCs/>
          <w:color w:val="000000"/>
          <w:sz w:val="32"/>
          <w:szCs w:val="32"/>
        </w:rPr>
        <w:t>208社会保障和就业(类）：</w:t>
      </w:r>
      <w:r>
        <w:rPr>
          <w:rFonts w:hint="eastAsia" w:ascii="仿宋_GB2312" w:hAnsi="仿宋_GB2312" w:eastAsia="仿宋_GB2312" w:cs="仿宋_GB2312"/>
          <w:b w:val="0"/>
          <w:bCs/>
          <w:sz w:val="32"/>
          <w:szCs w:val="32"/>
          <w:lang w:val="en-US" w:eastAsia="zh-CN"/>
        </w:rPr>
        <w:t>164.01</w:t>
      </w:r>
      <w:r>
        <w:rPr>
          <w:rStyle w:val="5"/>
          <w:rFonts w:hint="eastAsia" w:ascii="仿宋_GB2312" w:hAnsi="仿宋_GB2312" w:eastAsia="仿宋_GB2312" w:cs="仿宋_GB2312"/>
          <w:b w:val="0"/>
          <w:bCs/>
          <w:color w:val="000000"/>
          <w:sz w:val="32"/>
          <w:szCs w:val="32"/>
        </w:rPr>
        <w:t>万元</w:t>
      </w:r>
    </w:p>
    <w:p>
      <w:pPr>
        <w:keepNext w:val="0"/>
        <w:keepLines w:val="0"/>
        <w:pageBreakBefore w:val="0"/>
        <w:widowControl w:val="0"/>
        <w:kinsoku/>
        <w:wordWrap/>
        <w:overflowPunct/>
        <w:topLinePunct w:val="0"/>
        <w:autoSpaceDE/>
        <w:autoSpaceDN/>
        <w:bidi w:val="0"/>
        <w:adjustRightInd/>
        <w:spacing w:line="580" w:lineRule="atLeast"/>
        <w:ind w:left="142" w:right="0" w:rightChars="0" w:firstLine="480" w:firstLineChars="150"/>
        <w:textAlignment w:val="auto"/>
        <w:outlineLvl w:val="9"/>
        <w:rPr>
          <w:rStyle w:val="5"/>
          <w:rFonts w:hint="eastAsia" w:ascii="仿宋_GB2312" w:hAnsi="仿宋_GB2312" w:eastAsia="仿宋_GB2312" w:cs="仿宋_GB2312"/>
          <w:b w:val="0"/>
          <w:color w:val="000000"/>
          <w:sz w:val="32"/>
          <w:szCs w:val="32"/>
        </w:rPr>
      </w:pPr>
      <w:r>
        <w:rPr>
          <w:rStyle w:val="5"/>
          <w:rFonts w:hint="eastAsia" w:ascii="仿宋_GB2312" w:hAnsi="仿宋_GB2312" w:eastAsia="仿宋_GB2312" w:cs="仿宋_GB2312"/>
          <w:b w:val="0"/>
          <w:color w:val="000000"/>
          <w:sz w:val="32"/>
          <w:szCs w:val="32"/>
        </w:rPr>
        <w:t>（1）社会保障和就业208（类）人力资源和社会保障管理事务01（款）社会保险经办机构09（项）：支出结算数132.8</w:t>
      </w:r>
      <w:r>
        <w:rPr>
          <w:rStyle w:val="5"/>
          <w:rFonts w:hint="eastAsia" w:ascii="仿宋_GB2312" w:hAnsi="仿宋_GB2312" w:eastAsia="仿宋_GB2312" w:cs="仿宋_GB2312"/>
          <w:b w:val="0"/>
          <w:color w:val="000000"/>
          <w:sz w:val="32"/>
          <w:szCs w:val="32"/>
          <w:lang w:val="en-US" w:eastAsia="zh-CN"/>
        </w:rPr>
        <w:t>8</w:t>
      </w:r>
      <w:r>
        <w:rPr>
          <w:rStyle w:val="5"/>
          <w:rFonts w:hint="eastAsia" w:ascii="仿宋_GB2312" w:hAnsi="仿宋_GB2312" w:eastAsia="仿宋_GB2312" w:cs="仿宋_GB2312"/>
          <w:b w:val="0"/>
          <w:color w:val="000000"/>
          <w:sz w:val="32"/>
          <w:szCs w:val="32"/>
        </w:rPr>
        <w:t>万元，完成预算100%。决算数小于预算数的主要原因是2018年调资。</w:t>
      </w:r>
    </w:p>
    <w:p>
      <w:pPr>
        <w:keepNext w:val="0"/>
        <w:keepLines w:val="0"/>
        <w:pageBreakBefore w:val="0"/>
        <w:widowControl w:val="0"/>
        <w:kinsoku/>
        <w:wordWrap/>
        <w:overflowPunct/>
        <w:topLinePunct w:val="0"/>
        <w:autoSpaceDE/>
        <w:autoSpaceDN/>
        <w:bidi w:val="0"/>
        <w:adjustRightInd/>
        <w:spacing w:line="580" w:lineRule="atLeast"/>
        <w:ind w:left="142" w:right="0" w:rightChars="0" w:firstLine="480" w:firstLineChars="150"/>
        <w:textAlignment w:val="auto"/>
        <w:outlineLvl w:val="9"/>
        <w:rPr>
          <w:rStyle w:val="5"/>
          <w:rFonts w:hint="eastAsia" w:ascii="仿宋_GB2312" w:hAnsi="仿宋_GB2312" w:eastAsia="仿宋_GB2312" w:cs="仿宋_GB2312"/>
          <w:b w:val="0"/>
          <w:color w:val="000000"/>
          <w:sz w:val="32"/>
          <w:szCs w:val="32"/>
        </w:rPr>
      </w:pPr>
      <w:r>
        <w:rPr>
          <w:rStyle w:val="5"/>
          <w:rFonts w:hint="eastAsia" w:ascii="仿宋_GB2312" w:hAnsi="仿宋_GB2312" w:eastAsia="仿宋_GB2312" w:cs="仿宋_GB2312"/>
          <w:b w:val="0"/>
          <w:color w:val="000000"/>
          <w:sz w:val="32"/>
          <w:szCs w:val="32"/>
          <w:lang w:eastAsia="zh-CN"/>
        </w:rPr>
        <w:t>（</w:t>
      </w:r>
      <w:r>
        <w:rPr>
          <w:rStyle w:val="5"/>
          <w:rFonts w:hint="eastAsia" w:ascii="仿宋_GB2312" w:hAnsi="仿宋_GB2312" w:eastAsia="仿宋_GB2312" w:cs="仿宋_GB2312"/>
          <w:b w:val="0"/>
          <w:color w:val="000000"/>
          <w:sz w:val="32"/>
          <w:szCs w:val="32"/>
          <w:lang w:val="en-US" w:eastAsia="zh-CN"/>
        </w:rPr>
        <w:t>2</w:t>
      </w:r>
      <w:r>
        <w:rPr>
          <w:rStyle w:val="5"/>
          <w:rFonts w:hint="eastAsia" w:ascii="仿宋_GB2312" w:hAnsi="仿宋_GB2312" w:eastAsia="仿宋_GB2312" w:cs="仿宋_GB2312"/>
          <w:b w:val="0"/>
          <w:color w:val="000000"/>
          <w:sz w:val="32"/>
          <w:szCs w:val="32"/>
          <w:lang w:eastAsia="zh-CN"/>
        </w:rPr>
        <w:t>）</w:t>
      </w:r>
      <w:r>
        <w:rPr>
          <w:rStyle w:val="5"/>
          <w:rFonts w:hint="eastAsia" w:ascii="仿宋_GB2312" w:hAnsi="仿宋_GB2312" w:eastAsia="仿宋_GB2312" w:cs="仿宋_GB2312"/>
          <w:b w:val="0"/>
          <w:color w:val="000000"/>
          <w:sz w:val="32"/>
          <w:szCs w:val="32"/>
        </w:rPr>
        <w:t>社会保障和就业208（类）行政事业单位离退休05（款）机关事业单位基本养老保险费05（项）:支出决算为22.23万元，完成预算100%，决算数小于预算数的主要原因是2018年调资。</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Style w:val="5"/>
          <w:rFonts w:hint="eastAsia" w:ascii="仿宋_GB2312" w:hAnsi="仿宋_GB2312" w:eastAsia="仿宋_GB2312" w:cs="仿宋_GB2312"/>
          <w:b w:val="0"/>
          <w:color w:val="000000"/>
          <w:sz w:val="32"/>
          <w:szCs w:val="32"/>
        </w:rPr>
      </w:pPr>
      <w:r>
        <w:rPr>
          <w:rStyle w:val="5"/>
          <w:rFonts w:hint="eastAsia" w:ascii="仿宋_GB2312" w:hAnsi="仿宋_GB2312" w:eastAsia="仿宋_GB2312" w:cs="仿宋_GB2312"/>
          <w:b w:val="0"/>
          <w:color w:val="000000"/>
          <w:sz w:val="32"/>
          <w:szCs w:val="32"/>
          <w:lang w:eastAsia="zh-CN"/>
        </w:rPr>
        <w:t>（</w:t>
      </w:r>
      <w:r>
        <w:rPr>
          <w:rStyle w:val="5"/>
          <w:rFonts w:hint="eastAsia" w:ascii="仿宋_GB2312" w:hAnsi="仿宋_GB2312" w:eastAsia="仿宋_GB2312" w:cs="仿宋_GB2312"/>
          <w:b w:val="0"/>
          <w:color w:val="000000"/>
          <w:sz w:val="32"/>
          <w:szCs w:val="32"/>
          <w:lang w:val="en-US" w:eastAsia="zh-CN"/>
        </w:rPr>
        <w:t>3</w:t>
      </w:r>
      <w:r>
        <w:rPr>
          <w:rStyle w:val="5"/>
          <w:rFonts w:hint="eastAsia" w:ascii="仿宋_GB2312" w:hAnsi="仿宋_GB2312" w:eastAsia="仿宋_GB2312" w:cs="仿宋_GB2312"/>
          <w:b w:val="0"/>
          <w:color w:val="000000"/>
          <w:sz w:val="32"/>
          <w:szCs w:val="32"/>
          <w:lang w:eastAsia="zh-CN"/>
        </w:rPr>
        <w:t>）</w:t>
      </w:r>
      <w:r>
        <w:rPr>
          <w:rStyle w:val="5"/>
          <w:rFonts w:hint="eastAsia" w:ascii="仿宋_GB2312" w:hAnsi="仿宋_GB2312" w:eastAsia="仿宋_GB2312" w:cs="仿宋_GB2312"/>
          <w:b w:val="0"/>
          <w:color w:val="000000"/>
          <w:sz w:val="32"/>
          <w:szCs w:val="32"/>
        </w:rPr>
        <w:t>社会保障和就业208（类）行政事业单位离退休05（款）</w:t>
      </w:r>
      <w:r>
        <w:rPr>
          <w:rStyle w:val="5"/>
          <w:rFonts w:hint="eastAsia" w:ascii="仿宋_GB2312" w:hAnsi="仿宋_GB2312" w:eastAsia="仿宋_GB2312" w:cs="仿宋_GB2312"/>
          <w:b w:val="0"/>
          <w:bCs/>
          <w:color w:val="000000"/>
          <w:sz w:val="32"/>
          <w:szCs w:val="32"/>
        </w:rPr>
        <w:t>职业年金缴费06（项）</w:t>
      </w:r>
      <w:r>
        <w:rPr>
          <w:rStyle w:val="5"/>
          <w:rFonts w:hint="eastAsia" w:ascii="仿宋_GB2312" w:hAnsi="仿宋_GB2312" w:eastAsia="仿宋_GB2312" w:cs="仿宋_GB2312"/>
          <w:color w:val="000000"/>
          <w:sz w:val="32"/>
          <w:szCs w:val="32"/>
        </w:rPr>
        <w:t>：</w:t>
      </w:r>
      <w:r>
        <w:rPr>
          <w:rStyle w:val="5"/>
          <w:rFonts w:hint="eastAsia" w:ascii="仿宋_GB2312" w:hAnsi="仿宋_GB2312" w:eastAsia="仿宋_GB2312" w:cs="仿宋_GB2312"/>
          <w:b w:val="0"/>
          <w:color w:val="000000"/>
          <w:sz w:val="32"/>
          <w:szCs w:val="32"/>
        </w:rPr>
        <w:t>支出决算为8.89万元，完成预算100%。</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Style w:val="5"/>
          <w:rFonts w:hint="eastAsia" w:ascii="仿宋_GB2312" w:hAnsi="仿宋_GB2312" w:eastAsia="仿宋_GB2312" w:cs="仿宋_GB2312"/>
          <w:b w:val="0"/>
          <w:color w:val="000000"/>
          <w:sz w:val="32"/>
          <w:szCs w:val="32"/>
        </w:rPr>
      </w:pPr>
      <w:r>
        <w:rPr>
          <w:rStyle w:val="5"/>
          <w:rFonts w:hint="eastAsia" w:ascii="仿宋_GB2312" w:hAnsi="仿宋_GB2312" w:eastAsia="仿宋_GB2312" w:cs="仿宋_GB2312"/>
          <w:b w:val="0"/>
          <w:bCs/>
          <w:color w:val="000000"/>
          <w:sz w:val="32"/>
          <w:szCs w:val="32"/>
        </w:rPr>
        <w:t>2.医疗卫生与计划生育210（类）行政事业单位医疗11（款）事业单位医疗02（项）</w:t>
      </w:r>
      <w:r>
        <w:rPr>
          <w:rStyle w:val="5"/>
          <w:rFonts w:hint="eastAsia" w:ascii="仿宋_GB2312" w:hAnsi="仿宋_GB2312" w:eastAsia="仿宋_GB2312" w:cs="仿宋_GB2312"/>
          <w:color w:val="000000"/>
          <w:sz w:val="32"/>
          <w:szCs w:val="32"/>
        </w:rPr>
        <w:t>:</w:t>
      </w:r>
      <w:r>
        <w:rPr>
          <w:rStyle w:val="5"/>
          <w:rFonts w:hint="eastAsia" w:ascii="仿宋_GB2312" w:hAnsi="仿宋_GB2312" w:eastAsia="仿宋_GB2312" w:cs="仿宋_GB2312"/>
          <w:b w:val="0"/>
          <w:color w:val="000000"/>
          <w:sz w:val="32"/>
          <w:szCs w:val="32"/>
        </w:rPr>
        <w:t>支出决算为9.13万元，完成预算100%.</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Style w:val="5"/>
          <w:rFonts w:hint="eastAsia" w:ascii="仿宋_GB2312" w:hAnsi="仿宋_GB2312" w:eastAsia="仿宋_GB2312" w:cs="仿宋_GB2312"/>
          <w:b w:val="0"/>
          <w:color w:val="000000"/>
          <w:sz w:val="32"/>
          <w:szCs w:val="32"/>
        </w:rPr>
      </w:pPr>
      <w:r>
        <w:rPr>
          <w:rFonts w:hint="eastAsia" w:ascii="仿宋_GB2312" w:hAnsi="仿宋_GB2312" w:eastAsia="仿宋_GB2312" w:cs="仿宋_GB2312"/>
          <w:color w:val="000000"/>
          <w:sz w:val="32"/>
          <w:szCs w:val="32"/>
        </w:rPr>
        <w:t>3.住房保障支出</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color w:val="000000"/>
          <w:sz w:val="32"/>
          <w:szCs w:val="32"/>
        </w:rPr>
        <w:t>221（类）住房改革支出02（款）住房公积金01（项）：支出决算为15.96万元，</w:t>
      </w:r>
      <w:r>
        <w:rPr>
          <w:rStyle w:val="5"/>
          <w:rFonts w:hint="eastAsia" w:ascii="仿宋_GB2312" w:hAnsi="仿宋_GB2312" w:eastAsia="仿宋_GB2312" w:cs="仿宋_GB2312"/>
          <w:b w:val="0"/>
          <w:color w:val="000000"/>
          <w:sz w:val="32"/>
          <w:szCs w:val="32"/>
        </w:rPr>
        <w:t>决算数小于预算数的主要原因是2018年6月调整住房公积金基数。</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4.</w:t>
      </w:r>
      <w:r>
        <w:rPr>
          <w:rFonts w:hint="eastAsia" w:ascii="仿宋_GB2312" w:hAnsi="仿宋_GB2312" w:eastAsia="仿宋_GB2312" w:cs="仿宋_GB2312"/>
          <w:sz w:val="32"/>
          <w:szCs w:val="32"/>
        </w:rPr>
        <w:t xml:space="preserve"> </w:t>
      </w:r>
      <w:r>
        <w:rPr>
          <w:rFonts w:hint="eastAsia" w:ascii="仿宋_GB2312" w:hAnsi="仿宋_GB2312" w:eastAsia="仿宋_GB2312" w:cs="仿宋_GB2312"/>
          <w:bCs/>
          <w:color w:val="000000"/>
          <w:sz w:val="32"/>
          <w:szCs w:val="32"/>
        </w:rPr>
        <w:t>农林水支出213(类）扶贫05（款）其他扶贫支出99（项）:</w:t>
      </w:r>
      <w:r>
        <w:rPr>
          <w:rFonts w:hint="eastAsia" w:ascii="仿宋_GB2312" w:hAnsi="仿宋_GB2312" w:eastAsia="仿宋_GB2312" w:cs="仿宋_GB2312"/>
          <w:color w:val="000000"/>
          <w:sz w:val="32"/>
          <w:szCs w:val="32"/>
        </w:rPr>
        <w:t>支出决算为18.66万元，完成预算72.49%，决算数小于预算数的主要原因</w:t>
      </w:r>
      <w:r>
        <w:rPr>
          <w:rStyle w:val="5"/>
          <w:rFonts w:hint="eastAsia" w:ascii="仿宋_GB2312" w:hAnsi="仿宋_GB2312" w:eastAsia="仿宋_GB2312" w:cs="仿宋_GB2312"/>
          <w:b w:val="0"/>
          <w:color w:val="000000"/>
          <w:sz w:val="32"/>
          <w:szCs w:val="32"/>
        </w:rPr>
        <w:t>2018年省级财政下达困难群众补助资金70.38万元。</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六、一般公共预算财政拨款基本支出决算情况说明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2018年度一般公共预算财政拨款基本支出189.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万元，其中：</w:t>
      </w:r>
    </w:p>
    <w:p>
      <w:pPr>
        <w:keepNext w:val="0"/>
        <w:keepLines w:val="0"/>
        <w:pageBreakBefore w:val="0"/>
        <w:widowControl w:val="0"/>
        <w:kinsoku/>
        <w:wordWrap/>
        <w:overflowPunct/>
        <w:topLinePunct w:val="0"/>
        <w:autoSpaceDE/>
        <w:autoSpaceDN/>
        <w:bidi w:val="0"/>
        <w:adjustRightInd/>
        <w:spacing w:line="580" w:lineRule="atLeast"/>
        <w:ind w:right="0" w:rightChars="0" w:firstLine="645"/>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sz w:val="32"/>
          <w:szCs w:val="32"/>
        </w:rPr>
        <w:t>177.</w:t>
      </w:r>
      <w:r>
        <w:rPr>
          <w:rFonts w:hint="eastAsia" w:ascii="仿宋_GB2312" w:hAnsi="仿宋_GB2312" w:eastAsia="仿宋_GB2312" w:cs="仿宋_GB2312"/>
          <w:sz w:val="32"/>
          <w:szCs w:val="32"/>
          <w:lang w:val="en-US" w:eastAsia="zh-CN"/>
        </w:rPr>
        <w:t>64</w:t>
      </w:r>
      <w:r>
        <w:rPr>
          <w:rFonts w:hint="eastAsia" w:ascii="仿宋_GB2312" w:hAnsi="仿宋_GB2312" w:eastAsia="仿宋_GB2312" w:cs="仿宋_GB2312"/>
          <w:color w:val="000000"/>
          <w:sz w:val="32"/>
          <w:szCs w:val="32"/>
        </w:rPr>
        <w:t>万元，主要包括：基本工资</w:t>
      </w:r>
      <w:r>
        <w:rPr>
          <w:rFonts w:hint="eastAsia" w:ascii="仿宋_GB2312" w:hAnsi="仿宋_GB2312" w:eastAsia="仿宋_GB2312" w:cs="仿宋_GB2312"/>
          <w:sz w:val="32"/>
          <w:szCs w:val="32"/>
        </w:rPr>
        <w:t>45.35</w:t>
      </w:r>
      <w:r>
        <w:rPr>
          <w:rFonts w:hint="eastAsia" w:ascii="仿宋_GB2312" w:hAnsi="仿宋_GB2312" w:eastAsia="仿宋_GB2312" w:cs="仿宋_GB2312"/>
          <w:color w:val="000000"/>
          <w:sz w:val="32"/>
          <w:szCs w:val="32"/>
        </w:rPr>
        <w:t>万元、津贴补贴</w:t>
      </w:r>
      <w:r>
        <w:rPr>
          <w:rFonts w:hint="eastAsia" w:ascii="仿宋_GB2312" w:hAnsi="仿宋_GB2312" w:eastAsia="仿宋_GB2312" w:cs="仿宋_GB2312"/>
          <w:sz w:val="32"/>
          <w:szCs w:val="32"/>
        </w:rPr>
        <w:t>25.48</w:t>
      </w:r>
      <w:r>
        <w:rPr>
          <w:rFonts w:hint="eastAsia" w:ascii="仿宋_GB2312" w:hAnsi="仿宋_GB2312" w:eastAsia="仿宋_GB2312" w:cs="仿宋_GB2312"/>
          <w:color w:val="000000"/>
          <w:sz w:val="32"/>
          <w:szCs w:val="32"/>
        </w:rPr>
        <w:t>万元、奖金</w:t>
      </w:r>
      <w:r>
        <w:rPr>
          <w:rFonts w:hint="eastAsia" w:ascii="仿宋_GB2312" w:hAnsi="仿宋_GB2312" w:eastAsia="仿宋_GB2312" w:cs="仿宋_GB2312"/>
          <w:sz w:val="32"/>
          <w:szCs w:val="32"/>
        </w:rPr>
        <w:t>3.95</w:t>
      </w:r>
      <w:r>
        <w:rPr>
          <w:rFonts w:hint="eastAsia" w:ascii="仿宋_GB2312" w:hAnsi="仿宋_GB2312" w:eastAsia="仿宋_GB2312" w:cs="仿宋_GB2312"/>
          <w:color w:val="000000"/>
          <w:sz w:val="32"/>
          <w:szCs w:val="32"/>
        </w:rPr>
        <w:t>万元、绩效工资45.3万元、机关事业单位基本养老保险缴费</w:t>
      </w:r>
      <w:r>
        <w:rPr>
          <w:rFonts w:hint="eastAsia" w:ascii="仿宋_GB2312" w:hAnsi="仿宋_GB2312" w:eastAsia="仿宋_GB2312" w:cs="仿宋_GB2312"/>
          <w:sz w:val="32"/>
          <w:szCs w:val="32"/>
        </w:rPr>
        <w:t>22.23</w:t>
      </w:r>
      <w:r>
        <w:rPr>
          <w:rFonts w:hint="eastAsia" w:ascii="仿宋_GB2312" w:hAnsi="仿宋_GB2312" w:eastAsia="仿宋_GB2312" w:cs="仿宋_GB2312"/>
          <w:color w:val="000000"/>
          <w:sz w:val="32"/>
          <w:szCs w:val="32"/>
        </w:rPr>
        <w:t>万元、职业年金缴费</w:t>
      </w:r>
      <w:r>
        <w:rPr>
          <w:rFonts w:hint="eastAsia" w:ascii="仿宋_GB2312" w:hAnsi="仿宋_GB2312" w:eastAsia="仿宋_GB2312" w:cs="仿宋_GB2312"/>
          <w:sz w:val="32"/>
          <w:szCs w:val="32"/>
        </w:rPr>
        <w:t>8.89</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职工医疗保险缴费</w:t>
      </w:r>
      <w:r>
        <w:rPr>
          <w:rFonts w:hint="eastAsia" w:ascii="仿宋_GB2312" w:hAnsi="仿宋_GB2312" w:eastAsia="仿宋_GB2312" w:cs="仿宋_GB2312"/>
          <w:color w:val="000000"/>
          <w:sz w:val="32"/>
          <w:szCs w:val="32"/>
          <w:lang w:val="en-US" w:eastAsia="zh-CN"/>
        </w:rPr>
        <w:t>9.13万元、</w:t>
      </w:r>
      <w:r>
        <w:rPr>
          <w:rFonts w:hint="eastAsia" w:ascii="仿宋_GB2312" w:hAnsi="仿宋_GB2312" w:eastAsia="仿宋_GB2312" w:cs="仿宋_GB2312"/>
          <w:color w:val="000000"/>
          <w:sz w:val="32"/>
          <w:szCs w:val="32"/>
        </w:rPr>
        <w:t>其他社会保障缴费</w:t>
      </w:r>
      <w:r>
        <w:rPr>
          <w:rFonts w:hint="eastAsia" w:ascii="仿宋_GB2312" w:hAnsi="仿宋_GB2312" w:eastAsia="仿宋_GB2312" w:cs="仿宋_GB2312"/>
          <w:sz w:val="32"/>
          <w:szCs w:val="32"/>
        </w:rPr>
        <w:t>1.28</w:t>
      </w:r>
      <w:r>
        <w:rPr>
          <w:rFonts w:hint="eastAsia" w:ascii="仿宋_GB2312" w:hAnsi="仿宋_GB2312" w:eastAsia="仿宋_GB2312" w:cs="仿宋_GB2312"/>
          <w:color w:val="000000"/>
          <w:sz w:val="32"/>
          <w:szCs w:val="32"/>
        </w:rPr>
        <w:t>万元、奖励金0.06万元、住房公积金</w:t>
      </w:r>
      <w:r>
        <w:rPr>
          <w:rFonts w:hint="eastAsia" w:ascii="仿宋_GB2312" w:hAnsi="仿宋_GB2312" w:eastAsia="仿宋_GB2312" w:cs="仿宋_GB2312"/>
          <w:sz w:val="32"/>
          <w:szCs w:val="32"/>
        </w:rPr>
        <w:t>15.96万元。</w:t>
      </w:r>
    </w:p>
    <w:p>
      <w:pPr>
        <w:keepNext w:val="0"/>
        <w:keepLines w:val="0"/>
        <w:pageBreakBefore w:val="0"/>
        <w:widowControl w:val="0"/>
        <w:kinsoku/>
        <w:wordWrap/>
        <w:overflowPunct/>
        <w:topLinePunct w:val="0"/>
        <w:autoSpaceDE/>
        <w:autoSpaceDN/>
        <w:bidi w:val="0"/>
        <w:adjustRightInd/>
        <w:spacing w:line="580" w:lineRule="atLeast"/>
        <w:ind w:right="0" w:rightChars="0" w:firstLine="645"/>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公用经费</w:t>
      </w:r>
      <w:r>
        <w:rPr>
          <w:rFonts w:hint="eastAsia" w:ascii="仿宋_GB2312" w:hAnsi="仿宋_GB2312" w:eastAsia="仿宋_GB2312" w:cs="仿宋_GB2312"/>
          <w:sz w:val="32"/>
          <w:szCs w:val="32"/>
        </w:rPr>
        <w:t>11.47</w:t>
      </w:r>
      <w:r>
        <w:rPr>
          <w:rFonts w:hint="eastAsia" w:ascii="仿宋_GB2312" w:hAnsi="仿宋_GB2312" w:eastAsia="仿宋_GB2312" w:cs="仿宋_GB2312"/>
          <w:color w:val="000000"/>
          <w:sz w:val="32"/>
          <w:szCs w:val="32"/>
        </w:rPr>
        <w:t>万元，主要包括：办公费</w:t>
      </w:r>
      <w:r>
        <w:rPr>
          <w:rFonts w:hint="eastAsia" w:ascii="仿宋_GB2312" w:hAnsi="仿宋_GB2312" w:eastAsia="仿宋_GB2312" w:cs="仿宋_GB2312"/>
          <w:sz w:val="32"/>
          <w:szCs w:val="32"/>
        </w:rPr>
        <w:t>3.47</w:t>
      </w:r>
      <w:r>
        <w:rPr>
          <w:rFonts w:hint="eastAsia" w:ascii="仿宋_GB2312" w:hAnsi="仿宋_GB2312" w:eastAsia="仿宋_GB2312" w:cs="仿宋_GB2312"/>
          <w:color w:val="000000"/>
          <w:sz w:val="32"/>
          <w:szCs w:val="32"/>
        </w:rPr>
        <w:t>万元、印刷费0.42万元、水费</w:t>
      </w:r>
      <w:r>
        <w:rPr>
          <w:rFonts w:hint="eastAsia" w:ascii="仿宋_GB2312" w:hAnsi="仿宋_GB2312" w:eastAsia="仿宋_GB2312" w:cs="仿宋_GB2312"/>
          <w:sz w:val="32"/>
          <w:szCs w:val="32"/>
        </w:rPr>
        <w:t>0.1</w:t>
      </w:r>
      <w:r>
        <w:rPr>
          <w:rFonts w:hint="eastAsia" w:ascii="仿宋_GB2312" w:hAnsi="仿宋_GB2312" w:eastAsia="仿宋_GB2312" w:cs="仿宋_GB2312"/>
          <w:color w:val="000000"/>
          <w:sz w:val="32"/>
          <w:szCs w:val="32"/>
        </w:rPr>
        <w:t>万元、电费0.4万元、邮电费0.72万元、差旅费3.54万元、培训费0.18万元、劳务费0.14万元、其他交通费2.5万元。</w:t>
      </w:r>
    </w:p>
    <w:p>
      <w:pPr>
        <w:keepNext w:val="0"/>
        <w:keepLines w:val="0"/>
        <w:pageBreakBefore w:val="0"/>
        <w:widowControl w:val="0"/>
        <w:kinsoku/>
        <w:wordWrap/>
        <w:overflowPunct/>
        <w:topLinePunct w:val="0"/>
        <w:autoSpaceDE/>
        <w:autoSpaceDN/>
        <w:bidi w:val="0"/>
        <w:adjustRightInd/>
        <w:spacing w:line="580" w:lineRule="atLeast"/>
        <w:ind w:right="0" w:rightChars="0" w:firstLine="645"/>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2018年度一般公共预算财政拨款项目支出18.66万元，支建档立卡贫困户养老保险代缴100元/人/元，共计代缴人数1866人，与2017年项目支出增加16.68万元，因2017年项目支出是培训费，2018年项目支出是建档立卡贫困户养老保险代缴。</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七、“三公”经费财政拨款支出决算情况说明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（一）“三公”经费财政拨款支出决算总体情况说明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2018年度“三公”经费财政拨款支出决算为0万元，完成预算100%，决算数与预算数持平。</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（二）“三公”经费财政拨款支出决算具体情况说明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2018年度“三公”经费财政拨款支出决算中，因公出国（境）费支出决算0万元，占0%；公务用车购置及运行维护费支出决算0万元，占0%；公务接待费支出决算0万元，占0%。具体情况如下：</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1、因公出国（境）经费支出0万元。全年安排因公出国（境）团组0次，出国（境）0人。因公出国（境）支出决算比2017年比无变化。</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2、公务用车购置及运行维护费支出0万元。其中：</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公务用车购置支出0万元；公务用车运行维护费支出0万元。</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3、公务接待费支出0万元。主要用于执行公务、开展业务活动开支的交通费、住宿费、用餐费等。</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八、政府性基金预算支出决算情况说明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2018年度政府性基金预算拨款支出0万元。</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九、国有资本经营预算支出决算情况说明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2018年度国有资本经营预算拨款支出0万元。</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十、其他重要事项的情况说明</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（一）运行经费支出情况</w:t>
      </w:r>
    </w:p>
    <w:p>
      <w:pPr>
        <w:keepNext w:val="0"/>
        <w:keepLines w:val="0"/>
        <w:pageBreakBefore w:val="0"/>
        <w:widowControl w:val="0"/>
        <w:kinsoku/>
        <w:wordWrap/>
        <w:overflowPunct/>
        <w:topLinePunct w:val="0"/>
        <w:autoSpaceDE/>
        <w:autoSpaceDN/>
        <w:bidi w:val="0"/>
        <w:adjustRightInd/>
        <w:snapToGrid w:val="0"/>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2018年度，金川县城乡居民养老保险事业管理局运行经费支出207.76万元，比2017年减少117.07万元，减少36.04%，原因是2017年底失地农民转入企业养老保险使失地农民养老保险代缴减少，支出也减少。</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（二）政府采购支出情况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2018年度，金川县城乡居民养老保险事业管理局政府采购支出总额0万元。</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（三）国有资产占有使用情况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截至2018年12月31日，金川县城乡居民养老保险事业管理局共有车辆0辆，其中：部级领导干部用车0辆、一般公务用车0辆、一般执法执勤用车0辆、特种专业技术用车0辆、其他用车0辆；单价50万元以上通用设备0台（套），单价100万元以上专用设备0台（套）。</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楷体" w:hAnsi="楷体" w:eastAsia="楷体" w:cs="楷体"/>
          <w:b/>
          <w:bCs/>
          <w:sz w:val="32"/>
          <w:szCs w:val="32"/>
        </w:rPr>
      </w:pPr>
      <w:r>
        <w:rPr>
          <w:rFonts w:hint="eastAsia" w:ascii="楷体" w:hAnsi="楷体" w:eastAsia="楷体" w:cs="楷体"/>
          <w:b/>
          <w:bCs/>
          <w:sz w:val="32"/>
          <w:szCs w:val="32"/>
        </w:rPr>
        <w:t>（四）预算绩效情况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绩效目标管理情况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按照预算绩效管理要求，本部门对2018年一般公共预算项目支出开展了绩效目标管理，共编制绩效目标1个，涉及财政资金70.38万元，覆盖率达到100%。</w:t>
      </w:r>
    </w:p>
    <w:p>
      <w:pPr>
        <w:keepNext w:val="0"/>
        <w:keepLines w:val="0"/>
        <w:pageBreakBefore w:val="0"/>
        <w:widowControl w:val="0"/>
        <w:kinsoku/>
        <w:wordWrap/>
        <w:overflowPunct/>
        <w:topLinePunct w:val="0"/>
        <w:autoSpaceDE/>
        <w:autoSpaceDN/>
        <w:bidi w:val="0"/>
        <w:adjustRightInd/>
        <w:spacing w:line="580" w:lineRule="atLeast"/>
        <w:ind w:right="0" w:rightChars="0" w:firstLine="643" w:firstLineChars="200"/>
        <w:textAlignment w:val="auto"/>
        <w:outlineLvl w:val="9"/>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w:t>
      </w:r>
      <w:r>
        <w:rPr>
          <w:rFonts w:hint="eastAsia" w:ascii="仿宋_GB2312" w:hAnsi="仿宋_GB2312" w:eastAsia="仿宋_GB2312" w:cs="仿宋_GB2312"/>
          <w:b/>
          <w:bCs/>
          <w:sz w:val="32"/>
          <w:szCs w:val="32"/>
          <w:lang w:val="en-US" w:eastAsia="zh-CN"/>
        </w:rPr>
        <w:t>.</w:t>
      </w:r>
      <w:r>
        <w:rPr>
          <w:rFonts w:hint="eastAsia" w:ascii="仿宋_GB2312" w:hAnsi="仿宋_GB2312" w:eastAsia="仿宋_GB2312" w:cs="仿宋_GB2312"/>
          <w:b/>
          <w:bCs/>
          <w:sz w:val="32"/>
          <w:szCs w:val="32"/>
        </w:rPr>
        <w:t>部门整体支出绩效自评开展情况</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按照预算绩效管理要求，本部门对2018年整体支出开展绩效自评，自评得分92分，存在的问题：一是项目管理有待提高，二项目资金支付进度较慢。下一步我局将切实提高专项项目管理，按规定及时</w:t>
      </w:r>
      <w:r>
        <w:rPr>
          <w:rFonts w:hint="eastAsia" w:ascii="仿宋_GB2312" w:hAnsi="仿宋_GB2312" w:eastAsia="仿宋_GB2312" w:cs="仿宋_GB2312"/>
          <w:sz w:val="32"/>
          <w:szCs w:val="32"/>
          <w:lang w:eastAsia="zh-CN"/>
        </w:rPr>
        <w:t>拨付</w:t>
      </w:r>
      <w:r>
        <w:rPr>
          <w:rFonts w:hint="eastAsia" w:ascii="仿宋_GB2312" w:hAnsi="仿宋_GB2312" w:eastAsia="仿宋_GB2312" w:cs="仿宋_GB2312"/>
          <w:sz w:val="32"/>
          <w:szCs w:val="32"/>
        </w:rPr>
        <w:t>项目资金。</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黑体" w:hAnsi="黑体" w:eastAsia="黑体" w:cs="黑体"/>
          <w:b w:val="0"/>
          <w:bCs w:val="0"/>
          <w:sz w:val="32"/>
          <w:szCs w:val="32"/>
        </w:rPr>
      </w:pPr>
      <w:r>
        <w:rPr>
          <w:rFonts w:hint="eastAsia" w:ascii="黑体" w:hAnsi="黑体" w:eastAsia="黑体" w:cs="黑体"/>
          <w:b w:val="0"/>
          <w:bCs w:val="0"/>
          <w:sz w:val="32"/>
          <w:szCs w:val="32"/>
        </w:rPr>
        <w:t>十一、名词解释</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财政拨款收入：指单位从同级财政部门取得的财政预算资金。</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2.其他收入：指单位取得财政拨款收入以外的各项收入。主要是浙江援建的新建档案馆项目经费及省档案局</w:t>
      </w:r>
      <w:r>
        <w:rPr>
          <w:rFonts w:hint="eastAsia" w:ascii="仿宋_GB2312" w:hAnsi="仿宋_GB2312" w:eastAsia="仿宋_GB2312" w:cs="仿宋_GB2312"/>
          <w:sz w:val="32"/>
          <w:szCs w:val="32"/>
          <w:lang w:eastAsia="zh-CN"/>
        </w:rPr>
        <w:t>下拨</w:t>
      </w:r>
      <w:bookmarkStart w:id="0" w:name="_GoBack"/>
      <w:bookmarkEnd w:id="0"/>
      <w:r>
        <w:rPr>
          <w:rFonts w:hint="eastAsia" w:ascii="仿宋_GB2312" w:hAnsi="仿宋_GB2312" w:eastAsia="仿宋_GB2312" w:cs="仿宋_GB2312"/>
          <w:sz w:val="32"/>
          <w:szCs w:val="32"/>
        </w:rPr>
        <w:t>的专项业务经费（收入类型）等。</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年初结转和结余：指以前年度尚未完成、结转到本年按有关规定继续使用的资金。</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年末结转和结余：指单位按有关规定结转到下年或以后年度继续使用的资金。</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社会保障和就业(类)208人力资源和社会保障管理事务（款）01社会保险经办机构（项）09：指社会保险经办机构开展业务工作的支出。</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社会保障和就业（类）208行政事业单位离退休（款）05机关事业单位基本养老保险缴费支出（项）05：指机关事业单位实施养老保险制度由单位缴纳的基本养老保险费支出。</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7</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社会保障和就业（类）208行政事业单位离退休（款）05机关事业单位职业年金缴费支出（项）06：指机关事业单位实施养老保险制度由单位缴纳的职业年金支出。</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8</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医疗卫生与计划生育支出（类）210医疗保障（款）05事业单位医疗（项）02：指反映财政部门集中安排的事业单位基本医疗保险缴费经费。</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9</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住房保障支出（类）221住房改革支出（款）02住房公积金（项）01：指反映行政事业单位按人力资源和社会保障部、财政部规定的基本工资和津贴补贴以及规定比例为职工缴纳的住房公积金。</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10</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社会保障和就业（类）208财政对基本养老保险基金的补助（款）26财政对城乡居民基金养老保险基金的补助（项）02：指反映财政对城乡居民养老保险基金的补助支出（财政对养老保险个档次缴费补助）。</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11</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社会保障和就业（类）208财政对其他社会保险基金的补助（款）27其他财政对社会保险基金的补助（项）99：指反映其他财政对社会保险基金的补助（被征地农民养老保险补助）。</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12</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color w:val="000000"/>
          <w:sz w:val="32"/>
          <w:szCs w:val="32"/>
        </w:rPr>
        <w:t>教育支出（类）0205进修及培训（款）08培训支出（项）03：指反映各部门安排的用于培训的支出。教育部门的师资培训，党校、行政学院等专业干部教育机构的支出，以及退役士兵、转业士官的培训支出，不在本科目反映。</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13年末结转和结余：指本年度或以前年度预算安排、因客观条件发生变化无法按原计划实施，需延迟到以后年度按有关规定继续使用的资金。</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14</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基本支出：指为保障机构正常运转、完成日常工作任务而发生的人员支出和公用支出。</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项目支出：指在基本支出之外为完成特定行政任务和事业发展目标所发生的支出。</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16</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keepNext w:val="0"/>
        <w:keepLines w:val="0"/>
        <w:pageBreakBefore w:val="0"/>
        <w:widowControl w:val="0"/>
        <w:kinsoku/>
        <w:wordWrap/>
        <w:overflowPunct/>
        <w:topLinePunct w:val="0"/>
        <w:autoSpaceDE/>
        <w:autoSpaceDN/>
        <w:bidi w:val="0"/>
        <w:adjustRightInd/>
        <w:spacing w:line="580" w:lineRule="atLeast"/>
        <w:ind w:right="0" w:rightChars="0"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17</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keepNext w:val="0"/>
        <w:keepLines w:val="0"/>
        <w:pageBreakBefore w:val="0"/>
        <w:widowControl w:val="0"/>
        <w:kinsoku/>
        <w:wordWrap/>
        <w:overflowPunct/>
        <w:topLinePunct w:val="0"/>
        <w:autoSpaceDE/>
        <w:autoSpaceDN/>
        <w:bidi w:val="0"/>
        <w:adjustRightInd/>
        <w:spacing w:line="580" w:lineRule="atLeast"/>
        <w:ind w:right="0" w:rightChars="0"/>
        <w:textAlignment w:val="auto"/>
        <w:outlineLvl w:val="9"/>
        <w:rPr>
          <w:rFonts w:hint="eastAsia" w:ascii="仿宋_GB2312" w:hAnsi="仿宋_GB2312" w:eastAsia="仿宋_GB2312" w:cs="仿宋_GB2312"/>
          <w:sz w:val="32"/>
          <w:szCs w:val="32"/>
        </w:rPr>
      </w:pPr>
    </w:p>
    <w:sectPr>
      <w:pgSz w:w="11906" w:h="16838"/>
      <w:pgMar w:top="1440" w:right="1644" w:bottom="1440" w:left="164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DA40AF"/>
    <w:rsid w:val="002760BC"/>
    <w:rsid w:val="00314198"/>
    <w:rsid w:val="00AF7556"/>
    <w:rsid w:val="00DA40AF"/>
    <w:rsid w:val="01831733"/>
    <w:rsid w:val="04A5494C"/>
    <w:rsid w:val="084C132A"/>
    <w:rsid w:val="08921145"/>
    <w:rsid w:val="0DE12068"/>
    <w:rsid w:val="0EED7A1D"/>
    <w:rsid w:val="16DE780A"/>
    <w:rsid w:val="247B17C9"/>
    <w:rsid w:val="24F554D2"/>
    <w:rsid w:val="25CA4F01"/>
    <w:rsid w:val="26104034"/>
    <w:rsid w:val="2E0475C0"/>
    <w:rsid w:val="2EB159DF"/>
    <w:rsid w:val="2FE01670"/>
    <w:rsid w:val="33A3701D"/>
    <w:rsid w:val="34790B31"/>
    <w:rsid w:val="347B731D"/>
    <w:rsid w:val="35330105"/>
    <w:rsid w:val="37F34BED"/>
    <w:rsid w:val="3AD16072"/>
    <w:rsid w:val="3BA3308F"/>
    <w:rsid w:val="405F7886"/>
    <w:rsid w:val="46E25EF4"/>
    <w:rsid w:val="473E3163"/>
    <w:rsid w:val="4C0E4E1F"/>
    <w:rsid w:val="51CD6149"/>
    <w:rsid w:val="543F6FC0"/>
    <w:rsid w:val="54667905"/>
    <w:rsid w:val="55CE071F"/>
    <w:rsid w:val="586D2DDE"/>
    <w:rsid w:val="58891B73"/>
    <w:rsid w:val="59BE2149"/>
    <w:rsid w:val="5B980BE7"/>
    <w:rsid w:val="5EF206BD"/>
    <w:rsid w:val="5F851E93"/>
    <w:rsid w:val="617A57BE"/>
    <w:rsid w:val="637E0B03"/>
    <w:rsid w:val="657257A5"/>
    <w:rsid w:val="6B933CDA"/>
    <w:rsid w:val="6D1B7821"/>
    <w:rsid w:val="6F9D2E8D"/>
    <w:rsid w:val="74FD7FBD"/>
    <w:rsid w:val="753A6FCB"/>
    <w:rsid w:val="75447B25"/>
    <w:rsid w:val="758D6271"/>
    <w:rsid w:val="75B87841"/>
    <w:rsid w:val="75E17ED0"/>
    <w:rsid w:val="76287654"/>
    <w:rsid w:val="76963C20"/>
    <w:rsid w:val="78B8572B"/>
    <w:rsid w:val="79BD122C"/>
    <w:rsid w:val="7B4D2FFF"/>
    <w:rsid w:val="7C414C4E"/>
    <w:rsid w:val="7C7E0EE6"/>
    <w:rsid w:val="7DBA7798"/>
    <w:rsid w:val="7E575A9C"/>
    <w:rsid w:val="7E5B30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color w:val="FF3300"/>
      <w:kern w:val="0"/>
      <w:sz w:val="24"/>
      <w:u w:val="single"/>
    </w:rPr>
  </w:style>
  <w:style w:type="character" w:styleId="5">
    <w:name w:val="Strong"/>
    <w:basedOn w:val="4"/>
    <w:qFormat/>
    <w:uiPriority w:val="0"/>
    <w:rPr>
      <w:b/>
    </w:rPr>
  </w:style>
  <w:style w:type="character" w:styleId="6">
    <w:name w:val="FollowedHyperlink"/>
    <w:basedOn w:val="4"/>
    <w:qFormat/>
    <w:uiPriority w:val="0"/>
    <w:rPr>
      <w:color w:val="4E4342"/>
      <w:u w:val="none"/>
    </w:rPr>
  </w:style>
  <w:style w:type="character" w:styleId="7">
    <w:name w:val="Hyperlink"/>
    <w:basedOn w:val="4"/>
    <w:qFormat/>
    <w:uiPriority w:val="0"/>
    <w:rPr>
      <w:color w:val="4E4342"/>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4624</Words>
  <Characters>704</Characters>
  <Lines>5</Lines>
  <Paragraphs>10</Paragraphs>
  <TotalTime>1</TotalTime>
  <ScaleCrop>false</ScaleCrop>
  <LinksUpToDate>false</LinksUpToDate>
  <CharactersWithSpaces>5318</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2020-09-10T03:24:00Z</dcterms:created>
  <dc:creator>Administrator</dc:creator>
  <cp:lastModifiedBy>不改</cp:lastModifiedBy>
  <cp:lastPrinted>2021-05-20T08:48:00Z</cp:lastPrinted>
  <dcterms:modified xsi:type="dcterms:W3CDTF">2021-06-07T03:29:34Z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A60A45C93E6A4194B777DE9ADD800F5A</vt:lpwstr>
  </property>
</Properties>
</file>