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金川县城乡居民养老保险事业管理局</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关于2019年部门预算编制说明</w:t>
      </w:r>
    </w:p>
    <w:p>
      <w:pPr>
        <w:ind w:firstLine="643" w:firstLineChars="200"/>
        <w:rPr>
          <w:rFonts w:hint="eastAsia" w:ascii="黑体" w:hAnsi="黑体" w:eastAsia="黑体" w:cs="黑体"/>
          <w:sz w:val="32"/>
          <w:szCs w:val="32"/>
        </w:rPr>
      </w:pPr>
      <w:r>
        <w:rPr>
          <w:rFonts w:hint="eastAsia" w:ascii="黑体" w:hAnsi="黑体" w:eastAsia="黑体" w:cs="黑体"/>
          <w:b/>
          <w:bCs/>
          <w:sz w:val="32"/>
          <w:szCs w:val="32"/>
        </w:rPr>
        <w:t>一、基本职能及主要工作</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（一）城乡居民养老保险事业管理局职能简介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1.承担城乡居民养老保险收支管理的责任。负责编制年度预决算并组织执行。受县人事委托，向县人民代表大会报告我局预算及其执行情况。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2.负责政府非税收入管理。负责政府性基金管理，按规定管理行政事业性收费。管理非税票据。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3.负责管理我局的会计工作，监督和规范会计行为，组织实施国家统一的会计制度。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4.负责财政资金绩效评价。监督财税法规、政策的执行情况，反映财政收支管理中的重大问题。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5.金川县城乡居民养老保险事业管理局是主管农民、居民养老保险收支、统筹、管理及利用的部门。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6.承办县政府交办的其他事项。</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（二）城乡养老保险事业管理局2019年重点工作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进一步加大城乡居民养老保险宣传力度，让城乡居民养老保险政策更好地惠及百姓民生，推动我县城乡居民养老保险工作有序开展，我局计划多次在乡镇、县政府广场等地开展了城乡居民社会养老保险宣传活动。在宣传活动上我局工作人员通过散发《金川县城乡居民养老保险政策宣传》册的方式大力宣传城乡居民基本养老保险政策的优惠性；并依据《城乡居民养老保险缴费及待遇测算表》给老百姓认真</w:t>
      </w:r>
      <w:r>
        <w:rPr>
          <w:rFonts w:hint="eastAsia" w:ascii="仿宋_GB2312" w:hAnsi="仿宋_GB2312" w:eastAsia="仿宋_GB2312" w:cs="仿宋_GB2312"/>
          <w:sz w:val="32"/>
          <w:szCs w:val="32"/>
          <w:lang w:eastAsia="zh-CN"/>
        </w:rPr>
        <w:t>细致地进行</w:t>
      </w:r>
      <w:r>
        <w:rPr>
          <w:rFonts w:hint="eastAsia" w:ascii="仿宋_GB2312" w:hAnsi="仿宋_GB2312" w:eastAsia="仿宋_GB2312" w:cs="仿宋_GB2312"/>
          <w:sz w:val="32"/>
          <w:szCs w:val="32"/>
        </w:rPr>
        <w:t>现场宣讲，通过基础养老金发放、到龄人员待遇领取等典型事例让群众充分感受到城居民养老保险看得到的实惠，力争把宣传成果转化为实际工作效果，通过这种面对面的咨询解答交流方式，让群众进一步了解了城乡居民养老保险政策，并从中感受到政府对广大群众的关怀，切实提高了广大群众依法参保缴费意识，受到了群众的广泛赞誉和好评，达到了良好的宣传效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精心组织、扎实推进城乡居民养老保险保费代扣代缴工作。对扣款失败的人员建立花名册发放至乡镇就业社会保障服务中心工作人员，通知参保缴费人员尽快续费，方便了群众，节省时间，使参保缴费群众不用出村就能缴纳城乡居民养老保险费， 进一步确保资金安全，保险费直接划存到基金专户，避免收取现金带来的不安全因素。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确保基金安全着力做好城乡居民养老保险待遇领取稽核工作。为进一步规范城乡居民养老保险养老金发放工作, 切实加强基金监管，严防基金流失，维护基金安全完整，防范养老金骗领、冒领现象发生。我局积极开展城乡居民社会养老保险稽核现场认证工作。一是以参保养老金领取人员的公民身份号码作为查询条件在业务系统中进行详细比对，比对结果主要包括被查询参保人领取待遇状态及发放明细等相关内容，严防养老金的重复领取现象。二是加强死亡认证工作，对高龄人员进行现场稽核验证。通过多种有效措施，认真调查核实城乡居民养老金领取资格，联合公安、计生、司法机构收集死亡户口注销信息进行数据对比，有效防止和杜绝了城乡居民养老保险基金的流失，维护了养老基金发放的严肃性，真正做到让养老金用之于民。</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二、部门预算单位构成</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2019年独立编制的事业单位机构数为1个，财政供养人员编制为15名（事业编制）；2019年实际财政供养人员15人，较上年无增减（无退休人员），其中：事业管理14人，事业专技1人。 </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三、收支预算情况说明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城居保局所有收入和支出均纳入部门预算管理。收入包括：一般公共预算拨款收入、上年结转；支出包括：一般公共服务支出、社会保障和就业支出、医疗卫生与计划生育支出、住房保障支出。城居保局2019年收支总预算290.49万元,比2018年收支预算总数减少91.06万元，主要是因为：1、失地农民养老保险补助减少，2018年的有部分失地农民转入社保；2、建档立卡贫困户养老保险代缴减少是2018年省级补助特困人口养老保险代缴。</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（一）收入预算情况</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城居保局2019年收入预算290.49万元，其中：教育支出0.42万元，占0.14%；社会保障和就业支出237.62万元，占81.8%；卫生健康支出10.45万元，占3.61%；农林水支出24.5万元，占8.43%；住房保障支出17.5万元，占6.02%。</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（二）支出预算情况。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城居保局2019年支出预算290.49万元，其中：教育支出0.42万元，占0.14%；社会保障和就业支出237.62万元，占81.8%；卫生健康支出10.45万元，占3.61%；农林水支出24.5万元，占8.43%；住房保障支出17.5万元，占6.02%。</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四、财政拨款收支预算情况说明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居保局2019年财政拨款收支总预算290.49万元,比2018年财政拨款收支总预算减少91.06万元，主要是因为：1、失地农民养老保险补助减少，2018年的有部分失地农民转入社保；2、建档立卡贫困户养老保险代缴减少是2018年省级补助特困人口养老保险代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收入包括：本年一般公共预算拨款收入290.49万元，支出包括：教育支出0.42万元、社会保障和就业支出237.62万元、医疗卫生与计划生育支出10.45万元、住房保障支出17.50万元、农林水支出24.5万元。</w:t>
      </w:r>
    </w:p>
    <w:p>
      <w:pPr>
        <w:ind w:firstLine="643" w:firstLineChars="200"/>
        <w:rPr>
          <w:rFonts w:hint="eastAsia" w:ascii="黑体" w:hAnsi="黑体" w:eastAsia="黑体" w:cs="黑体"/>
          <w:sz w:val="32"/>
          <w:szCs w:val="32"/>
        </w:rPr>
      </w:pPr>
      <w:r>
        <w:rPr>
          <w:rFonts w:hint="eastAsia" w:ascii="黑体" w:hAnsi="黑体" w:eastAsia="黑体" w:cs="黑体"/>
          <w:b/>
          <w:bCs/>
          <w:sz w:val="32"/>
          <w:szCs w:val="32"/>
        </w:rPr>
        <w:t>五、一般公共预算当年拨款情况说明</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（一）一般公共预算当年拨款规模变化情况</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居保局2019年一般公共预算当年拨款290.49万元，比2018年预算数减少91.06万元，主要是因为：1、失地农民养老保险补助减少，2018年的有部分失地农民转入社保；2、建档立卡贫困户养老保险代缴减少是2018年省级补助特困人口养老保险代缴。</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（二）一般公共预算当年拨款结构情况。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教育支出0.42万元，占0.14%；社会保障和就业支出237.62万元，占81.8%；卫生健康支出10.45万元，占3.61%；农林水支出24.5万元，占8.43%；住房保障支出17.5万元，占6.02%。</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（三）一般公共预算基本支出当年拨款具体使用情况。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教育支出（类）进修及培训费（款）培训支出（项）0.42万元，用于人员培训支出。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社会保障和就业（类）人力资源和社会保障管理事务（款）社会保险经办机构（项）:2019年预算数为160.22万元，主要用于：事业单位正常运转的基本支出，包括基本工资、津贴补贴、绩效工资等人员经费以及办公费、印刷费、水电费等日常公用经费、城乡居民养老保险各档次缴费补助、建档立卡贫困户养老保险补助、被征地农民养老保险补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（1）人力资源和社会保障管理事务（款）社会保险经办机构（项）：日常人员经费:119.14万元，公用经费8.73万元。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（2）行政事业单位离退休（款）机关事业单位基本养老保险费（项）：日常人员经费23.11万元。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（3）行政事业单位离退休（款）机关事业单位职业年金缴费支出（项）：日常人员经费9.24万元。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3.医疗卫生与计划生育（类）行政事业单位医疗（款）事业单位医疗（项）:2019年预算数为8.25万元，主要用于：社保局单位基本医疗保险缴费支出。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4.医疗卫生与计划生育（类）行政事业单位医疗（款）公务员医疗补助（项）:2019年预算数为2.20万元，主要用于：社保局单位集中缴纳公务员医疗补助支出。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5.住房保障（类）住房改革支出（款）住房公积金（项）:2019年预算数为17.50万元，主要用于：为职工缴纳的住房公积金支出。</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）一般公共预算财政拨款项目支出预算101.90万元。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1、社会保障和就业(类）（类）财政对基本养老保险基金的补助（款）财政对城乡居民养老保险基金的补助（项）：27.33万元，城乡养老保险各档次缴费补助。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2、社会保障和就业(类）（类）财政对基本养老保险基金的补助（款）其他财政</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社会基金的补助（项）：50.07万元，主要用于被征地农民养老保险补助。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3.农林水支出（类）扶贫（款）其他扶贫支出（项）：2019年预算数为24.5万元，主要用于：建档立卡贫困户养老保险代缴。</w:t>
      </w:r>
    </w:p>
    <w:p>
      <w:pPr>
        <w:ind w:firstLine="640" w:firstLineChars="200"/>
        <w:rPr>
          <w:rFonts w:ascii="仿宋_GB2312" w:hAnsi="仿宋_GB2312" w:eastAsia="仿宋_GB2312" w:cs="仿宋_GB2312"/>
          <w:b/>
          <w:bCs/>
          <w:sz w:val="32"/>
          <w:szCs w:val="32"/>
        </w:rPr>
      </w:pPr>
      <w:r>
        <w:rPr>
          <w:rFonts w:hint="eastAsia" w:ascii="黑体" w:hAnsi="黑体" w:eastAsia="黑体" w:cs="黑体"/>
          <w:b w:val="0"/>
          <w:bCs w:val="0"/>
          <w:sz w:val="32"/>
          <w:szCs w:val="32"/>
        </w:rPr>
        <w:t>六、一般公共预算基本支出情况说明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城乡居民养老保险局2019年一般公共预算基本支出188.59万元，其中：</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179.44万元，主要包括：基本工资、津贴补贴、奖金、社会保险缴费、绩效工资、机关事业单位基本养老保险缴费、职业年金缴费、其他工资福利支出、离休费、住房公积金、其他对个人和家庭的补助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公用经费9.15万元，主要包括：办公费、印刷费、手续费、水费、电费、邮电费、差旅费、维修（护）费、会议费、培训费、劳务费、工会经费、福利费、其他交通费、其他商品和服务支出。</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七、一般公共预算项目支出情况说明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各档次缴费补助27.33万元；建档立卡贫困户养老保险补助24.5万元，被征地农民养老保险补助50.07万元。</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八、“三公”经费财政拨款预算安排情况说明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2019年“三公”经费财政拨款预算数0万元，其中：因公出国（境）经费0万元，公务接待费0万元，公务用车购置及运行维护费0万元。</w:t>
      </w:r>
    </w:p>
    <w:p>
      <w:pPr>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val="0"/>
          <w:bCs w:val="0"/>
          <w:sz w:val="32"/>
          <w:szCs w:val="32"/>
        </w:rPr>
        <w:t>（一）因公出国（境）经费较2018年预算增长0%。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根据省外侨办（港澳办、台办）批准的2019年因公临时出国（境）安排，拟安排出国（境）0人。</w:t>
      </w:r>
    </w:p>
    <w:p>
      <w:pPr>
        <w:numPr>
          <w:ilvl w:val="0"/>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sz w:val="32"/>
          <w:szCs w:val="32"/>
        </w:rPr>
        <w:t>公务接待费与2018年预算持平。</w:t>
      </w:r>
      <w:r>
        <w:rPr>
          <w:rFonts w:hint="eastAsia" w:ascii="仿宋_GB2312" w:hAnsi="仿宋_GB2312" w:eastAsia="仿宋_GB2312" w:cs="仿宋_GB2312"/>
          <w:sz w:val="32"/>
          <w:szCs w:val="32"/>
        </w:rPr>
        <w:t>2019年公务接待费0元。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（三）公务用车购置及运行维护费较2019年预算增长0%。主要原因是根据工作实际需求增多、市场公车运行维护价格提升等因素。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单位现有公务用车0辆，其中：轿车0辆、越野车0辆、多功能乘用车0辆。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2019年未安排公务用车购置费。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2019年安排公务用车运行维护费0万元，用于0辆</w:t>
      </w:r>
      <w:r>
        <w:rPr>
          <w:rFonts w:hint="eastAsia" w:ascii="仿宋_GB2312" w:hAnsi="仿宋_GB2312" w:eastAsia="仿宋_GB2312" w:cs="仿宋_GB2312"/>
          <w:sz w:val="32"/>
          <w:szCs w:val="32"/>
          <w:lang w:eastAsia="zh-CN"/>
        </w:rPr>
        <w:t>公务用车</w:t>
      </w:r>
      <w:r>
        <w:rPr>
          <w:rFonts w:hint="eastAsia" w:ascii="仿宋_GB2312" w:hAnsi="仿宋_GB2312" w:eastAsia="仿宋_GB2312" w:cs="仿宋_GB2312"/>
          <w:sz w:val="32"/>
          <w:szCs w:val="32"/>
        </w:rPr>
        <w:t>燃油、过路（桥）、维修、保险等方面支出。</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九、政府性基金预算支出情况说明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城乡居民养老保险局2019年部门预算没有使用政府性基金预算拨款安排的支出。</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十、其他重要事项的情况说明</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（一）机关运行经费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2019年，城乡居民养老保险事业管理局事业单位的运行经费财政拨款预算为188.59万元，比2018年预算增加15.32万元，增长8.8%。</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（二）政府采购情况。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2019年，无政府采购</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（三）国有资产占有使用情况。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截至2018年底，单位共有车辆0辆；无房屋。</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（四）绩效目标设置情况。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目标是预算编制的前提和基础，按照“费随事定”的原则，2019年城居保局按要求编制了整体绩效目标和专用项目绩效目标,从项目完成、项目效益、满意度等方面设置了绩效指标，综合反映项目预期完成的数量、成本、时效、质量，预期达到的社会效益、经济效益、生态效益、可持续影响以及服务对象满意度等情况。</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十一、名词解释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1.财政拨款收入：指县级财政当年拨付的资金。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2.社会保障和就业208人力资源和社会保障管理事务01社会保险经办机构09：指反社会保险经办机构开展业务工作的支出。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3.社会保障和就业208行政事业单位离退休05机关事业单位基本养老保险缴费支出05：指机关事业单位实施养老保险制度由单位缴纳的基本养老保险费支出。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4.社会保障和就业208行政事业单位离退休05机关事业单位职业年金缴费支出06：指机关事业单位实施养老保险制度由单位缴纳的职业年金支出。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5.社会保障和就业208财政对基本养老保险基金的补助26财政对城乡居民养老保险基金的补助02：指财政对城乡基本养老保险基金补助。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6.医疗卫生与计划生育支出210行政事业单位医疗11公务员医疗补助03：指财政部门集中安排的公务员医疗补助经费。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医疗卫生与计划生育支出210行政事业单位医疗11事业单位医疗02：指反映财政部门集中安排的事业单位基本医疗保险缴费经费，未参加医疗保险的行政单位的公费医疗经费，按国家规定享受离休人员、红军老战士待遇人员的医疗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8.住房保障支出221住房改革支出02住房公积金01：指反映行政事业单位按人力资源和社会保障部、财政部规定的基本工资和津贴补贴以及规定比例为职工缴纳的住房公积金。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9、农林水支出213扶贫05其他扶贫支出99：指反映其他用于扶贫方面的支出（财政对建档立卡贫困人口养老保险代缴补助）。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10.教育支出205进修及培训费08培训支出03：指反映各部门安排的用于培训的支出。教育部门的师资培训，党校、行政学院等专业干部教育机构的支出，以及退役士兵、转业士官的培训支出，不在本科目反映。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11.基本支出：指为保障机构正常运转、完成日常工作任务而发生的人员支出和公用支出。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事业单位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1920" w:firstLineChars="600"/>
        <w:rPr>
          <w:rFonts w:ascii="仿宋_GB2312" w:hAnsi="仿宋_GB2312" w:eastAsia="仿宋_GB2312" w:cs="仿宋_GB2312"/>
          <w:sz w:val="32"/>
          <w:szCs w:val="32"/>
        </w:rPr>
      </w:pPr>
    </w:p>
    <w:p>
      <w:pPr>
        <w:ind w:firstLine="1920" w:firstLineChars="600"/>
        <w:rPr>
          <w:rFonts w:ascii="仿宋_GB2312" w:hAnsi="仿宋_GB2312" w:eastAsia="仿宋_GB2312" w:cs="仿宋_GB2312"/>
          <w:sz w:val="32"/>
          <w:szCs w:val="32"/>
        </w:rPr>
      </w:pPr>
    </w:p>
    <w:p>
      <w:pPr>
        <w:ind w:firstLine="1920" w:firstLineChars="600"/>
        <w:rPr>
          <w:rFonts w:ascii="仿宋_GB2312" w:hAnsi="仿宋_GB2312" w:eastAsia="仿宋_GB2312" w:cs="仿宋_GB2312"/>
          <w:sz w:val="32"/>
          <w:szCs w:val="32"/>
        </w:rPr>
      </w:pPr>
      <w:bookmarkStart w:id="0" w:name="_GoBack"/>
      <w:bookmarkEnd w:id="0"/>
    </w:p>
    <w:p>
      <w:pPr>
        <w:ind w:firstLine="1920" w:firstLineChars="600"/>
        <w:rPr>
          <w:rFonts w:ascii="仿宋_GB2312" w:hAnsi="仿宋_GB2312" w:eastAsia="仿宋_GB2312" w:cs="仿宋_GB2312"/>
          <w:sz w:val="32"/>
          <w:szCs w:val="32"/>
        </w:rPr>
      </w:pPr>
    </w:p>
    <w:p>
      <w:pPr>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金川县城乡居民养老保险事业</w:t>
      </w:r>
      <w:r>
        <w:rPr>
          <w:rFonts w:hint="eastAsia" w:ascii="仿宋_GB2312" w:hAnsi="仿宋_GB2312" w:eastAsia="仿宋_GB2312" w:cs="仿宋_GB2312"/>
          <w:sz w:val="32"/>
          <w:szCs w:val="32"/>
          <w:lang w:eastAsia="zh-CN"/>
        </w:rPr>
        <w:t>管理局</w:t>
      </w:r>
    </w:p>
    <w:p>
      <w:pPr>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2019年1月3日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C8A7F1F"/>
    <w:rsid w:val="0014212D"/>
    <w:rsid w:val="00331190"/>
    <w:rsid w:val="00677F43"/>
    <w:rsid w:val="0078430D"/>
    <w:rsid w:val="008C7278"/>
    <w:rsid w:val="00936423"/>
    <w:rsid w:val="00BC679D"/>
    <w:rsid w:val="00DE382E"/>
    <w:rsid w:val="052E32E3"/>
    <w:rsid w:val="0A3704AE"/>
    <w:rsid w:val="0CB96BC1"/>
    <w:rsid w:val="0D65290D"/>
    <w:rsid w:val="194C1EB2"/>
    <w:rsid w:val="1ABD0F85"/>
    <w:rsid w:val="1FC27911"/>
    <w:rsid w:val="20220040"/>
    <w:rsid w:val="223250EF"/>
    <w:rsid w:val="26537ABE"/>
    <w:rsid w:val="2660229C"/>
    <w:rsid w:val="2FE00174"/>
    <w:rsid w:val="32BE4D8C"/>
    <w:rsid w:val="392B7645"/>
    <w:rsid w:val="40043897"/>
    <w:rsid w:val="435929CF"/>
    <w:rsid w:val="44BE7FB3"/>
    <w:rsid w:val="4DA807FD"/>
    <w:rsid w:val="5F9C0EBE"/>
    <w:rsid w:val="639C6C92"/>
    <w:rsid w:val="6AEB60EB"/>
    <w:rsid w:val="73F301B3"/>
    <w:rsid w:val="74877725"/>
    <w:rsid w:val="79844663"/>
    <w:rsid w:val="79C13B92"/>
    <w:rsid w:val="7C8A7F1F"/>
    <w:rsid w:val="7FEF2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4789</Words>
  <Characters>549</Characters>
  <Lines>4</Lines>
  <Paragraphs>10</Paragraphs>
  <TotalTime>1</TotalTime>
  <ScaleCrop>false</ScaleCrop>
  <LinksUpToDate>false</LinksUpToDate>
  <CharactersWithSpaces>5328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2019-01-04T06:40:00Z</dcterms:created>
  <dc:creator>2523116</dc:creator>
  <cp:lastModifiedBy>平淡无奇</cp:lastModifiedBy>
  <dcterms:modified xsi:type="dcterms:W3CDTF">2021-05-27T00:51:22Z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6FEE402B672C4CE296315CBF4390C520</vt:lpwstr>
  </property>
</Properties>
</file>