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bookmarkStart w:id="0" w:name="_GoBack"/>
      <w:bookmarkEnd w:id="0"/>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r>
        <w:rPr>
          <w:rFonts w:hint="eastAsia" w:ascii="微软雅黑" w:hAnsi="微软雅黑" w:eastAsia="微软雅黑" w:cs="微软雅黑"/>
          <w:color w:val="000000" w:themeColor="text1"/>
          <w:kern w:val="0"/>
          <w:sz w:val="52"/>
          <w:szCs w:val="52"/>
          <w:lang w:eastAsia="zh-CN"/>
          <w14:textFill>
            <w14:solidFill>
              <w14:schemeClr w14:val="tx1"/>
            </w14:solidFill>
          </w14:textFill>
        </w:rPr>
        <w:t>金川县红十字会</w:t>
      </w:r>
    </w:p>
    <w:p>
      <w:pPr>
        <w:keepNext w:val="0"/>
        <w:keepLines w:val="0"/>
        <w:pageBreakBefore w:val="0"/>
        <w:kinsoku/>
        <w:overflowPunct/>
        <w:topLinePunct w:val="0"/>
        <w:bidi w:val="0"/>
        <w:adjustRightInd/>
        <w:spacing w:beforeAutospacing="0" w:afterAutospacing="0" w:line="360" w:lineRule="auto"/>
        <w:jc w:val="both"/>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p>
    <w:p>
      <w:pPr>
        <w:keepNext w:val="0"/>
        <w:keepLines w:val="0"/>
        <w:pageBreakBefore w:val="0"/>
        <w:kinsoku/>
        <w:overflowPunct/>
        <w:topLinePunct w:val="0"/>
        <w:bidi w:val="0"/>
        <w:adjustRightInd/>
        <w:spacing w:beforeAutospacing="0" w:afterAutospacing="0" w:line="360" w:lineRule="auto"/>
        <w:ind w:firstLine="1040" w:firstLineChars="200"/>
        <w:jc w:val="center"/>
        <w:textAlignment w:val="auto"/>
        <w:outlineLvl w:val="9"/>
        <w:rPr>
          <w:rFonts w:hint="eastAsia" w:ascii="微软雅黑" w:hAnsi="微软雅黑" w:eastAsia="微软雅黑" w:cs="微软雅黑"/>
          <w:color w:val="000000" w:themeColor="text1"/>
          <w:kern w:val="0"/>
          <w:sz w:val="52"/>
          <w:szCs w:val="52"/>
          <w:lang w:eastAsia="zh-CN"/>
          <w14:textFill>
            <w14:solidFill>
              <w14:schemeClr w14:val="tx1"/>
            </w14:solidFill>
          </w14:textFill>
        </w:rPr>
      </w:pPr>
      <w:r>
        <w:rPr>
          <w:rFonts w:hint="eastAsia" w:ascii="微软雅黑" w:hAnsi="微软雅黑" w:eastAsia="微软雅黑" w:cs="微软雅黑"/>
          <w:color w:val="000000" w:themeColor="text1"/>
          <w:kern w:val="0"/>
          <w:sz w:val="52"/>
          <w:szCs w:val="52"/>
          <w14:textFill>
            <w14:solidFill>
              <w14:schemeClr w14:val="tx1"/>
            </w14:solidFill>
          </w14:textFill>
        </w:rPr>
        <w:t>20</w:t>
      </w:r>
      <w:r>
        <w:rPr>
          <w:rFonts w:hint="eastAsia" w:ascii="微软雅黑" w:hAnsi="微软雅黑" w:eastAsia="微软雅黑" w:cs="微软雅黑"/>
          <w:color w:val="000000" w:themeColor="text1"/>
          <w:kern w:val="0"/>
          <w:sz w:val="52"/>
          <w:szCs w:val="52"/>
          <w:lang w:val="en-US" w:eastAsia="zh-CN"/>
          <w14:textFill>
            <w14:solidFill>
              <w14:schemeClr w14:val="tx1"/>
            </w14:solidFill>
          </w14:textFill>
        </w:rPr>
        <w:t>23</w:t>
      </w:r>
      <w:r>
        <w:rPr>
          <w:rFonts w:hint="eastAsia" w:ascii="微软雅黑" w:hAnsi="微软雅黑" w:eastAsia="微软雅黑" w:cs="微软雅黑"/>
          <w:color w:val="000000" w:themeColor="text1"/>
          <w:kern w:val="0"/>
          <w:sz w:val="52"/>
          <w:szCs w:val="52"/>
          <w14:textFill>
            <w14:solidFill>
              <w14:schemeClr w14:val="tx1"/>
            </w14:solidFill>
          </w14:textFill>
        </w:rPr>
        <w:t>年部门预算编制说明</w:t>
      </w:r>
    </w:p>
    <w:p>
      <w:pPr>
        <w:jc w:val="center"/>
        <w:rPr>
          <w:rStyle w:val="5"/>
          <w:rFonts w:hint="eastAsia" w:ascii="方正小标宋简体" w:hAnsi="方正小标宋简体" w:eastAsia="方正小标宋简体" w:cs="方正小标宋简体"/>
          <w:sz w:val="72"/>
          <w:szCs w:val="72"/>
        </w:rPr>
      </w:pPr>
    </w:p>
    <w:p>
      <w:pPr>
        <w:jc w:val="center"/>
        <w:rPr>
          <w:rStyle w:val="5"/>
          <w:rFonts w:hint="eastAsia" w:ascii="方正小标宋简体" w:hAnsi="方正小标宋简体" w:eastAsia="方正小标宋简体" w:cs="方正小标宋简体"/>
          <w:sz w:val="72"/>
          <w:szCs w:val="72"/>
        </w:rPr>
      </w:pPr>
    </w:p>
    <w:p>
      <w:pPr>
        <w:jc w:val="center"/>
        <w:rPr>
          <w:rStyle w:val="5"/>
          <w:rFonts w:hint="eastAsia" w:ascii="方正小标宋简体" w:hAnsi="方正小标宋简体" w:eastAsia="方正小标宋简体" w:cs="方正小标宋简体"/>
          <w:sz w:val="72"/>
          <w:szCs w:val="72"/>
        </w:rPr>
      </w:pPr>
    </w:p>
    <w:p>
      <w:pPr>
        <w:jc w:val="center"/>
        <w:rPr>
          <w:rStyle w:val="5"/>
          <w:rFonts w:hint="eastAsia" w:ascii="方正小标宋简体" w:hAnsi="方正小标宋简体" w:eastAsia="方正小标宋简体" w:cs="方正小标宋简体"/>
          <w:sz w:val="72"/>
          <w:szCs w:val="72"/>
        </w:rPr>
      </w:pPr>
    </w:p>
    <w:p>
      <w:pPr>
        <w:jc w:val="center"/>
        <w:rPr>
          <w:rStyle w:val="5"/>
          <w:rFonts w:hint="eastAsia" w:ascii="方正小标宋简体" w:hAnsi="方正小标宋简体" w:eastAsia="方正小标宋简体" w:cs="方正小标宋简体"/>
          <w:sz w:val="72"/>
          <w:szCs w:val="72"/>
        </w:rPr>
      </w:pPr>
    </w:p>
    <w:p>
      <w:pPr>
        <w:jc w:val="both"/>
        <w:rPr>
          <w:rStyle w:val="5"/>
          <w:rFonts w:hint="eastAsia" w:ascii="方正小标宋简体" w:hAnsi="方正小标宋简体" w:eastAsia="方正小标宋简体" w:cs="方正小标宋简体"/>
          <w:sz w:val="72"/>
          <w:szCs w:val="72"/>
        </w:rPr>
      </w:pPr>
    </w:p>
    <w:p>
      <w:pPr>
        <w:jc w:val="center"/>
        <w:rPr>
          <w:rFonts w:hint="eastAsia" w:ascii="方正小标宋简体" w:hAnsi="方正小标宋简体" w:eastAsia="方正小标宋简体" w:cs="方正小标宋简体"/>
          <w:sz w:val="72"/>
          <w:szCs w:val="72"/>
        </w:rPr>
      </w:pPr>
      <w:r>
        <w:rPr>
          <w:rStyle w:val="5"/>
          <w:rFonts w:hint="eastAsia" w:ascii="方正小标宋简体" w:hAnsi="方正小标宋简体" w:eastAsia="方正小标宋简体" w:cs="方正小标宋简体"/>
          <w:sz w:val="72"/>
          <w:szCs w:val="72"/>
        </w:rPr>
        <w:t>目录</w:t>
      </w:r>
    </w:p>
    <w:p>
      <w:pPr>
        <w:jc w:val="left"/>
        <w:rPr>
          <w:rFonts w:ascii="宋体" w:hAnsi="宋体" w:eastAsia="宋体" w:cs="宋体"/>
          <w:sz w:val="24"/>
          <w:szCs w:val="24"/>
        </w:rPr>
      </w:pPr>
    </w:p>
    <w:p>
      <w:pPr>
        <w:jc w:val="left"/>
        <w:rPr>
          <w:rFonts w:ascii="宋体" w:hAnsi="宋体" w:eastAsia="宋体" w:cs="宋体"/>
          <w:sz w:val="24"/>
          <w:szCs w:val="24"/>
        </w:rPr>
      </w:pPr>
    </w:p>
    <w:p>
      <w:pPr>
        <w:jc w:val="left"/>
        <w:rPr>
          <w:rFonts w:hint="eastAsia" w:ascii="仿宋" w:hAnsi="仿宋" w:eastAsia="仿宋" w:cs="仿宋"/>
          <w:b/>
          <w:bCs/>
          <w:sz w:val="32"/>
          <w:szCs w:val="32"/>
        </w:rPr>
      </w:pPr>
      <w:r>
        <w:rPr>
          <w:rFonts w:hint="eastAsia" w:ascii="仿宋" w:hAnsi="仿宋" w:eastAsia="仿宋" w:cs="仿宋"/>
          <w:b/>
          <w:bCs/>
          <w:sz w:val="32"/>
          <w:szCs w:val="32"/>
        </w:rPr>
        <w:t>一、基本职能及主要工作</w:t>
      </w:r>
    </w:p>
    <w:p>
      <w:pPr>
        <w:numPr>
          <w:ilvl w:val="0"/>
          <w:numId w:val="0"/>
        </w:numPr>
        <w:jc w:val="left"/>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职能简介</w:t>
      </w:r>
    </w:p>
    <w:p>
      <w:pPr>
        <w:numPr>
          <w:ilvl w:val="0"/>
          <w:numId w:val="0"/>
        </w:numPr>
        <w:ind w:leftChars="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（二）</w:t>
      </w:r>
      <w:r>
        <w:rPr>
          <w:rFonts w:hint="eastAsia" w:ascii="仿宋" w:hAnsi="仿宋" w:eastAsia="仿宋" w:cs="仿宋"/>
          <w:sz w:val="32"/>
          <w:szCs w:val="32"/>
          <w:lang w:val="en-US" w:eastAsia="zh-CN"/>
        </w:rPr>
        <w:t>2023年</w:t>
      </w:r>
      <w:r>
        <w:rPr>
          <w:rFonts w:hint="eastAsia" w:ascii="仿宋" w:hAnsi="仿宋" w:eastAsia="仿宋" w:cs="仿宋"/>
          <w:sz w:val="32"/>
          <w:szCs w:val="32"/>
        </w:rPr>
        <w:t>重点工作</w:t>
      </w:r>
    </w:p>
    <w:p>
      <w:pPr>
        <w:numPr>
          <w:ilvl w:val="0"/>
          <w:numId w:val="0"/>
        </w:numPr>
        <w:ind w:leftChars="0"/>
        <w:jc w:val="left"/>
        <w:rPr>
          <w:rFonts w:hint="eastAsia" w:ascii="仿宋" w:hAnsi="仿宋" w:eastAsia="仿宋" w:cs="仿宋"/>
          <w:b/>
          <w:bCs/>
          <w:sz w:val="32"/>
          <w:szCs w:val="32"/>
          <w:lang w:eastAsia="zh-CN"/>
        </w:rPr>
      </w:pPr>
      <w:r>
        <w:rPr>
          <w:rFonts w:hint="eastAsia" w:ascii="仿宋" w:hAnsi="仿宋" w:eastAsia="仿宋" w:cs="仿宋"/>
          <w:b/>
          <w:bCs/>
          <w:sz w:val="32"/>
          <w:szCs w:val="32"/>
        </w:rPr>
        <w:t>二、</w:t>
      </w:r>
      <w:r>
        <w:rPr>
          <w:rFonts w:hint="eastAsia" w:ascii="仿宋" w:hAnsi="仿宋" w:eastAsia="仿宋" w:cs="仿宋"/>
          <w:b/>
          <w:bCs/>
          <w:sz w:val="32"/>
          <w:szCs w:val="32"/>
          <w:lang w:eastAsia="zh-CN"/>
        </w:rPr>
        <w:t>部门概况</w:t>
      </w:r>
    </w:p>
    <w:p>
      <w:pPr>
        <w:numPr>
          <w:ilvl w:val="0"/>
          <w:numId w:val="0"/>
        </w:numPr>
        <w:ind w:leftChars="0"/>
        <w:jc w:val="left"/>
        <w:rPr>
          <w:rFonts w:hint="eastAsia" w:ascii="仿宋" w:hAnsi="仿宋" w:eastAsia="仿宋" w:cs="仿宋"/>
          <w:b/>
          <w:bCs/>
          <w:sz w:val="32"/>
          <w:szCs w:val="32"/>
        </w:rPr>
      </w:pPr>
      <w:r>
        <w:rPr>
          <w:rFonts w:hint="eastAsia" w:ascii="仿宋" w:hAnsi="仿宋" w:eastAsia="仿宋" w:cs="仿宋"/>
          <w:b/>
          <w:bCs/>
          <w:sz w:val="32"/>
          <w:szCs w:val="32"/>
        </w:rPr>
        <w:t>三、收支预算情况说明</w:t>
      </w:r>
    </w:p>
    <w:p>
      <w:pPr>
        <w:numPr>
          <w:ilvl w:val="0"/>
          <w:numId w:val="1"/>
        </w:numPr>
        <w:ind w:leftChars="0"/>
        <w:jc w:val="left"/>
        <w:rPr>
          <w:rFonts w:hint="eastAsia" w:ascii="仿宋" w:hAnsi="仿宋" w:eastAsia="仿宋" w:cs="仿宋"/>
          <w:sz w:val="32"/>
          <w:szCs w:val="32"/>
        </w:rPr>
      </w:pPr>
      <w:r>
        <w:rPr>
          <w:rFonts w:hint="eastAsia" w:ascii="仿宋" w:hAnsi="仿宋" w:eastAsia="仿宋" w:cs="仿宋"/>
          <w:sz w:val="32"/>
          <w:szCs w:val="32"/>
        </w:rPr>
        <w:t>收入预算情况</w:t>
      </w:r>
    </w:p>
    <w:p>
      <w:pPr>
        <w:numPr>
          <w:ilvl w:val="0"/>
          <w:numId w:val="1"/>
        </w:numPr>
        <w:ind w:leftChars="0"/>
        <w:jc w:val="left"/>
        <w:rPr>
          <w:rFonts w:hint="eastAsia" w:ascii="仿宋" w:hAnsi="仿宋" w:eastAsia="仿宋" w:cs="仿宋"/>
          <w:sz w:val="32"/>
          <w:szCs w:val="32"/>
        </w:rPr>
      </w:pPr>
      <w:r>
        <w:rPr>
          <w:rFonts w:hint="eastAsia" w:ascii="仿宋" w:hAnsi="仿宋" w:eastAsia="仿宋" w:cs="仿宋"/>
          <w:sz w:val="32"/>
          <w:szCs w:val="32"/>
        </w:rPr>
        <w:t>支出预算情况</w:t>
      </w:r>
    </w:p>
    <w:p>
      <w:pPr>
        <w:numPr>
          <w:ilvl w:val="0"/>
          <w:numId w:val="0"/>
        </w:numPr>
        <w:jc w:val="left"/>
        <w:rPr>
          <w:rFonts w:hint="eastAsia" w:ascii="仿宋" w:hAnsi="仿宋" w:eastAsia="仿宋" w:cs="仿宋"/>
          <w:sz w:val="32"/>
          <w:szCs w:val="32"/>
        </w:rPr>
      </w:pPr>
      <w:r>
        <w:rPr>
          <w:rFonts w:hint="eastAsia" w:ascii="仿宋" w:hAnsi="仿宋" w:eastAsia="仿宋" w:cs="仿宋"/>
          <w:b/>
          <w:bCs/>
          <w:sz w:val="32"/>
          <w:szCs w:val="32"/>
        </w:rPr>
        <w:t>四、财政拨款收支预算情况说明</w:t>
      </w:r>
    </w:p>
    <w:p>
      <w:pPr>
        <w:numPr>
          <w:ilvl w:val="0"/>
          <w:numId w:val="0"/>
        </w:numPr>
        <w:jc w:val="left"/>
        <w:rPr>
          <w:rFonts w:hint="eastAsia" w:ascii="仿宋" w:hAnsi="仿宋" w:eastAsia="仿宋" w:cs="仿宋"/>
          <w:sz w:val="32"/>
          <w:szCs w:val="32"/>
        </w:rPr>
      </w:pPr>
      <w:r>
        <w:rPr>
          <w:rFonts w:hint="eastAsia" w:ascii="仿宋" w:hAnsi="仿宋" w:eastAsia="仿宋" w:cs="仿宋"/>
          <w:b/>
          <w:bCs/>
          <w:sz w:val="32"/>
          <w:szCs w:val="32"/>
        </w:rPr>
        <w:t>五、一般公共预算当年拨款情况说明</w:t>
      </w:r>
    </w:p>
    <w:p>
      <w:pPr>
        <w:numPr>
          <w:ilvl w:val="0"/>
          <w:numId w:val="0"/>
        </w:numPr>
        <w:jc w:val="left"/>
        <w:rPr>
          <w:rFonts w:hint="eastAsia" w:ascii="仿宋" w:hAnsi="仿宋" w:eastAsia="仿宋" w:cs="仿宋"/>
          <w:sz w:val="32"/>
          <w:szCs w:val="32"/>
        </w:rPr>
      </w:pPr>
      <w:r>
        <w:rPr>
          <w:rFonts w:hint="eastAsia" w:ascii="仿宋" w:hAnsi="仿宋" w:eastAsia="仿宋" w:cs="仿宋"/>
          <w:b w:val="0"/>
          <w:bCs w:val="0"/>
          <w:sz w:val="32"/>
          <w:szCs w:val="32"/>
          <w:lang w:eastAsia="zh-CN"/>
        </w:rPr>
        <w:t>（一）</w:t>
      </w:r>
      <w:r>
        <w:rPr>
          <w:rFonts w:hint="eastAsia" w:ascii="仿宋" w:hAnsi="仿宋" w:eastAsia="仿宋" w:cs="仿宋"/>
          <w:sz w:val="32"/>
          <w:szCs w:val="32"/>
        </w:rPr>
        <w:t>一般公共预算当年拨款规模变化情况</w:t>
      </w:r>
    </w:p>
    <w:p>
      <w:pPr>
        <w:numPr>
          <w:ilvl w:val="0"/>
          <w:numId w:val="0"/>
        </w:numPr>
        <w:jc w:val="left"/>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一般公共预算当年拨款结构情况</w:t>
      </w:r>
    </w:p>
    <w:p>
      <w:pPr>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（三）</w:t>
      </w:r>
      <w:r>
        <w:rPr>
          <w:rFonts w:hint="eastAsia" w:ascii="仿宋" w:hAnsi="仿宋" w:eastAsia="仿宋" w:cs="仿宋"/>
          <w:sz w:val="32"/>
          <w:szCs w:val="32"/>
        </w:rPr>
        <w:t>一般公共预算当年拨款具体使用情况</w:t>
      </w:r>
    </w:p>
    <w:p>
      <w:pPr>
        <w:numPr>
          <w:ilvl w:val="0"/>
          <w:numId w:val="0"/>
        </w:numPr>
        <w:jc w:val="left"/>
        <w:rPr>
          <w:rFonts w:hint="eastAsia" w:ascii="仿宋" w:hAnsi="仿宋" w:eastAsia="仿宋" w:cs="仿宋"/>
          <w:b/>
          <w:bCs/>
          <w:sz w:val="32"/>
          <w:szCs w:val="32"/>
          <w:lang w:eastAsia="zh-CN"/>
        </w:rPr>
      </w:pPr>
      <w:r>
        <w:rPr>
          <w:rFonts w:hint="eastAsia" w:ascii="仿宋" w:hAnsi="仿宋" w:eastAsia="仿宋" w:cs="仿宋"/>
          <w:b/>
          <w:bCs/>
          <w:sz w:val="32"/>
          <w:szCs w:val="32"/>
        </w:rPr>
        <w:t>六、一般公共预算基本支出情况说明</w:t>
      </w:r>
    </w:p>
    <w:p>
      <w:pPr>
        <w:numPr>
          <w:ilvl w:val="0"/>
          <w:numId w:val="0"/>
        </w:numPr>
        <w:jc w:val="left"/>
        <w:rPr>
          <w:rFonts w:hint="eastAsia" w:ascii="仿宋" w:hAnsi="仿宋" w:eastAsia="仿宋" w:cs="仿宋"/>
          <w:b/>
          <w:bCs/>
          <w:sz w:val="32"/>
          <w:szCs w:val="32"/>
        </w:rPr>
      </w:pPr>
      <w:r>
        <w:rPr>
          <w:rFonts w:hint="eastAsia" w:ascii="仿宋" w:hAnsi="仿宋" w:eastAsia="仿宋" w:cs="仿宋"/>
          <w:b/>
          <w:bCs/>
          <w:sz w:val="32"/>
          <w:szCs w:val="32"/>
        </w:rPr>
        <w:t>七、“三公”经费财政拨款预算安排情况说明</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1、因公出国（境）经费</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2、公务用车购置及运行维护费</w:t>
      </w:r>
    </w:p>
    <w:p>
      <w:pPr>
        <w:numPr>
          <w:ilvl w:val="0"/>
          <w:numId w:val="0"/>
        </w:numPr>
        <w:jc w:val="left"/>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3、公务接待费</w:t>
      </w:r>
    </w:p>
    <w:p>
      <w:pPr>
        <w:numPr>
          <w:ilvl w:val="0"/>
          <w:numId w:val="0"/>
        </w:numPr>
        <w:jc w:val="left"/>
        <w:rPr>
          <w:rFonts w:hint="eastAsia" w:ascii="仿宋" w:hAnsi="仿宋" w:eastAsia="仿宋" w:cs="仿宋"/>
          <w:b/>
          <w:bCs/>
          <w:sz w:val="32"/>
          <w:szCs w:val="32"/>
          <w:lang w:eastAsia="zh-CN"/>
        </w:rPr>
      </w:pPr>
      <w:r>
        <w:rPr>
          <w:rFonts w:hint="eastAsia" w:ascii="仿宋" w:hAnsi="仿宋" w:eastAsia="仿宋" w:cs="仿宋"/>
          <w:b/>
          <w:bCs/>
          <w:sz w:val="32"/>
          <w:szCs w:val="32"/>
        </w:rPr>
        <w:t>八、政府性基金预算财政拨款支出</w:t>
      </w:r>
      <w:r>
        <w:rPr>
          <w:rFonts w:hint="eastAsia" w:ascii="仿宋" w:hAnsi="仿宋" w:eastAsia="仿宋" w:cs="仿宋"/>
          <w:b/>
          <w:bCs/>
          <w:sz w:val="32"/>
          <w:szCs w:val="32"/>
          <w:lang w:eastAsia="zh-CN"/>
        </w:rPr>
        <w:t>决算</w:t>
      </w:r>
      <w:r>
        <w:rPr>
          <w:rFonts w:hint="eastAsia" w:ascii="仿宋" w:hAnsi="仿宋" w:eastAsia="仿宋" w:cs="仿宋"/>
          <w:b/>
          <w:bCs/>
          <w:sz w:val="32"/>
          <w:szCs w:val="32"/>
        </w:rPr>
        <w:t>情况</w:t>
      </w:r>
    </w:p>
    <w:p>
      <w:pPr>
        <w:numPr>
          <w:ilvl w:val="0"/>
          <w:numId w:val="0"/>
        </w:numPr>
        <w:jc w:val="left"/>
        <w:rPr>
          <w:rFonts w:hint="eastAsia" w:ascii="仿宋" w:hAnsi="仿宋" w:eastAsia="仿宋" w:cs="仿宋"/>
          <w:b/>
          <w:bCs/>
          <w:sz w:val="32"/>
          <w:szCs w:val="32"/>
        </w:rPr>
      </w:pPr>
      <w:r>
        <w:rPr>
          <w:rFonts w:hint="eastAsia" w:ascii="仿宋" w:hAnsi="仿宋" w:eastAsia="仿宋" w:cs="仿宋"/>
          <w:b/>
          <w:bCs/>
          <w:sz w:val="32"/>
          <w:szCs w:val="32"/>
        </w:rPr>
        <w:t>九、其他重要事项的情况说明</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1、机关运行经费支出情况</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2、政府采购支出情况</w:t>
      </w:r>
    </w:p>
    <w:p>
      <w:pPr>
        <w:numPr>
          <w:ilvl w:val="0"/>
          <w:numId w:val="0"/>
        </w:numPr>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3、国有资产占有事业情况</w:t>
      </w:r>
    </w:p>
    <w:p>
      <w:pPr>
        <w:numPr>
          <w:ilvl w:val="0"/>
          <w:numId w:val="0"/>
        </w:numPr>
        <w:jc w:val="left"/>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4、绩效目标设置情况</w:t>
      </w:r>
    </w:p>
    <w:p>
      <w:pPr>
        <w:numPr>
          <w:ilvl w:val="0"/>
          <w:numId w:val="0"/>
        </w:numPr>
        <w:ind w:leftChars="0"/>
        <w:jc w:val="left"/>
        <w:rPr>
          <w:rFonts w:hint="eastAsia" w:ascii="仿宋" w:hAnsi="仿宋" w:eastAsia="仿宋" w:cs="仿宋"/>
          <w:b/>
          <w:bCs/>
          <w:sz w:val="32"/>
          <w:szCs w:val="32"/>
        </w:rPr>
      </w:pPr>
      <w:r>
        <w:rPr>
          <w:rFonts w:hint="eastAsia" w:ascii="仿宋" w:hAnsi="仿宋" w:eastAsia="仿宋" w:cs="仿宋"/>
          <w:b/>
          <w:bCs/>
          <w:sz w:val="32"/>
          <w:szCs w:val="32"/>
        </w:rPr>
        <w:t>十、名称解释</w:t>
      </w:r>
    </w:p>
    <w:p>
      <w:pPr>
        <w:numPr>
          <w:ilvl w:val="0"/>
          <w:numId w:val="0"/>
        </w:numPr>
        <w:ind w:leftChars="0"/>
        <w:jc w:val="left"/>
        <w:rPr>
          <w:rFonts w:hint="eastAsia" w:ascii="仿宋" w:hAnsi="仿宋" w:eastAsia="仿宋" w:cs="仿宋"/>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numPr>
          <w:ilvl w:val="0"/>
          <w:numId w:val="0"/>
        </w:numPr>
        <w:ind w:leftChars="0"/>
        <w:jc w:val="left"/>
        <w:rPr>
          <w:rFonts w:hint="eastAsia" w:ascii="宋体" w:hAnsi="宋体" w:eastAsia="宋体" w:cs="宋体"/>
          <w:b/>
          <w:bCs/>
          <w:sz w:val="32"/>
          <w:szCs w:val="32"/>
        </w:rPr>
      </w:pPr>
    </w:p>
    <w:p>
      <w:pPr>
        <w:keepNext w:val="0"/>
        <w:keepLines w:val="0"/>
        <w:pageBreakBefore w:val="0"/>
        <w:kinsoku/>
        <w:overflowPunct/>
        <w:topLinePunct w:val="0"/>
        <w:bidi w:val="0"/>
        <w:adjustRightInd/>
        <w:spacing w:beforeAutospacing="0" w:afterAutospacing="0" w:line="360" w:lineRule="auto"/>
        <w:ind w:firstLine="720" w:firstLineChars="200"/>
        <w:jc w:val="left"/>
        <w:textAlignment w:val="auto"/>
        <w:outlineLvl w:val="9"/>
        <w:rPr>
          <w:rFonts w:hint="eastAsia" w:ascii="方正小标宋简体" w:hAnsi="宋体" w:eastAsia="方正小标宋简体" w:cs="宋体"/>
          <w:color w:val="000000" w:themeColor="text1"/>
          <w:kern w:val="0"/>
          <w:sz w:val="36"/>
          <w:szCs w:val="36"/>
          <w:lang w:eastAsia="zh-CN"/>
          <w14:textFill>
            <w14:solidFill>
              <w14:schemeClr w14:val="tx1"/>
            </w14:solidFill>
          </w14:textFill>
        </w:rPr>
      </w:pPr>
      <w:r>
        <w:rPr>
          <w:rFonts w:hint="eastAsia" w:ascii="方正小标宋简体" w:hAnsi="宋体" w:eastAsia="方正小标宋简体" w:cs="宋体"/>
          <w:color w:val="000000" w:themeColor="text1"/>
          <w:kern w:val="0"/>
          <w:sz w:val="36"/>
          <w:szCs w:val="36"/>
          <w:lang w:eastAsia="zh-CN"/>
          <w14:textFill>
            <w14:solidFill>
              <w14:schemeClr w14:val="tx1"/>
            </w14:solidFill>
          </w14:textFill>
        </w:rPr>
        <w:t>金川县红十字会</w:t>
      </w:r>
      <w:r>
        <w:rPr>
          <w:rFonts w:hint="eastAsia" w:ascii="方正小标宋简体" w:hAnsi="宋体" w:eastAsia="方正小标宋简体" w:cs="宋体"/>
          <w:color w:val="000000" w:themeColor="text1"/>
          <w:kern w:val="0"/>
          <w:sz w:val="36"/>
          <w:szCs w:val="36"/>
          <w14:textFill>
            <w14:solidFill>
              <w14:schemeClr w14:val="tx1"/>
            </w14:solidFill>
          </w14:textFill>
        </w:rPr>
        <w:t>20</w:t>
      </w:r>
      <w:r>
        <w:rPr>
          <w:rFonts w:hint="eastAsia" w:ascii="方正小标宋简体" w:hAnsi="宋体" w:eastAsia="方正小标宋简体" w:cs="宋体"/>
          <w:color w:val="000000" w:themeColor="text1"/>
          <w:kern w:val="0"/>
          <w:sz w:val="36"/>
          <w:szCs w:val="36"/>
          <w:lang w:val="en-US" w:eastAsia="zh-CN"/>
          <w14:textFill>
            <w14:solidFill>
              <w14:schemeClr w14:val="tx1"/>
            </w14:solidFill>
          </w14:textFill>
        </w:rPr>
        <w:t>23</w:t>
      </w:r>
      <w:r>
        <w:rPr>
          <w:rFonts w:hint="eastAsia" w:ascii="方正小标宋简体" w:hAnsi="宋体" w:eastAsia="方正小标宋简体" w:cs="宋体"/>
          <w:color w:val="000000" w:themeColor="text1"/>
          <w:kern w:val="0"/>
          <w:sz w:val="36"/>
          <w:szCs w:val="36"/>
          <w14:textFill>
            <w14:solidFill>
              <w14:schemeClr w14:val="tx1"/>
            </w14:solidFill>
          </w14:textFill>
        </w:rPr>
        <w:t>年部门预算编制说明</w:t>
      </w:r>
    </w:p>
    <w:p>
      <w:pPr>
        <w:keepNext w:val="0"/>
        <w:keepLines w:val="0"/>
        <w:pageBreakBefore w:val="0"/>
        <w:kinsoku/>
        <w:overflowPunct/>
        <w:topLinePunct w:val="0"/>
        <w:bidi w:val="0"/>
        <w:adjustRightInd/>
        <w:spacing w:beforeAutospacing="0" w:afterAutospacing="0" w:line="360" w:lineRule="auto"/>
        <w:ind w:firstLine="560" w:firstLineChars="200"/>
        <w:jc w:val="left"/>
        <w:textAlignment w:val="auto"/>
        <w:outlineLvl w:val="9"/>
        <w:rPr>
          <w:rFonts w:hint="eastAsia" w:ascii="黑体" w:hAnsi="宋体" w:eastAsia="黑体" w:cs="宋体"/>
          <w:color w:val="000000" w:themeColor="text1"/>
          <w:kern w:val="0"/>
          <w:sz w:val="28"/>
          <w:szCs w:val="28"/>
          <w:lang w:eastAsia="zh-CN"/>
          <w14:textFill>
            <w14:solidFill>
              <w14:schemeClr w14:val="tx1"/>
            </w14:solidFill>
          </w14:textFill>
        </w:rPr>
      </w:pPr>
      <w:r>
        <w:rPr>
          <w:rFonts w:hint="eastAsia" w:ascii="黑体" w:hAnsi="宋体" w:eastAsia="黑体" w:cs="宋体"/>
          <w:color w:val="000000" w:themeColor="text1"/>
          <w:kern w:val="0"/>
          <w:sz w:val="28"/>
          <w:szCs w:val="28"/>
          <w14:textFill>
            <w14:solidFill>
              <w14:schemeClr w14:val="tx1"/>
            </w14:solidFill>
          </w14:textFill>
        </w:rPr>
        <w:t>　　</w:t>
      </w:r>
    </w:p>
    <w:p>
      <w:pPr>
        <w:keepNext w:val="0"/>
        <w:keepLines w:val="0"/>
        <w:pageBreakBefore w:val="0"/>
        <w:kinsoku/>
        <w:overflowPunct/>
        <w:topLinePunct w:val="0"/>
        <w:bidi w:val="0"/>
        <w:adjustRightInd/>
        <w:spacing w:beforeAutospacing="0" w:afterAutospacing="0" w:line="360" w:lineRule="auto"/>
        <w:ind w:firstLine="560" w:firstLineChars="200"/>
        <w:jc w:val="left"/>
        <w:textAlignment w:val="auto"/>
        <w:outlineLvl w:val="9"/>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一、基本职能及主要工作</w:t>
      </w:r>
    </w:p>
    <w:p>
      <w:pPr>
        <w:keepNext w:val="0"/>
        <w:keepLines w:val="0"/>
        <w:pageBreakBefore w:val="0"/>
        <w:kinsoku/>
        <w:overflowPunct/>
        <w:topLinePunct w:val="0"/>
        <w:bidi w:val="0"/>
        <w:adjustRightInd/>
        <w:spacing w:beforeAutospacing="0" w:afterAutospacing="0" w:line="360" w:lineRule="auto"/>
        <w:ind w:firstLine="562" w:firstLineChars="200"/>
        <w:jc w:val="left"/>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职能简介。</w:t>
      </w:r>
    </w:p>
    <w:p>
      <w:pPr>
        <w:keepNext w:val="0"/>
        <w:keepLines w:val="0"/>
        <w:pageBreakBefore w:val="0"/>
        <w:kinsoku/>
        <w:overflowPunct/>
        <w:topLinePunct w:val="0"/>
        <w:bidi w:val="0"/>
        <w:adjustRightInd/>
        <w:spacing w:beforeAutospacing="0" w:afterAutospacing="0" w:line="360" w:lineRule="auto"/>
        <w:ind w:firstLine="560" w:firstLineChars="200"/>
        <w:jc w:val="left"/>
        <w:textAlignment w:val="auto"/>
        <w:outlineLvl w:val="9"/>
        <w:rPr>
          <w:rFonts w:hint="eastAsia" w:ascii="仿宋_GB2312" w:eastAsia="仿宋_GB2312"/>
          <w:bCs/>
          <w:color w:val="404040" w:themeColor="text1" w:themeTint="BF"/>
          <w:spacing w:val="-14"/>
          <w:sz w:val="28"/>
          <w:szCs w:val="28"/>
          <w14:textFill>
            <w14:solidFill>
              <w14:schemeClr w14:val="tx1">
                <w14:lumMod w14:val="75000"/>
                <w14:lumOff w14:val="25000"/>
              </w14:schemeClr>
            </w14:solidFill>
          </w14:textFill>
        </w:rPr>
      </w:pP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根据</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《中华人民共和国红十字会法》、</w:t>
      </w:r>
      <w:r>
        <w:rPr>
          <w:rFonts w:hint="eastAsia" w:ascii="仿宋_GB2312" w:hAnsi="宋体" w:eastAsia="仿宋_GB2312" w:cs="宋体"/>
          <w:bCs/>
          <w:color w:val="404040" w:themeColor="text1" w:themeTint="BF"/>
          <w:sz w:val="28"/>
          <w:szCs w:val="28"/>
          <w:shd w:val="clear" w:color="auto" w:fill="FFFFFF"/>
          <w:lang w:eastAsia="zh-CN"/>
          <w14:textFill>
            <w14:solidFill>
              <w14:schemeClr w14:val="tx1">
                <w14:lumMod w14:val="75000"/>
                <w14:lumOff w14:val="25000"/>
              </w14:schemeClr>
            </w14:solidFill>
          </w14:textFill>
        </w:rPr>
        <w:t>《中国红十字会章程》</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以及党和国家有关红十字会工作的方针、政策、法规</w:t>
      </w: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文件规定。</w:t>
      </w:r>
      <w:r>
        <w:rPr>
          <w:rFonts w:eastAsia="仿宋_GB2312"/>
          <w:b/>
          <w:color w:val="404040" w:themeColor="text1" w:themeTint="BF"/>
          <w:spacing w:val="-14"/>
          <w:sz w:val="28"/>
          <w:szCs w:val="28"/>
          <w14:textFill>
            <w14:solidFill>
              <w14:schemeClr w14:val="tx1">
                <w14:lumMod w14:val="75000"/>
                <w14:lumOff w14:val="25000"/>
              </w14:schemeClr>
            </w14:solidFill>
          </w14:textFill>
        </w:rPr>
        <w:t>主要职责：</w:t>
      </w:r>
      <w:r>
        <w:rPr>
          <w:rFonts w:hint="eastAsia" w:ascii="仿宋_GB2312" w:hAnsi="宋体" w:eastAsia="仿宋_GB2312" w:cs="宋体"/>
          <w:bCs/>
          <w:color w:val="404040" w:themeColor="text1" w:themeTint="BF"/>
          <w:sz w:val="28"/>
          <w:szCs w:val="28"/>
          <w:shd w:val="clear" w:color="auto" w:fill="FFFFFF"/>
          <w14:textFill>
            <w14:solidFill>
              <w14:schemeClr w14:val="tx1">
                <w14:lumMod w14:val="75000"/>
                <w14:lumOff w14:val="25000"/>
              </w14:schemeClr>
            </w14:solidFill>
          </w14:textFill>
        </w:rPr>
        <w:t>以项目建设为抓手，以卫生救护培训为载体，以基层红会组织建设和会员发展为基础，加大宣传力度，充分发挥政府人道事务工作方面的助手作用。</w:t>
      </w:r>
    </w:p>
    <w:p>
      <w:pPr>
        <w:keepNext w:val="0"/>
        <w:keepLines w:val="0"/>
        <w:pageBreakBefore w:val="0"/>
        <w:kinsoku/>
        <w:overflowPunct/>
        <w:topLinePunct w:val="0"/>
        <w:bidi w:val="0"/>
        <w:adjustRightInd/>
        <w:spacing w:beforeAutospacing="0" w:afterAutospacing="0" w:line="360" w:lineRule="auto"/>
        <w:ind w:firstLine="562" w:firstLineChars="200"/>
        <w:jc w:val="left"/>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20</w:t>
      </w:r>
      <w:r>
        <w:rPr>
          <w:rFonts w:hint="eastAsia" w:ascii="楷体_GB2312" w:hAnsi="宋体" w:eastAsia="楷体_GB2312" w:cs="宋体"/>
          <w:b/>
          <w:bCs/>
          <w:color w:val="404040" w:themeColor="text1" w:themeTint="BF"/>
          <w:kern w:val="0"/>
          <w:sz w:val="28"/>
          <w:szCs w:val="28"/>
          <w:lang w:val="en-US" w:eastAsia="zh-CN"/>
          <w14:textFill>
            <w14:solidFill>
              <w14:schemeClr w14:val="tx1">
                <w14:lumMod w14:val="75000"/>
                <w14:lumOff w14:val="25000"/>
              </w14:schemeClr>
            </w14:solidFill>
          </w14:textFill>
        </w:rPr>
        <w:t>23</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年重点工作。</w:t>
      </w:r>
    </w:p>
    <w:p>
      <w:pPr>
        <w:keepNext w:val="0"/>
        <w:keepLines w:val="0"/>
        <w:pageBreakBefore w:val="0"/>
        <w:kinsoku/>
        <w:overflowPunct/>
        <w:topLinePunct w:val="0"/>
        <w:bidi w:val="0"/>
        <w:adjustRightInd/>
        <w:spacing w:beforeAutospacing="0" w:afterAutospacing="0" w:line="360" w:lineRule="auto"/>
        <w:ind w:firstLine="504" w:firstLineChars="200"/>
        <w:jc w:val="left"/>
        <w:textAlignment w:val="auto"/>
        <w:outlineLvl w:val="9"/>
        <w:rPr>
          <w:rFonts w:hint="eastAsia" w:ascii="仿宋_GB2312" w:hAnsi="仿宋_GB2312" w:eastAsia="仿宋_GB2312" w:cs="仿宋_GB2312"/>
          <w:bCs/>
          <w:color w:val="404040" w:themeColor="text1" w:themeTint="BF"/>
          <w:kern w:val="0"/>
          <w:sz w:val="28"/>
          <w:szCs w:val="28"/>
          <w14:textFill>
            <w14:solidFill>
              <w14:schemeClr w14:val="tx1">
                <w14:lumMod w14:val="75000"/>
                <w14:lumOff w14:val="25000"/>
              </w14:schemeClr>
            </w14:solidFill>
          </w14:textFill>
        </w:rPr>
      </w:pP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根据县委、县政府关于20</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年全县工作的总体部署，县红十字会</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主要</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工作安排：</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1</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仿宋_GB2312" w:eastAsia="仿宋_GB2312"/>
          <w:color w:val="404040" w:themeColor="text1" w:themeTint="BF"/>
          <w:sz w:val="28"/>
          <w:szCs w:val="28"/>
          <w14:textFill>
            <w14:solidFill>
              <w14:schemeClr w14:val="tx1">
                <w14:lumMod w14:val="75000"/>
                <w14:lumOff w14:val="25000"/>
              </w14:schemeClr>
            </w14:solidFill>
          </w14:textFill>
        </w:rPr>
        <w:t>加强基层组织建设，夯实红十字会工作基础。2、开展红十字宣传活动，不断扩大红十字影响。3、开展救灾、救护、救助工作，认真履行红十字会职责。4、完成</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“博爱家园”项目生计基金的“一发放一回收”有序推进，目前资金平安，收益有效。5、开展扶贫脱贫工作、走基层和群众工作。6、民生工程、社会稳定工作、环境整治工作、</w:t>
      </w:r>
      <w:r>
        <w:rPr>
          <w:rFonts w:hint="eastAsia" w:ascii="仿宋_GB2312" w:hAnsi="仿宋_GB2312" w:eastAsia="仿宋_GB2312" w:cs="仿宋_GB2312"/>
          <w:color w:val="404040" w:themeColor="text1" w:themeTint="BF"/>
          <w:spacing w:val="-6"/>
          <w:w w:val="97"/>
          <w:sz w:val="28"/>
          <w:szCs w:val="28"/>
          <w14:textFill>
            <w14:solidFill>
              <w14:schemeClr w14:val="tx1">
                <w14:lumMod w14:val="75000"/>
                <w14:lumOff w14:val="25000"/>
              </w14:schemeClr>
            </w14:solidFill>
          </w14:textFill>
        </w:rPr>
        <w:t>党的建设工作进展情况等</w:t>
      </w:r>
      <w:r>
        <w:rPr>
          <w:rFonts w:hint="eastAsia" w:ascii="仿宋_GB2312" w:hAnsi="仿宋_GB2312" w:eastAsia="仿宋_GB2312" w:cs="仿宋_GB2312"/>
          <w:color w:val="404040" w:themeColor="text1" w:themeTint="BF"/>
          <w:spacing w:val="-6"/>
          <w:w w:val="97"/>
          <w:sz w:val="28"/>
          <w:szCs w:val="28"/>
          <w:lang w:eastAsia="zh-CN"/>
          <w14:textFill>
            <w14:solidFill>
              <w14:schemeClr w14:val="tx1">
                <w14:lumMod w14:val="75000"/>
                <w14:lumOff w14:val="25000"/>
              </w14:schemeClr>
            </w14:solidFill>
          </w14:textFill>
        </w:rPr>
        <w:t>。</w:t>
      </w:r>
      <w:r>
        <w:rPr>
          <w:rFonts w:hint="eastAsia" w:ascii="仿宋_GB2312" w:hAnsi="仿宋_GB2312" w:eastAsia="仿宋_GB2312" w:cs="仿宋_GB2312"/>
          <w:color w:val="404040" w:themeColor="text1" w:themeTint="BF"/>
          <w:spacing w:val="-6"/>
          <w:w w:val="97"/>
          <w:sz w:val="28"/>
          <w:szCs w:val="28"/>
          <w:lang w:val="en-US" w:eastAsia="zh-CN"/>
          <w14:textFill>
            <w14:solidFill>
              <w14:schemeClr w14:val="tx1">
                <w14:lumMod w14:val="75000"/>
                <w14:lumOff w14:val="25000"/>
              </w14:schemeClr>
            </w14:solidFill>
          </w14:textFill>
        </w:rPr>
        <w:t>7、</w:t>
      </w:r>
      <w:r>
        <w:rPr>
          <w:rFonts w:hint="eastAsia" w:ascii="仿宋_GB2312" w:hAnsi="仿宋_GB2312" w:eastAsia="仿宋_GB2312" w:cs="仿宋_GB2312"/>
          <w:color w:val="404040" w:themeColor="text1" w:themeTint="BF"/>
          <w:spacing w:val="-6"/>
          <w:w w:val="97"/>
          <w:sz w:val="28"/>
          <w:szCs w:val="28"/>
          <w14:textFill>
            <w14:solidFill>
              <w14:schemeClr w14:val="tx1">
                <w14:lumMod w14:val="75000"/>
                <w14:lumOff w14:val="25000"/>
              </w14:schemeClr>
            </w14:solidFill>
          </w14:textFill>
        </w:rPr>
        <w:t>完成县委、县政府交办的其他事宜。</w:t>
      </w:r>
    </w:p>
    <w:p>
      <w:pPr>
        <w:keepNext w:val="0"/>
        <w:keepLines w:val="0"/>
        <w:pageBreakBefore w:val="0"/>
        <w:kinsoku/>
        <w:overflowPunct/>
        <w:topLinePunct w:val="0"/>
        <w:bidi w:val="0"/>
        <w:adjustRightInd/>
        <w:spacing w:beforeAutospacing="0" w:afterAutospacing="0" w:line="360" w:lineRule="auto"/>
        <w:ind w:left="559" w:leftChars="266" w:firstLine="0" w:firstLineChars="0"/>
        <w:textAlignment w:val="auto"/>
        <w:outlineLvl w:val="9"/>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二、部门</w:t>
      </w:r>
      <w:r>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t>概况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lang w:eastAsia="zh-CN"/>
          <w14:textFill>
            <w14:solidFill>
              <w14:schemeClr w14:val="tx1">
                <w14:lumMod w14:val="75000"/>
                <w14:lumOff w14:val="25000"/>
              </w14:schemeClr>
            </w14:solidFill>
          </w14:textFill>
        </w:rPr>
        <w:t>金川县红十字会是</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独立编制单位机构数为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1</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个，财政供养人员编制为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名，其中行政编制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名，行政工勤编制0</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名，事业编制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名（其中参照公务员法管理人员编制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20</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22</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年实际财政供养人员</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人，较上年增加 0人（不含退休人员），其中：行政</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人，行政工勤</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Style w:val="6"/>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事业</w:t>
      </w:r>
      <w:r>
        <w:rPr>
          <w:rFonts w:hint="eastAsia" w:eastAsia="仿宋_GB2312"/>
          <w:color w:val="404040" w:themeColor="text1" w:themeTint="BF"/>
          <w:spacing w:val="-14"/>
          <w:sz w:val="28"/>
          <w:szCs w:val="28"/>
          <w:lang w:eastAsia="zh-CN"/>
          <w14:textFill>
            <w14:solidFill>
              <w14:schemeClr w14:val="tx1">
                <w14:lumMod w14:val="75000"/>
                <w14:lumOff w14:val="25000"/>
              </w14:schemeClr>
            </w14:solidFill>
          </w14:textFill>
        </w:rPr>
        <w:t>参公</w:t>
      </w:r>
      <w:r>
        <w:rPr>
          <w:rFonts w:hint="eastAsia" w:eastAsia="仿宋_GB2312"/>
          <w:color w:val="404040" w:themeColor="text1" w:themeTint="BF"/>
          <w:spacing w:val="-14"/>
          <w:sz w:val="28"/>
          <w:szCs w:val="28"/>
          <w:lang w:val="en-US" w:eastAsia="zh-CN"/>
          <w14:textFill>
            <w14:solidFill>
              <w14:schemeClr w14:val="tx1">
                <w14:lumMod w14:val="75000"/>
                <w14:lumOff w14:val="25000"/>
              </w14:schemeClr>
            </w14:solidFill>
          </w14:textFill>
        </w:rPr>
        <w:t>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仿宋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p>
    <w:p>
      <w:pPr>
        <w:keepNext w:val="0"/>
        <w:keepLines w:val="0"/>
        <w:pageBreakBefore w:val="0"/>
        <w:numPr>
          <w:ilvl w:val="0"/>
          <w:numId w:val="2"/>
        </w:numPr>
        <w:kinsoku/>
        <w:overflowPunct/>
        <w:topLinePunct w:val="0"/>
        <w:bidi w:val="0"/>
        <w:adjustRightInd/>
        <w:spacing w:beforeAutospacing="0" w:afterAutospacing="0" w:line="360" w:lineRule="auto"/>
        <w:ind w:firstLine="560" w:firstLineChars="20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收支预算情况说明</w:t>
      </w:r>
    </w:p>
    <w:p>
      <w:pPr>
        <w:keepNext w:val="0"/>
        <w:keepLines w:val="0"/>
        <w:pageBreakBefore w:val="0"/>
        <w:numPr>
          <w:ilvl w:val="0"/>
          <w:numId w:val="0"/>
        </w:numPr>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lang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按照综合预算的原则，</w:t>
      </w:r>
      <w:r>
        <w:rPr>
          <w:rFonts w:hint="eastAsia" w:ascii="仿宋_GB2312" w:hAnsi="仿宋_GB2312" w:eastAsia="仿宋_GB2312" w:cs="仿宋_GB2312"/>
          <w:color w:val="404040" w:themeColor="text1" w:themeTint="BF"/>
          <w:sz w:val="28"/>
          <w:szCs w:val="28"/>
          <w:lang w:eastAsia="zh-CN"/>
          <w14:textFill>
            <w14:solidFill>
              <w14:schemeClr w14:val="tx1">
                <w14:lumMod w14:val="75000"/>
                <w14:lumOff w14:val="25000"/>
              </w14:schemeClr>
            </w14:solidFill>
          </w14:textFill>
        </w:rPr>
        <w:t>红十字会</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所有收入和支出均纳入部门预算管理。收入包括：一般公共预算拨款收入、上年结转；支出包括：一般公共服务支出、教育支出、社会保障和就业支出、医疗卫生与计划生育支出、住房保障支出。红十字会20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年收支总预算73.88万元，比20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年收支预算总数增加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18万元，主要原因是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相应增加了本年度预算收支总数。</w:t>
      </w:r>
    </w:p>
    <w:p>
      <w:pPr>
        <w:keepNext w:val="0"/>
        <w:keepLines w:val="0"/>
        <w:pageBreakBefore w:val="0"/>
        <w:kinsoku/>
        <w:overflowPunct/>
        <w:topLinePunct w:val="0"/>
        <w:bidi w:val="0"/>
        <w:adjustRightInd/>
        <w:spacing w:beforeAutospacing="0" w:afterAutospacing="0" w:line="360" w:lineRule="auto"/>
        <w:ind w:firstLine="562" w:firstLineChars="200"/>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（一）收入预算情况。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lang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年收入预算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万元，其中：上年结转0万元，占0%；一般公共预算拨款收入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w:t>
      </w:r>
    </w:p>
    <w:p>
      <w:pPr>
        <w:keepNext w:val="0"/>
        <w:keepLines w:val="0"/>
        <w:pageBreakBefore w:val="0"/>
        <w:kinsoku/>
        <w:overflowPunct/>
        <w:topLinePunct w:val="0"/>
        <w:bidi w:val="0"/>
        <w:adjustRightInd/>
        <w:spacing w:beforeAutospacing="0" w:afterAutospacing="0" w:line="360" w:lineRule="auto"/>
        <w:ind w:firstLine="562" w:firstLineChars="200"/>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（二）支出预算情况。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年支出预算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万元，占100%；项目支出0万元，占0%。</w:t>
      </w:r>
    </w:p>
    <w:p>
      <w:pPr>
        <w:keepNext w:val="0"/>
        <w:keepLines w:val="0"/>
        <w:pageBreakBefore w:val="0"/>
        <w:kinsoku/>
        <w:overflowPunct/>
        <w:topLinePunct w:val="0"/>
        <w:bidi w:val="0"/>
        <w:adjustRightInd/>
        <w:spacing w:beforeAutospacing="0" w:afterAutospacing="0" w:line="360" w:lineRule="auto"/>
        <w:ind w:left="560" w:hanging="560" w:hangingChars="20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四、财政拨款收支预算情况说明</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年财政拨款收支总额预算增加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5.18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收入包括：本年一般公共预算拨款收入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万元、上年结转一般公共预算拨款收入0万元；支出包括：一般公共服务支出0万元、教育支出0万元、社会保障和就业支出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64.09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3.95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万元、住房保障支出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5.84</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w:t>
      </w:r>
    </w:p>
    <w:p>
      <w:pPr>
        <w:keepNext w:val="0"/>
        <w:keepLines w:val="0"/>
        <w:pageBreakBefore w:val="0"/>
        <w:numPr>
          <w:ilvl w:val="0"/>
          <w:numId w:val="3"/>
        </w:numPr>
        <w:kinsoku/>
        <w:overflowPunct/>
        <w:topLinePunct w:val="0"/>
        <w:bidi w:val="0"/>
        <w:adjustRightInd/>
        <w:spacing w:beforeAutospacing="0" w:afterAutospacing="0" w:line="360" w:lineRule="auto"/>
        <w:ind w:left="560" w:leftChars="0" w:firstLine="0" w:firstLineChars="0"/>
        <w:textAlignment w:val="auto"/>
        <w:outlineLvl w:val="9"/>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一般公共预算当年拨款情况说明</w:t>
      </w:r>
    </w:p>
    <w:p>
      <w:pPr>
        <w:keepNext w:val="0"/>
        <w:keepLines w:val="0"/>
        <w:pageBreakBefore w:val="0"/>
        <w:numPr>
          <w:ilvl w:val="0"/>
          <w:numId w:val="0"/>
        </w:numPr>
        <w:kinsoku/>
        <w:overflowPunct/>
        <w:topLinePunct w:val="0"/>
        <w:bidi w:val="0"/>
        <w:adjustRightInd/>
        <w:spacing w:beforeAutospacing="0" w:afterAutospacing="0" w:line="360" w:lineRule="auto"/>
        <w:ind w:left="560" w:leftChars="0"/>
        <w:textAlignment w:val="auto"/>
        <w:outlineLvl w:val="9"/>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（一）一般公共预算当年拨款规模变化情况。</w:t>
      </w:r>
    </w:p>
    <w:p>
      <w:pPr>
        <w:keepNext w:val="0"/>
        <w:keepLines w:val="0"/>
        <w:pageBreakBefore w:val="0"/>
        <w:numPr>
          <w:ilvl w:val="0"/>
          <w:numId w:val="0"/>
        </w:numPr>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年一般公共预算当年拨款</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年预算数增加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5.18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overflowPunct/>
        <w:topLinePunct w:val="0"/>
        <w:bidi w:val="0"/>
        <w:adjustRightInd/>
        <w:spacing w:beforeAutospacing="0" w:afterAutospacing="0" w:line="360" w:lineRule="auto"/>
        <w:ind w:firstLine="562" w:firstLineChars="200"/>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（二）一般公共预算当年拨款结构情况。</w:t>
      </w:r>
    </w:p>
    <w:p>
      <w:pPr>
        <w:keepNext w:val="0"/>
        <w:keepLines w:val="0"/>
        <w:pageBreakBefore w:val="0"/>
        <w:kinsoku/>
        <w:overflowPunct/>
        <w:topLinePunct w:val="0"/>
        <w:bidi w:val="0"/>
        <w:adjustRightInd/>
        <w:spacing w:beforeAutospacing="0" w:afterAutospacing="0" w:line="360" w:lineRule="auto"/>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一般公共服务支出0万元，占0%；教育支出0万元，占0%；社会保障和就业支出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64.09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86.75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3.95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5.35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%；住房保障支出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5.84</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7.90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w:t>
      </w:r>
    </w:p>
    <w:p>
      <w:pPr>
        <w:keepNext w:val="0"/>
        <w:keepLines w:val="0"/>
        <w:pageBreakBefore w:val="0"/>
        <w:kinsoku/>
        <w:overflowPunct/>
        <w:topLinePunct w:val="0"/>
        <w:bidi w:val="0"/>
        <w:adjustRightInd/>
        <w:spacing w:beforeAutospacing="0" w:afterAutospacing="0" w:line="360" w:lineRule="auto"/>
        <w:ind w:firstLine="562" w:firstLineChars="200"/>
        <w:textAlignment w:val="auto"/>
        <w:outlineLvl w:val="9"/>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（三）一般公共预算当年拨款具体使用情况。</w:t>
      </w:r>
    </w:p>
    <w:p>
      <w:pPr>
        <w:keepNext w:val="0"/>
        <w:keepLines w:val="0"/>
        <w:pageBreakBefore w:val="0"/>
        <w:kinsoku/>
        <w:overflowPunct/>
        <w:topLinePunct w:val="0"/>
        <w:bidi w:val="0"/>
        <w:adjustRightInd/>
        <w:spacing w:beforeAutospacing="0" w:afterAutospacing="0" w:line="360" w:lineRule="auto"/>
        <w:ind w:left="559" w:leftChars="266" w:firstLine="0" w:firstLineChars="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红十字会20</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年部门收入预算总额为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1.208</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社会保障和就业(类）：</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64.09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16</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红十字事业（款）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行政运行（项）: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日常人员经费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45.47</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万元，公用经费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7.91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）05行政事业单位离退休（款）05机关事业单位基本养老保险费（项）：日常人员经费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7.14</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）05行政事业单位离退休（类）0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6</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机关事业单位</w:t>
      </w:r>
      <w:r>
        <w:rPr>
          <w:rFonts w:hint="eastAsia" w:ascii="仿宋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职业年金</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费（项）：日常人员经费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3.57</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2.210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医疗卫生与计划生育（类）</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行政事业单位医疗（款）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行政单位医疗（项）: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医疗保障费用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3.40</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210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医疗卫生与计划生育（类）</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11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行政事业单位医疗（款）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公务员</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补助</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医疗保障费用</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0.55</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3.221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住房保障支出（类）02住房改革支出（款）</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01</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住房公积金（项）：全会职工住房公积金</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5.84</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4、205教育支出（类）08进修及培训（款）03培训支出（项）：培训费 0万元。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5、229其他支出（类）99其他支出（款）01其他支出（项）：退休干部20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年春节慰问金 0万元。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（二）一般公共预算财政拨款项目支出预算</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0</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一般公共服务支出（类）。</w:t>
      </w:r>
    </w:p>
    <w:p>
      <w:pPr>
        <w:keepNext w:val="0"/>
        <w:keepLines w:val="0"/>
        <w:pageBreakBefore w:val="0"/>
        <w:numPr>
          <w:ilvl w:val="0"/>
          <w:numId w:val="3"/>
        </w:numPr>
        <w:kinsoku/>
        <w:overflowPunct/>
        <w:topLinePunct w:val="0"/>
        <w:bidi w:val="0"/>
        <w:adjustRightInd/>
        <w:spacing w:beforeAutospacing="0" w:afterAutospacing="0" w:line="360" w:lineRule="auto"/>
        <w:ind w:left="560" w:leftChars="0" w:firstLine="0" w:firstLineChars="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一般公共预算基本支出情况说明</w:t>
      </w:r>
    </w:p>
    <w:p>
      <w:pPr>
        <w:keepNext w:val="0"/>
        <w:keepLines w:val="0"/>
        <w:pageBreakBefore w:val="0"/>
        <w:numPr>
          <w:ilvl w:val="0"/>
          <w:numId w:val="0"/>
        </w:numPr>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万元，其中：人员经费</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65.97</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万元，主要包括：基本工资、津贴补贴、奖金、社会保险缴费、绩效工资、机关事业单位基本养老保险缴费、职业年金缴费、其他工资福利支出、离休费、住房公积金、其他对个人和家庭的补助支出。</w:t>
      </w:r>
    </w:p>
    <w:p>
      <w:pPr>
        <w:keepNext w:val="0"/>
        <w:keepLines w:val="0"/>
        <w:pageBreakBefore w:val="0"/>
        <w:kinsoku/>
        <w:overflowPunct/>
        <w:topLinePunct w:val="0"/>
        <w:bidi w:val="0"/>
        <w:adjustRightInd/>
        <w:spacing w:beforeAutospacing="0" w:afterAutospacing="0" w:line="360" w:lineRule="auto"/>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公用经费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7.91</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万元，主要包括：办公费、印刷费、手续费、水费、电费、邮电费、差旅费、维修（护）费、会议费、培训费、劳务费、工会经费、福利费、其他交通费、其他商品和服务支出。</w:t>
      </w:r>
    </w:p>
    <w:p>
      <w:pPr>
        <w:keepNext w:val="0"/>
        <w:keepLines w:val="0"/>
        <w:pageBreakBefore w:val="0"/>
        <w:kinsoku/>
        <w:overflowPunct/>
        <w:topLinePunct w:val="0"/>
        <w:bidi w:val="0"/>
        <w:adjustRightInd/>
        <w:spacing w:beforeAutospacing="0" w:afterAutospacing="0" w:line="360" w:lineRule="auto"/>
        <w:textAlignment w:val="auto"/>
        <w:outlineLvl w:val="9"/>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七、“三公”经费财政拨款预算安排情况说明</w:t>
      </w:r>
    </w:p>
    <w:p>
      <w:pPr>
        <w:keepNext w:val="0"/>
        <w:keepLines w:val="0"/>
        <w:pageBreakBefore w:val="0"/>
        <w:kinsoku/>
        <w:overflowPunct/>
        <w:topLinePunct w:val="0"/>
        <w:bidi w:val="0"/>
        <w:adjustRightInd/>
        <w:spacing w:beforeAutospacing="0" w:afterAutospacing="0" w:line="360" w:lineRule="auto"/>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红十字会20</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年“三公”经费财政拨款预算数</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万元，其中：因公出国（境）经费0万元，公务接待费0万元，公务用车购置及运行维护费</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0</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因公出国（境）经费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年因公出国（境）费0万元。全年安排因公出国（境）团组0次，出国（境）0人。</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公务用车购置及运行维护费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仿宋_GB2312" w:eastAsia="仿宋_GB2312" w:cs="仿宋_GB2312"/>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pacing w:val="-14"/>
          <w:kern w:val="0"/>
          <w:sz w:val="28"/>
          <w:szCs w:val="28"/>
          <w14:textFill>
            <w14:solidFill>
              <w14:schemeClr w14:val="tx1">
                <w14:lumMod w14:val="75000"/>
                <w14:lumOff w14:val="25000"/>
              </w14:schemeClr>
            </w14:solidFill>
          </w14:textFill>
        </w:rPr>
        <w:t>年预算</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安排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万元，与上年预算相比增加 0万元 ，主要原因是我单位公务用车使用年限长，车辆维修费增加 。单位</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现</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有公务用车</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辆，其中：越野车 0 辆，轿车 0辆。 </w:t>
      </w:r>
      <w:r>
        <w:rPr>
          <w:rFonts w:hint="eastAsia" w:ascii="仿宋_GB2312" w:hAnsi="仿宋_GB2312" w:eastAsia="仿宋_GB2312" w:cs="仿宋_GB2312"/>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仿宋_GB2312" w:eastAsia="仿宋_GB2312" w:cs="仿宋_GB2312"/>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仿宋_GB2312" w:eastAsia="仿宋_GB2312" w:cs="仿宋_GB2312"/>
          <w:color w:val="404040" w:themeColor="text1" w:themeTint="BF"/>
          <w:spacing w:val="-14"/>
          <w:kern w:val="0"/>
          <w:sz w:val="28"/>
          <w:szCs w:val="28"/>
          <w14:textFill>
            <w14:solidFill>
              <w14:schemeClr w14:val="tx1">
                <w14:lumMod w14:val="75000"/>
                <w14:lumOff w14:val="25000"/>
              </w14:schemeClr>
            </w14:solidFill>
          </w14:textFill>
        </w:rPr>
        <w:t>年安</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排公务用车运行维护费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万元。用于</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辆公务用车燃油、维修、保险等方面支出。主要保障单位日常运转等工作。</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公务接待费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县红十字会20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年预算安排 0 万元，严格执行厉行节约的要求，认真贯彻落实中央八项规定及省委省政府十项规定要求，严格控制接待规模及接待标准。</w:t>
      </w:r>
    </w:p>
    <w:p>
      <w:pPr>
        <w:numPr>
          <w:ilvl w:val="0"/>
          <w:numId w:val="0"/>
        </w:numPr>
        <w:ind w:firstLine="560" w:firstLineChars="200"/>
        <w:jc w:val="left"/>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八、</w:t>
      </w:r>
      <w:r>
        <w:rPr>
          <w:rFonts w:hint="eastAsia" w:ascii="仿宋" w:hAnsi="仿宋" w:eastAsia="仿宋" w:cs="仿宋"/>
          <w:b/>
          <w:bCs/>
          <w:sz w:val="32"/>
          <w:szCs w:val="32"/>
        </w:rPr>
        <w:t>政府性基金预算财政拨款支出</w:t>
      </w:r>
      <w:r>
        <w:rPr>
          <w:rFonts w:hint="eastAsia" w:ascii="仿宋" w:hAnsi="仿宋" w:eastAsia="仿宋" w:cs="仿宋"/>
          <w:b/>
          <w:bCs/>
          <w:sz w:val="32"/>
          <w:szCs w:val="32"/>
          <w:lang w:eastAsia="zh-CN"/>
        </w:rPr>
        <w:t>决算</w:t>
      </w:r>
      <w:r>
        <w:rPr>
          <w:rFonts w:hint="eastAsia" w:ascii="仿宋" w:hAnsi="仿宋" w:eastAsia="仿宋" w:cs="仿宋"/>
          <w:b/>
          <w:bCs/>
          <w:sz w:val="32"/>
          <w:szCs w:val="32"/>
        </w:rPr>
        <w:t>情况</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w:t>
      </w:r>
      <w:r>
        <w:rPr>
          <w:rFonts w:hint="eastAsia" w:ascii="仿宋" w:hAnsi="仿宋" w:eastAsia="仿宋" w:cs="仿宋"/>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 w:hAnsi="仿宋" w:eastAsia="仿宋" w:cs="仿宋"/>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年无政府性基金预算财政拨款支出预算情况。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lang w:eastAsia="zh-CN"/>
          <w14:textFill>
            <w14:solidFill>
              <w14:schemeClr w14:val="tx1">
                <w14:lumMod w14:val="75000"/>
                <w14:lumOff w14:val="25000"/>
              </w14:schemeClr>
            </w14:solidFill>
          </w14:textFill>
        </w:rPr>
        <w:t>九</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、其他重要事项的情况说明</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（一）机关运行经费</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年度，红十字会机关运行经费支出</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7.91</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（二）政府采购情况</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年度，红十字会政府采购支出总额0万元。</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（三）国有资产占有使用情况</w:t>
      </w:r>
    </w:p>
    <w:p>
      <w:pPr>
        <w:keepNext w:val="0"/>
        <w:keepLines w:val="0"/>
        <w:pageBreakBefore w:val="0"/>
        <w:kinsoku/>
        <w:overflowPunct/>
        <w:topLinePunct w:val="0"/>
        <w:bidi w:val="0"/>
        <w:adjustRightInd/>
        <w:spacing w:beforeAutospacing="0" w:afterAutospacing="0" w:line="360" w:lineRule="auto"/>
        <w:ind w:firstLine="504" w:firstLineChars="200"/>
        <w:textAlignment w:val="auto"/>
        <w:outlineLvl w:val="9"/>
        <w:rPr>
          <w:rFonts w:hint="eastAsia" w:ascii="方正小标宋简体" w:hAnsi="宋体" w:eastAsia="仿宋_GB2312" w:cs="宋体"/>
          <w:color w:val="000000"/>
          <w:spacing w:val="-14"/>
          <w:kern w:val="0"/>
          <w:sz w:val="32"/>
          <w:szCs w:val="34"/>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截至20</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年，红十字会共有公务用车</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辆，其中：一般公务用车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辆；无单价50万元以上通用设备及单价100万元以上专用设备。</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b w:val="0"/>
          <w:bCs w:val="0"/>
          <w:color w:val="333333"/>
          <w:kern w:val="0"/>
          <w:sz w:val="28"/>
          <w:lang w:eastAsia="zh-CN"/>
        </w:rPr>
      </w:pPr>
      <w:r>
        <w:rPr>
          <w:rFonts w:hint="eastAsia" w:ascii="仿宋_GB2312" w:hAnsi="仿宋_GB2312" w:eastAsia="仿宋_GB2312" w:cs="仿宋_GB2312"/>
          <w:b w:val="0"/>
          <w:bCs w:val="0"/>
          <w:color w:val="333333"/>
          <w:kern w:val="0"/>
          <w:sz w:val="28"/>
        </w:rPr>
        <w:t>（四）绩效目标设置情况</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宋体" w:eastAsia="仿宋_GB2312" w:cs="宋体"/>
          <w:color w:val="333333"/>
          <w:kern w:val="0"/>
          <w:sz w:val="28"/>
          <w:szCs w:val="28"/>
        </w:rPr>
        <w:t>绩效目标是预算编制的前提和基础，按照“费随事定”的原则，20</w:t>
      </w:r>
      <w:r>
        <w:rPr>
          <w:rFonts w:hint="eastAsia" w:ascii="仿宋_GB2312" w:hAnsi="宋体" w:eastAsia="仿宋_GB2312" w:cs="宋体"/>
          <w:color w:val="333333"/>
          <w:kern w:val="0"/>
          <w:sz w:val="28"/>
          <w:szCs w:val="28"/>
          <w:lang w:val="en-US" w:eastAsia="zh-CN"/>
        </w:rPr>
        <w:t>23</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红十字会</w:t>
      </w:r>
      <w:r>
        <w:rPr>
          <w:rFonts w:hint="eastAsia" w:ascii="仿宋_GB2312" w:hAnsi="仿宋_GB2312" w:eastAsia="仿宋_GB2312" w:cs="仿宋_GB2312"/>
          <w:color w:val="auto"/>
          <w:sz w:val="28"/>
          <w:szCs w:val="28"/>
          <w:lang w:val="en-US" w:eastAsia="zh-CN"/>
        </w:rPr>
        <w:t>基本支出和项目支出</w:t>
      </w:r>
      <w:r>
        <w:rPr>
          <w:rFonts w:hint="eastAsia" w:ascii="仿宋_GB2312" w:hAnsi="仿宋_GB2312" w:eastAsia="仿宋_GB2312" w:cs="仿宋_GB2312"/>
          <w:color w:val="auto"/>
          <w:sz w:val="28"/>
          <w:szCs w:val="28"/>
          <w:lang w:val="en-US"/>
        </w:rPr>
        <w:t>均按要求实行绩效目标管理，涉及一般公共预算当年拨款</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73.88</w:t>
      </w:r>
      <w:r>
        <w:rPr>
          <w:rFonts w:hint="eastAsia" w:ascii="仿宋_GB2312" w:hAnsi="仿宋_GB2312" w:eastAsia="仿宋_GB2312" w:cs="仿宋_GB2312"/>
          <w:color w:val="auto"/>
          <w:sz w:val="28"/>
          <w:szCs w:val="28"/>
          <w:lang w:val="en-US"/>
        </w:rPr>
        <w:t>万元</w:t>
      </w:r>
      <w:r>
        <w:rPr>
          <w:rFonts w:hint="eastAsia" w:ascii="仿宋_GB2312" w:hAnsi="仿宋_GB2312" w:eastAsia="仿宋_GB2312" w:cs="仿宋_GB2312"/>
          <w:color w:val="auto"/>
          <w:sz w:val="28"/>
          <w:szCs w:val="28"/>
          <w:lang w:val="en-US" w:eastAsia="zh-CN"/>
        </w:rPr>
        <w:t>,用于人员经费和机关正常运转。</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十、名词解释</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1.一般公共预算拨款收入：指省级财政当年拨付的资金。</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2.上年结转：指以前年度尚未完成，结转到本年仍按原规定用途继续使用的资金。</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3.一般公共服务（类）</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红十字事业（款）行政运行</w:t>
      </w:r>
      <w:r>
        <w:rPr>
          <w:rFonts w:hint="eastAsia" w:ascii="仿宋_GB2312" w:hAnsi="宋体" w:eastAsia="仿宋_GB2312" w:cs="宋体"/>
          <w:color w:val="333333"/>
          <w:kern w:val="0"/>
          <w:sz w:val="28"/>
          <w:szCs w:val="28"/>
        </w:rPr>
        <w:t>（项）：指机关及参公管理事业单位用于保障机构正常运行、开展日常工作的基本支出。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.社会保障和就业（类）行政事业单位离退休（款）事业单位离退休（项）：指财政科学研究所的离退休人员的支出。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.社会保障和就业（类）行政事业单位离退休（款）未归口管理的行政单位离退休（项）：指机关离退休人员的支出。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.社会保障和就业（类）其他社会保障和就业（款）其他社会保障和就业支出（项）：指除上述项目外，其他用于行政事业单位离退休方面的支出。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.医疗卫生与计划生育（类）行政事业单位医疗（款）行政单位医疗（项）：指机关及参公管理事业单位用于缴纳单位基本医疗保险支出。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.医疗卫生与计划生育（类）行政事业单位医疗（款）公务员医疗补助（项）：指机关及参公管理事业单位用于集中缴纳公务员医疗补助支出。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.住房保障（类）住房改革支出（款）购房补贴（项）：指按房改政策规定的标准，向符合条件职工发放的用于购买住房的补贴。</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13</w:t>
      </w:r>
      <w:r>
        <w:rPr>
          <w:rFonts w:hint="eastAsia" w:ascii="仿宋_GB2312" w:hAnsi="宋体" w:eastAsia="仿宋_GB2312" w:cs="宋体"/>
          <w:color w:val="333333"/>
          <w:kern w:val="0"/>
          <w:sz w:val="28"/>
          <w:szCs w:val="28"/>
        </w:rPr>
        <w:t>.基本支出：指为保证机构正常运转，完成日常工作任务而发生的人员支出和公用支出。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14</w:t>
      </w:r>
      <w:r>
        <w:rPr>
          <w:rFonts w:hint="eastAsia" w:ascii="仿宋_GB2312" w:hAnsi="宋体" w:eastAsia="仿宋_GB2312" w:cs="宋体"/>
          <w:color w:val="333333"/>
          <w:kern w:val="0"/>
          <w:sz w:val="28"/>
          <w:szCs w:val="28"/>
        </w:rPr>
        <w:t>.项目支出：指在基本支出之外为完成特定行政任务和事业发展目标所发生的支出。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15</w:t>
      </w:r>
      <w:r>
        <w:rPr>
          <w:rFonts w:hint="eastAsia" w:ascii="仿宋_GB2312" w:hAnsi="宋体"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r>
        <w:rPr>
          <w:rFonts w:hint="eastAsia" w:ascii="仿宋_GB2312" w:hAnsi="宋体" w:eastAsia="仿宋_GB2312" w:cs="宋体"/>
          <w:color w:val="333333"/>
          <w:kern w:val="0"/>
          <w:sz w:val="28"/>
          <w:szCs w:val="28"/>
          <w:lang w:val="en-US" w:eastAsia="zh-CN"/>
        </w:rPr>
        <w:t>16</w:t>
      </w:r>
      <w:r>
        <w:rPr>
          <w:rFonts w:hint="eastAsia" w:ascii="仿宋_GB2312" w:hAnsi="宋体"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p>
    <w:p>
      <w:pPr>
        <w:keepNext w:val="0"/>
        <w:keepLines w:val="0"/>
        <w:pageBreakBefore w:val="0"/>
        <w:kinsoku/>
        <w:overflowPunct/>
        <w:topLinePunct w:val="0"/>
        <w:bidi w:val="0"/>
        <w:adjustRightInd/>
        <w:spacing w:beforeAutospacing="0" w:afterAutospacing="0" w:line="360" w:lineRule="auto"/>
        <w:ind w:firstLine="560" w:firstLineChars="200"/>
        <w:textAlignment w:val="auto"/>
        <w:outlineLvl w:val="9"/>
        <w:rPr>
          <w:rFonts w:hint="eastAsia" w:ascii="仿宋_GB2312" w:hAnsi="宋体" w:eastAsia="仿宋_GB2312" w:cs="宋体"/>
          <w:color w:val="333333"/>
          <w:kern w:val="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9A26D"/>
    <w:multiLevelType w:val="singleLevel"/>
    <w:tmpl w:val="B379A26D"/>
    <w:lvl w:ilvl="0" w:tentative="0">
      <w:start w:val="1"/>
      <w:numFmt w:val="chineseCounting"/>
      <w:lvlText w:val="(%1)"/>
      <w:lvlJc w:val="left"/>
      <w:pPr>
        <w:tabs>
          <w:tab w:val="left" w:pos="312"/>
        </w:tabs>
      </w:pPr>
      <w:rPr>
        <w:rFonts w:hint="eastAsia"/>
        <w:b w:val="0"/>
        <w:bCs w:val="0"/>
      </w:rPr>
    </w:lvl>
  </w:abstractNum>
  <w:abstractNum w:abstractNumId="1">
    <w:nsid w:val="C7DE64D9"/>
    <w:multiLevelType w:val="singleLevel"/>
    <w:tmpl w:val="C7DE64D9"/>
    <w:lvl w:ilvl="0" w:tentative="0">
      <w:start w:val="3"/>
      <w:numFmt w:val="chineseCounting"/>
      <w:suff w:val="nothing"/>
      <w:lvlText w:val="%1、"/>
      <w:lvlJc w:val="left"/>
      <w:rPr>
        <w:rFonts w:hint="eastAsia"/>
      </w:rPr>
    </w:lvl>
  </w:abstractNum>
  <w:abstractNum w:abstractNumId="2">
    <w:nsid w:val="FE251A83"/>
    <w:multiLevelType w:val="singleLevel"/>
    <w:tmpl w:val="FE251A83"/>
    <w:lvl w:ilvl="0" w:tentative="0">
      <w:start w:val="5"/>
      <w:numFmt w:val="chineseCounting"/>
      <w:suff w:val="nothing"/>
      <w:lvlText w:val="%1、"/>
      <w:lvlJc w:val="left"/>
      <w:pPr>
        <w:ind w:left="560" w:leftChars="0" w:firstLine="0" w:firstLineChars="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F2BCB"/>
    <w:rsid w:val="13EE3A98"/>
    <w:rsid w:val="1FFB7213"/>
    <w:rsid w:val="20CC7806"/>
    <w:rsid w:val="2B5E7352"/>
    <w:rsid w:val="2D56593C"/>
    <w:rsid w:val="34317F55"/>
    <w:rsid w:val="3AE20C18"/>
    <w:rsid w:val="3E506F79"/>
    <w:rsid w:val="46413258"/>
    <w:rsid w:val="4C2551A8"/>
    <w:rsid w:val="4F8D1DDB"/>
    <w:rsid w:val="50A019AD"/>
    <w:rsid w:val="51B67CE6"/>
    <w:rsid w:val="5DFC0B18"/>
    <w:rsid w:val="63E81B7B"/>
    <w:rsid w:val="662C12C0"/>
    <w:rsid w:val="66E11F2B"/>
    <w:rsid w:val="69777C37"/>
    <w:rsid w:val="6EB95133"/>
    <w:rsid w:val="71502811"/>
    <w:rsid w:val="766474DC"/>
    <w:rsid w:val="782D11B6"/>
    <w:rsid w:val="7B7D06A6"/>
    <w:rsid w:val="7D440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
    <w:qFormat/>
    <w:uiPriority w:val="0"/>
    <w:pPr>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1 Char"/>
    <w:link w:val="2"/>
    <w:qFormat/>
    <w:uiPriority w:val="0"/>
    <w:rPr>
      <w:b/>
      <w:kern w:val="44"/>
      <w:sz w:val="44"/>
    </w:rPr>
  </w:style>
  <w:style w:type="character" w:customStyle="1" w:styleId="6">
    <w:name w:val="apple-converted-space"/>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3826</Words>
  <Characters>4102</Characters>
  <Lines>0</Lines>
  <Paragraphs>0</Paragraphs>
  <TotalTime>1</TotalTime>
  <ScaleCrop>false</ScaleCrop>
  <LinksUpToDate>false</LinksUpToDate>
  <CharactersWithSpaces>4144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2021-05-24T07:58:00Z</dcterms:created>
  <dc:creator>Administrator</dc:creator>
  <cp:lastModifiedBy>Administrator</cp:lastModifiedBy>
  <dcterms:modified xsi:type="dcterms:W3CDTF">2025-04-14T12:20:11Z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E98BFAFDF6C2456C94357C99AFB76646</vt:lpwstr>
  </property>
</Properties>
</file>