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8441"/>
      <w:bookmarkStart w:id="3" w:name="_Toc15396475"/>
      <w:bookmarkStart w:id="4" w:name="_Toc15377193"/>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194"/>
      <w:bookmarkStart w:id="8" w:name="_Toc15396476"/>
      <w:bookmarkStart w:id="9" w:name="_Toc15378442"/>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红十字会部门决算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rPr>
          <w:rStyle w:val="15"/>
          <w:rFonts w:hint="eastAsia" w:ascii="仿宋" w:eastAsia="仿宋"/>
          <w:bCs/>
          <w:sz w:val="28"/>
          <w:szCs w:val="28"/>
        </w:rPr>
        <w:t xml:space="preserve"> 十、预算绩效情况说明..................................15</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77197"/>
      <w:bookmarkStart w:id="15" w:name="_Toc15396600"/>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widowControl/>
        <w:spacing w:line="580" w:lineRule="exact"/>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根据</w:t>
      </w:r>
      <w:r>
        <w:rPr>
          <w:rFonts w:hint="eastAsia" w:ascii="仿宋" w:hAnsi="仿宋" w:eastAsia="仿宋" w:cs="仿宋"/>
          <w:color w:val="000000"/>
          <w:sz w:val="32"/>
          <w:szCs w:val="32"/>
        </w:rPr>
        <w:t>《中华人民共和国红十字会法》、</w:t>
      </w:r>
      <w:r>
        <w:rPr>
          <w:rFonts w:hint="eastAsia" w:ascii="仿宋" w:hAnsi="仿宋" w:eastAsia="仿宋" w:cs="仿宋"/>
          <w:color w:val="000000"/>
          <w:sz w:val="32"/>
          <w:szCs w:val="32"/>
          <w:shd w:val="clear" w:color="auto" w:fill="FFFFFF"/>
        </w:rPr>
        <w:t>《中国红十字章程》</w:t>
      </w:r>
      <w:r>
        <w:rPr>
          <w:rFonts w:hint="eastAsia" w:ascii="仿宋" w:hAnsi="仿宋" w:eastAsia="仿宋" w:cs="仿宋"/>
          <w:color w:val="000000"/>
          <w:sz w:val="32"/>
          <w:szCs w:val="32"/>
        </w:rPr>
        <w:t>以及党和国家有关红十字会工作的方针、政策、法规</w:t>
      </w:r>
      <w:r>
        <w:rPr>
          <w:rFonts w:hint="eastAsia" w:ascii="仿宋" w:hAnsi="仿宋" w:eastAsia="仿宋" w:cs="仿宋"/>
          <w:color w:val="000000"/>
          <w:kern w:val="0"/>
          <w:sz w:val="32"/>
          <w:szCs w:val="32"/>
        </w:rPr>
        <w:t>文件规定。主要职责是：</w:t>
      </w:r>
      <w:r>
        <w:rPr>
          <w:rFonts w:hint="eastAsia" w:ascii="仿宋" w:hAnsi="仿宋" w:eastAsia="仿宋" w:cs="仿宋"/>
          <w:color w:val="000000"/>
          <w:sz w:val="32"/>
          <w:szCs w:val="32"/>
          <w:shd w:val="clear" w:color="auto" w:fill="FFFFFF"/>
        </w:rPr>
        <w:t>以项目建设为抓手，以卫生救护培训为载体，以基层红会组织建设和会员发展为基础，加大宣传力度，充分发挥政府人道事务工作方面的助手作用。</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00" w:lineRule="exact"/>
        <w:ind w:firstLine="584" w:firstLineChars="200"/>
        <w:rPr>
          <w:rFonts w:ascii="仿宋" w:hAnsi="仿宋" w:eastAsia="仿宋" w:cs="仿宋"/>
          <w:color w:val="000000"/>
          <w:spacing w:val="-14"/>
          <w:kern w:val="0"/>
          <w:sz w:val="32"/>
          <w:szCs w:val="32"/>
        </w:rPr>
      </w:pPr>
      <w:bookmarkStart w:id="20" w:name="_Toc15396601"/>
      <w:bookmarkStart w:id="21" w:name="_Toc15377200"/>
      <w:r>
        <w:rPr>
          <w:rFonts w:hint="eastAsia" w:ascii="仿宋" w:hAnsi="仿宋" w:eastAsia="仿宋" w:cs="仿宋"/>
          <w:color w:val="000000"/>
          <w:spacing w:val="-14"/>
          <w:kern w:val="0"/>
          <w:sz w:val="32"/>
          <w:szCs w:val="32"/>
        </w:rPr>
        <w:t>根据县委、县政府关于2020年全县工作的总体部署，县红十字会主要工作成效：</w:t>
      </w:r>
    </w:p>
    <w:p>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1、抓好红十字常态工作，夯实基层基础</w:t>
      </w:r>
      <w:r>
        <w:rPr>
          <w:rFonts w:hint="eastAsia" w:ascii="仿宋" w:hAnsi="仿宋" w:eastAsia="仿宋" w:cs="仿宋"/>
          <w:color w:val="000000"/>
          <w:sz w:val="32"/>
          <w:szCs w:val="32"/>
        </w:rPr>
        <w:t>：</w:t>
      </w:r>
      <w:r>
        <w:rPr>
          <w:rFonts w:hint="eastAsia" w:ascii="仿宋" w:hAnsi="仿宋" w:eastAsia="仿宋" w:cs="仿宋"/>
          <w:sz w:val="32"/>
          <w:szCs w:val="32"/>
        </w:rPr>
        <w:t>开展博爱送万家送温暖活动，送去了红十字博爱箱、衣物、线绒毯等价值89375元物资；开展人道救助，大病救助11户共27469元，困难学生救助39000元，还为困难群体送去线绒毯、羽绒服等衣物价值70余万元。</w:t>
      </w:r>
    </w:p>
    <w:p>
      <w:pPr>
        <w:spacing w:line="50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rPr>
        <w:t>2、开展红十字宣传活动，不断扩大红十字影响：</w:t>
      </w:r>
      <w:r>
        <w:rPr>
          <w:rFonts w:hint="eastAsia" w:ascii="仿宋" w:hAnsi="仿宋" w:eastAsia="仿宋" w:cs="仿宋"/>
          <w:sz w:val="32"/>
          <w:szCs w:val="32"/>
        </w:rPr>
        <w:t>开展“助力疫情防控、红十字救在身边”的“5.8”红十字日主题宣传和“提升基层应急能力、筑牢防灾减灾救灾的人民防线”宣传活动，还深入金川县第二中学、勒乌镇第一、二小学开展“红十字博爱周活动”宣传，弘扬“人道、博爱、奉献”的红十字精神</w:t>
      </w:r>
      <w:r>
        <w:rPr>
          <w:rFonts w:hint="eastAsia" w:ascii="仿宋" w:hAnsi="仿宋" w:eastAsia="仿宋" w:cs="仿宋"/>
          <w:color w:val="000000"/>
          <w:sz w:val="32"/>
          <w:szCs w:val="32"/>
        </w:rPr>
        <w:t>。</w:t>
      </w:r>
    </w:p>
    <w:p>
      <w:pPr>
        <w:spacing w:line="500" w:lineRule="exact"/>
        <w:ind w:firstLine="320" w:firstLineChars="100"/>
        <w:rPr>
          <w:rFonts w:ascii="仿宋" w:hAnsi="仿宋" w:eastAsia="仿宋" w:cs="仿宋"/>
          <w:sz w:val="32"/>
          <w:szCs w:val="32"/>
        </w:rPr>
      </w:pPr>
      <w:r>
        <w:rPr>
          <w:rFonts w:hint="eastAsia" w:ascii="仿宋" w:hAnsi="仿宋" w:eastAsia="仿宋" w:cs="仿宋"/>
          <w:color w:val="000000"/>
          <w:sz w:val="32"/>
          <w:szCs w:val="32"/>
        </w:rPr>
        <w:t>3、助力疫情防控，红十字救在身边：</w:t>
      </w:r>
      <w:r>
        <w:rPr>
          <w:rFonts w:hint="eastAsia" w:ascii="仿宋" w:hAnsi="仿宋" w:eastAsia="仿宋" w:cs="仿宋"/>
          <w:sz w:val="32"/>
          <w:szCs w:val="32"/>
        </w:rPr>
        <w:t>接受捐赠资金228笔3329090.35元，其中定向武汉、湖北捐款1915145.01元，定向甘孜、道孚捐款192174元，定向金川和非定向捐款1221771.34元；接受定向金川捐赠物资16笔价值400127元。</w:t>
      </w:r>
    </w:p>
    <w:p>
      <w:pPr>
        <w:spacing w:line="50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4、完成了省、</w:t>
      </w:r>
      <w:r>
        <w:rPr>
          <w:rFonts w:hint="eastAsia" w:ascii="仿宋" w:hAnsi="仿宋" w:eastAsia="仿宋" w:cs="仿宋"/>
          <w:sz w:val="32"/>
          <w:szCs w:val="32"/>
        </w:rPr>
        <w:t>州红十字会下达的应急救护普及培训804人、红十字救护员培训167人、人道救助、助力精准脱贫、基层组织建设、志愿者队伍建设、筹资等7项任务。</w:t>
      </w:r>
    </w:p>
    <w:p>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5、完成台湾红十字组织援助河西乡乃当村“博爱家园”项目、中国红十字基金会援助勒乌镇新开村“博爱家园”项目和中国红十字总会援助沙耳乡沙耳尼村“博爱家园”项目的生计基金一发放一收回工作。</w:t>
      </w:r>
    </w:p>
    <w:p>
      <w:pPr>
        <w:spacing w:line="50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6、</w:t>
      </w:r>
      <w:r>
        <w:rPr>
          <w:rFonts w:hint="eastAsia" w:ascii="仿宋" w:hAnsi="仿宋" w:eastAsia="仿宋" w:cs="仿宋"/>
          <w:color w:val="000000"/>
          <w:sz w:val="32"/>
          <w:szCs w:val="32"/>
          <w:lang w:eastAsia="zh-CN"/>
        </w:rPr>
        <w:t>认真做好</w:t>
      </w:r>
      <w:r>
        <w:rPr>
          <w:rFonts w:hint="eastAsia" w:ascii="仿宋" w:hAnsi="仿宋" w:eastAsia="仿宋" w:cs="仿宋"/>
          <w:sz w:val="32"/>
          <w:szCs w:val="32"/>
        </w:rPr>
        <w:t>省内、省外结对帮扶工作，积极与省内眉山市红十字会开展好帮扶工作和省外浙江省诸暨市红十字会和柯桥区红十字会建立对口帮扶工作，得到两个地区红十字会的大力关心和支持，为我县开展红十字的人道救助，提供了大量的资金和物资捐赠。</w:t>
      </w:r>
    </w:p>
    <w:p>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7、持续狠抓脱贫攻坚帮扶工作，继续联系的贫困村俄热乡玛尼柯村慰问送温暖，开展疫情防控、稳定、发展、民生等工作。</w:t>
      </w:r>
    </w:p>
    <w:p>
      <w:pPr>
        <w:spacing w:line="50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8、</w:t>
      </w:r>
      <w:r>
        <w:rPr>
          <w:rFonts w:hint="eastAsia" w:ascii="仿宋" w:hAnsi="仿宋" w:eastAsia="仿宋" w:cs="仿宋"/>
          <w:sz w:val="32"/>
          <w:szCs w:val="32"/>
        </w:rPr>
        <w:t>深入开展“三大行动”持续深化“两联一进”、“扫黑除恶”等其他工作，有序有效推进各项工作。</w:t>
      </w:r>
    </w:p>
    <w:p>
      <w:pPr>
        <w:spacing w:line="500" w:lineRule="exact"/>
        <w:ind w:firstLine="640" w:firstLineChars="200"/>
        <w:rPr>
          <w:rFonts w:ascii="仿宋" w:hAnsi="仿宋" w:eastAsia="仿宋" w:cs="仿宋"/>
          <w:color w:val="000000"/>
          <w:spacing w:val="-6"/>
          <w:w w:val="97"/>
          <w:sz w:val="32"/>
          <w:szCs w:val="32"/>
        </w:rPr>
      </w:pPr>
      <w:r>
        <w:rPr>
          <w:rFonts w:hint="eastAsia" w:ascii="仿宋" w:hAnsi="仿宋" w:eastAsia="仿宋" w:cs="仿宋"/>
          <w:color w:val="000000"/>
          <w:sz w:val="32"/>
          <w:szCs w:val="32"/>
        </w:rPr>
        <w:t>9、民生工程、社会稳定工作、环境整治工作、</w:t>
      </w:r>
      <w:r>
        <w:rPr>
          <w:rFonts w:hint="eastAsia" w:ascii="仿宋" w:hAnsi="仿宋" w:eastAsia="仿宋" w:cs="仿宋"/>
          <w:color w:val="000000"/>
          <w:spacing w:val="-6"/>
          <w:w w:val="97"/>
          <w:sz w:val="32"/>
          <w:szCs w:val="32"/>
        </w:rPr>
        <w:t>党的建设工作进展情况等。</w:t>
      </w:r>
    </w:p>
    <w:p>
      <w:pPr>
        <w:spacing w:line="500" w:lineRule="exact"/>
        <w:ind w:firstLine="596" w:firstLineChars="200"/>
        <w:rPr>
          <w:rFonts w:ascii="仿宋" w:hAnsi="仿宋" w:eastAsia="仿宋" w:cs="仿宋"/>
          <w:sz w:val="32"/>
          <w:szCs w:val="32"/>
        </w:rPr>
      </w:pPr>
      <w:r>
        <w:rPr>
          <w:rFonts w:hint="eastAsia" w:ascii="仿宋" w:hAnsi="仿宋" w:eastAsia="仿宋" w:cs="仿宋"/>
          <w:color w:val="000000"/>
          <w:spacing w:val="-6"/>
          <w:w w:val="97"/>
          <w:sz w:val="32"/>
          <w:szCs w:val="32"/>
        </w:rPr>
        <w:t>10、完成县委、县政府交办的其他事宜。</w:t>
      </w:r>
    </w:p>
    <w:p>
      <w:pPr>
        <w:spacing w:line="578" w:lineRule="exact"/>
        <w:ind w:firstLine="640" w:firstLineChars="200"/>
        <w:rPr>
          <w:rStyle w:val="17"/>
          <w:rFonts w:ascii="黑体" w:eastAsia="黑体"/>
          <w:b w:val="0"/>
          <w:bCs w:val="0"/>
        </w:rPr>
      </w:pPr>
      <w:r>
        <w:rPr>
          <w:rStyle w:val="17"/>
          <w:rFonts w:hint="eastAsia" w:ascii="黑体" w:eastAsia="黑体"/>
          <w:b w:val="0"/>
          <w:bCs w:val="0"/>
        </w:rPr>
        <w:t>二、机构设置</w:t>
      </w:r>
      <w:bookmarkEnd w:id="20"/>
      <w:bookmarkEnd w:id="21"/>
      <w:bookmarkStart w:id="22" w:name="_Toc15396602"/>
      <w:bookmarkStart w:id="23" w:name="_Toc15377204"/>
    </w:p>
    <w:p>
      <w:pPr>
        <w:spacing w:line="578" w:lineRule="exact"/>
        <w:ind w:firstLine="640" w:firstLineChars="200"/>
        <w:rPr>
          <w:rFonts w:ascii="仿宋" w:hAnsi="仿宋" w:eastAsia="仿宋" w:cs="仿宋"/>
          <w:color w:val="000000" w:themeColor="text1"/>
          <w:spacing w:val="-14"/>
          <w:sz w:val="32"/>
          <w:szCs w:val="32"/>
        </w:rPr>
      </w:pPr>
      <w:r>
        <w:rPr>
          <w:rFonts w:hint="eastAsia" w:ascii="仿宋" w:hAnsi="仿宋" w:eastAsia="仿宋" w:cs="仿宋"/>
          <w:color w:val="000000" w:themeColor="text1"/>
          <w:kern w:val="0"/>
          <w:sz w:val="32"/>
          <w:szCs w:val="32"/>
        </w:rPr>
        <w:t>金川县红十字会是</w:t>
      </w:r>
      <w:r>
        <w:rPr>
          <w:rFonts w:hint="eastAsia" w:ascii="仿宋" w:hAnsi="仿宋" w:eastAsia="仿宋" w:cs="仿宋"/>
          <w:color w:val="000000" w:themeColor="text1"/>
          <w:spacing w:val="-14"/>
          <w:sz w:val="32"/>
          <w:szCs w:val="32"/>
        </w:rPr>
        <w:t>独立编制单位机构数为 1个，财政供养人员编制为 3名，其中行政编制 0名，行政工勤编制0 名，事业编制 3名（其中参照公务员法管理人员编制 3人）；2021年实际财政供养人员4人，较上年增加 0人（不含退休人员），其中：行政 0人，行政工勤 1人，</w:t>
      </w:r>
      <w:r>
        <w:rPr>
          <w:rStyle w:val="24"/>
          <w:rFonts w:hint="eastAsia" w:ascii="仿宋" w:hAnsi="仿宋" w:eastAsia="仿宋" w:cs="仿宋"/>
          <w:color w:val="000000" w:themeColor="text1"/>
          <w:spacing w:val="-14"/>
          <w:sz w:val="32"/>
          <w:szCs w:val="32"/>
        </w:rPr>
        <w:t> </w:t>
      </w:r>
      <w:r>
        <w:rPr>
          <w:rFonts w:hint="eastAsia" w:ascii="仿宋" w:hAnsi="仿宋" w:eastAsia="仿宋" w:cs="仿宋"/>
          <w:color w:val="000000" w:themeColor="text1"/>
          <w:spacing w:val="-14"/>
          <w:sz w:val="32"/>
          <w:szCs w:val="32"/>
        </w:rPr>
        <w:t>事业参公3人。</w:t>
      </w:r>
    </w:p>
    <w:p>
      <w:pPr>
        <w:pStyle w:val="2"/>
        <w:ind w:right="440"/>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77205"/>
      <w:bookmarkStart w:id="25" w:name="_Toc15396603"/>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pacing w:line="460" w:lineRule="exact"/>
        <w:ind w:firstLine="632" w:firstLineChars="200"/>
        <w:rPr>
          <w:rFonts w:ascii="仿宋" w:hAnsi="仿宋" w:eastAsia="仿宋" w:cs="仿宋"/>
          <w:b/>
          <w:sz w:val="32"/>
          <w:szCs w:val="32"/>
        </w:rPr>
      </w:pPr>
      <w:r>
        <w:rPr>
          <w:rFonts w:hint="eastAsia" w:ascii="仿宋" w:hAnsi="仿宋" w:eastAsia="仿宋" w:cs="仿宋"/>
          <w:color w:val="000000"/>
          <w:spacing w:val="-2"/>
          <w:sz w:val="32"/>
          <w:szCs w:val="32"/>
        </w:rPr>
        <w:t>2020年度总收入82.26万元，较上年收入增加18.15万元，增加22.06%。增加的主要原因</w:t>
      </w:r>
      <w:r>
        <w:rPr>
          <w:rFonts w:hint="eastAsia" w:ascii="仿宋" w:hAnsi="仿宋" w:eastAsia="仿宋" w:cs="仿宋"/>
          <w:bCs/>
          <w:sz w:val="32"/>
          <w:szCs w:val="32"/>
        </w:rPr>
        <w:t>是本年调资及晋档晋级、增加了人员经费和保险等。</w:t>
      </w:r>
    </w:p>
    <w:p>
      <w:pPr>
        <w:spacing w:line="600" w:lineRule="exact"/>
        <w:ind w:firstLine="640"/>
        <w:rPr>
          <w:rFonts w:ascii="仿宋" w:hAnsi="仿宋" w:eastAsia="仿宋" w:cs="仿宋"/>
          <w:sz w:val="32"/>
          <w:szCs w:val="32"/>
        </w:rPr>
      </w:pPr>
      <w:r>
        <w:rPr>
          <w:rFonts w:hint="eastAsia" w:ascii="仿宋" w:hAnsi="仿宋" w:eastAsia="仿宋" w:cs="仿宋"/>
          <w:spacing w:val="-2"/>
          <w:sz w:val="32"/>
          <w:szCs w:val="32"/>
        </w:rPr>
        <w:t>2020年总支出82.26万元，较上年支出</w:t>
      </w:r>
      <w:r>
        <w:rPr>
          <w:rFonts w:hint="eastAsia" w:ascii="仿宋" w:hAnsi="仿宋" w:eastAsia="仿宋" w:cs="仿宋"/>
          <w:color w:val="000000"/>
          <w:spacing w:val="-2"/>
          <w:sz w:val="32"/>
          <w:szCs w:val="32"/>
        </w:rPr>
        <w:t>增加7.19万元，增加8.74%，</w:t>
      </w:r>
      <w:r>
        <w:rPr>
          <w:rFonts w:hint="eastAsia" w:ascii="仿宋" w:hAnsi="仿宋" w:eastAsia="仿宋" w:cs="仿宋"/>
          <w:spacing w:val="-2"/>
          <w:sz w:val="32"/>
          <w:szCs w:val="32"/>
        </w:rPr>
        <w:t>主要原因</w:t>
      </w:r>
      <w:r>
        <w:rPr>
          <w:rFonts w:hint="eastAsia" w:ascii="仿宋" w:hAnsi="仿宋" w:eastAsia="仿宋" w:cs="仿宋"/>
          <w:bCs/>
          <w:sz w:val="32"/>
          <w:szCs w:val="32"/>
        </w:rPr>
        <w:t>是本年调资及晋档晋级、增加了人员经费和保险</w:t>
      </w:r>
      <w:r>
        <w:rPr>
          <w:rFonts w:hint="eastAsia" w:ascii="仿宋" w:hAnsi="仿宋" w:eastAsia="仿宋" w:cs="仿宋"/>
          <w:sz w:val="32"/>
          <w:szCs w:val="32"/>
        </w:rPr>
        <w:t>等。</w:t>
      </w:r>
    </w:p>
    <w:p>
      <w:pPr>
        <w:spacing w:line="600" w:lineRule="exact"/>
        <w:ind w:firstLine="640" w:firstLineChars="200"/>
        <w:rPr>
          <w:rStyle w:val="17"/>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299085</wp:posOffset>
            </wp:positionH>
            <wp:positionV relativeFrom="paragraph">
              <wp:posOffset>37465</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20年总收入82.26万元，其中：一般公共预算财政拨款收入82.26万元，占100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2020年本年总支出82.26万元，其中：基本支出81.86万元，占99.51%；项目支出0.4万元，占0.49%；上缴上级支出0万元，占0%；经营支出0万元，占0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pacing w:line="600" w:lineRule="exact"/>
        <w:ind w:firstLine="640"/>
        <w:rPr>
          <w:rFonts w:ascii="仿宋" w:hAnsi="仿宋" w:eastAsia="仿宋" w:cs="仿宋"/>
          <w:color w:val="FF0000"/>
          <w:sz w:val="32"/>
          <w:szCs w:val="32"/>
        </w:rPr>
      </w:pPr>
      <w:r>
        <w:rPr>
          <w:rFonts w:hint="eastAsia" w:ascii="仿宋" w:eastAsia="仿宋"/>
          <w:color w:val="000000"/>
          <w:sz w:val="32"/>
          <w:szCs w:val="32"/>
        </w:rPr>
        <w:t>2020年财政拨款收入82.26万元。与2019年相比，一般公共预算财政拨款收入较上年增加18.15万元，</w:t>
      </w:r>
      <w:r>
        <w:rPr>
          <w:rFonts w:hint="eastAsia" w:ascii="仿宋_GB2312" w:eastAsia="仿宋_GB2312"/>
          <w:color w:val="000000"/>
          <w:spacing w:val="-2"/>
          <w:sz w:val="32"/>
          <w:szCs w:val="32"/>
        </w:rPr>
        <w:t>增加22.06%</w:t>
      </w:r>
      <w:r>
        <w:rPr>
          <w:rFonts w:hint="eastAsia" w:ascii="仿宋" w:eastAsia="仿宋"/>
          <w:color w:val="000000"/>
          <w:sz w:val="32"/>
          <w:szCs w:val="32"/>
        </w:rPr>
        <w:t>。</w:t>
      </w:r>
      <w:r>
        <w:rPr>
          <w:rFonts w:hint="eastAsia" w:ascii="仿宋" w:hAnsi="仿宋" w:eastAsia="仿宋" w:cs="仿宋"/>
          <w:color w:val="000000"/>
          <w:sz w:val="32"/>
          <w:szCs w:val="32"/>
        </w:rPr>
        <w:t>增加的主要原因是</w:t>
      </w:r>
      <w:r>
        <w:rPr>
          <w:rFonts w:hint="eastAsia" w:ascii="仿宋" w:hAnsi="仿宋" w:eastAsia="仿宋" w:cs="仿宋"/>
          <w:bCs/>
          <w:sz w:val="32"/>
          <w:szCs w:val="32"/>
        </w:rPr>
        <w:t>本年调资及晋档晋级、增加了人员经费和保险等。</w:t>
      </w:r>
      <w:r>
        <w:rPr>
          <w:rFonts w:hint="eastAsia" w:ascii="仿宋" w:hAnsi="仿宋" w:eastAsia="仿宋" w:cs="仿宋"/>
          <w:color w:val="000000"/>
          <w:sz w:val="32"/>
          <w:szCs w:val="32"/>
        </w:rPr>
        <w:t>2020年财政拨款支出82.26万元，</w:t>
      </w:r>
      <w:r>
        <w:rPr>
          <w:rFonts w:hint="eastAsia" w:ascii="仿宋" w:hAnsi="仿宋" w:eastAsia="仿宋" w:cs="仿宋"/>
          <w:spacing w:val="-2"/>
          <w:sz w:val="32"/>
          <w:szCs w:val="32"/>
        </w:rPr>
        <w:t>较上年支出</w:t>
      </w:r>
      <w:r>
        <w:rPr>
          <w:rFonts w:hint="eastAsia" w:ascii="仿宋" w:hAnsi="仿宋" w:eastAsia="仿宋" w:cs="仿宋"/>
          <w:color w:val="000000"/>
          <w:spacing w:val="-2"/>
          <w:sz w:val="32"/>
          <w:szCs w:val="32"/>
        </w:rPr>
        <w:t>增加7.19万元，增加8.74%，</w:t>
      </w:r>
      <w:r>
        <w:rPr>
          <w:rFonts w:hint="eastAsia" w:ascii="仿宋" w:hAnsi="仿宋" w:eastAsia="仿宋" w:cs="仿宋"/>
          <w:spacing w:val="-2"/>
          <w:sz w:val="32"/>
          <w:szCs w:val="32"/>
        </w:rPr>
        <w:t>主要原因</w:t>
      </w:r>
      <w:r>
        <w:rPr>
          <w:rFonts w:hint="eastAsia" w:ascii="仿宋" w:hAnsi="仿宋" w:eastAsia="仿宋" w:cs="仿宋"/>
          <w:bCs/>
          <w:sz w:val="32"/>
        </w:rPr>
        <w:t>是</w:t>
      </w:r>
      <w:r>
        <w:rPr>
          <w:rFonts w:hint="eastAsia" w:ascii="仿宋" w:hAnsi="仿宋" w:eastAsia="仿宋" w:cs="仿宋"/>
          <w:bCs/>
          <w:sz w:val="32"/>
          <w:szCs w:val="32"/>
        </w:rPr>
        <w:t>本年调资及晋档晋级、增加了人员经费和保险等。</w:t>
      </w:r>
    </w:p>
    <w:p>
      <w:pPr>
        <w:spacing w:line="600" w:lineRule="exact"/>
        <w:ind w:firstLine="640" w:firstLineChars="200"/>
        <w:rPr>
          <w:rStyle w:val="17"/>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85725</wp:posOffset>
            </wp:positionH>
            <wp:positionV relativeFrom="paragraph">
              <wp:posOffset>206375</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600" w:lineRule="exact"/>
        <w:ind w:firstLine="640"/>
        <w:rPr>
          <w:rFonts w:ascii="仿宋" w:hAnsi="仿宋" w:eastAsia="仿宋" w:cs="仿宋"/>
          <w:color w:val="FF0000"/>
          <w:spacing w:val="-2"/>
          <w:sz w:val="32"/>
          <w:szCs w:val="32"/>
        </w:rPr>
      </w:pPr>
      <w:r>
        <w:rPr>
          <w:rFonts w:hint="eastAsia" w:ascii="仿宋" w:hAnsi="仿宋" w:eastAsia="仿宋" w:cs="仿宋"/>
          <w:color w:val="000000"/>
          <w:sz w:val="32"/>
          <w:szCs w:val="32"/>
        </w:rPr>
        <w:drawing>
          <wp:anchor distT="0" distB="0" distL="114300" distR="114300" simplePos="0" relativeHeight="251662336" behindDoc="0" locked="0" layoutInCell="1" allowOverlap="1">
            <wp:simplePos x="0" y="0"/>
            <wp:positionH relativeFrom="column">
              <wp:posOffset>248285</wp:posOffset>
            </wp:positionH>
            <wp:positionV relativeFrom="paragraph">
              <wp:posOffset>1593850</wp:posOffset>
            </wp:positionV>
            <wp:extent cx="4836160" cy="2148840"/>
            <wp:effectExtent l="5080" t="4445" r="16510" b="1841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s="仿宋"/>
          <w:color w:val="000000"/>
          <w:sz w:val="32"/>
          <w:szCs w:val="32"/>
        </w:rPr>
        <w:t>2020年</w:t>
      </w:r>
      <w:r>
        <w:rPr>
          <w:rFonts w:hint="eastAsia" w:ascii="仿宋" w:hAnsi="仿宋" w:eastAsia="仿宋" w:cs="仿宋"/>
          <w:spacing w:val="-2"/>
          <w:sz w:val="32"/>
          <w:szCs w:val="32"/>
        </w:rPr>
        <w:t>一般公共预算财政拨款支出82.26万元，</w:t>
      </w:r>
      <w:r>
        <w:rPr>
          <w:rFonts w:hint="eastAsia" w:ascii="仿宋" w:hAnsi="仿宋" w:eastAsia="仿宋" w:cs="仿宋"/>
          <w:color w:val="000000"/>
          <w:sz w:val="32"/>
          <w:szCs w:val="32"/>
        </w:rPr>
        <w:t>占本年总支出的100%。与2019年相比，一般公共预算财政拨款</w:t>
      </w:r>
      <w:r>
        <w:rPr>
          <w:rFonts w:hint="eastAsia" w:ascii="仿宋" w:hAnsi="仿宋" w:eastAsia="仿宋" w:cs="仿宋"/>
          <w:spacing w:val="-2"/>
          <w:sz w:val="32"/>
          <w:szCs w:val="32"/>
        </w:rPr>
        <w:t>支出较上年支出</w:t>
      </w:r>
      <w:r>
        <w:rPr>
          <w:rFonts w:hint="eastAsia" w:ascii="仿宋" w:hAnsi="仿宋" w:eastAsia="仿宋" w:cs="仿宋"/>
          <w:color w:val="000000"/>
          <w:spacing w:val="-2"/>
          <w:sz w:val="32"/>
          <w:szCs w:val="32"/>
        </w:rPr>
        <w:t>增加7.19万元，增加8.74%，</w:t>
      </w:r>
      <w:r>
        <w:rPr>
          <w:rFonts w:hint="eastAsia" w:ascii="仿宋" w:hAnsi="仿宋" w:eastAsia="仿宋" w:cs="仿宋"/>
          <w:spacing w:val="-2"/>
          <w:sz w:val="32"/>
          <w:szCs w:val="32"/>
        </w:rPr>
        <w:t>主要原因</w:t>
      </w:r>
      <w:r>
        <w:rPr>
          <w:rFonts w:hint="eastAsia" w:ascii="仿宋" w:hAnsi="仿宋" w:eastAsia="仿宋" w:cs="仿宋"/>
          <w:bCs/>
          <w:sz w:val="32"/>
        </w:rPr>
        <w:t>是</w:t>
      </w:r>
      <w:r>
        <w:rPr>
          <w:rFonts w:hint="eastAsia" w:ascii="仿宋" w:hAnsi="仿宋" w:eastAsia="仿宋" w:cs="仿宋"/>
          <w:bCs/>
          <w:sz w:val="32"/>
          <w:szCs w:val="32"/>
        </w:rPr>
        <w:t>本年调资及晋档晋级、增加了人员经费和保险等。</w:t>
      </w:r>
    </w:p>
    <w:p>
      <w:pPr>
        <w:snapToGrid w:val="0"/>
        <w:spacing w:line="520" w:lineRule="exact"/>
        <w:rPr>
          <w:rFonts w:ascii="仿宋" w:eastAsia="仿宋"/>
          <w:b/>
          <w:color w:val="000000"/>
          <w:sz w:val="32"/>
          <w:szCs w:val="32"/>
        </w:rPr>
      </w:pPr>
      <w:bookmarkStart w:id="35" w:name="_Toc15377211"/>
      <w:r>
        <w:rPr>
          <w:rFonts w:hint="eastAsia" w:ascii="仿宋" w:eastAsia="仿宋"/>
          <w:color w:val="000000"/>
          <w:sz w:val="32"/>
          <w:szCs w:val="32"/>
        </w:rPr>
        <w:t xml:space="preserve">   </w:t>
      </w:r>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20年一般公共预算财政拨款支出82.26万元，主要用于以下方面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支出0万元，占0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支出72.99万元，占88.73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3.38万元，占4.11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5.89万元，占7.16</w:t>
      </w:r>
      <w:r>
        <w:rPr>
          <w:rFonts w:ascii="仿宋" w:eastAsia="仿宋"/>
          <w:color w:val="000000"/>
          <w:sz w:val="32"/>
          <w:szCs w:val="32"/>
        </w:rPr>
        <w:t>%</w:t>
      </w:r>
      <w:r>
        <w:rPr>
          <w:rFonts w:hint="eastAsia" w:ascii="仿宋" w:eastAsia="仿宋"/>
          <w:color w:val="000000"/>
          <w:sz w:val="32"/>
          <w:szCs w:val="32"/>
        </w:rPr>
        <w:t>。</w:t>
      </w:r>
    </w:p>
    <w:p>
      <w:pPr>
        <w:spacing w:line="600" w:lineRule="exact"/>
        <w:outlineLvl w:val="2"/>
        <w:rPr>
          <w:rFonts w:ascii="仿宋" w:eastAsia="仿宋"/>
          <w:b/>
          <w:color w:val="000000"/>
          <w:sz w:val="32"/>
          <w:szCs w:val="32"/>
        </w:rPr>
      </w:pPr>
      <w:bookmarkStart w:id="36" w:name="_Toc15377213"/>
      <w:bookmarkStart w:id="37" w:name="_Toc15378460"/>
      <w:bookmarkStart w:id="38" w:name="_Toc15377444"/>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2020年一般公共预算数为82.26万元，支出决算数为82.26万元，完</w:t>
      </w:r>
      <w:r>
        <w:rPr>
          <w:rStyle w:val="14"/>
          <w:rFonts w:hint="eastAsia" w:ascii="仿宋" w:eastAsia="仿宋"/>
          <w:b w:val="0"/>
          <w:bCs/>
          <w:color w:val="000000"/>
          <w:sz w:val="32"/>
          <w:szCs w:val="32"/>
        </w:rPr>
        <w:t>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1.一般公共服务（类）红十字事业（款）行政运行（项）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支出决算为63.75万元，完成预算100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rPr>
        <w:t>一般公共服务（类）政府办公厅（室）及相关机构事务（款）一般行政管理事务（项）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支出决算为0万元，完成预算0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。结转下年0万元，主要为：无</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支出决算为6.16万元，完成预算100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支出决算为3.08万元，完成预算100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5.卫生健康支出（类）行政事业单位医疗（款）行政单位医疗（项）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支出决算为2.7万元，完成预算100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6.卫生健康支出（类）行政事业单位医疗（款）公务员医疗补助（项）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支出决算为0.68万元，完成预算100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Cs/>
          <w:color w:val="000000"/>
          <w:sz w:val="32"/>
          <w:szCs w:val="32"/>
        </w:rPr>
      </w:pPr>
      <w:bookmarkStart w:id="40" w:name="_Toc15377214"/>
      <w:bookmarkStart w:id="41" w:name="_Toc15396608"/>
      <w:r>
        <w:rPr>
          <w:rStyle w:val="14"/>
          <w:rFonts w:hint="eastAsia" w:ascii="仿宋" w:eastAsia="仿宋"/>
          <w:bCs/>
          <w:color w:val="000000"/>
          <w:sz w:val="32"/>
          <w:szCs w:val="32"/>
        </w:rPr>
        <w:t>7.住房保障（类）住房改革支出（款）住房公积金（项）：</w:t>
      </w:r>
      <w:r>
        <w:rPr>
          <w:rStyle w:val="14"/>
          <w:rFonts w:hint="eastAsia" w:ascii="仿宋" w:eastAsia="仿宋"/>
          <w:b w:val="0"/>
          <w:bCs/>
          <w:color w:val="000000"/>
          <w:sz w:val="32"/>
          <w:szCs w:val="32"/>
        </w:rPr>
        <w:t>支出决算为5.89万元，完成预算100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20年一般公共预算财政拨款基本支出82.26万元，其中：</w:t>
      </w:r>
    </w:p>
    <w:p>
      <w:pPr>
        <w:spacing w:line="5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69.39万元，主要包括：基本工资18.13万元、津贴补贴20.46万元、奖金1.53万元、机关事业单位基本养老保险缴费6.16万元、职业年金缴费3.08万元、职工基本医疗保险缴费2.7万元、公务员医疗补助缴费0.68万元、其他社会保障缴费0.46万元、其他工资福利支出0万元、生活补助0万元、抚恤金0万元、住房公积金5.89万元、其他对个人和家庭的补助支出10.3万元等。</w:t>
      </w:r>
    </w:p>
    <w:p>
      <w:pPr>
        <w:spacing w:line="500" w:lineRule="exact"/>
        <w:ind w:firstLine="645"/>
        <w:rPr>
          <w:rFonts w:ascii="仿宋" w:eastAsia="仿宋"/>
          <w:color w:val="000000"/>
          <w:sz w:val="32"/>
          <w:szCs w:val="32"/>
        </w:rPr>
      </w:pPr>
      <w:r>
        <w:rPr>
          <w:rFonts w:hint="eastAsia" w:ascii="仿宋" w:eastAsia="仿宋"/>
          <w:color w:val="000000"/>
          <w:sz w:val="32"/>
          <w:szCs w:val="32"/>
        </w:rPr>
        <w:t>　　公用经费12.47万元，主要包括：办公费4.17万元、手续费0万元、水费0万元、电费0.35万元、邮电费0.25万元、物业管理费0万元、差旅费2.6万元、</w:t>
      </w:r>
      <w:r>
        <w:rPr>
          <w:rFonts w:hint="eastAsia" w:ascii="仿宋_GB2312" w:eastAsia="仿宋_GB2312"/>
          <w:sz w:val="30"/>
          <w:szCs w:val="30"/>
        </w:rPr>
        <w:t>劳务费4</w:t>
      </w:r>
      <w:r>
        <w:rPr>
          <w:rFonts w:hint="eastAsia" w:ascii="仿宋_GB2312" w:hAnsi="仿宋_GB2312" w:eastAsia="仿宋_GB2312" w:cs="仿宋_GB2312"/>
          <w:bCs/>
          <w:sz w:val="30"/>
          <w:szCs w:val="30"/>
        </w:rPr>
        <w:t>万</w:t>
      </w:r>
      <w:r>
        <w:rPr>
          <w:rFonts w:hint="eastAsia" w:ascii="仿宋_GB2312" w:eastAsia="仿宋_GB2312"/>
          <w:sz w:val="30"/>
          <w:szCs w:val="30"/>
        </w:rPr>
        <w:t>元、</w:t>
      </w:r>
      <w:r>
        <w:rPr>
          <w:rFonts w:hint="eastAsia" w:ascii="仿宋" w:eastAsia="仿宋"/>
          <w:color w:val="000000"/>
          <w:sz w:val="32"/>
          <w:szCs w:val="32"/>
        </w:rPr>
        <w:t>因公出国（境）费用0万元、维修（护）费0万元、租赁费0万元、会议费0万元、培训费0万元、公务接待费0万元、福利费0万元、公务用车运行维护费0万元、</w:t>
      </w:r>
      <w:r>
        <w:rPr>
          <w:rFonts w:hint="eastAsia" w:ascii="仿宋_GB2312" w:eastAsia="仿宋_GB2312"/>
          <w:sz w:val="30"/>
          <w:szCs w:val="30"/>
        </w:rPr>
        <w:t>其他交通费用1.1万元、</w:t>
      </w:r>
      <w:r>
        <w:rPr>
          <w:rFonts w:hint="eastAsia" w:ascii="仿宋" w:eastAsia="仿宋"/>
          <w:color w:val="000000"/>
          <w:sz w:val="32"/>
          <w:szCs w:val="32"/>
        </w:rPr>
        <w:t>其他商品和服务支出0万元、办公设备购置0万元、无形资产购置0万元等。</w:t>
      </w:r>
    </w:p>
    <w:p>
      <w:pPr>
        <w:spacing w:line="600" w:lineRule="exact"/>
        <w:ind w:firstLine="640" w:firstLineChars="200"/>
        <w:outlineLvl w:val="1"/>
        <w:rPr>
          <w:rStyle w:val="17"/>
          <w:rFonts w:asci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20年“三公”经费财政拨款支出决算为0万元，完成预算0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；公务用车购置及运行维护费支出决算0万元，占0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2"/>
        </w:numPr>
        <w:spacing w:line="600" w:lineRule="exact"/>
        <w:ind w:firstLine="640"/>
        <w:rPr>
          <w:rFonts w:ascii="仿宋" w:hAnsi="仿宋" w:eastAsia="仿宋" w:cs="仿宋"/>
          <w:color w:val="000000"/>
          <w:sz w:val="32"/>
          <w:szCs w:val="32"/>
        </w:rPr>
      </w:pPr>
      <w:r>
        <w:rPr>
          <w:rFonts w:hint="eastAsia" w:ascii="仿宋_GB2312" w:eastAsia="仿宋_GB2312"/>
          <w:b/>
          <w:color w:val="000000"/>
          <w:sz w:val="32"/>
          <w:szCs w:val="32"/>
        </w:rPr>
        <w:t>因公出国（境）经费支出</w:t>
      </w:r>
      <w:r>
        <w:rPr>
          <w:rFonts w:hint="eastAsia" w:ascii="仿宋" w:hAnsi="仿宋" w:eastAsia="仿宋" w:cs="仿宋"/>
          <w:color w:val="000000"/>
          <w:sz w:val="32"/>
          <w:szCs w:val="32"/>
        </w:rPr>
        <w:t>0万元，</w:t>
      </w:r>
      <w:r>
        <w:rPr>
          <w:rStyle w:val="14"/>
          <w:rFonts w:hint="eastAsia" w:ascii="仿宋" w:hAnsi="仿宋" w:eastAsia="仿宋" w:cs="仿宋"/>
          <w:b w:val="0"/>
          <w:bCs/>
          <w:color w:val="000000"/>
          <w:sz w:val="32"/>
          <w:szCs w:val="32"/>
        </w:rPr>
        <w:t>完成预算0%。</w:t>
      </w:r>
      <w:r>
        <w:rPr>
          <w:rFonts w:hint="eastAsia" w:ascii="仿宋" w:hAnsi="仿宋" w:eastAsia="仿宋" w:cs="仿宋"/>
          <w:sz w:val="32"/>
          <w:szCs w:val="32"/>
        </w:rPr>
        <w:t>全年安排因公出国（境）团组0次，出国（境）0人。因</w:t>
      </w:r>
      <w:r>
        <w:rPr>
          <w:rFonts w:hint="eastAsia" w:ascii="仿宋" w:hAnsi="仿宋" w:eastAsia="仿宋" w:cs="仿宋"/>
          <w:color w:val="000000"/>
          <w:sz w:val="32"/>
          <w:szCs w:val="32"/>
        </w:rPr>
        <w:t>公出国（境）支出决算比2019年增加0万元，增加原因  无。</w:t>
      </w:r>
    </w:p>
    <w:p>
      <w:pPr>
        <w:spacing w:line="600" w:lineRule="exact"/>
        <w:ind w:firstLine="643" w:firstLineChars="200"/>
        <w:rPr>
          <w:rFonts w:ascii="仿宋" w:hAnsi="仿宋" w:eastAsia="仿宋" w:cs="仿宋"/>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hAnsi="仿宋" w:eastAsia="仿宋" w:cs="仿宋"/>
          <w:color w:val="000000"/>
          <w:sz w:val="32"/>
          <w:szCs w:val="32"/>
        </w:rPr>
        <w:t>0万元,</w:t>
      </w:r>
      <w:r>
        <w:rPr>
          <w:rStyle w:val="14"/>
          <w:rFonts w:hint="eastAsia" w:ascii="仿宋" w:hAnsi="仿宋" w:eastAsia="仿宋" w:cs="仿宋"/>
          <w:b w:val="0"/>
          <w:bCs/>
          <w:color w:val="000000"/>
          <w:sz w:val="32"/>
          <w:szCs w:val="32"/>
        </w:rPr>
        <w:t>完成预算0%。</w:t>
      </w:r>
      <w:r>
        <w:rPr>
          <w:rFonts w:hint="eastAsia" w:ascii="仿宋" w:hAnsi="仿宋" w:eastAsia="仿宋" w:cs="仿宋"/>
          <w:color w:val="000000"/>
          <w:sz w:val="32"/>
          <w:szCs w:val="32"/>
        </w:rPr>
        <w:t>公务用车购置及运行维护费支出决算比2019年增加0万元，</w:t>
      </w:r>
      <w:r>
        <w:rPr>
          <w:rFonts w:hint="eastAsia" w:ascii="仿宋" w:hAnsi="仿宋" w:eastAsia="仿宋" w:cs="仿宋"/>
          <w:sz w:val="32"/>
          <w:szCs w:val="32"/>
        </w:rPr>
        <w:t>上升0%。</w:t>
      </w:r>
      <w:r>
        <w:rPr>
          <w:rFonts w:hint="eastAsia" w:ascii="仿宋" w:hAnsi="仿宋" w:eastAsia="仿宋" w:cs="仿宋"/>
          <w:color w:val="000000"/>
          <w:sz w:val="32"/>
          <w:szCs w:val="32"/>
        </w:rPr>
        <w:t>增加原因  无。</w:t>
      </w:r>
    </w:p>
    <w:p>
      <w:pPr>
        <w:autoSpaceDE w:val="0"/>
        <w:autoSpaceDN w:val="0"/>
        <w:adjustRightInd w:val="0"/>
        <w:spacing w:line="600" w:lineRule="exact"/>
        <w:ind w:firstLine="640" w:firstLineChars="200"/>
        <w:jc w:val="left"/>
        <w:rPr>
          <w:rFonts w:ascii="仿宋" w:hAnsi="仿宋" w:eastAsia="仿宋" w:cs="仿宋"/>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w:t>
      </w:r>
      <w:r>
        <w:rPr>
          <w:rFonts w:hint="eastAsia" w:ascii="仿宋" w:hAnsi="仿宋" w:eastAsia="仿宋" w:cs="仿宋"/>
          <w:color w:val="000000"/>
          <w:sz w:val="32"/>
          <w:szCs w:val="32"/>
        </w:rPr>
        <w:t>万元。全年按规定更新购置公务用车0辆。截至2020年12月31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s="仿宋"/>
          <w:sz w:val="32"/>
          <w:szCs w:val="32"/>
        </w:rPr>
        <w:t>0万元。</w:t>
      </w:r>
      <w:r>
        <w:rPr>
          <w:rFonts w:hint="eastAsia" w:ascii="仿宋" w:hAnsi="仿宋" w:eastAsia="仿宋" w:cs="仿宋"/>
          <w:color w:val="000000"/>
          <w:sz w:val="32"/>
          <w:szCs w:val="32"/>
        </w:rPr>
        <w:t>主要用我单位所需的公务用车燃料费、维修费、过路过桥费、保险费等支出。</w:t>
      </w:r>
    </w:p>
    <w:p>
      <w:pPr>
        <w:numPr>
          <w:ilvl w:val="0"/>
          <w:numId w:val="3"/>
        </w:numPr>
        <w:spacing w:line="600" w:lineRule="exact"/>
        <w:ind w:firstLine="640"/>
        <w:rPr>
          <w:rFonts w:ascii="仿宋" w:hAnsi="仿宋" w:eastAsia="仿宋"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w:t>
      </w:r>
      <w:r>
        <w:rPr>
          <w:rFonts w:hint="eastAsia" w:ascii="仿宋" w:hAnsi="仿宋" w:eastAsia="仿宋" w:cs="仿宋"/>
          <w:color w:val="000000"/>
          <w:sz w:val="32"/>
          <w:szCs w:val="32"/>
        </w:rPr>
        <w:t>0万元，较上年减少0万元，减少0%。</w:t>
      </w:r>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主要用于执行公务、开展业务活动开支的交通费、住宿费、用餐费等。国内公务接待0批次，0人次，共计支出0万元。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7"/>
          <w:rFonts w:ascii="黑体" w:eastAsia="黑体"/>
          <w:b w:val="0"/>
        </w:rPr>
      </w:pPr>
      <w:bookmarkStart w:id="48" w:name="_Toc15377219"/>
      <w:bookmarkStart w:id="49" w:name="_Toc15396611"/>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5"/>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6"/>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0个项目编制了绩效目标，预算执行过程中，选取0个项目开展绩效监控，年终执行完毕后，对0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经全面综合评价，我单位预算支出绩效自评得分92</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w:t>
      </w:r>
    </w:p>
    <w:p>
      <w:pPr>
        <w:numPr>
          <w:ilvl w:val="0"/>
          <w:numId w:val="6"/>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6"/>
        </w:numPr>
        <w:spacing w:line="58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本部门在2020年度部门决算中没有项目。</w:t>
      </w:r>
    </w:p>
    <w:p>
      <w:pPr>
        <w:numPr>
          <w:ilvl w:val="0"/>
          <w:numId w:val="6"/>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《金川县红十字会2021年部门预算整体支出绩效评价报告》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7"/>
          <w:rFonts w:ascii="黑体" w:eastAsia="黑体"/>
        </w:rPr>
      </w:pPr>
      <w:bookmarkStart w:id="50" w:name="_Toc15396612"/>
      <w:bookmarkStart w:id="51"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20年，金川县红十字会机关运行经费支出12.47万元，比</w:t>
      </w:r>
      <w:r>
        <w:rPr>
          <w:rFonts w:ascii="仿宋_GB2312" w:eastAsia="仿宋_GB2312"/>
          <w:color w:val="000000"/>
          <w:sz w:val="32"/>
          <w:szCs w:val="32"/>
        </w:rPr>
        <w:t>201</w:t>
      </w:r>
      <w:r>
        <w:rPr>
          <w:rFonts w:hint="eastAsia" w:ascii="仿宋_GB2312" w:eastAsia="仿宋_GB2312"/>
          <w:color w:val="000000"/>
          <w:sz w:val="32"/>
          <w:szCs w:val="32"/>
        </w:rPr>
        <w:t>9年增加5.79万元，上升86.68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 w:eastAsia="仿宋_GB2312" w:cs="仿宋"/>
          <w:bCs/>
          <w:color w:val="000000"/>
          <w:sz w:val="32"/>
          <w:szCs w:val="32"/>
        </w:rPr>
        <w:t>主要是因为追加经费，小单位统一调增</w:t>
      </w:r>
      <w:r>
        <w:rPr>
          <w:rFonts w:hint="eastAsia" w:ascii="仿宋_GB2312" w:hAnsi="仿宋" w:eastAsia="仿宋_GB2312" w:cs="仿宋"/>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_GB2312"/>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20年，政府采购支出总额0万元，其中：政府采购货物支出0万元、政府采购服务支出0万元。</w:t>
      </w:r>
      <w:r>
        <w:rPr>
          <w:rFonts w:hint="eastAsia" w:ascii="仿宋_GB2312" w:eastAsia="仿宋_GB2312"/>
          <w:sz w:val="32"/>
          <w:szCs w:val="32"/>
        </w:rPr>
        <w:t>主要原因 无。</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日，共有车辆0辆，为日常工作及应急保障用车。</w:t>
      </w: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6"/>
          <w:rFonts w:ascii="黑体" w:eastAsia="黑体"/>
          <w:b w:val="0"/>
        </w:rPr>
      </w:pPr>
      <w:bookmarkStart w:id="55" w:name="_Toc15396613"/>
      <w:bookmarkStart w:id="56" w:name="_Toc15377225"/>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bookmarkStart w:id="74" w:name="_GoBack"/>
      <w:bookmarkEnd w:id="74"/>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pStyle w:val="3"/>
        <w:rPr>
          <w:rStyle w:val="16"/>
          <w:rFonts w:ascii="仿宋" w:eastAsia="仿宋"/>
          <w:b w:val="0"/>
          <w:bCs w:val="0"/>
          <w:sz w:val="32"/>
          <w:szCs w:val="32"/>
        </w:rPr>
      </w:pPr>
      <w:bookmarkStart w:id="59" w:name="_Toc15396615"/>
    </w:p>
    <w:p>
      <w:pPr>
        <w:pStyle w:val="3"/>
        <w:rPr>
          <w:rStyle w:val="16"/>
          <w:rFonts w:ascii="仿宋" w:eastAsia="仿宋"/>
          <w:b w:val="0"/>
          <w:bCs w:val="0"/>
          <w:sz w:val="32"/>
          <w:szCs w:val="32"/>
        </w:rPr>
      </w:pPr>
    </w:p>
    <w:p>
      <w:pPr>
        <w:pStyle w:val="3"/>
        <w:rPr>
          <w:rStyle w:val="16"/>
          <w:rFonts w:ascii="仿宋" w:eastAsia="仿宋"/>
          <w:b w:val="0"/>
          <w:bCs w:val="0"/>
          <w:sz w:val="32"/>
          <w:szCs w:val="32"/>
        </w:rPr>
      </w:pPr>
    </w:p>
    <w:p>
      <w:pPr>
        <w:rPr>
          <w:rStyle w:val="16"/>
          <w:rFonts w:ascii="仿宋" w:eastAsia="仿宋"/>
          <w:b w:val="0"/>
          <w:bCs w:val="0"/>
          <w:sz w:val="32"/>
          <w:szCs w:val="32"/>
        </w:rPr>
      </w:pPr>
    </w:p>
    <w:p>
      <w:pPr>
        <w:rPr>
          <w:rStyle w:val="16"/>
          <w:rFonts w:ascii="仿宋" w:eastAsia="仿宋"/>
          <w:b w:val="0"/>
          <w:bCs w:val="0"/>
          <w:sz w:val="32"/>
          <w:szCs w:val="32"/>
        </w:rPr>
      </w:pPr>
    </w:p>
    <w:p>
      <w:pPr>
        <w:pStyle w:val="3"/>
        <w:rPr>
          <w:rStyle w:val="16"/>
          <w:rFonts w:ascii="仿宋" w:eastAsia="仿宋"/>
          <w:b w:val="0"/>
          <w:bCs w:val="0"/>
          <w:sz w:val="32"/>
          <w:szCs w:val="32"/>
        </w:rPr>
      </w:pPr>
      <w:r>
        <w:rPr>
          <w:rStyle w:val="16"/>
          <w:rFonts w:hint="eastAsia" w:ascii="仿宋" w:eastAsia="仿宋"/>
          <w:b w:val="0"/>
          <w:bCs w:val="0"/>
          <w:sz w:val="32"/>
          <w:szCs w:val="32"/>
        </w:rPr>
        <w:t>附件1</w:t>
      </w:r>
      <w:bookmarkEnd w:id="59"/>
    </w:p>
    <w:p>
      <w:pPr>
        <w:numPr>
          <w:ilvl w:val="0"/>
          <w:numId w:val="7"/>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bookmarkEnd w:id="57"/>
    </w:p>
    <w:p>
      <w:pPr>
        <w:outlineLvl w:val="0"/>
        <w:rPr>
          <w:rStyle w:val="16"/>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金川县红十字会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2021年部门整体支出绩效评价报告</w:t>
      </w:r>
    </w:p>
    <w:p>
      <w:pPr>
        <w:ind w:firstLine="640" w:firstLineChars="200"/>
        <w:rPr>
          <w:rFonts w:ascii="仿宋_GB2312" w:eastAsia="仿宋_GB2312"/>
          <w:sz w:val="32"/>
          <w:szCs w:val="32"/>
        </w:rPr>
      </w:pPr>
    </w:p>
    <w:p>
      <w:pPr>
        <w:widowControl/>
        <w:spacing w:line="560" w:lineRule="exact"/>
        <w:ind w:firstLine="730" w:firstLineChars="250"/>
        <w:rPr>
          <w:rFonts w:ascii="楷体_GB2312" w:hAnsi="宋体" w:eastAsia="仿宋_GB2312" w:cs="宋体"/>
          <w:color w:val="000000"/>
          <w:spacing w:val="-14"/>
          <w:kern w:val="0"/>
          <w:sz w:val="32"/>
          <w:szCs w:val="32"/>
        </w:rPr>
      </w:pPr>
      <w:r>
        <w:rPr>
          <w:rFonts w:hint="eastAsia" w:ascii="楷体_GB2312" w:hAnsi="宋体" w:eastAsia="仿宋_GB2312" w:cs="宋体"/>
          <w:color w:val="000000"/>
          <w:spacing w:val="-14"/>
          <w:kern w:val="0"/>
          <w:sz w:val="32"/>
          <w:szCs w:val="32"/>
        </w:rPr>
        <w:t>根据</w:t>
      </w:r>
      <w:r>
        <w:rPr>
          <w:rFonts w:hint="eastAsia" w:ascii="仿宋_GB2312" w:eastAsia="仿宋_GB2312"/>
          <w:sz w:val="32"/>
          <w:szCs w:val="32"/>
        </w:rPr>
        <w:t>《金川县财政局关于开展</w:t>
      </w:r>
      <w:r>
        <w:rPr>
          <w:rFonts w:ascii="仿宋_GB2312" w:eastAsia="仿宋_GB2312"/>
          <w:sz w:val="32"/>
          <w:szCs w:val="32"/>
        </w:rPr>
        <w:t>20</w:t>
      </w:r>
      <w:r>
        <w:rPr>
          <w:rFonts w:hint="eastAsia" w:ascii="仿宋_GB2312" w:eastAsia="仿宋_GB2312"/>
          <w:sz w:val="32"/>
          <w:szCs w:val="32"/>
        </w:rPr>
        <w:t>21年部门、政策和项目支出绩效评价工作的通知》（金财监绩〔</w:t>
      </w:r>
      <w:r>
        <w:rPr>
          <w:rFonts w:ascii="仿宋_GB2312" w:eastAsia="仿宋_GB2312"/>
          <w:sz w:val="32"/>
          <w:szCs w:val="32"/>
        </w:rPr>
        <w:t>20</w:t>
      </w:r>
      <w:r>
        <w:rPr>
          <w:rFonts w:hint="eastAsia" w:ascii="仿宋_GB2312" w:eastAsia="仿宋_GB2312"/>
          <w:sz w:val="32"/>
          <w:szCs w:val="32"/>
        </w:rPr>
        <w:t>21〕</w:t>
      </w:r>
      <w:r>
        <w:rPr>
          <w:rFonts w:hint="eastAsia" w:ascii="宋体" w:hAnsi="宋体" w:eastAsia="仿宋_GB2312" w:cs="宋体"/>
          <w:sz w:val="32"/>
          <w:szCs w:val="32"/>
        </w:rPr>
        <w:t>26</w:t>
      </w:r>
      <w:r>
        <w:rPr>
          <w:rFonts w:hint="eastAsia" w:ascii="宋体" w:hAnsi="宋体" w:cs="宋体"/>
          <w:sz w:val="32"/>
          <w:szCs w:val="32"/>
        </w:rPr>
        <w:t>号</w:t>
      </w:r>
      <w:r>
        <w:rPr>
          <w:rFonts w:hint="eastAsia" w:ascii="仿宋_GB2312" w:eastAsia="仿宋_GB2312"/>
          <w:sz w:val="32"/>
          <w:szCs w:val="32"/>
        </w:rPr>
        <w:t>）文件要求，为深入贯彻落实《预算法》和《国务院关于深入预算管理制度改革的决定》（国发〔</w:t>
      </w:r>
      <w:r>
        <w:rPr>
          <w:rFonts w:ascii="仿宋_GB2312" w:eastAsia="仿宋_GB2312"/>
          <w:sz w:val="32"/>
          <w:szCs w:val="32"/>
        </w:rPr>
        <w:t>2015</w:t>
      </w:r>
      <w:r>
        <w:rPr>
          <w:rFonts w:hint="eastAsia" w:ascii="仿宋_GB2312" w:eastAsia="仿宋_GB2312"/>
          <w:sz w:val="32"/>
          <w:szCs w:val="32"/>
        </w:rPr>
        <w:t>〕</w:t>
      </w:r>
      <w:r>
        <w:rPr>
          <w:rFonts w:ascii="宋体" w:hAnsi="宋体" w:cs="宋体"/>
          <w:sz w:val="32"/>
          <w:szCs w:val="32"/>
        </w:rPr>
        <w:t>45</w:t>
      </w:r>
      <w:r>
        <w:rPr>
          <w:rFonts w:hint="eastAsia" w:ascii="宋体" w:hAnsi="宋体" w:cs="宋体"/>
          <w:sz w:val="32"/>
          <w:szCs w:val="32"/>
        </w:rPr>
        <w:t>号</w:t>
      </w:r>
      <w:r>
        <w:rPr>
          <w:rFonts w:hint="eastAsia" w:ascii="仿宋_GB2312" w:eastAsia="仿宋_GB2312"/>
          <w:sz w:val="32"/>
          <w:szCs w:val="32"/>
        </w:rPr>
        <w:t>）文件精神，结合本单位的实际，认真开展部门预算支出绩效自评工作，现将</w:t>
      </w:r>
      <w:r>
        <w:rPr>
          <w:rFonts w:ascii="仿宋_GB2312" w:eastAsia="仿宋_GB2312"/>
          <w:sz w:val="32"/>
          <w:szCs w:val="32"/>
        </w:rPr>
        <w:t>20</w:t>
      </w:r>
      <w:r>
        <w:rPr>
          <w:rFonts w:hint="eastAsia" w:ascii="仿宋_GB2312" w:eastAsia="仿宋_GB2312"/>
          <w:sz w:val="32"/>
          <w:szCs w:val="32"/>
        </w:rPr>
        <w:t>20年和</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1-6</w:t>
      </w:r>
      <w:r>
        <w:rPr>
          <w:rFonts w:hint="eastAsia" w:ascii="仿宋_GB2312" w:eastAsia="仿宋_GB2312"/>
          <w:sz w:val="32"/>
          <w:szCs w:val="32"/>
        </w:rPr>
        <w:t>月部门预算支出绩效自评工作报告如下：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spacing w:line="560" w:lineRule="exact"/>
        <w:ind w:firstLine="480" w:firstLineChars="150"/>
        <w:rPr>
          <w:rFonts w:ascii="楷体_GB2312" w:hAnsi="宋体" w:eastAsia="仿宋_GB2312" w:cs="宋体"/>
          <w:color w:val="000000"/>
          <w:spacing w:val="-14"/>
          <w:kern w:val="0"/>
          <w:sz w:val="32"/>
          <w:szCs w:val="32"/>
        </w:rPr>
      </w:pPr>
      <w:r>
        <w:rPr>
          <w:rFonts w:hint="eastAsia" w:ascii="仿宋_GB2312" w:hAnsi="新宋体" w:eastAsia="仿宋_GB2312" w:cs="宋体"/>
          <w:color w:val="000000"/>
          <w:kern w:val="0"/>
          <w:sz w:val="32"/>
          <w:szCs w:val="32"/>
        </w:rPr>
        <w:t>县红十字会是</w:t>
      </w:r>
      <w:r>
        <w:rPr>
          <w:rFonts w:ascii="仿宋_GB2312" w:hAnsi="新宋体" w:eastAsia="仿宋_GB2312" w:cs="宋体"/>
          <w:color w:val="000000"/>
          <w:kern w:val="0"/>
          <w:sz w:val="32"/>
          <w:szCs w:val="32"/>
        </w:rPr>
        <w:t>1</w:t>
      </w:r>
      <w:r>
        <w:rPr>
          <w:rFonts w:hint="eastAsia" w:ascii="仿宋_GB2312" w:hAnsi="新宋体" w:eastAsia="仿宋_GB2312" w:cs="宋体"/>
          <w:color w:val="000000"/>
          <w:kern w:val="0"/>
          <w:sz w:val="32"/>
          <w:szCs w:val="32"/>
        </w:rPr>
        <w:t>个独立核算机构的参公事业单位。</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widowControl/>
        <w:spacing w:line="360" w:lineRule="auto"/>
        <w:ind w:firstLine="640" w:firstLineChars="200"/>
        <w:jc w:val="left"/>
        <w:rPr>
          <w:rFonts w:ascii="仿宋_GB2312" w:hAnsi="宋体" w:eastAsia="仿宋_GB2312" w:cs="宋体"/>
          <w:color w:val="000000"/>
          <w:kern w:val="0"/>
          <w:lang w:val="zh-CN"/>
        </w:rPr>
      </w:pPr>
      <w:r>
        <w:rPr>
          <w:rFonts w:hint="eastAsia" w:ascii="仿宋_GB2312" w:hAnsi="仿宋_GB2312" w:eastAsia="仿宋_GB2312" w:cs="仿宋_GB2312"/>
          <w:color w:val="000000"/>
          <w:kern w:val="0"/>
          <w:sz w:val="32"/>
          <w:szCs w:val="32"/>
        </w:rPr>
        <w:t>根据</w:t>
      </w:r>
      <w:r>
        <w:rPr>
          <w:rFonts w:hint="eastAsia" w:ascii="仿宋_GB2312" w:hAnsi="仿宋_GB2312" w:eastAsia="仿宋_GB2312" w:cs="仿宋_GB2312"/>
          <w:color w:val="000000"/>
          <w:sz w:val="32"/>
          <w:szCs w:val="32"/>
        </w:rPr>
        <w:t>《中华人民共和国红十字会法》、</w:t>
      </w:r>
      <w:r>
        <w:rPr>
          <w:rFonts w:hint="eastAsia" w:ascii="仿宋_GB2312" w:hAnsi="仿宋_GB2312" w:eastAsia="仿宋_GB2312" w:cs="仿宋_GB2312"/>
          <w:color w:val="000000"/>
          <w:sz w:val="32"/>
          <w:szCs w:val="32"/>
          <w:shd w:val="clear" w:color="auto" w:fill="FFFFFF"/>
        </w:rPr>
        <w:t>《中国红十字章程》</w:t>
      </w:r>
      <w:r>
        <w:rPr>
          <w:rFonts w:hint="eastAsia" w:ascii="仿宋_GB2312" w:hAnsi="仿宋_GB2312" w:eastAsia="仿宋_GB2312" w:cs="仿宋_GB2312"/>
          <w:color w:val="000000"/>
          <w:sz w:val="32"/>
          <w:szCs w:val="32"/>
        </w:rPr>
        <w:t>以及党和国家有关红十字会工作的方针、政策、法规</w:t>
      </w:r>
      <w:r>
        <w:rPr>
          <w:rFonts w:hint="eastAsia" w:ascii="仿宋_GB2312" w:hAnsi="仿宋_GB2312" w:eastAsia="仿宋_GB2312" w:cs="仿宋_GB2312"/>
          <w:color w:val="000000"/>
          <w:kern w:val="0"/>
          <w:sz w:val="32"/>
          <w:szCs w:val="32"/>
        </w:rPr>
        <w:t>文件规定。主要职责是：</w:t>
      </w:r>
      <w:r>
        <w:rPr>
          <w:rFonts w:hint="eastAsia" w:ascii="仿宋_GB2312" w:hAnsi="仿宋_GB2312" w:eastAsia="仿宋_GB2312" w:cs="仿宋_GB2312"/>
          <w:color w:val="000000"/>
          <w:sz w:val="32"/>
          <w:szCs w:val="32"/>
          <w:shd w:val="clear" w:color="auto" w:fill="FFFFFF"/>
        </w:rPr>
        <w:t>以项目建设为抓手，以卫生救护培训为载体，以基层红会组织建设和会员发展为基础，加大宣传力度，充分发挥政府人道事务工作方面的助手作用。</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widowControl/>
        <w:spacing w:line="560" w:lineRule="exact"/>
        <w:ind w:firstLine="640" w:firstLineChars="200"/>
        <w:rPr>
          <w:rFonts w:ascii="楷体_GB2312" w:hAnsi="宋体" w:eastAsia="楷体_GB2312" w:cs="宋体"/>
          <w:b/>
          <w:color w:val="000000"/>
          <w:spacing w:val="-14"/>
          <w:kern w:val="0"/>
          <w:sz w:val="32"/>
          <w:szCs w:val="32"/>
        </w:rPr>
      </w:pPr>
      <w:r>
        <w:rPr>
          <w:rFonts w:hint="eastAsia" w:ascii="仿宋_GB2312" w:hAnsi="仿宋_GB2312" w:eastAsia="仿宋_GB2312" w:cs="仿宋_GB2312"/>
          <w:color w:val="000000"/>
          <w:sz w:val="32"/>
          <w:szCs w:val="32"/>
        </w:rPr>
        <w:t>金川县红十字会是参照公务员法管理的事业单位，独立编制机构数1个，独立核算机构数1个，单位编制数3个。</w:t>
      </w:r>
      <w:r>
        <w:rPr>
          <w:rFonts w:hint="eastAsia" w:ascii="仿宋_GB2312" w:eastAsia="仿宋_GB2312"/>
          <w:sz w:val="32"/>
          <w:szCs w:val="32"/>
        </w:rPr>
        <w:t>截止</w:t>
      </w:r>
      <w:r>
        <w:rPr>
          <w:rFonts w:ascii="仿宋_GB2312" w:eastAsia="仿宋_GB2312"/>
          <w:sz w:val="32"/>
          <w:szCs w:val="32"/>
        </w:rPr>
        <w:t>20</w:t>
      </w:r>
      <w:r>
        <w:rPr>
          <w:rFonts w:hint="eastAsia" w:ascii="仿宋_GB2312" w:eastAsia="仿宋_GB2312"/>
          <w:sz w:val="32"/>
          <w:szCs w:val="32"/>
        </w:rPr>
        <w:t>20年末，单位实有人数4人，其中：参公人员3人，机关工勤1人，与上年末相同。</w:t>
      </w:r>
    </w:p>
    <w:p>
      <w:pPr>
        <w:ind w:firstLine="640" w:firstLineChars="200"/>
        <w:rPr>
          <w:rFonts w:ascii="黑体" w:eastAsia="黑体"/>
          <w:sz w:val="32"/>
          <w:szCs w:val="32"/>
        </w:rPr>
      </w:pPr>
      <w:r>
        <w:rPr>
          <w:rFonts w:hint="eastAsia" w:ascii="黑体" w:eastAsia="黑体"/>
          <w:sz w:val="32"/>
          <w:szCs w:val="32"/>
        </w:rPr>
        <w:t>二、2020年及2021年1-6月财政资金当年收支情况</w:t>
      </w:r>
    </w:p>
    <w:p>
      <w:pPr>
        <w:numPr>
          <w:ilvl w:val="0"/>
          <w:numId w:val="8"/>
        </w:numPr>
        <w:ind w:firstLine="643" w:firstLineChars="200"/>
        <w:rPr>
          <w:rFonts w:ascii="楷体_GB2312" w:eastAsia="楷体_GB2312"/>
          <w:b/>
          <w:sz w:val="32"/>
          <w:szCs w:val="32"/>
        </w:rPr>
      </w:pPr>
      <w:r>
        <w:rPr>
          <w:rFonts w:hint="eastAsia" w:ascii="楷体_GB2312" w:eastAsia="楷体_GB2312"/>
          <w:b/>
          <w:sz w:val="32"/>
          <w:szCs w:val="32"/>
        </w:rPr>
        <w:t>收入情况</w:t>
      </w:r>
    </w:p>
    <w:p>
      <w:pPr>
        <w:widowControl/>
        <w:adjustRightInd w:val="0"/>
        <w:snapToGrid w:val="0"/>
        <w:spacing w:line="560" w:lineRule="exact"/>
        <w:ind w:firstLine="800" w:firstLineChars="25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20年红十字会本年收入合计</w:t>
      </w:r>
      <w:r>
        <w:rPr>
          <w:rFonts w:hint="eastAsia" w:ascii="仿宋" w:hAnsi="仿宋" w:eastAsia="仿宋" w:cs="仿宋"/>
          <w:bCs/>
          <w:sz w:val="32"/>
          <w:szCs w:val="32"/>
        </w:rPr>
        <w:t>82.26</w:t>
      </w:r>
      <w:r>
        <w:rPr>
          <w:rFonts w:hint="eastAsia" w:ascii="仿宋_GB2312" w:eastAsia="仿宋_GB2312"/>
          <w:color w:val="000000"/>
          <w:sz w:val="32"/>
          <w:szCs w:val="32"/>
        </w:rPr>
        <w:t>万元，其中：财政拨款收入</w:t>
      </w:r>
      <w:r>
        <w:rPr>
          <w:rFonts w:hint="eastAsia" w:ascii="仿宋" w:hAnsi="仿宋" w:eastAsia="仿宋" w:cs="仿宋"/>
          <w:bCs/>
          <w:sz w:val="32"/>
          <w:szCs w:val="32"/>
        </w:rPr>
        <w:t>82.26</w:t>
      </w:r>
      <w:r>
        <w:rPr>
          <w:rFonts w:hint="eastAsia" w:ascii="仿宋_GB2312" w:eastAsia="仿宋_GB2312"/>
          <w:color w:val="000000"/>
          <w:sz w:val="32"/>
          <w:szCs w:val="32"/>
        </w:rPr>
        <w:t>万元。包括人员经费是</w:t>
      </w:r>
      <w:r>
        <w:rPr>
          <w:rFonts w:hint="eastAsia" w:ascii="仿宋_GB2312" w:eastAsia="仿宋_GB2312"/>
          <w:color w:val="000000"/>
          <w:sz w:val="30"/>
          <w:szCs w:val="30"/>
        </w:rPr>
        <w:t>69.39</w:t>
      </w:r>
      <w:r>
        <w:rPr>
          <w:rFonts w:hint="eastAsia" w:ascii="仿宋_GB2312" w:eastAsia="仿宋_GB2312"/>
          <w:color w:val="000000"/>
          <w:sz w:val="32"/>
          <w:szCs w:val="32"/>
        </w:rPr>
        <w:t>万元，公务经费是</w:t>
      </w:r>
      <w:r>
        <w:rPr>
          <w:rFonts w:hint="eastAsia" w:ascii="仿宋_GB2312" w:eastAsia="仿宋_GB2312"/>
          <w:color w:val="000000"/>
          <w:sz w:val="30"/>
          <w:szCs w:val="30"/>
        </w:rPr>
        <w:t>12.47</w:t>
      </w:r>
      <w:r>
        <w:rPr>
          <w:rFonts w:hint="eastAsia" w:ascii="仿宋_GB2312" w:eastAsia="仿宋_GB2312"/>
          <w:color w:val="000000"/>
          <w:sz w:val="32"/>
          <w:szCs w:val="32"/>
        </w:rPr>
        <w:t>万元，</w:t>
      </w:r>
      <w:r>
        <w:rPr>
          <w:rFonts w:hint="eastAsia" w:ascii="仿宋_GB2312" w:eastAsia="仿宋_GB2312"/>
          <w:sz w:val="30"/>
          <w:szCs w:val="30"/>
        </w:rPr>
        <w:t>项目支出0.4万元</w:t>
      </w:r>
      <w:r>
        <w:rPr>
          <w:rFonts w:hint="eastAsia" w:ascii="仿宋_GB2312" w:eastAsia="仿宋_GB2312"/>
          <w:color w:val="000000"/>
          <w:sz w:val="32"/>
          <w:szCs w:val="32"/>
        </w:rPr>
        <w:t>。</w:t>
      </w:r>
    </w:p>
    <w:p>
      <w:pPr>
        <w:widowControl/>
        <w:adjustRightInd w:val="0"/>
        <w:snapToGrid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w:t>
      </w:r>
      <w:r>
        <w:rPr>
          <w:rFonts w:hint="eastAsia" w:ascii="仿宋_GB2312" w:eastAsia="仿宋_GB2312"/>
          <w:color w:val="000000"/>
          <w:sz w:val="32"/>
          <w:szCs w:val="32"/>
        </w:rPr>
        <w:t>至</w:t>
      </w:r>
      <w:r>
        <w:rPr>
          <w:rFonts w:ascii="仿宋_GB2312" w:eastAsia="仿宋_GB2312"/>
          <w:color w:val="000000"/>
          <w:sz w:val="32"/>
          <w:szCs w:val="32"/>
        </w:rPr>
        <w:t>6</w:t>
      </w:r>
      <w:r>
        <w:rPr>
          <w:rFonts w:hint="eastAsia" w:ascii="仿宋_GB2312" w:eastAsia="仿宋_GB2312"/>
          <w:color w:val="000000"/>
          <w:sz w:val="32"/>
          <w:szCs w:val="32"/>
        </w:rPr>
        <w:t>月县红十字会收入合计46.53万元，其中：财政拨款收入46.53万元。包括人员经费44.79万元，公务经费1.74万元。</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spacing w:line="560" w:lineRule="exact"/>
        <w:ind w:firstLine="640" w:firstLineChars="200"/>
        <w:rPr>
          <w:color w:val="000000"/>
        </w:rPr>
      </w:pPr>
      <w:r>
        <w:rPr>
          <w:rFonts w:ascii="仿宋_GB2312" w:eastAsia="仿宋_GB2312"/>
          <w:color w:val="000000"/>
          <w:sz w:val="32"/>
          <w:szCs w:val="32"/>
        </w:rPr>
        <w:t>20</w:t>
      </w:r>
      <w:r>
        <w:rPr>
          <w:rFonts w:hint="eastAsia" w:ascii="仿宋_GB2312" w:eastAsia="仿宋_GB2312"/>
          <w:color w:val="000000"/>
          <w:sz w:val="32"/>
          <w:szCs w:val="32"/>
        </w:rPr>
        <w:t>20年县红十字会本年支出合计</w:t>
      </w:r>
      <w:r>
        <w:rPr>
          <w:rFonts w:hint="eastAsia" w:ascii="仿宋" w:hAnsi="仿宋" w:eastAsia="仿宋" w:cs="仿宋"/>
          <w:bCs/>
          <w:sz w:val="32"/>
          <w:szCs w:val="32"/>
        </w:rPr>
        <w:t>82.26</w:t>
      </w:r>
      <w:r>
        <w:rPr>
          <w:rFonts w:hint="eastAsia" w:ascii="仿宋_GB2312" w:eastAsia="仿宋_GB2312"/>
          <w:color w:val="000000"/>
          <w:sz w:val="32"/>
          <w:szCs w:val="32"/>
        </w:rPr>
        <w:t>万元，其中：基本支出</w:t>
      </w:r>
      <w:r>
        <w:rPr>
          <w:rFonts w:hint="eastAsia" w:ascii="仿宋" w:hAnsi="仿宋" w:eastAsia="仿宋" w:cs="仿宋"/>
          <w:bCs/>
          <w:sz w:val="32"/>
          <w:szCs w:val="32"/>
        </w:rPr>
        <w:t>82.26</w:t>
      </w:r>
      <w:r>
        <w:rPr>
          <w:rFonts w:hint="eastAsia" w:ascii="仿宋_GB2312" w:eastAsia="仿宋_GB2312"/>
          <w:color w:val="000000"/>
          <w:sz w:val="32"/>
          <w:szCs w:val="32"/>
        </w:rPr>
        <w:t>万元，占100</w:t>
      </w:r>
      <w:r>
        <w:rPr>
          <w:rFonts w:ascii="仿宋_GB2312" w:eastAsia="仿宋_GB2312"/>
          <w:color w:val="000000"/>
          <w:sz w:val="32"/>
          <w:szCs w:val="32"/>
        </w:rPr>
        <w:t>%</w:t>
      </w:r>
      <w:r>
        <w:rPr>
          <w:rFonts w:hint="eastAsia" w:ascii="仿宋_GB2312" w:eastAsia="仿宋_GB2312"/>
          <w:color w:val="000000"/>
          <w:sz w:val="32"/>
          <w:szCs w:val="32"/>
        </w:rPr>
        <w:t>；财政应返还额度支出0万元，占0</w:t>
      </w:r>
      <w:r>
        <w:rPr>
          <w:rFonts w:ascii="仿宋_GB2312" w:eastAsia="仿宋_GB2312"/>
          <w:color w:val="000000"/>
          <w:sz w:val="32"/>
          <w:szCs w:val="32"/>
        </w:rPr>
        <w:t>%</w:t>
      </w:r>
      <w:r>
        <w:rPr>
          <w:rFonts w:hint="eastAsia" w:ascii="仿宋_GB2312" w:eastAsia="仿宋_GB2312"/>
          <w:color w:val="000000"/>
          <w:sz w:val="32"/>
          <w:szCs w:val="32"/>
        </w:rPr>
        <w:t>。主要用于以下方面</w:t>
      </w:r>
      <w:r>
        <w:rPr>
          <w:rFonts w:ascii="仿宋_GB2312" w:eastAsia="仿宋_GB2312"/>
          <w:color w:val="000000"/>
          <w:sz w:val="32"/>
          <w:szCs w:val="32"/>
        </w:rPr>
        <w:t>:</w:t>
      </w:r>
      <w:r>
        <w:rPr>
          <w:color w:val="000000"/>
        </w:rPr>
        <w:t xml:space="preserve">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红十字行政运行63.35万元，占总支出的77.02</w:t>
      </w:r>
      <w:r>
        <w:rPr>
          <w:rFonts w:ascii="仿宋_GB2312" w:eastAsia="仿宋_GB2312"/>
          <w:color w:val="000000"/>
          <w:sz w:val="32"/>
          <w:szCs w:val="32"/>
        </w:rPr>
        <w:t>%</w:t>
      </w:r>
      <w:r>
        <w:rPr>
          <w:rFonts w:hint="eastAsia" w:ascii="仿宋_GB2312" w:eastAsia="仿宋_GB2312"/>
          <w:color w:val="000000"/>
          <w:sz w:val="32"/>
          <w:szCs w:val="32"/>
        </w:rPr>
        <w:t>。包括了基本工资</w:t>
      </w:r>
      <w:r>
        <w:rPr>
          <w:rFonts w:hint="eastAsia" w:ascii="仿宋_GB2312" w:eastAsia="仿宋_GB2312"/>
          <w:sz w:val="30"/>
          <w:szCs w:val="30"/>
        </w:rPr>
        <w:t>18.13</w:t>
      </w:r>
      <w:r>
        <w:rPr>
          <w:rFonts w:hint="eastAsia" w:ascii="仿宋_GB2312" w:eastAsia="仿宋_GB2312"/>
          <w:color w:val="000000"/>
          <w:sz w:val="32"/>
          <w:szCs w:val="32"/>
        </w:rPr>
        <w:t>万元，津贴补贴</w:t>
      </w:r>
      <w:r>
        <w:rPr>
          <w:rFonts w:hint="eastAsia" w:ascii="仿宋_GB2312" w:eastAsia="仿宋_GB2312"/>
          <w:sz w:val="30"/>
          <w:szCs w:val="30"/>
        </w:rPr>
        <w:t>20.46</w:t>
      </w:r>
      <w:r>
        <w:rPr>
          <w:rFonts w:hint="eastAsia" w:ascii="仿宋_GB2312" w:eastAsia="仿宋_GB2312"/>
          <w:color w:val="000000"/>
          <w:sz w:val="32"/>
          <w:szCs w:val="32"/>
        </w:rPr>
        <w:t>万元，奖金</w:t>
      </w:r>
      <w:r>
        <w:rPr>
          <w:rFonts w:hint="eastAsia" w:ascii="仿宋_GB2312" w:eastAsia="仿宋_GB2312"/>
          <w:sz w:val="30"/>
          <w:szCs w:val="30"/>
        </w:rPr>
        <w:t>1.53</w:t>
      </w:r>
      <w:r>
        <w:rPr>
          <w:rFonts w:hint="eastAsia" w:ascii="仿宋_GB2312" w:eastAsia="仿宋_GB2312"/>
          <w:color w:val="000000"/>
          <w:sz w:val="32"/>
          <w:szCs w:val="32"/>
        </w:rPr>
        <w:t>万元，奖励金10.3，其他社会保障缴费0.46万元，办公费4.17万元，电费0.35万元，邮电费0.25万元，差旅费2.6万元，劳务费4万元，其他交通费用1.1万元。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社会保障和就业支出72.59万元，占总支出的88.24</w:t>
      </w:r>
      <w:r>
        <w:rPr>
          <w:rFonts w:ascii="仿宋_GB2312" w:eastAsia="仿宋_GB2312"/>
          <w:color w:val="000000"/>
          <w:sz w:val="32"/>
          <w:szCs w:val="32"/>
        </w:rPr>
        <w:t>%</w:t>
      </w:r>
      <w:r>
        <w:rPr>
          <w:rFonts w:hint="eastAsia" w:ascii="仿宋_GB2312" w:eastAsia="仿宋_GB2312"/>
          <w:color w:val="000000"/>
          <w:sz w:val="32"/>
          <w:szCs w:val="32"/>
        </w:rPr>
        <w:t>。包括了机关事业单位基本养老保险支出6.16万元，机关事业单位职业年金支出3.08万元。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医疗卫生与计划生育支出3.38万元，占总支出的4.11</w:t>
      </w:r>
      <w:r>
        <w:rPr>
          <w:rFonts w:ascii="仿宋_GB2312" w:eastAsia="仿宋_GB2312"/>
          <w:color w:val="000000"/>
          <w:sz w:val="32"/>
          <w:szCs w:val="32"/>
        </w:rPr>
        <w:t>%</w:t>
      </w:r>
      <w:r>
        <w:rPr>
          <w:rFonts w:hint="eastAsia" w:ascii="仿宋_GB2312" w:eastAsia="仿宋_GB2312"/>
          <w:color w:val="000000"/>
          <w:sz w:val="32"/>
          <w:szCs w:val="32"/>
        </w:rPr>
        <w:t>，包括了行政单位医疗2.7万元，公务员医疗补助0.68万元。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住房保障支出5.89万元，占总支出的7.16</w:t>
      </w:r>
      <w:r>
        <w:rPr>
          <w:rFonts w:ascii="仿宋_GB2312" w:eastAsia="仿宋_GB2312"/>
          <w:color w:val="000000"/>
          <w:sz w:val="32"/>
          <w:szCs w:val="32"/>
        </w:rPr>
        <w:t>%</w:t>
      </w:r>
      <w:r>
        <w:rPr>
          <w:rFonts w:hint="eastAsia" w:ascii="仿宋_GB2312" w:eastAsia="仿宋_GB2312"/>
          <w:color w:val="000000"/>
          <w:sz w:val="32"/>
          <w:szCs w:val="32"/>
        </w:rPr>
        <w:t>，包括了住房公积金5.89万元。</w:t>
      </w:r>
    </w:p>
    <w:p>
      <w:pPr>
        <w:spacing w:line="560" w:lineRule="exact"/>
        <w:ind w:firstLine="600" w:firstLineChars="200"/>
        <w:rPr>
          <w:rFonts w:ascii="仿宋_GB2312" w:eastAsia="仿宋_GB2312"/>
          <w:color w:val="000000"/>
          <w:sz w:val="32"/>
          <w:szCs w:val="32"/>
        </w:rPr>
      </w:pPr>
      <w:r>
        <w:rPr>
          <w:rFonts w:hint="eastAsia" w:ascii="仿宋_GB2312" w:eastAsia="仿宋_GB2312"/>
          <w:sz w:val="30"/>
          <w:szCs w:val="30"/>
        </w:rPr>
        <w:t>项目支出0.4万元，</w:t>
      </w:r>
      <w:r>
        <w:rPr>
          <w:rFonts w:hint="eastAsia" w:ascii="仿宋_GB2312" w:eastAsia="仿宋_GB2312"/>
          <w:color w:val="000000"/>
          <w:sz w:val="32"/>
          <w:szCs w:val="32"/>
        </w:rPr>
        <w:t>占总支出的,0.49</w:t>
      </w:r>
      <w:r>
        <w:rPr>
          <w:rFonts w:ascii="仿宋_GB2312" w:eastAsia="仿宋_GB2312"/>
          <w:color w:val="000000"/>
          <w:sz w:val="32"/>
          <w:szCs w:val="32"/>
        </w:rPr>
        <w:t>%</w:t>
      </w:r>
      <w:r>
        <w:rPr>
          <w:rFonts w:hint="eastAsia" w:ascii="仿宋_GB2312" w:eastAsia="仿宋_GB2312"/>
          <w:color w:val="000000"/>
          <w:sz w:val="32"/>
          <w:szCs w:val="32"/>
        </w:rPr>
        <w:t>。</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w:t>
      </w:r>
      <w:r>
        <w:rPr>
          <w:rFonts w:ascii="仿宋_GB2312" w:eastAsia="仿宋_GB2312"/>
          <w:color w:val="000000"/>
          <w:sz w:val="32"/>
          <w:szCs w:val="32"/>
        </w:rPr>
        <w:t>1</w:t>
      </w:r>
      <w:r>
        <w:rPr>
          <w:rFonts w:hint="eastAsia" w:ascii="仿宋_GB2312" w:eastAsia="仿宋_GB2312"/>
          <w:color w:val="000000"/>
          <w:sz w:val="32"/>
          <w:szCs w:val="32"/>
        </w:rPr>
        <w:t>至</w:t>
      </w:r>
      <w:r>
        <w:rPr>
          <w:rFonts w:ascii="仿宋_GB2312" w:eastAsia="仿宋_GB2312"/>
          <w:color w:val="000000"/>
          <w:sz w:val="32"/>
          <w:szCs w:val="32"/>
        </w:rPr>
        <w:t>6</w:t>
      </w:r>
      <w:r>
        <w:rPr>
          <w:rFonts w:hint="eastAsia" w:ascii="仿宋_GB2312" w:eastAsia="仿宋_GB2312"/>
          <w:color w:val="000000"/>
          <w:sz w:val="32"/>
          <w:szCs w:val="32"/>
        </w:rPr>
        <w:t>月县红十字会支出合计46.53万元。其中：基本工资9.26万元，津贴补贴10.45万元，奖励金15.5万元，其他社会保障缴费0.07万元，差旅费0.37万元，劳务费1.14万元，其他交通费用0.23万元，养老保险支出3.21万元，职业年金1.6万元，行政单位医疗1.4万元，公务员医疗补助0.37万元，住房公积金2.93万元。</w:t>
      </w:r>
    </w:p>
    <w:p>
      <w:pPr>
        <w:numPr>
          <w:ilvl w:val="0"/>
          <w:numId w:val="9"/>
        </w:numPr>
        <w:ind w:firstLine="640" w:firstLineChars="200"/>
        <w:rPr>
          <w:rFonts w:ascii="黑体" w:eastAsia="黑体"/>
          <w:sz w:val="32"/>
          <w:szCs w:val="32"/>
        </w:rPr>
      </w:pPr>
      <w:r>
        <w:rPr>
          <w:rFonts w:hint="eastAsia" w:ascii="黑体" w:eastAsia="黑体"/>
          <w:sz w:val="32"/>
          <w:szCs w:val="32"/>
        </w:rPr>
        <w:t>2020年及2021年1-6月年财政支出管理情况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我会严格按照州级部门预算编制通知和有关要求，按时完成基础库、项目库报送工作，按时完成2020、2021年预算编制工作，并及时提交部门预算草案。按规定编制政府采购预算，预算编制全面、科学。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pPr>
        <w:spacing w:line="560" w:lineRule="exact"/>
        <w:ind w:firstLine="640" w:firstLineChars="200"/>
        <w:rPr>
          <w:rFonts w:ascii="仿宋_GB2312" w:eastAsia="仿宋_GB2312" w:cs="仿宋"/>
          <w:sz w:val="32"/>
          <w:szCs w:val="32"/>
        </w:rPr>
      </w:pPr>
      <w:r>
        <w:rPr>
          <w:rFonts w:hint="eastAsia" w:ascii="仿宋_GB2312" w:eastAsia="仿宋_GB2312" w:cs="仿宋"/>
          <w:sz w:val="32"/>
          <w:szCs w:val="32"/>
        </w:rPr>
        <w:t>2020年“三公”经费支出决算数为0万元，较上年增加支出0万元，增长0%。</w:t>
      </w:r>
      <w:r>
        <w:rPr>
          <w:rFonts w:hint="eastAsia" w:ascii="仿宋_GB2312" w:eastAsia="仿宋_GB2312"/>
          <w:sz w:val="32"/>
          <w:szCs w:val="32"/>
        </w:rPr>
        <w:t>公务用车运行维护费决算数和预算数相持平。</w:t>
      </w:r>
      <w:r>
        <w:rPr>
          <w:rFonts w:hint="eastAsia" w:ascii="仿宋_GB2312" w:eastAsia="仿宋_GB2312" w:cs="仿宋"/>
          <w:sz w:val="32"/>
          <w:szCs w:val="32"/>
        </w:rPr>
        <w:t>其中：因公出国（境）经费0万，较上年增加0万元；公务接待费0万元，较上年减少0万元，减少0%；公务用车购置及公务用车运行费0万元，较上年增加0万元，增长0%。</w:t>
      </w:r>
    </w:p>
    <w:p>
      <w:pPr>
        <w:ind w:firstLine="640" w:firstLineChars="200"/>
        <w:rPr>
          <w:rFonts w:ascii="仿宋" w:eastAsia="仿宋" w:cs="仿宋"/>
          <w:sz w:val="32"/>
          <w:szCs w:val="32"/>
        </w:rPr>
      </w:pPr>
      <w:r>
        <w:rPr>
          <w:rFonts w:hint="eastAsia" w:ascii="仿宋" w:eastAsia="仿宋" w:cs="仿宋"/>
          <w:sz w:val="32"/>
          <w:szCs w:val="32"/>
        </w:rPr>
        <w:t>2021年1-6月“三公”经费公务用车运行费支出0万元，支出进度为0%。</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政府采购方面：进行政府采购的资产严格按采购程序采购并登记入账，零星采购严格按固定资产管理办法进行登记入账。</w:t>
      </w:r>
    </w:p>
    <w:p>
      <w:pPr>
        <w:spacing w:line="560" w:lineRule="exact"/>
        <w:ind w:firstLine="480" w:firstLineChars="150"/>
        <w:rPr>
          <w:rFonts w:ascii="仿宋_GB2312" w:eastAsia="仿宋_GB2312"/>
          <w:sz w:val="32"/>
          <w:szCs w:val="32"/>
        </w:rPr>
      </w:pPr>
      <w:r>
        <w:rPr>
          <w:rFonts w:ascii="仿宋_GB2312" w:eastAsia="仿宋_GB2312"/>
          <w:sz w:val="32"/>
          <w:szCs w:val="32"/>
        </w:rPr>
        <w:t xml:space="preserve"> 2.</w:t>
      </w:r>
      <w:r>
        <w:rPr>
          <w:rFonts w:hint="eastAsia" w:ascii="仿宋_GB2312" w:eastAsia="仿宋_GB2312"/>
          <w:sz w:val="32"/>
          <w:szCs w:val="32"/>
        </w:rPr>
        <w:t>固定资产管理方面：本单位固定资产按科学合理、优化资产结构、勤俭节约的原则和专门的资产管理系统进行管理，截止</w:t>
      </w:r>
      <w:r>
        <w:rPr>
          <w:rFonts w:ascii="仿宋_GB2312" w:eastAsia="仿宋_GB2312"/>
          <w:sz w:val="32"/>
          <w:szCs w:val="32"/>
        </w:rPr>
        <w:t>20</w:t>
      </w:r>
      <w:r>
        <w:rPr>
          <w:rFonts w:hint="eastAsia" w:ascii="仿宋_GB2312" w:eastAsia="仿宋_GB2312"/>
          <w:sz w:val="32"/>
          <w:szCs w:val="32"/>
        </w:rPr>
        <w:t>20年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w:t>
      </w:r>
      <w:r>
        <w:rPr>
          <w:rFonts w:hint="eastAsia" w:ascii="仿宋_GB2312" w:eastAsia="仿宋_GB2312"/>
          <w:sz w:val="32"/>
          <w:szCs w:val="32"/>
        </w:rPr>
        <w:t>1日，固定资产账面数4.21万元，固定资产账面数据和固定资产管理系统数据一致。</w:t>
      </w:r>
    </w:p>
    <w:p>
      <w:pPr>
        <w:spacing w:line="560" w:lineRule="exact"/>
        <w:ind w:firstLine="640" w:firstLineChars="200"/>
        <w:rPr>
          <w:rFonts w:ascii="楷体_GB2312" w:eastAsia="楷体_GB2312"/>
          <w:b/>
          <w:sz w:val="32"/>
          <w:szCs w:val="32"/>
          <w:lang w:val="zh-CN"/>
        </w:rPr>
      </w:pPr>
      <w:r>
        <w:rPr>
          <w:rFonts w:ascii="仿宋_GB2312" w:eastAsia="仿宋_GB2312"/>
          <w:sz w:val="32"/>
          <w:szCs w:val="32"/>
        </w:rPr>
        <w:t>3.</w:t>
      </w:r>
      <w:r>
        <w:rPr>
          <w:rFonts w:hint="eastAsia" w:ascii="仿宋_GB2312" w:eastAsia="仿宋_GB2312"/>
          <w:sz w:val="32"/>
          <w:szCs w:val="32"/>
        </w:rPr>
        <w:t>内控制度方面</w:t>
      </w:r>
      <w:r>
        <w:rPr>
          <w:rFonts w:ascii="仿宋_GB2312" w:eastAsia="仿宋_GB2312"/>
          <w:sz w:val="32"/>
          <w:szCs w:val="32"/>
        </w:rPr>
        <w:t>:</w:t>
      </w:r>
      <w:r>
        <w:rPr>
          <w:rFonts w:hint="eastAsia" w:ascii="仿宋_GB2312" w:eastAsia="仿宋_GB2312"/>
          <w:sz w:val="32"/>
          <w:szCs w:val="32"/>
        </w:rPr>
        <w:t>为进一步做好行政事业单位内部控制基础性工作，贯彻执行县财政局《关于开展行政事业单位2020年内部控制报告编报工作的通知》文件要求，结合我会实际，特制订了相关制度。</w:t>
      </w:r>
    </w:p>
    <w:p>
      <w:pPr>
        <w:ind w:firstLine="604"/>
        <w:rPr>
          <w:rFonts w:ascii="仿宋_GB2312" w:eastAsia="仿宋_GB2312"/>
          <w:sz w:val="32"/>
          <w:szCs w:val="32"/>
        </w:rPr>
      </w:pP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我单位深入贯彻落实“全面实施绩效管理”的要求，努力提升本单位绩效预算管理业务水平。主动公开绩效结果，加大资金使用效率，提升政府管理水平。及时告知各股室预算及项目支出进度。按照预算绩效管理要求，本部门对2020年一般公共预算项目支出开展了绩效目标管理，编制绩效目标，涉及财政资金82.26万元，覆盖率达到100%。</w:t>
      </w:r>
    </w:p>
    <w:p>
      <w:pPr>
        <w:numPr>
          <w:ilvl w:val="0"/>
          <w:numId w:val="9"/>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10"/>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根据金财〔</w:t>
      </w:r>
      <w:r>
        <w:rPr>
          <w:rFonts w:ascii="仿宋_GB2312" w:eastAsia="仿宋_GB2312"/>
          <w:sz w:val="32"/>
          <w:szCs w:val="32"/>
        </w:rPr>
        <w:t>20</w:t>
      </w:r>
      <w:r>
        <w:rPr>
          <w:rFonts w:hint="eastAsia" w:ascii="仿宋_GB2312" w:eastAsia="仿宋_GB2312"/>
          <w:sz w:val="32"/>
          <w:szCs w:val="32"/>
        </w:rPr>
        <w:t>21〕23号文件的附件4部门支出绩效评价指标体系进行单位自评，圆满完成绩效自评工作，圆满完成中央、省、州和县委的重要工作、目标任务。我会积极开展整体绩效自评，自评得分92分。</w:t>
      </w:r>
    </w:p>
    <w:p>
      <w:pPr>
        <w:numPr>
          <w:ilvl w:val="0"/>
          <w:numId w:val="10"/>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widowControl/>
        <w:adjustRightInd w:val="0"/>
        <w:snapToGrid w:val="0"/>
        <w:spacing w:line="560" w:lineRule="exact"/>
        <w:ind w:firstLine="640" w:firstLineChars="200"/>
        <w:rPr>
          <w:rFonts w:ascii="楷体_GB2312" w:hAnsi="宋体" w:eastAsia="楷体_GB2312" w:cs="宋体"/>
          <w:b/>
          <w:color w:val="000000"/>
          <w:spacing w:val="-14"/>
          <w:kern w:val="0"/>
          <w:sz w:val="32"/>
          <w:szCs w:val="32"/>
        </w:rPr>
      </w:pPr>
      <w:r>
        <w:rPr>
          <w:rFonts w:hint="eastAsia" w:ascii="仿宋_GB2312" w:eastAsia="仿宋_GB2312"/>
          <w:sz w:val="32"/>
          <w:szCs w:val="32"/>
        </w:rPr>
        <w:t>在今后的工作中，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加快完成机关财务管理规章制度建设、加强会计核算和财务管理能力，及时与县财政局相关科室对接工作，提升工作效率。</w:t>
      </w:r>
    </w:p>
    <w:p>
      <w:pPr>
        <w:ind w:firstLine="640" w:firstLineChars="200"/>
        <w:rPr>
          <w:rFonts w:ascii="仿宋_GB2312" w:eastAsia="仿宋_GB2312"/>
          <w:sz w:val="32"/>
          <w:szCs w:val="32"/>
        </w:rPr>
      </w:pPr>
    </w:p>
    <w:p>
      <w:pPr>
        <w:spacing w:line="600" w:lineRule="exact"/>
        <w:jc w:val="center"/>
        <w:outlineLvl w:val="0"/>
        <w:rPr>
          <w:rFonts w:ascii="仿宋" w:eastAsia="仿宋"/>
          <w:b/>
          <w:color w:val="000000"/>
          <w:sz w:val="44"/>
          <w:szCs w:val="44"/>
        </w:rPr>
      </w:pPr>
    </w:p>
    <w:p>
      <w:pPr>
        <w:spacing w:line="600" w:lineRule="exact"/>
        <w:outlineLvl w:val="0"/>
        <w:rPr>
          <w:rFonts w:ascii="黑体" w:eastAsia="黑体"/>
          <w:color w:val="000000"/>
          <w:sz w:val="44"/>
          <w:szCs w:val="44"/>
        </w:rPr>
      </w:pP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Style w:val="16"/>
          <w:rFonts w:ascii="黑体" w:eastAsia="黑体"/>
          <w:b w:val="0"/>
        </w:rPr>
      </w:pPr>
      <w:r>
        <w:rPr>
          <w:rFonts w:hint="eastAsia" w:ascii="黑体" w:eastAsia="黑体"/>
          <w:color w:val="000000"/>
          <w:sz w:val="44"/>
          <w:szCs w:val="44"/>
        </w:rPr>
        <w:t>第</w:t>
      </w:r>
      <w:r>
        <w:rPr>
          <w:rStyle w:val="16"/>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7"/>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7"/>
          <w:rFonts w:hint="eastAsia" w:ascii="仿宋" w:eastAsia="仿宋"/>
          <w:b w:val="0"/>
          <w:bCs w:val="0"/>
        </w:rPr>
        <w:t>入总表</w:t>
      </w:r>
      <w:bookmarkEnd w:id="62"/>
    </w:p>
    <w:p>
      <w:pPr>
        <w:pStyle w:val="3"/>
        <w:rPr>
          <w:rFonts w:ascii="仿宋" w:eastAsia="仿宋"/>
          <w:color w:val="000000"/>
        </w:rPr>
      </w:pPr>
      <w:bookmarkStart w:id="63" w:name="_Toc15396621"/>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出总表</w:t>
      </w:r>
      <w:bookmarkEnd w:id="63"/>
    </w:p>
    <w:p>
      <w:pPr>
        <w:pStyle w:val="3"/>
        <w:rPr>
          <w:rFonts w:ascii="仿宋" w:eastAsia="仿宋"/>
          <w:b w:val="0"/>
          <w:color w:val="000000"/>
        </w:rPr>
      </w:pPr>
      <w:bookmarkStart w:id="64" w:name="_Toc15396622"/>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7"/>
          <w:rFonts w:hint="eastAsia" w:ascii="仿宋" w:eastAsia="仿宋"/>
          <w:b w:val="0"/>
          <w:bCs w:val="0"/>
        </w:rPr>
        <w:t>五、</w:t>
      </w:r>
      <w:r>
        <w:rPr>
          <w:rFonts w:hint="eastAsia" w:ascii="仿宋" w:eastAsia="仿宋"/>
          <w:b w:val="0"/>
          <w:color w:val="000000"/>
        </w:rPr>
        <w:t>财</w:t>
      </w:r>
      <w:r>
        <w:rPr>
          <w:rStyle w:val="17"/>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7"/>
          <w:rFonts w:hint="eastAsia" w:ascii="仿宋" w:eastAsia="仿宋"/>
          <w:b w:val="0"/>
          <w:bCs w:val="0"/>
        </w:rPr>
        <w:t>十、</w:t>
      </w:r>
      <w:r>
        <w:rPr>
          <w:rFonts w:hint="eastAsia" w:ascii="仿宋" w:eastAsia="仿宋"/>
          <w:b w:val="0"/>
          <w:color w:val="000000"/>
        </w:rPr>
        <w:t>一</w:t>
      </w:r>
      <w:r>
        <w:rPr>
          <w:rStyle w:val="17"/>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7"/>
          <w:rFonts w:hint="eastAsia" w:ascii="仿宋" w:eastAsia="仿宋"/>
          <w:b w:val="0"/>
          <w:bCs w:val="0"/>
        </w:rPr>
        <w:t>十一、</w:t>
      </w:r>
      <w:r>
        <w:rPr>
          <w:rFonts w:hint="eastAsia" w:ascii="仿宋" w:eastAsia="仿宋"/>
          <w:b w:val="0"/>
          <w:color w:val="000000"/>
        </w:rPr>
        <w:t>政</w:t>
      </w:r>
      <w:r>
        <w:rPr>
          <w:rStyle w:val="17"/>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7"/>
          <w:rFonts w:hint="eastAsia" w:ascii="仿宋" w:eastAsia="仿宋"/>
          <w:b w:val="0"/>
          <w:bCs w:val="0"/>
        </w:rPr>
        <w:t>十二、</w:t>
      </w:r>
      <w:r>
        <w:rPr>
          <w:rFonts w:hint="eastAsia" w:ascii="仿宋" w:eastAsia="仿宋"/>
          <w:b w:val="0"/>
          <w:color w:val="000000"/>
        </w:rPr>
        <w:t>政</w:t>
      </w:r>
      <w:r>
        <w:rPr>
          <w:rStyle w:val="17"/>
          <w:rFonts w:hint="eastAsia" w:ascii="仿宋" w:eastAsia="仿宋"/>
          <w:b w:val="0"/>
          <w:bCs w:val="0"/>
        </w:rPr>
        <w:t>府性基金预算财政拨款“三公”经费支出决算表</w:t>
      </w:r>
      <w:bookmarkEnd w:id="72"/>
    </w:p>
    <w:p>
      <w:pPr>
        <w:pStyle w:val="3"/>
        <w:rPr>
          <w:rFonts w:ascii="仿宋" w:eastAsia="仿宋"/>
          <w:color w:val="000000"/>
        </w:rPr>
      </w:pPr>
      <w:bookmarkStart w:id="73" w:name="_Toc15396631"/>
      <w:r>
        <w:rPr>
          <w:rStyle w:val="17"/>
          <w:rFonts w:hint="eastAsia" w:ascii="仿宋" w:eastAsia="仿宋"/>
          <w:b w:val="0"/>
          <w:bCs w:val="0"/>
        </w:rPr>
        <w:t>十三、</w:t>
      </w:r>
      <w:r>
        <w:rPr>
          <w:rFonts w:hint="eastAsia" w:ascii="仿宋" w:eastAsia="仿宋"/>
          <w:b w:val="0"/>
          <w:color w:val="000000"/>
        </w:rPr>
        <w:t>国</w:t>
      </w:r>
      <w:r>
        <w:rPr>
          <w:rStyle w:val="17"/>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0"/>
    <w:family w:val="auto"/>
    <w:pitch w:val="default"/>
    <w:sig w:usb0="00000000" w:usb1="00000000" w:usb2="00000000" w:usb3="00000000" w:csb0="0000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7">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abstractNum w:abstractNumId="8">
    <w:nsid w:val="76AC6B0C"/>
    <w:multiLevelType w:val="singleLevel"/>
    <w:tmpl w:val="76AC6B0C"/>
    <w:lvl w:ilvl="0" w:tentative="0">
      <w:start w:val="1"/>
      <w:numFmt w:val="decimal"/>
      <w:lvlText w:val="%1."/>
      <w:lvlJc w:val="left"/>
      <w:pPr>
        <w:tabs>
          <w:tab w:val="left" w:pos="312"/>
        </w:tabs>
      </w:pPr>
    </w:lvl>
  </w:abstractNum>
  <w:abstractNum w:abstractNumId="9">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8"/>
  </w:num>
  <w:num w:numId="3">
    <w:abstractNumId w:val="9"/>
  </w:num>
  <w:num w:numId="4">
    <w:abstractNumId w:val="0"/>
  </w:num>
  <w:num w:numId="5">
    <w:abstractNumId w:val="5"/>
  </w:num>
  <w:num w:numId="6">
    <w:abstractNumId w:val="2"/>
  </w:num>
  <w:num w:numId="7">
    <w:abstractNumId w:val="1"/>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8F0A9F"/>
    <w:rsid w:val="008F0A9F"/>
    <w:rsid w:val="00FD34B4"/>
    <w:rsid w:val="02E13407"/>
    <w:rsid w:val="03CC6FFF"/>
    <w:rsid w:val="09A044FB"/>
    <w:rsid w:val="0CD05737"/>
    <w:rsid w:val="100300C8"/>
    <w:rsid w:val="10221DF9"/>
    <w:rsid w:val="128A0B7A"/>
    <w:rsid w:val="12A214E5"/>
    <w:rsid w:val="15C635F0"/>
    <w:rsid w:val="162B765D"/>
    <w:rsid w:val="169B4536"/>
    <w:rsid w:val="19431766"/>
    <w:rsid w:val="19E1118B"/>
    <w:rsid w:val="214D058D"/>
    <w:rsid w:val="24351C07"/>
    <w:rsid w:val="245964DC"/>
    <w:rsid w:val="24A45973"/>
    <w:rsid w:val="26C430D8"/>
    <w:rsid w:val="290B0386"/>
    <w:rsid w:val="297E4EC1"/>
    <w:rsid w:val="2A645056"/>
    <w:rsid w:val="2B855160"/>
    <w:rsid w:val="2FA64251"/>
    <w:rsid w:val="336530AA"/>
    <w:rsid w:val="3659218F"/>
    <w:rsid w:val="37733A35"/>
    <w:rsid w:val="3D1879A9"/>
    <w:rsid w:val="41D33A9C"/>
    <w:rsid w:val="43586C71"/>
    <w:rsid w:val="45E43A6D"/>
    <w:rsid w:val="467A2619"/>
    <w:rsid w:val="469F2827"/>
    <w:rsid w:val="49340E94"/>
    <w:rsid w:val="497A0A79"/>
    <w:rsid w:val="49DD43E8"/>
    <w:rsid w:val="4DAE3B75"/>
    <w:rsid w:val="4ED477C7"/>
    <w:rsid w:val="512C342C"/>
    <w:rsid w:val="519A5DB3"/>
    <w:rsid w:val="59337E6F"/>
    <w:rsid w:val="5BB75AA0"/>
    <w:rsid w:val="5BF80F53"/>
    <w:rsid w:val="5E8C53F8"/>
    <w:rsid w:val="60242D77"/>
    <w:rsid w:val="61900D6A"/>
    <w:rsid w:val="626C32EE"/>
    <w:rsid w:val="6A4C4511"/>
    <w:rsid w:val="6E265824"/>
    <w:rsid w:val="71A054A1"/>
    <w:rsid w:val="75CB3405"/>
    <w:rsid w:val="76667A67"/>
    <w:rsid w:val="7A56727F"/>
    <w:rsid w:val="7A904F91"/>
    <w:rsid w:val="7C6772FC"/>
    <w:rsid w:val="7D6541DC"/>
    <w:rsid w:val="7E2A1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Char"/>
    <w:basedOn w:val="13"/>
    <w:link w:val="2"/>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uiPriority w:val="0"/>
    <w:rPr>
      <w:rFonts w:ascii="Times New Roman" w:hAnsi="Times New Roman"/>
      <w:sz w:val="18"/>
      <w:szCs w:val="18"/>
    </w:rPr>
  </w:style>
  <w:style w:type="character" w:customStyle="1" w:styleId="20">
    <w:name w:val="Body Text Char"/>
    <w:basedOn w:val="13"/>
    <w:uiPriority w:val="0"/>
    <w:rPr>
      <w:rFonts w:ascii="Times New Roman" w:hAnsi="Times New Roman"/>
      <w:szCs w:val="24"/>
    </w:r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uiPriority w:val="0"/>
    <w:pPr>
      <w:ind w:firstLine="200" w:firstLineChars="200"/>
    </w:pPr>
  </w:style>
  <w:style w:type="paragraph" w:customStyle="1" w:styleId="23">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 w:type="character" w:customStyle="1" w:styleId="24">
    <w:name w:val="apple-converted-space"/>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1" u="none" strike="noStrike" kern="1200" cap="none" spc="0" normalizeH="0" baseline="0">
                <a:solidFill>
                  <a:schemeClr val="tx1"/>
                </a:solidFill>
                <a:uFill>
                  <a:solidFill>
                    <a:schemeClr val="tx1"/>
                  </a:solidFill>
                </a:uFill>
                <a:latin typeface="+mn-lt"/>
                <a:ea typeface="AR PL UKai CN" charset="0"/>
                <a:cs typeface="+mn-cs"/>
              </a:defRPr>
            </a:pPr>
            <a:r>
              <a:rPr i="1" u="none" strike="noStrike" cap="none" normalizeH="0">
                <a:solidFill>
                  <a:schemeClr val="tx1"/>
                </a:solidFill>
                <a:uFill>
                  <a:solidFill>
                    <a:schemeClr val="tx1"/>
                  </a:solidFill>
                </a:uFill>
                <a:ea typeface="AR PL UKai CN" charset="0"/>
              </a:rPr>
              <a:t>收、支决算结构图</a:t>
            </a:r>
            <a:endParaRPr i="1" u="none" strike="noStrike" cap="none" normalizeH="0">
              <a:solidFill>
                <a:schemeClr val="tx1"/>
              </a:solidFill>
              <a:uFill>
                <a:solidFill>
                  <a:schemeClr val="tx1"/>
                </a:solidFill>
              </a:uFill>
              <a:ea typeface="AR PL UKai CN" charset="0"/>
            </a:endParaRPr>
          </a:p>
        </c:rich>
      </c:tx>
      <c:layout/>
      <c:overlay val="0"/>
      <c:spPr>
        <a:noFill/>
        <a:ln>
          <a:noFill/>
        </a:ln>
        <a:effectLst/>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 </c:v>
                </c:pt>
                <c:pt idx="1">
                  <c:v>2020年</c:v>
                </c:pt>
              </c:strCache>
            </c:strRef>
          </c:cat>
          <c:val>
            <c:numRef>
              <c:f>Sheet1!$B$2:$B$3</c:f>
              <c:numCache>
                <c:formatCode>General</c:formatCode>
                <c:ptCount val="2"/>
                <c:pt idx="0">
                  <c:v>64.11</c:v>
                </c:pt>
                <c:pt idx="1">
                  <c:v>82.26</c:v>
                </c:pt>
              </c:numCache>
            </c:numRef>
          </c:val>
        </c:ser>
        <c:ser>
          <c:idx val="1"/>
          <c:order val="1"/>
          <c:tx>
            <c:strRef>
              <c:f>Sheet1!$C$1</c:f>
              <c:strCache>
                <c:ptCount val="1"/>
                <c:pt idx="0">
                  <c:v>总支出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 </c:v>
                </c:pt>
                <c:pt idx="1">
                  <c:v>2020年</c:v>
                </c:pt>
              </c:strCache>
            </c:strRef>
          </c:cat>
          <c:val>
            <c:numRef>
              <c:f>Sheet1!$C$2:$C$3</c:f>
              <c:numCache>
                <c:formatCode>General</c:formatCode>
                <c:ptCount val="2"/>
                <c:pt idx="0">
                  <c:v>75.07</c:v>
                </c:pt>
                <c:pt idx="1">
                  <c:v>82.26</c:v>
                </c:pt>
              </c:numCache>
            </c:numRef>
          </c:val>
        </c:ser>
        <c:dLbls>
          <c:showLegendKey val="0"/>
          <c:showVal val="1"/>
          <c:showCatName val="0"/>
          <c:showSerName val="0"/>
          <c:showPercent val="0"/>
          <c:showBubbleSize val="0"/>
        </c:dLbls>
        <c:gapWidth val="219"/>
        <c:overlap val="-27"/>
        <c:axId val="132220800"/>
        <c:axId val="132222336"/>
      </c:barChart>
      <c:catAx>
        <c:axId val="13222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crossAx val="132222336"/>
        <c:crosses val="autoZero"/>
        <c:auto val="1"/>
        <c:lblAlgn val="ctr"/>
        <c:lblOffset val="100"/>
        <c:noMultiLvlLbl val="0"/>
      </c:catAx>
      <c:valAx>
        <c:axId val="13222233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crossAx val="132220800"/>
        <c:crossesAt val="1"/>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legendEntry>
      <c:legendEntry>
        <c:idx val="1"/>
        <c:txPr>
          <a:bodyPr rot="0" spcFirstLastPara="0" vertOverflow="ellipsis" vert="horz" wrap="square"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legendEntry>
      <c:layout/>
      <c:overlay val="0"/>
      <c:spPr>
        <a:noFill/>
        <a:ln>
          <a:noFill/>
        </a:ln>
        <a:effectLst/>
      </c:spPr>
      <c:txPr>
        <a:bodyPr rot="0" spcFirstLastPara="0" vertOverflow="ellipsis" vert="horz" wrap="square" anchor="ctr" anchorCtr="1"/>
        <a:lstStyle/>
        <a:p>
          <a:pPr>
            <a:defRPr lang="zh-CN" sz="900" b="0" i="1" u="none" strike="noStrike" kern="1200" cap="none" spc="0" normalizeH="0" baseline="0">
              <a:solidFill>
                <a:schemeClr val="tx1"/>
              </a:solidFill>
              <a:uFill>
                <a:solidFill>
                  <a:schemeClr val="tx1"/>
                </a:solidFill>
              </a:uFill>
              <a:latin typeface="+mn-lt"/>
              <a:ea typeface="AR PL UKai CN" charset="0"/>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i="1" u="none" strike="noStrike" kern="1200" cap="none" spc="0" normalizeH="0">
          <a:solidFill>
            <a:schemeClr val="tx1"/>
          </a:solidFill>
          <a:uFill>
            <a:solidFill>
              <a:schemeClr val="tx1"/>
            </a:solidFill>
          </a:uFill>
          <a:ea typeface="AR PL UKai CN"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82.26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81.86</c:v>
                </c:pt>
                <c:pt idx="1">
                  <c:v>0.4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64.11</c:v>
                </c:pt>
                <c:pt idx="1">
                  <c:v>75.07</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82.26</c:v>
                </c:pt>
                <c:pt idx="1">
                  <c:v>82.26</c:v>
                </c:pt>
              </c:numCache>
            </c:numRef>
          </c:val>
        </c:ser>
        <c:dLbls>
          <c:showLegendKey val="0"/>
          <c:showVal val="1"/>
          <c:showCatName val="0"/>
          <c:showSerName val="0"/>
          <c:showPercent val="0"/>
          <c:showBubbleSize val="0"/>
        </c:dLbls>
        <c:gapWidth val="219"/>
        <c:overlap val="-27"/>
        <c:axId val="132306048"/>
        <c:axId val="132307584"/>
      </c:barChart>
      <c:catAx>
        <c:axId val="13230604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32307584"/>
        <c:crosses val="autoZero"/>
        <c:auto val="1"/>
        <c:lblAlgn val="ctr"/>
        <c:lblOffset val="100"/>
        <c:noMultiLvlLbl val="0"/>
      </c:catAx>
      <c:valAx>
        <c:axId val="132307584"/>
        <c:scaling>
          <c:orientation val="minMax"/>
          <c:max val="1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32306048"/>
        <c:crossesAt val="1"/>
        <c:crossBetween val="between"/>
        <c:majorUnit val="10"/>
        <c:minorUnit val="10"/>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72846638655462"/>
          <c:y val="0.0490788281485956"/>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75.07</c:v>
                </c:pt>
                <c:pt idx="1">
                  <c:v>82.26</c:v>
                </c:pt>
              </c:numCache>
            </c:numRef>
          </c:val>
        </c:ser>
        <c:dLbls>
          <c:showLegendKey val="0"/>
          <c:showVal val="1"/>
          <c:showCatName val="0"/>
          <c:showSerName val="0"/>
          <c:showPercent val="0"/>
          <c:showBubbleSize val="0"/>
        </c:dLbls>
        <c:gapWidth val="219"/>
        <c:overlap val="-27"/>
        <c:axId val="132713472"/>
        <c:axId val="132727552"/>
      </c:barChart>
      <c:catAx>
        <c:axId val="13271347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32727552"/>
        <c:crosses val="autoZero"/>
        <c:auto val="1"/>
        <c:lblAlgn val="ctr"/>
        <c:lblOffset val="100"/>
        <c:noMultiLvlLbl val="0"/>
      </c:catAx>
      <c:valAx>
        <c:axId val="132727552"/>
        <c:scaling>
          <c:orientation val="minMax"/>
          <c:max val="1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32713472"/>
        <c:crossesAt val="1"/>
        <c:crossBetween val="between"/>
        <c:majorUnit val="10"/>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1">
                  <c:v>72.99</c:v>
                </c:pt>
                <c:pt idx="2">
                  <c:v>3.38</c:v>
                </c:pt>
                <c:pt idx="3">
                  <c:v>5.89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1468</Words>
  <Characters>8368</Characters>
  <Lines>69</Lines>
  <Paragraphs>19</Paragraphs>
  <TotalTime>1015</TotalTime>
  <ScaleCrop>false</ScaleCrop>
  <LinksUpToDate>false</LinksUpToDate>
  <CharactersWithSpaces>9817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2021-09-30T03:36:13Z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