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72"/>
          <w:szCs w:val="72"/>
        </w:rPr>
      </w:pPr>
      <w:r>
        <w:rPr>
          <w:rStyle w:val="5"/>
          <w:rFonts w:hint="eastAsia" w:ascii="方正小标宋简体" w:hAnsi="方正小标宋简体" w:eastAsia="方正小标宋简体" w:cs="方正小标宋简体"/>
          <w:sz w:val="72"/>
          <w:szCs w:val="72"/>
        </w:rPr>
        <w:t>目录</w:t>
      </w:r>
    </w:p>
    <w:p>
      <w:pPr>
        <w:jc w:val="left"/>
        <w:rPr>
          <w:rFonts w:ascii="宋体" w:hAnsi="宋体" w:eastAsia="宋体" w:cs="宋体"/>
          <w:sz w:val="24"/>
          <w:szCs w:val="24"/>
        </w:rPr>
      </w:pPr>
    </w:p>
    <w:p>
      <w:pPr>
        <w:jc w:val="left"/>
        <w:rPr>
          <w:rFonts w:ascii="宋体" w:hAnsi="宋体" w:eastAsia="宋体" w:cs="宋体"/>
          <w:sz w:val="24"/>
          <w:szCs w:val="24"/>
        </w:rPr>
      </w:pPr>
    </w:p>
    <w:p>
      <w:pPr>
        <w:jc w:val="left"/>
        <w:rPr>
          <w:rFonts w:hint="eastAsia" w:ascii="宋体" w:hAnsi="宋体" w:eastAsia="宋体" w:cs="宋体"/>
          <w:b/>
          <w:bCs/>
          <w:sz w:val="32"/>
          <w:szCs w:val="32"/>
        </w:rPr>
      </w:pPr>
      <w:r>
        <w:rPr>
          <w:rFonts w:hint="eastAsia" w:ascii="宋体" w:hAnsi="宋体" w:eastAsia="宋体" w:cs="宋体"/>
          <w:b/>
          <w:bCs/>
          <w:sz w:val="32"/>
          <w:szCs w:val="32"/>
        </w:rPr>
        <w:t>一、基本职能及主要工作</w:t>
      </w:r>
    </w:p>
    <w:p>
      <w:pPr>
        <w:numPr>
          <w:ilvl w:val="0"/>
          <w:numId w:val="0"/>
        </w:num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职能简介</w:t>
      </w:r>
    </w:p>
    <w:p>
      <w:pPr>
        <w:numPr>
          <w:ilvl w:val="0"/>
          <w:numId w:val="0"/>
        </w:numPr>
        <w:ind w:leftChars="0"/>
        <w:jc w:val="left"/>
        <w:rPr>
          <w:rFonts w:hint="eastAsia" w:ascii="宋体" w:hAnsi="宋体" w:eastAsia="宋体" w:cs="宋体"/>
          <w:b/>
          <w:bCs/>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rPr>
        <w:t>重点工作</w:t>
      </w:r>
      <w:r>
        <w:rPr>
          <w:rFonts w:hint="eastAsia" w:ascii="仿宋_GB2312" w:hAnsi="仿宋_GB2312" w:eastAsia="仿宋_GB2312" w:cs="仿宋_GB2312"/>
          <w:sz w:val="32"/>
          <w:szCs w:val="32"/>
        </w:rPr>
        <w:br w:type="textWrapping"/>
      </w:r>
      <w:r>
        <w:rPr>
          <w:rFonts w:hint="eastAsia" w:ascii="宋体" w:hAnsi="宋体" w:eastAsia="宋体" w:cs="宋体"/>
          <w:b/>
          <w:bCs/>
          <w:sz w:val="32"/>
          <w:szCs w:val="32"/>
        </w:rPr>
        <w:t>二、</w:t>
      </w:r>
      <w:r>
        <w:rPr>
          <w:rFonts w:hint="eastAsia" w:ascii="宋体" w:hAnsi="宋体" w:eastAsia="宋体" w:cs="宋体"/>
          <w:b/>
          <w:bCs/>
          <w:sz w:val="32"/>
          <w:szCs w:val="32"/>
          <w:lang w:eastAsia="zh-CN"/>
        </w:rPr>
        <w:t>部门预算单位构成</w:t>
      </w:r>
    </w:p>
    <w:p>
      <w:pPr>
        <w:numPr>
          <w:ilvl w:val="0"/>
          <w:numId w:val="0"/>
        </w:numPr>
        <w:ind w:leftChars="0"/>
        <w:jc w:val="left"/>
        <w:rPr>
          <w:rFonts w:hint="eastAsia" w:ascii="宋体" w:hAnsi="宋体" w:eastAsia="宋体" w:cs="宋体"/>
          <w:b/>
          <w:bCs/>
          <w:sz w:val="32"/>
          <w:szCs w:val="32"/>
        </w:rPr>
      </w:pPr>
      <w:r>
        <w:rPr>
          <w:rFonts w:hint="eastAsia" w:ascii="宋体" w:hAnsi="宋体" w:eastAsia="宋体" w:cs="宋体"/>
          <w:b/>
          <w:bCs/>
          <w:sz w:val="32"/>
          <w:szCs w:val="32"/>
        </w:rPr>
        <w:t>三、收支预算情况说明</w:t>
      </w:r>
    </w:p>
    <w:p>
      <w:pPr>
        <w:numPr>
          <w:ilvl w:val="0"/>
          <w:numId w:val="1"/>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收入预算情况</w:t>
      </w:r>
    </w:p>
    <w:p>
      <w:pPr>
        <w:numPr>
          <w:ilvl w:val="0"/>
          <w:numId w:val="1"/>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支出预算情况</w:t>
      </w:r>
      <w:r>
        <w:rPr>
          <w:rFonts w:hint="eastAsia" w:ascii="仿宋_GB2312" w:hAnsi="仿宋_GB2312" w:eastAsia="仿宋_GB2312" w:cs="仿宋_GB2312"/>
          <w:sz w:val="32"/>
          <w:szCs w:val="32"/>
        </w:rPr>
        <w:br w:type="textWrapping"/>
      </w:r>
      <w:r>
        <w:rPr>
          <w:rFonts w:hint="eastAsia" w:ascii="宋体" w:hAnsi="宋体" w:eastAsia="宋体" w:cs="宋体"/>
          <w:b/>
          <w:bCs/>
          <w:sz w:val="32"/>
          <w:szCs w:val="32"/>
        </w:rPr>
        <w:t>四、财政拨款收支预算情况说明</w:t>
      </w:r>
      <w:r>
        <w:rPr>
          <w:rFonts w:hint="eastAsia" w:ascii="宋体" w:hAnsi="宋体" w:eastAsia="宋体" w:cs="宋体"/>
          <w:b/>
          <w:bCs/>
          <w:sz w:val="32"/>
          <w:szCs w:val="32"/>
        </w:rPr>
        <w:br w:type="textWrapping"/>
      </w:r>
      <w:r>
        <w:rPr>
          <w:rFonts w:hint="eastAsia" w:ascii="宋体" w:hAnsi="宋体" w:eastAsia="宋体" w:cs="宋体"/>
          <w:b/>
          <w:bCs/>
          <w:sz w:val="32"/>
          <w:szCs w:val="32"/>
        </w:rPr>
        <w:t>五、一般公共预算当年拨款情况说明</w:t>
      </w:r>
    </w:p>
    <w:p>
      <w:pPr>
        <w:numPr>
          <w:ilvl w:val="0"/>
          <w:numId w:val="0"/>
        </w:numPr>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（一）</w:t>
      </w:r>
      <w:r>
        <w:rPr>
          <w:rFonts w:hint="eastAsia" w:ascii="仿宋_GB2312" w:hAnsi="仿宋_GB2312" w:eastAsia="仿宋_GB2312" w:cs="仿宋_GB2312"/>
          <w:sz w:val="32"/>
          <w:szCs w:val="32"/>
        </w:rPr>
        <w:t>一般公共预算当年拨款规模变化情况</w:t>
      </w:r>
    </w:p>
    <w:p>
      <w:pPr>
        <w:numPr>
          <w:ilvl w:val="0"/>
          <w:numId w:val="0"/>
        </w:num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一般公共预算当年拨款结构情况</w:t>
      </w:r>
    </w:p>
    <w:p>
      <w:pPr>
        <w:numPr>
          <w:ilvl w:val="0"/>
          <w:numId w:val="0"/>
        </w:numPr>
        <w:jc w:val="left"/>
        <w:rPr>
          <w:rFonts w:hint="eastAsia" w:ascii="宋体" w:hAnsi="宋体" w:eastAsia="宋体" w:cs="宋体"/>
          <w:b/>
          <w:bCs/>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一般公共预算当年拨款具体使用情况</w:t>
      </w:r>
      <w:r>
        <w:rPr>
          <w:rFonts w:hint="eastAsia" w:ascii="仿宋_GB2312" w:hAnsi="仿宋_GB2312" w:eastAsia="仿宋_GB2312" w:cs="仿宋_GB2312"/>
          <w:sz w:val="32"/>
          <w:szCs w:val="32"/>
        </w:rPr>
        <w:br w:type="textWrapping"/>
      </w:r>
      <w:r>
        <w:rPr>
          <w:rFonts w:hint="eastAsia" w:ascii="宋体" w:hAnsi="宋体" w:eastAsia="宋体" w:cs="宋体"/>
          <w:b/>
          <w:bCs/>
          <w:sz w:val="32"/>
          <w:szCs w:val="32"/>
        </w:rPr>
        <w:t>六、一般公共预算基本支出情况说明</w:t>
      </w:r>
      <w:r>
        <w:rPr>
          <w:rFonts w:hint="eastAsia" w:ascii="宋体" w:hAnsi="宋体" w:eastAsia="宋体" w:cs="宋体"/>
          <w:b/>
          <w:bCs/>
          <w:sz w:val="32"/>
          <w:szCs w:val="32"/>
        </w:rPr>
        <w:br w:type="textWrapping"/>
      </w:r>
      <w:r>
        <w:rPr>
          <w:rFonts w:hint="eastAsia" w:ascii="宋体" w:hAnsi="宋体" w:eastAsia="宋体" w:cs="宋体"/>
          <w:b/>
          <w:bCs/>
          <w:sz w:val="32"/>
          <w:szCs w:val="32"/>
        </w:rPr>
        <w:t>七、“三公”经费财政拨款预算安排情况说明</w:t>
      </w:r>
      <w:r>
        <w:rPr>
          <w:rFonts w:hint="eastAsia" w:ascii="宋体" w:hAnsi="宋体" w:eastAsia="宋体" w:cs="宋体"/>
          <w:b/>
          <w:bCs/>
          <w:sz w:val="32"/>
          <w:szCs w:val="32"/>
        </w:rPr>
        <w:br w:type="textWrapping"/>
      </w:r>
      <w:r>
        <w:rPr>
          <w:rFonts w:hint="eastAsia" w:ascii="宋体" w:hAnsi="宋体" w:eastAsia="宋体" w:cs="宋体"/>
          <w:b/>
          <w:bCs/>
          <w:sz w:val="32"/>
          <w:szCs w:val="32"/>
        </w:rPr>
        <w:t>八、政府性基金预算支出情况说明</w:t>
      </w:r>
      <w:r>
        <w:rPr>
          <w:rFonts w:hint="eastAsia" w:ascii="宋体" w:hAnsi="宋体" w:eastAsia="宋体" w:cs="宋体"/>
          <w:b/>
          <w:bCs/>
          <w:sz w:val="32"/>
          <w:szCs w:val="32"/>
        </w:rPr>
        <w:br w:type="textWrapping"/>
      </w:r>
      <w:r>
        <w:rPr>
          <w:rFonts w:hint="eastAsia" w:ascii="宋体" w:hAnsi="宋体" w:eastAsia="宋体" w:cs="宋体"/>
          <w:b/>
          <w:bCs/>
          <w:sz w:val="32"/>
          <w:szCs w:val="32"/>
        </w:rPr>
        <w:t>九、其他重要事项的情况说明</w:t>
      </w:r>
    </w:p>
    <w:p>
      <w:pPr>
        <w:numPr>
          <w:ilvl w:val="0"/>
          <w:numId w:val="0"/>
        </w:numPr>
        <w:ind w:leftChars="0"/>
        <w:jc w:val="left"/>
        <w:rPr>
          <w:rFonts w:hint="eastAsia" w:ascii="宋体" w:hAnsi="宋体" w:eastAsia="宋体" w:cs="宋体"/>
          <w:b/>
          <w:bCs/>
          <w:sz w:val="32"/>
          <w:szCs w:val="32"/>
        </w:rPr>
      </w:pPr>
      <w:r>
        <w:rPr>
          <w:rFonts w:hint="eastAsia" w:ascii="宋体" w:hAnsi="宋体" w:eastAsia="宋体" w:cs="宋体"/>
          <w:b/>
          <w:bCs/>
          <w:sz w:val="32"/>
          <w:szCs w:val="32"/>
        </w:rPr>
        <w:t>十、名称解释</w:t>
      </w: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keepNext w:val="0"/>
        <w:keepLines w:val="0"/>
        <w:pageBreakBefore w:val="0"/>
        <w:widowControl/>
        <w:kinsoku/>
        <w:wordWrap/>
        <w:overflowPunct/>
        <w:topLinePunct w:val="0"/>
        <w:autoSpaceDE/>
        <w:autoSpaceDN/>
        <w:bidi w:val="0"/>
        <w:adjustRightInd/>
        <w:snapToGrid/>
        <w:spacing w:line="665" w:lineRule="exact"/>
        <w:ind w:firstLine="720" w:firstLineChars="200"/>
        <w:jc w:val="left"/>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方正小标宋简体" w:hAnsi="宋体" w:eastAsia="方正小标宋简体" w:cs="宋体"/>
          <w:color w:val="000000" w:themeColor="text1"/>
          <w:kern w:val="0"/>
          <w:sz w:val="36"/>
          <w:szCs w:val="36"/>
          <w:lang w:eastAsia="zh-CN"/>
          <w14:textFill>
            <w14:solidFill>
              <w14:schemeClr w14:val="tx1"/>
            </w14:solidFill>
          </w14:textFill>
        </w:rPr>
        <w:t>金川县红十字会</w:t>
      </w:r>
      <w:r>
        <w:rPr>
          <w:rFonts w:hint="eastAsia" w:ascii="方正小标宋简体" w:hAnsi="宋体" w:eastAsia="方正小标宋简体" w:cs="宋体"/>
          <w:color w:val="000000" w:themeColor="text1"/>
          <w:kern w:val="0"/>
          <w:sz w:val="36"/>
          <w:szCs w:val="36"/>
          <w14:textFill>
            <w14:solidFill>
              <w14:schemeClr w14:val="tx1"/>
            </w14:solidFill>
          </w14:textFill>
        </w:rPr>
        <w:t>20</w:t>
      </w:r>
      <w:r>
        <w:rPr>
          <w:rFonts w:hint="eastAsia" w:ascii="方正小标宋简体" w:hAnsi="宋体" w:eastAsia="方正小标宋简体" w:cs="宋体"/>
          <w:color w:val="000000" w:themeColor="text1"/>
          <w:kern w:val="0"/>
          <w:sz w:val="36"/>
          <w:szCs w:val="36"/>
          <w:lang w:val="en-US" w:eastAsia="zh-CN"/>
          <w14:textFill>
            <w14:solidFill>
              <w14:schemeClr w14:val="tx1"/>
            </w14:solidFill>
          </w14:textFill>
        </w:rPr>
        <w:t>21</w:t>
      </w:r>
      <w:r>
        <w:rPr>
          <w:rFonts w:hint="eastAsia" w:ascii="方正小标宋简体" w:hAnsi="宋体" w:eastAsia="方正小标宋简体" w:cs="宋体"/>
          <w:color w:val="000000" w:themeColor="text1"/>
          <w:kern w:val="0"/>
          <w:sz w:val="36"/>
          <w:szCs w:val="36"/>
          <w14:textFill>
            <w14:solidFill>
              <w14:schemeClr w14:val="tx1"/>
            </w14:solidFill>
          </w14:textFill>
        </w:rPr>
        <w:t>年部门预算编制说明</w:t>
      </w:r>
      <w:r>
        <w:rPr>
          <w:rFonts w:hint="eastAsia" w:ascii="方正小标宋简体" w:hAnsi="宋体" w:eastAsia="方正小标宋简体" w:cs="宋体"/>
          <w:color w:val="000000" w:themeColor="text1"/>
          <w:kern w:val="0"/>
          <w:sz w:val="36"/>
          <w:szCs w:val="36"/>
          <w14:textFill>
            <w14:solidFill>
              <w14:schemeClr w14:val="tx1"/>
            </w14:solidFill>
          </w14:textFill>
        </w:rPr>
        <w:br w:type="textWrapping"/>
      </w:r>
      <w:r>
        <w:rPr>
          <w:rFonts w:hint="eastAsia" w:ascii="黑体" w:hAnsi="宋体" w:eastAsia="黑体" w:cs="宋体"/>
          <w:color w:val="000000" w:themeColor="text1"/>
          <w:kern w:val="0"/>
          <w:sz w:val="28"/>
          <w:szCs w:val="28"/>
          <w14:textFill>
            <w14:solidFill>
              <w14:schemeClr w14:val="tx1"/>
            </w14:solidFill>
          </w14:textFill>
        </w:rPr>
        <w:t>　　</w:t>
      </w:r>
      <w:r>
        <w:rPr>
          <w:rFonts w:hint="eastAsia" w:ascii="黑体" w:hAnsi="宋体" w:eastAsia="黑体" w:cs="宋体"/>
          <w:color w:val="000000" w:themeColor="text1"/>
          <w:kern w:val="0"/>
          <w:sz w:val="28"/>
          <w:szCs w:val="28"/>
          <w14:textFill>
            <w14:solidFill>
              <w14:schemeClr w14:val="tx1"/>
            </w14:solidFill>
          </w14:textFill>
        </w:rPr>
        <w:br w:type="textWrapping"/>
      </w:r>
      <w:r>
        <w:rPr>
          <w:rFonts w:hint="eastAsia" w:ascii="黑体" w:hAnsi="宋体" w:eastAsia="黑体" w:cs="宋体"/>
          <w:color w:val="333333"/>
          <w:kern w:val="0"/>
          <w:sz w:val="28"/>
          <w:szCs w:val="28"/>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一、基本职能及主要工作</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　　（一）</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职能简介。</w:t>
      </w:r>
    </w:p>
    <w:p>
      <w:pPr>
        <w:keepNext w:val="0"/>
        <w:keepLines w:val="0"/>
        <w:pageBreakBefore w:val="0"/>
        <w:widowControl/>
        <w:kinsoku/>
        <w:wordWrap/>
        <w:overflowPunct/>
        <w:topLinePunct w:val="0"/>
        <w:autoSpaceDE/>
        <w:autoSpaceDN/>
        <w:bidi w:val="0"/>
        <w:adjustRightInd/>
        <w:snapToGrid/>
        <w:spacing w:line="665" w:lineRule="exact"/>
        <w:ind w:firstLine="560" w:firstLineChars="200"/>
        <w:jc w:val="left"/>
        <w:textAlignment w:val="auto"/>
        <w:outlineLvl w:val="9"/>
        <w:rPr>
          <w:rFonts w:hint="eastAsia" w:ascii="仿宋_GB2312" w:eastAsia="仿宋_GB2312"/>
          <w:bCs/>
          <w:color w:val="404040" w:themeColor="text1" w:themeTint="BF"/>
          <w:spacing w:val="-14"/>
          <w:sz w:val="28"/>
          <w:szCs w:val="28"/>
          <w14:textFill>
            <w14:solidFill>
              <w14:schemeClr w14:val="tx1">
                <w14:lumMod w14:val="75000"/>
                <w14:lumOff w14:val="25000"/>
              </w14:schemeClr>
            </w14:solidFill>
          </w14:textFill>
        </w:rPr>
      </w:pP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根据</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《中华人民共和国红十字会法》、</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《中国红十字章程》</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以及党和国家有关红十字会工作的方针、政策、法规</w:t>
      </w: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文件规定。</w:t>
      </w:r>
      <w:r>
        <w:rPr>
          <w:rFonts w:eastAsia="仿宋_GB2312"/>
          <w:b/>
          <w:color w:val="404040" w:themeColor="text1" w:themeTint="BF"/>
          <w:spacing w:val="-14"/>
          <w:sz w:val="28"/>
          <w:szCs w:val="28"/>
          <w14:textFill>
            <w14:solidFill>
              <w14:schemeClr w14:val="tx1">
                <w14:lumMod w14:val="75000"/>
                <w14:lumOff w14:val="25000"/>
              </w14:schemeClr>
            </w14:solidFill>
          </w14:textFill>
        </w:rPr>
        <w:t>主要职责：</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以项目建设为抓手，以卫生救护培训为载体，以基层红会组织建设和会员发展为基础，加大宣传力度，充分发挥政府人道事务工作方面的助手作用。</w:t>
      </w:r>
    </w:p>
    <w:p>
      <w:pPr>
        <w:keepNext w:val="0"/>
        <w:keepLines w:val="0"/>
        <w:pageBreakBefore w:val="0"/>
        <w:widowControl/>
        <w:kinsoku/>
        <w:wordWrap/>
        <w:overflowPunct/>
        <w:topLinePunct w:val="0"/>
        <w:autoSpaceDE/>
        <w:autoSpaceDN/>
        <w:bidi w:val="0"/>
        <w:adjustRightInd/>
        <w:snapToGrid/>
        <w:spacing w:line="665" w:lineRule="exact"/>
        <w:ind w:firstLine="562" w:firstLineChars="200"/>
        <w:jc w:val="left"/>
        <w:textAlignment w:val="auto"/>
        <w:outlineLvl w:val="9"/>
        <w:rPr>
          <w:rFonts w:hint="eastAsia" w:ascii="仿宋_GB2312" w:hAnsi="仿宋_GB2312" w:eastAsia="仿宋_GB2312" w:cs="仿宋_GB2312"/>
          <w:bCs/>
          <w:color w:val="404040" w:themeColor="text1" w:themeTint="BF"/>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20</w:t>
      </w:r>
      <w:r>
        <w:rPr>
          <w:rFonts w:hint="eastAsia" w:ascii="楷体_GB2312" w:hAnsi="宋体" w:eastAsia="楷体_GB2312" w:cs="宋体"/>
          <w:b/>
          <w:bCs/>
          <w:color w:val="404040" w:themeColor="text1" w:themeTint="BF"/>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年重点工作。</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根据县委、县政府关于20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年全县工作的总体部署，县红十字会</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主要</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工作安排：</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仿宋_GB2312" w:eastAsia="仿宋_GB2312"/>
          <w:color w:val="404040" w:themeColor="text1" w:themeTint="BF"/>
          <w:sz w:val="28"/>
          <w:szCs w:val="28"/>
          <w14:textFill>
            <w14:solidFill>
              <w14:schemeClr w14:val="tx1">
                <w14:lumMod w14:val="75000"/>
                <w14:lumOff w14:val="25000"/>
              </w14:schemeClr>
            </w14:solidFill>
          </w14:textFill>
        </w:rPr>
        <w:t>加强基层组织建设，夯实红十字会工作基础。2、开展红十字宣传活动，不断扩大红十字影响。3、开展救灾、救护、救助工作，认真履行红十字会职责。4、完成</w:t>
      </w:r>
      <w:r>
        <w:rPr>
          <w:rFonts w:hint="eastAsia" w:ascii="仿宋_GB2312" w:eastAsia="仿宋_GB2312"/>
          <w:color w:val="404040" w:themeColor="text1" w:themeTint="BF"/>
          <w:sz w:val="28"/>
          <w:szCs w:val="28"/>
          <w14:textFill>
            <w14:solidFill>
              <w14:schemeClr w14:val="tx1">
                <w14:lumMod w14:val="75000"/>
                <w14:lumOff w14:val="25000"/>
              </w14:schemeClr>
            </w14:solidFill>
          </w14:textFill>
        </w:rPr>
        <w:t>中国红基会援助勒乌镇新开村“博爱家园”（生计保护）项目</w:t>
      </w:r>
      <w:r>
        <w:rPr>
          <w:rFonts w:hint="eastAsia" w:ascii="仿宋_GB2312" w:eastAsia="仿宋_GB2312"/>
          <w:color w:val="404040" w:themeColor="text1" w:themeTint="BF"/>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沙耳乡沙耳尼村中国红十字会总会生计项目和河西乡乃当村台湾红十字组织“博爱家园”生计项目生计基金的“一发放一回收”有序推进，目前资金平安，收益有效。5、开展扶贫脱贫工作、走基层和群众工作。6、民生工程、社会稳定工作、环境整治工作、</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党的建设工作进展情况等</w:t>
      </w:r>
      <w:r>
        <w:rPr>
          <w:rFonts w:hint="eastAsia" w:ascii="仿宋_GB2312" w:hAnsi="仿宋_GB2312" w:eastAsia="仿宋_GB2312" w:cs="仿宋_GB2312"/>
          <w:color w:val="404040" w:themeColor="text1" w:themeTint="BF"/>
          <w:spacing w:val="-6"/>
          <w:w w:val="97"/>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pacing w:val="-6"/>
          <w:w w:val="97"/>
          <w:sz w:val="28"/>
          <w:szCs w:val="28"/>
          <w:lang w:val="en-US" w:eastAsia="zh-CN"/>
          <w14:textFill>
            <w14:solidFill>
              <w14:schemeClr w14:val="tx1">
                <w14:lumMod w14:val="75000"/>
                <w14:lumOff w14:val="25000"/>
              </w14:schemeClr>
            </w14:solidFill>
          </w14:textFill>
        </w:rPr>
        <w:t>7、</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完成县委、县政府交办的其他事宜。</w:t>
      </w:r>
    </w:p>
    <w:p>
      <w:pPr>
        <w:keepNext w:val="0"/>
        <w:keepLines w:val="0"/>
        <w:pageBreakBefore w:val="0"/>
        <w:kinsoku/>
        <w:wordWrap/>
        <w:overflowPunct/>
        <w:topLinePunct w:val="0"/>
        <w:autoSpaceDE/>
        <w:autoSpaceDN/>
        <w:bidi w:val="0"/>
        <w:adjustRightInd/>
        <w:snapToGrid/>
        <w:spacing w:line="665" w:lineRule="exact"/>
        <w:ind w:left="559" w:leftChars="266"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二、部门预算单位构成</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lang w:eastAsia="zh-CN"/>
          <w14:textFill>
            <w14:solidFill>
              <w14:schemeClr w14:val="tx1">
                <w14:lumMod w14:val="75000"/>
                <w14:lumOff w14:val="25000"/>
              </w14:schemeClr>
            </w14:solidFill>
          </w14:textFill>
        </w:rPr>
        <w:t>金川县红十字会是</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独立编制单位机构数为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个，财政供养人员编制为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名，其中行政编制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名，行政工勤编制0</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名，事业编制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名（其中参照公务员法管理人员编制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20</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21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年实际财政供养人员</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4</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人，较上年增加 0人（不含退休人员），其中：行政</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人，行政工勤</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Style w:val="6"/>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事业</w:t>
      </w:r>
      <w:r>
        <w:rPr>
          <w:rFonts w:hint="eastAsia" w:eastAsia="仿宋_GB2312"/>
          <w:color w:val="404040" w:themeColor="text1" w:themeTint="BF"/>
          <w:spacing w:val="-14"/>
          <w:sz w:val="28"/>
          <w:szCs w:val="28"/>
          <w:lang w:eastAsia="zh-CN"/>
          <w14:textFill>
            <w14:solidFill>
              <w14:schemeClr w14:val="tx1">
                <w14:lumMod w14:val="75000"/>
                <w14:lumOff w14:val="25000"/>
              </w14:schemeClr>
            </w14:solidFill>
          </w14:textFill>
        </w:rPr>
        <w:t>参公</w:t>
      </w:r>
      <w:r>
        <w:rPr>
          <w:rFonts w:hint="eastAsia"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仿宋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三、收支预算情况说明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按照综合预算的原则，</w:t>
      </w:r>
      <w:r>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t>红十字会</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所有收入和支出均纳入部门预算管理。收入包括：一般公共预算拨款收入、上年结转；支出包括：一般公共服务支出、教育支出、社会保障和就业支出、医疗卫生与计划生育支出、住房保障支出。红十字会20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年收支预算总数增加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0.83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相应增加了本年度预算收支总数。</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（一）收入预算情况。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年收入预算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万元，其中：上年结转0万元，占0%；一般公共预算拨款收入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（二）支出预算情况。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xml:space="preserve">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年支出预算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万元，占100%；项目支出0万元，占0%。</w:t>
      </w:r>
    </w:p>
    <w:p>
      <w:pPr>
        <w:keepNext w:val="0"/>
        <w:keepLines w:val="0"/>
        <w:pageBreakBefore w:val="0"/>
        <w:kinsoku/>
        <w:wordWrap/>
        <w:overflowPunct/>
        <w:topLinePunct w:val="0"/>
        <w:autoSpaceDE/>
        <w:autoSpaceDN/>
        <w:bidi w:val="0"/>
        <w:adjustRightInd/>
        <w:snapToGrid/>
        <w:spacing w:line="665" w:lineRule="exact"/>
        <w:ind w:left="560" w:hanging="560" w:hanging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四、财政拨款收支预算情况说明</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年财政拨款收支总额预算增加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0.83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收入包括：本年一般公共预算拨款收入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万元、上年结转一般公共预算拨款收入0万元；支出包括：一般公共服务支出0万元、教育支出0万元、社会保障和就业支出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3.53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4.8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numPr>
          <w:ilvl w:val="0"/>
          <w:numId w:val="2"/>
        </w:numPr>
        <w:kinsoku/>
        <w:wordWrap/>
        <w:overflowPunct/>
        <w:topLinePunct w:val="0"/>
        <w:autoSpaceDE/>
        <w:autoSpaceDN/>
        <w:bidi w:val="0"/>
        <w:adjustRightInd/>
        <w:snapToGrid/>
        <w:spacing w:line="665" w:lineRule="exact"/>
        <w:ind w:left="560" w:leftChars="0" w:firstLine="0" w:firstLine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一般公共预算当年拨款情况说明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（一）一般公共预算当年拨款规模变化情况。</w:t>
      </w:r>
    </w:p>
    <w:p>
      <w:pPr>
        <w:keepNext w:val="0"/>
        <w:keepLines w:val="0"/>
        <w:pageBreakBefore w:val="0"/>
        <w:numPr>
          <w:ilvl w:val="0"/>
          <w:numId w:val="0"/>
        </w:numPr>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年预算数增加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0.83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（二）一般公共预算当年拨款结构情况。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一般公共服务支出0万元，占0%；教育支出0万元，占0%；社会保障和就业支出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87.54</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3.53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5.28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4.8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7.18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w:t>
      </w:r>
    </w:p>
    <w:p>
      <w:pPr>
        <w:keepNext w:val="0"/>
        <w:keepLines w:val="0"/>
        <w:pageBreakBefore w:val="0"/>
        <w:kinsoku/>
        <w:wordWrap/>
        <w:overflowPunct/>
        <w:topLinePunct w:val="0"/>
        <w:autoSpaceDE/>
        <w:autoSpaceDN/>
        <w:bidi w:val="0"/>
        <w:adjustRightInd/>
        <w:snapToGrid/>
        <w:spacing w:line="665" w:lineRule="exact"/>
        <w:ind w:left="559" w:leftChars="266" w:firstLine="0" w:firstLineChars="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（三）一般公共预算当年拨款具体使用情况。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年部门收入预算总额为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1.208</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社会保障和就业(类）：</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58.49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16</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行政运行（项）: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40.62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8.27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）05行政事业单位离退休（款）05机关事业单位基本养老保险费（项）：日常人员经费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6.40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）05行政事业单位离退休（类）0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机关事业单位</w:t>
      </w:r>
      <w:r>
        <w:rPr>
          <w:rFonts w:hint="eastAsia" w:ascii="仿宋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职业年金</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费（项）：日常人员经费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3.20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行政单位医疗（项）: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医疗保障费用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2.80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公务员</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补助</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医疗保障费用</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0.73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3.221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住房保障支出（类）02住房改革支出（款）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住房公积金（项）：全会职工住房公积金</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4.8</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4、205教育支出（类）08进修及培训（款）03培训支出（项）：培训费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5、229其他支出（类）99其他支出（款）01其他支出（项）：退休干部20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年春节慰问金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（二）一般公共预算财政拨款项目支出预算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0</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一般公共服务支出（类）。</w:t>
      </w:r>
    </w:p>
    <w:p>
      <w:pPr>
        <w:keepNext w:val="0"/>
        <w:keepLines w:val="0"/>
        <w:pageBreakBefore w:val="0"/>
        <w:numPr>
          <w:ilvl w:val="0"/>
          <w:numId w:val="2"/>
        </w:numPr>
        <w:kinsoku/>
        <w:wordWrap/>
        <w:overflowPunct/>
        <w:topLinePunct w:val="0"/>
        <w:autoSpaceDE/>
        <w:autoSpaceDN/>
        <w:bidi w:val="0"/>
        <w:adjustRightInd/>
        <w:snapToGrid/>
        <w:spacing w:line="665" w:lineRule="exact"/>
        <w:ind w:left="560" w:leftChars="0"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一般公共预算基本支出情况说明</w:t>
      </w:r>
    </w:p>
    <w:p>
      <w:pPr>
        <w:keepNext w:val="0"/>
        <w:keepLines w:val="0"/>
        <w:pageBreakBefore w:val="0"/>
        <w:numPr>
          <w:ilvl w:val="0"/>
          <w:numId w:val="0"/>
        </w:numPr>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万元，其中：人员经费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58.55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8.27</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万元，主要包括：办公费、印刷费、手续费、水费、电费、邮电费、差旅费、维修（护）费、会议费、培训费、劳务费、工会经费、福利费、其他交通费、其他商品和服务支出。</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七、“三公”经费财政拨款预算安排情况说明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年“三公”经费财政拨款预算数</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万元，其中：因公出国（境）经费0万元，公务接待费0万元，公务用车购置及运行维护费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1.因公出国（境）经费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年因公出国（境）费0万元。全年安排因公出国（境）团组0次，出国（境）0人。</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.公务接待费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县红十字会20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年预算安排 0 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.公务用车购置及运行维护费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年预算安排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万元，与上年预算相比增加 0万元 ，主要原因是我单位公务用车使用年限长，车辆维修费增加 。</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单位</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现</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辆，其中：越野车 0 辆，轿车 0辆。 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年安排公务用车运行维护费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万元。用于</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辆公务用车燃油、维修、保险等方面支出。主要保障单位日常运转等工作。</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八、政府性基金预算支出情况说明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年无政府性基金预算财政拨款支出预算情况。</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t>九</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、其他重要事项的情况说明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（一）机关运行经费</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年度，红十字会机关运行经费支出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8.27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（二）政府采购情况</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年度，红十字会政府采购支出总额0万元。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（三）国有资产占有使用情况</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000000"/>
          <w:spacing w:val="-14"/>
          <w:kern w:val="0"/>
          <w:sz w:val="32"/>
          <w:szCs w:val="34"/>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截至20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年，红十字会共有公务用车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辆，其中：一般公务用车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辆；无单价50万元以上通用设备及单价100万元以上专用设备。</w:t>
      </w:r>
    </w:p>
    <w:p>
      <w:pPr>
        <w:numPr>
          <w:ilvl w:val="0"/>
          <w:numId w:val="0"/>
        </w:numPr>
        <w:ind w:leftChars="0"/>
        <w:jc w:val="left"/>
        <w:rPr>
          <w:rFonts w:hint="eastAsia" w:ascii="宋体" w:hAnsi="宋体" w:eastAsia="宋体" w:cs="宋体"/>
          <w:b/>
          <w:bCs/>
          <w:sz w:val="32"/>
          <w:szCs w:val="32"/>
        </w:rPr>
      </w:pPr>
      <w:r>
        <w:rPr>
          <w:rFonts w:hint="eastAsia" w:ascii="仿宋_GB2312" w:hAnsi="宋体" w:eastAsia="仿宋_GB2312" w:cs="宋体"/>
          <w:color w:val="333333"/>
          <w:kern w:val="0"/>
          <w:sz w:val="28"/>
          <w:szCs w:val="28"/>
        </w:rPr>
        <w:t>　　</w:t>
      </w:r>
      <w:r>
        <w:rPr>
          <w:rFonts w:hint="eastAsia" w:ascii="楷体_GB2312" w:hAnsi="宋体" w:eastAsia="楷体_GB2312" w:cs="宋体"/>
          <w:b w:val="0"/>
          <w:bCs w:val="0"/>
          <w:color w:val="333333"/>
          <w:kern w:val="0"/>
          <w:sz w:val="28"/>
        </w:rPr>
        <w:t>（四）绩效目标设置情况。</w:t>
      </w:r>
      <w:r>
        <w:rPr>
          <w:rFonts w:hint="eastAsia" w:ascii="楷体_GB2312" w:hAnsi="宋体" w:eastAsia="楷体_GB2312" w:cs="宋体"/>
          <w:b w:val="0"/>
          <w:bCs w:val="0"/>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红十字会</w:t>
      </w:r>
      <w:r>
        <w:rPr>
          <w:rFonts w:hint="eastAsia" w:ascii="仿宋_GB2312" w:hAnsi="仿宋_GB2312" w:eastAsia="仿宋_GB2312" w:cs="仿宋_GB2312"/>
          <w:color w:val="auto"/>
          <w:sz w:val="28"/>
          <w:szCs w:val="28"/>
          <w:lang w:val="en-US" w:eastAsia="zh-CN"/>
        </w:rPr>
        <w:t>基本支出和项目支出</w:t>
      </w:r>
      <w:r>
        <w:rPr>
          <w:rFonts w:hint="eastAsia" w:ascii="仿宋_GB2312" w:hAnsi="仿宋_GB2312" w:eastAsia="仿宋_GB2312" w:cs="仿宋_GB2312"/>
          <w:color w:val="auto"/>
          <w:sz w:val="28"/>
          <w:szCs w:val="28"/>
          <w:lang w:val="en-US"/>
        </w:rPr>
        <w:t>均按要求实行绩效目标管理，涉及一般公共预算当年拨款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66.82</w:t>
      </w:r>
      <w:r>
        <w:rPr>
          <w:rFonts w:hint="eastAsia" w:ascii="仿宋_GB2312" w:hAnsi="仿宋_GB2312" w:eastAsia="仿宋_GB2312" w:cs="仿宋_GB2312"/>
          <w:color w:val="auto"/>
          <w:sz w:val="28"/>
          <w:szCs w:val="28"/>
          <w:lang w:val="en-US"/>
        </w:rPr>
        <w:t>万元</w:t>
      </w:r>
      <w:r>
        <w:rPr>
          <w:rFonts w:hint="eastAsia" w:ascii="仿宋_GB2312" w:hAnsi="仿宋_GB2312" w:eastAsia="仿宋_GB2312" w:cs="仿宋_GB2312"/>
          <w:color w:val="auto"/>
          <w:sz w:val="28"/>
          <w:szCs w:val="28"/>
          <w:lang w:val="en-US" w:eastAsia="zh-CN"/>
        </w:rPr>
        <w:t>,用于人员经费和机关正常运转。</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w:t>
      </w:r>
      <w:bookmarkStart w:id="0" w:name="_GoBack"/>
      <w:bookmarkEnd w:id="0"/>
      <w:r>
        <w:rPr>
          <w:rFonts w:hint="eastAsia" w:ascii="黑体" w:hAnsi="宋体" w:eastAsia="黑体" w:cs="宋体"/>
          <w:color w:val="333333"/>
          <w:kern w:val="0"/>
          <w:sz w:val="28"/>
          <w:szCs w:val="28"/>
        </w:rPr>
        <w:t>、名词解释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红十字事业（款）行政运行</w:t>
      </w:r>
      <w:r>
        <w:rPr>
          <w:rFonts w:hint="eastAsia" w:ascii="仿宋_GB2312" w:hAnsi="宋体" w:eastAsia="仿宋_GB2312" w:cs="宋体"/>
          <w:color w:val="333333"/>
          <w:kern w:val="0"/>
          <w:sz w:val="28"/>
          <w:szCs w:val="28"/>
        </w:rPr>
        <w:t>（项）：指机关及参公管理事业单位用于保障机构正常运行、开展日常工作的基本支出。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.社会保障和就业（类）行政事业单位离退休（款）未归口管理的行政单位离退休（项）：指机关离退休人员的支出。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.医疗卫生与计划生育（类）行政事业单位医疗（款）行政单位医疗（项）：指机关及参公管理事业单位用于缴纳单位基本医疗保险支出。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13</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14</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15</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16</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9A26D"/>
    <w:multiLevelType w:val="singleLevel"/>
    <w:tmpl w:val="B379A26D"/>
    <w:lvl w:ilvl="0" w:tentative="0">
      <w:start w:val="1"/>
      <w:numFmt w:val="chineseCounting"/>
      <w:lvlText w:val="(%1)"/>
      <w:lvlJc w:val="left"/>
      <w:pPr>
        <w:tabs>
          <w:tab w:val="left" w:pos="312"/>
        </w:tabs>
      </w:pPr>
      <w:rPr>
        <w:rFonts w:hint="eastAsia"/>
        <w:b w:val="0"/>
        <w:bCs w:val="0"/>
      </w:rPr>
    </w:lvl>
  </w:abstractNum>
  <w:abstractNum w:abstractNumId="1">
    <w:nsid w:val="FE251A83"/>
    <w:multiLevelType w:val="singleLevel"/>
    <w:tmpl w:val="FE251A83"/>
    <w:lvl w:ilvl="0" w:tentative="0">
      <w:start w:val="5"/>
      <w:numFmt w:val="chineseCounting"/>
      <w:suff w:val="nothing"/>
      <w:lvlText w:val="%1、"/>
      <w:lvlJc w:val="left"/>
      <w:pPr>
        <w:ind w:left="56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E20C18"/>
    <w:rsid w:val="4C2551A8"/>
    <w:rsid w:val="50A019AD"/>
    <w:rsid w:val="66E11F2B"/>
    <w:rsid w:val="766474DC"/>
    <w:rsid w:val="7D44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 w:type="character" w:customStyle="1" w:styleId="6">
    <w:name w:val="apple-converted-space"/>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2021-05-24T07:58:00Z</dcterms:created>
  <dc:creator>Administrator</dc:creator>
  <cp:lastModifiedBy>Administrator</cp:lastModifiedBy>
  <dcterms:modified xsi:type="dcterms:W3CDTF">2021-05-24T08:52:04Z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D33F899ED0B04536B08B9FBC3D10057B</vt:lpwstr>
  </property>
</Properties>
</file>