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防震减灾事务中心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2026年，我单位部门预算141.91万元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spacing w:line="560" w:lineRule="exact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重点项目1：单位申报项目名称1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DejaVu Sans"/>
    <w:panose1 w:val="02020603050405020304"/>
    <w:charset w:val="86"/>
    <w:family w:val="auto"/>
    <w:pitch w:val="variable"/>
    <w:sig w:usb0="00000000" w:usb1="00000000" w:usb2="00000009" w:usb3="00000000" w:csb0="400001FF" w:csb1="FFFF0000"/>
  </w:font>
  <w:font w:name="方正小标宋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TFjODMwYjk5YTdiMmFiN2I4Njg4YWFhMzk3NjZhNj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Yozo_Office27021597764231179</Application>
  <Pages>4</Pages>
  <Words>285</Words>
  <Characters>299</Characters>
  <Lines>31</Lines>
  <Paragraphs>11</Paragraphs>
  <CharactersWithSpaces>297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2023-02-06T14:46:00Z</dcterms:created>
  <dcterms:modified xsi:type="dcterms:W3CDTF">2026-03-19T03:04:06Z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2052-11.8.2.10505</vt:lpwstr>
  </property>
  <property fmtid="{D5CDD505-2E9C-101B-9397-08002B2CF9AE}" pid="3" name="ICV">
    <vt:lpwstr>40CE510904F14FAAA84901A301E4ECDC_12</vt:lpwstr>
  </property>
</Properties>
</file>