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eastAsia" w:ascii="Times New Roman" w:hAnsi="Times New Roman" w:eastAsia="方正小标宋简体" w:cs="Times New Roman"/>
          <w:color w:val="auto"/>
          <w:kern w:val="2"/>
          <w:sz w:val="72"/>
          <w:szCs w:val="72"/>
          <w:highlight w:val="none"/>
          <w:lang w:val="en-US" w:eastAsia="zh-CN" w:bidi="ar-SA"/>
        </w:rPr>
      </w:pPr>
      <w:bookmarkStart w:id="0" w:name="_Toc15396475"/>
      <w:bookmarkStart w:id="1" w:name="_Toc15378441"/>
      <w:bookmarkStart w:id="2" w:name="_Toc15377425"/>
      <w:bookmarkStart w:id="3" w:name="_Toc15396597"/>
      <w:bookmarkStart w:id="4" w:name="_Toc15377193"/>
      <w:bookmarkStart w:id="5" w:name="_Toc15306267"/>
    </w:p>
    <w:p>
      <w:pPr>
        <w:pStyle w:val="7"/>
        <w:rPr>
          <w:rFonts w:hint="eastAsia" w:ascii="Times New Roman" w:hAnsi="Times New Roman" w:eastAsia="方正小标宋简体" w:cs="Times New Roman"/>
          <w:color w:val="auto"/>
          <w:kern w:val="2"/>
          <w:sz w:val="72"/>
          <w:szCs w:val="72"/>
          <w:highlight w:val="none"/>
          <w:lang w:val="en-US" w:eastAsia="zh-CN" w:bidi="ar-SA"/>
        </w:rPr>
      </w:pPr>
    </w:p>
    <w:p>
      <w:pPr>
        <w:pStyle w:val="7"/>
        <w:rPr>
          <w:rFonts w:hint="eastAsia" w:ascii="Times New Roman" w:hAnsi="Times New Roman" w:eastAsia="方正小标宋简体" w:cs="Times New Roman"/>
          <w:color w:val="auto"/>
          <w:kern w:val="2"/>
          <w:sz w:val="72"/>
          <w:szCs w:val="72"/>
          <w:highlight w:val="none"/>
          <w:lang w:val="en-US" w:eastAsia="zh-CN" w:bidi="ar-SA"/>
        </w:rPr>
      </w:pPr>
    </w:p>
    <w:p>
      <w:pPr>
        <w:rPr>
          <w:rFonts w:ascii="Times New Roman" w:hAnsi="Times New Roman"/>
        </w:rPr>
      </w:pPr>
    </w:p>
    <w:p>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pPr>
        <w:pStyle w:val="7"/>
        <w:jc w:val="center"/>
        <w:rPr>
          <w:rFonts w:hint="eastAsia" w:ascii="Times New Roman" w:hAnsi="Times New Roman" w:eastAsia="方正小标宋简体" w:cs="Times New Roman"/>
          <w:color w:val="auto"/>
          <w:kern w:val="2"/>
          <w:sz w:val="44"/>
          <w:szCs w:val="44"/>
          <w:highlight w:val="none"/>
          <w:lang w:val="en-US" w:eastAsia="zh-CN" w:bidi="ar-SA"/>
        </w:rPr>
      </w:pPr>
      <w:bookmarkStart w:id="6" w:name="_Toc15378442"/>
      <w:bookmarkStart w:id="7" w:name="_Toc15377426"/>
      <w:bookmarkStart w:id="8" w:name="_Toc15396598"/>
      <w:bookmarkStart w:id="9" w:name="_Toc15377194"/>
      <w:bookmarkStart w:id="10" w:name="_Toc15396476"/>
      <w:r>
        <w:rPr>
          <w:rFonts w:hint="eastAsia" w:ascii="Times New Roman" w:hAnsi="Times New Roman" w:eastAsia="方正小标宋简体" w:cs="Times New Roman"/>
          <w:color w:val="auto"/>
          <w:kern w:val="2"/>
          <w:sz w:val="44"/>
          <w:szCs w:val="44"/>
          <w:highlight w:val="none"/>
          <w:lang w:val="en-US" w:eastAsia="zh-CN" w:bidi="ar-SA"/>
        </w:rPr>
        <w:t>2024年度四川省</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金川县防震减灾事务中心</w:t>
      </w:r>
      <w:r>
        <w:rPr>
          <w:rFonts w:hint="eastAsia" w:ascii="Times New Roman" w:hAnsi="Times New Roman" w:eastAsia="方正小标宋简体" w:cs="Times New Roman"/>
          <w:color w:val="auto"/>
          <w:kern w:val="2"/>
          <w:sz w:val="44"/>
          <w:szCs w:val="44"/>
          <w:highlight w:val="none"/>
          <w:lang w:val="en-US" w:eastAsia="zh-CN" w:bidi="ar-SA"/>
        </w:rPr>
        <w:t>部门决算</w:t>
      </w:r>
      <w:bookmarkEnd w:id="6"/>
      <w:bookmarkEnd w:id="7"/>
      <w:bookmarkEnd w:id="8"/>
      <w:bookmarkEnd w:id="9"/>
      <w:bookmarkEnd w:id="10"/>
      <w:bookmarkEnd w:id="11"/>
    </w:p>
    <w:p>
      <w:pPr>
        <w:widowControl/>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4"/>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8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29</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eastAsia="仿宋_GB2312" w:cs="仿宋_GB2312"/>
          <w:color w:val="auto"/>
          <w:sz w:val="32"/>
          <w:szCs w:val="32"/>
          <w:highlight w:val="none"/>
          <w:lang w:val="en-US" w:eastAsia="zh-CN"/>
        </w:rPr>
        <w:t>.................................................4</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val="en-US" w:eastAsia="zh-CN"/>
        </w:rPr>
        <w:t>.................................................5</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p>
    <w:p>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一、收入支出决算总体情况明</w:t>
      </w:r>
      <w:r>
        <w:rPr>
          <w:rFonts w:hint="eastAsia" w:eastAsia="仿宋_GB2312" w:cs="仿宋_GB2312"/>
          <w:color w:val="auto"/>
          <w:sz w:val="32"/>
          <w:szCs w:val="32"/>
          <w:highlight w:val="none"/>
          <w:lang w:val="en-US" w:eastAsia="zh-CN"/>
        </w:rPr>
        <w:t>......................6</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960" w:firstLineChars="3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val="en-US" w:eastAsia="zh-CN"/>
        </w:rPr>
        <w:t>..............................6-7</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val="en-US" w:eastAsia="zh-CN"/>
        </w:rPr>
        <w:t>..................................8-9</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val="en-US" w:eastAsia="zh-CN"/>
        </w:rPr>
        <w:t>...10</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638" w:leftChars="304" w:firstLine="0" w:firstLineChars="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val="en-US" w:eastAsia="zh-CN"/>
        </w:rPr>
        <w:t>........10-11</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val="en-US" w:eastAsia="zh-CN"/>
        </w:rPr>
        <w:t>六</w:t>
      </w:r>
      <w:r>
        <w:rPr>
          <w:rFonts w:hint="eastAsia" w:ascii="Times New Roman" w:hAnsi="Times New Roman" w:eastAsia="仿宋_GB2312" w:cs="仿宋_GB2312"/>
          <w:color w:val="auto"/>
          <w:sz w:val="32"/>
          <w:szCs w:val="32"/>
          <w:highlight w:val="none"/>
        </w:rPr>
        <w:t>、财政拨款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val="en-US" w:eastAsia="zh-CN"/>
        </w:rPr>
        <w:t>........11-13</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eastAsia="仿宋_GB2312" w:cs="仿宋_GB2312"/>
          <w:color w:val="auto"/>
          <w:sz w:val="32"/>
          <w:szCs w:val="32"/>
          <w:highlight w:val="none"/>
          <w:lang w:val="en-US" w:eastAsia="zh-CN"/>
        </w:rPr>
        <w:t>七</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val="en-US" w:eastAsia="zh-CN"/>
        </w:rPr>
        <w:t>.................14-16</w:t>
      </w:r>
    </w:p>
    <w:p>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第三部分 名词解释</w:t>
      </w:r>
      <w:r>
        <w:rPr>
          <w:rFonts w:hint="eastAsia" w:eastAsia="仿宋_GB2312" w:cs="仿宋_GB2312"/>
          <w:color w:val="auto"/>
          <w:sz w:val="32"/>
          <w:szCs w:val="32"/>
          <w:highlight w:val="none"/>
          <w:lang w:val="en-US" w:eastAsia="zh-CN"/>
        </w:rPr>
        <w:t>...............17-18</w:t>
      </w:r>
    </w:p>
    <w:p>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第四部分 附件</w:t>
      </w:r>
      <w:r>
        <w:rPr>
          <w:rFonts w:hint="eastAsia" w:eastAsia="仿宋_GB2312" w:cs="仿宋_GB2312"/>
          <w:color w:val="auto"/>
          <w:sz w:val="32"/>
          <w:szCs w:val="32"/>
          <w:highlight w:val="none"/>
          <w:lang w:val="en-US" w:eastAsia="zh-CN"/>
        </w:rPr>
        <w:t>.................20-24</w:t>
      </w:r>
    </w:p>
    <w:p>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第五部分 附表</w:t>
      </w:r>
      <w:r>
        <w:rPr>
          <w:rFonts w:hint="eastAsia" w:eastAsia="仿宋_GB2312" w:cs="仿宋_GB2312"/>
          <w:color w:val="auto"/>
          <w:sz w:val="32"/>
          <w:szCs w:val="32"/>
          <w:highlight w:val="none"/>
          <w:lang w:val="en-US" w:eastAsia="zh-CN"/>
        </w:rPr>
        <w:t>..............24-28</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12" w:name="_Toc15377196"/>
      <w:bookmarkStart w:id="13" w:name="_Toc15396599"/>
      <w:r>
        <w:rPr>
          <w:rFonts w:hint="eastAsia" w:ascii="Times New Roman" w:hAnsi="Times New Roman" w:eastAsia="仿宋_GB2312" w:cs="仿宋_GB2312"/>
          <w:b/>
          <w:color w:val="auto"/>
          <w:sz w:val="32"/>
          <w:szCs w:val="32"/>
          <w:highlight w:val="none"/>
        </w:rPr>
        <w:br w:type="page"/>
      </w:r>
    </w:p>
    <w:p>
      <w:pPr>
        <w:pStyle w:val="3"/>
        <w:jc w:val="center"/>
        <w:rPr>
          <w:rStyle w:val="30"/>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0"/>
          <w:rFonts w:hint="eastAsia" w:ascii="Times New Roman" w:hAnsi="Times New Roman" w:eastAsia="方正小标宋简体" w:cs="方正小标宋简体"/>
          <w:b w:val="0"/>
          <w:bCs w:val="0"/>
          <w:color w:val="auto"/>
          <w:highlight w:val="none"/>
        </w:rPr>
        <w:t>部门概况</w:t>
      </w:r>
      <w:bookmarkEnd w:id="12"/>
      <w:bookmarkEnd w:id="13"/>
    </w:p>
    <w:p>
      <w:pPr>
        <w:widowControl/>
        <w:jc w:val="left"/>
        <w:rPr>
          <w:rFonts w:ascii="Times New Roman" w:hAnsi="Times New Roman" w:eastAsia="黑体"/>
          <w:color w:val="auto"/>
          <w:sz w:val="32"/>
          <w:szCs w:val="32"/>
          <w:highlight w:val="none"/>
        </w:rPr>
      </w:pPr>
    </w:p>
    <w:p>
      <w:pPr>
        <w:pStyle w:val="4"/>
        <w:numPr>
          <w:ilvl w:val="0"/>
          <w:numId w:val="1"/>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部门职责</w:t>
      </w:r>
    </w:p>
    <w:p>
      <w:pPr>
        <w:autoSpaceDE w:val="0"/>
        <w:autoSpaceDN w:val="0"/>
        <w:adjustRightInd w:val="0"/>
        <w:ind w:firstLine="640" w:firstLineChars="200"/>
        <w:jc w:val="left"/>
        <w:rPr>
          <w:rFonts w:hint="eastAsia" w:ascii="仿宋" w:eastAsia="仿宋" w:cs="仿宋_GB2312"/>
          <w:color w:val="000000"/>
          <w:kern w:val="0"/>
          <w:sz w:val="32"/>
          <w:szCs w:val="32"/>
          <w:lang w:bidi="ar-SA"/>
        </w:rPr>
      </w:pPr>
      <w:r>
        <w:rPr>
          <w:rFonts w:hint="eastAsia" w:ascii="仿宋" w:eastAsia="仿宋" w:cs="仿宋_GB2312"/>
          <w:color w:val="000000"/>
          <w:kern w:val="0"/>
          <w:sz w:val="32"/>
          <w:szCs w:val="32"/>
          <w:lang w:bidi="ar-SA"/>
        </w:rPr>
        <w:t>贯彻执行国家和省有关防震减灾工作的方针、政策、法律、规范和标准；组织起草有关法规，制定防震减灾发展中长期规划,编制防震减灾工作年度计划并组织实施。负责地震台网的规划、建设和管理。负责地震监测设施及其观测环境保护工作的监督、检查指导和协调。负责地震监测预报工作和地震震情速报工作的管理和指导。负责地震灾情速报、地震现场考察、地震灾害损失评估等工作，参与制定地震灾区重建规划。负责地震应急工作的管理、指导，制定应急预案、落实应急措施，开展震后各项应急工作。负责重大建设工程和可能产生严重次生灾害工程的地震安全性评价管理工作；负责全县抗震设防要求的监督和管理，指导农村房屋抗震设防。负责开展防震减灾科普知识宣传教育工作， 提高全民防震减灾意识。负责群测群防“三网一员”建设的管理、指导。负责防震减灾科技成果的推广应用，提高防震减灾科技水平。负责县政府防震减灾领导小组办公室的日常工作，发生破坏性地震后履行政府抗震救灾指挥机构办事部门的职责。负责承办县委、县人民政府、县应急管理事务中心和上级业务主管部门交办的事项。</w:t>
      </w:r>
    </w:p>
    <w:p>
      <w:pPr>
        <w:numPr>
          <w:ilvl w:val="0"/>
          <w:numId w:val="0"/>
        </w:numPr>
      </w:pPr>
    </w:p>
    <w:p>
      <w:pPr>
        <w:numPr>
          <w:ilvl w:val="0"/>
          <w:numId w:val="0"/>
        </w:numPr>
        <w:rPr>
          <w:rFonts w:hint="eastAsia"/>
          <w:lang w:eastAsia="zh-CN"/>
        </w:rPr>
      </w:pPr>
    </w:p>
    <w:p>
      <w:pPr>
        <w:pStyle w:val="4"/>
        <w:rPr>
          <w:rStyle w:val="31"/>
          <w:rFonts w:ascii="Times New Roman" w:hAnsi="Times New Roman"/>
          <w:b w:val="0"/>
          <w:bCs w:val="0"/>
          <w:color w:val="auto"/>
          <w:highlight w:val="none"/>
        </w:rPr>
      </w:pPr>
      <w:bookmarkStart w:id="14" w:name="_Toc15377200"/>
      <w:bookmarkStart w:id="15" w:name="_Toc15396601"/>
      <w:r>
        <w:rPr>
          <w:rFonts w:hint="eastAsia" w:ascii="Times New Roman" w:hAnsi="Times New Roman" w:eastAsia="黑体"/>
          <w:b w:val="0"/>
          <w:color w:val="auto"/>
          <w:highlight w:val="none"/>
        </w:rPr>
        <w:t>二、机</w:t>
      </w:r>
      <w:r>
        <w:rPr>
          <w:rStyle w:val="31"/>
          <w:rFonts w:hint="eastAsia" w:ascii="Times New Roman" w:hAnsi="Times New Roman" w:eastAsia="黑体"/>
          <w:b w:val="0"/>
          <w:bCs w:val="0"/>
          <w:color w:val="auto"/>
          <w:highlight w:val="none"/>
        </w:rPr>
        <w:t>构设置</w:t>
      </w:r>
      <w:bookmarkEnd w:id="14"/>
      <w:bookmarkEnd w:id="15"/>
    </w:p>
    <w:p>
      <w:pPr>
        <w:ind w:firstLine="800" w:firstLineChars="250"/>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金川县防震减灾事务中心</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pPr>
        <w:pStyle w:val="7"/>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金川县防震减灾事务中心</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p>
    <w:p>
      <w:pPr>
        <w:pStyle w:val="7"/>
        <w:numPr>
          <w:ilvl w:val="0"/>
          <w:numId w:val="2"/>
        </w:numPr>
        <w:adjustRightInd w:val="0"/>
        <w:snapToGrid w:val="0"/>
        <w:spacing w:before="93" w:line="600" w:lineRule="exact"/>
        <w:outlineLvl w:val="2"/>
        <w:rPr>
          <w:rFonts w:ascii="仿宋" w:hAnsi="仿宋" w:eastAsia="仿宋"/>
          <w:sz w:val="32"/>
          <w:szCs w:val="32"/>
        </w:rPr>
      </w:pPr>
      <w:bookmarkStart w:id="16" w:name="_Toc15378449"/>
      <w:bookmarkStart w:id="17" w:name="_Toc15377433"/>
      <w:bookmarkStart w:id="18" w:name="_Toc15377202"/>
      <w:bookmarkStart w:id="19" w:name="_Toc15306276"/>
      <w:r>
        <w:rPr>
          <w:rFonts w:hint="eastAsia" w:ascii="仿宋" w:hAnsi="仿宋" w:eastAsia="仿宋"/>
          <w:sz w:val="32"/>
          <w:szCs w:val="32"/>
          <w:lang w:val="en-US" w:eastAsia="zh-CN"/>
        </w:rPr>
        <w:t>金川县防震减灾事务中心</w:t>
      </w:r>
      <w:bookmarkEnd w:id="16"/>
      <w:bookmarkEnd w:id="17"/>
      <w:bookmarkEnd w:id="18"/>
      <w:bookmarkEnd w:id="19"/>
    </w:p>
    <w:p>
      <w:pPr>
        <w:pStyle w:val="7"/>
        <w:adjustRightInd w:val="0"/>
        <w:snapToGrid w:val="0"/>
        <w:spacing w:before="93" w:line="600" w:lineRule="exact"/>
        <w:ind w:firstLine="640" w:firstLineChars="200"/>
        <w:rPr>
          <w:rFonts w:ascii="仿宋" w:hAnsi="仿宋" w:eastAsia="仿宋"/>
          <w:sz w:val="32"/>
          <w:szCs w:val="32"/>
        </w:rPr>
      </w:pPr>
      <w:r>
        <w:rPr>
          <w:rFonts w:hint="eastAsia" w:ascii="仿宋" w:hAnsi="仿宋" w:eastAsia="仿宋"/>
          <w:sz w:val="32"/>
          <w:szCs w:val="32"/>
          <w:lang w:val="en-US" w:eastAsia="zh-CN"/>
        </w:rPr>
        <w:t>2.金川县地震台</w:t>
      </w:r>
    </w:p>
    <w:p>
      <w:pPr>
        <w:widowControl/>
        <w:jc w:val="left"/>
        <w:rPr>
          <w:rFonts w:ascii="Times New Roman" w:hAnsi="Times New Roman" w:eastAsia="仿宋"/>
          <w:color w:val="auto"/>
          <w:kern w:val="0"/>
          <w:sz w:val="32"/>
          <w:szCs w:val="32"/>
          <w:highlight w:val="none"/>
        </w:rPr>
      </w:pPr>
      <w:r>
        <w:rPr>
          <w:rFonts w:ascii="仿宋" w:hAnsi="仿宋" w:eastAsia="仿宋"/>
          <w:sz w:val="32"/>
          <w:szCs w:val="32"/>
        </w:rPr>
        <w:br w:type="page"/>
      </w:r>
    </w:p>
    <w:p>
      <w:pPr>
        <w:pStyle w:val="3"/>
        <w:jc w:val="center"/>
        <w:rPr>
          <w:rFonts w:hint="eastAsia" w:ascii="Times New Roman" w:hAnsi="Times New Roman" w:eastAsia="方正小标宋简体" w:cs="方正小标宋简体"/>
          <w:b w:val="0"/>
          <w:color w:val="auto"/>
          <w:highlight w:val="none"/>
        </w:rPr>
      </w:pPr>
      <w:bookmarkStart w:id="20" w:name="_Toc15377204"/>
      <w:bookmarkStart w:id="21"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20"/>
      <w:bookmarkEnd w:id="21"/>
    </w:p>
    <w:p>
      <w:pPr>
        <w:rPr>
          <w:rFonts w:ascii="Times New Roman" w:hAnsi="Times New Roman"/>
          <w:color w:val="auto"/>
          <w:highlight w:val="none"/>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bookmarkStart w:id="22" w:name="_Toc15396603"/>
      <w:bookmarkStart w:id="23"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1"/>
          <w:rFonts w:hint="eastAsia" w:ascii="Times New Roman" w:hAnsi="Times New Roman" w:eastAsia="黑体"/>
          <w:b w:val="0"/>
          <w:color w:val="auto"/>
          <w:highlight w:val="none"/>
        </w:rPr>
        <w:t>入支出决算总体情况说明</w:t>
      </w:r>
      <w:bookmarkEnd w:id="22"/>
      <w:bookmarkEnd w:id="23"/>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268.32</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87.2</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32.5</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val="en-US" w:eastAsia="zh-CN"/>
        </w:rPr>
        <w:t>项目增加。</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仿宋_GB2312" w:cs="仿宋_GB2312"/>
          <w:color w:val="auto"/>
          <w:sz w:val="32"/>
          <w:szCs w:val="32"/>
          <w:highlight w:val="none"/>
        </w:rPr>
      </w:pPr>
      <w:r>
        <w:drawing>
          <wp:inline distT="0" distB="0" distL="114300" distR="114300">
            <wp:extent cx="4826000" cy="2743200"/>
            <wp:effectExtent l="4445" t="4445" r="825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4" w:name="_Toc15396604"/>
      <w:bookmarkStart w:id="25" w:name="_Toc15377206"/>
      <w:r>
        <w:rPr>
          <w:rFonts w:hint="eastAsia" w:ascii="Times New Roman" w:hAnsi="Times New Roman" w:eastAsia="黑体"/>
          <w:color w:val="auto"/>
          <w:sz w:val="32"/>
          <w:szCs w:val="32"/>
          <w:highlight w:val="none"/>
          <w:lang w:eastAsia="zh-CN"/>
        </w:rPr>
        <w:t>二、收入决算情况说明</w:t>
      </w:r>
      <w:bookmarkEnd w:id="24"/>
      <w:bookmarkEnd w:id="25"/>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268.32万元，其中：一般公共预算财政拨款收入268.32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pPr>
        <w:ind w:firstLine="525" w:firstLineChars="250"/>
        <w:rPr>
          <w:rFonts w:hint="eastAsia" w:ascii="Times New Roman" w:hAnsi="Times New Roman" w:eastAsia="仿宋_GB2312" w:cs="仿宋_GB2312"/>
          <w:color w:val="auto"/>
          <w:sz w:val="32"/>
          <w:szCs w:val="32"/>
          <w:highlight w:val="none"/>
          <w:lang w:eastAsia="zh-CN"/>
        </w:rPr>
      </w:pPr>
      <w:r>
        <w:drawing>
          <wp:inline distT="0" distB="0" distL="114300" distR="114300">
            <wp:extent cx="4826000" cy="2743200"/>
            <wp:effectExtent l="4445" t="4445" r="825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bookmarkStart w:id="26" w:name="_Toc15377207"/>
      <w:bookmarkStart w:id="27"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1"/>
          <w:rFonts w:hint="eastAsia" w:ascii="Times New Roman" w:hAnsi="Times New Roman" w:eastAsia="黑体"/>
          <w:b w:val="0"/>
          <w:color w:val="auto"/>
          <w:highlight w:val="none"/>
        </w:rPr>
        <w:t>出决算情况说明</w:t>
      </w:r>
      <w:bookmarkEnd w:id="26"/>
      <w:bookmarkEnd w:id="27"/>
    </w:p>
    <w:p>
      <w:pPr>
        <w:pStyle w:val="37"/>
        <w:jc w:val="both"/>
        <w:rPr>
          <w:rFonts w:hint="eastAsia" w:ascii="仿宋_GB2312"/>
          <w:sz w:val="32"/>
          <w:szCs w:val="32"/>
        </w:rPr>
      </w:pPr>
      <w:r>
        <w:rPr>
          <w:rFonts w:hint="eastAsia" w:ascii="仿宋_GB2312"/>
          <w:sz w:val="32"/>
          <w:szCs w:val="32"/>
          <w:lang w:eastAsia="zh-CN"/>
        </w:rPr>
        <w:t>2024</w:t>
      </w:r>
      <w:r>
        <w:rPr>
          <w:rFonts w:hint="eastAsia" w:ascii="仿宋_GB2312"/>
          <w:sz w:val="32"/>
          <w:szCs w:val="32"/>
        </w:rPr>
        <w:t>年一般公共预算财政拨款支出</w:t>
      </w:r>
      <w:r>
        <w:rPr>
          <w:rFonts w:hint="eastAsia" w:ascii="仿宋_GB2312"/>
          <w:sz w:val="32"/>
          <w:szCs w:val="32"/>
          <w:lang w:val="en-US" w:eastAsia="zh-CN"/>
        </w:rPr>
        <w:t>268.32</w:t>
      </w:r>
      <w:r>
        <w:rPr>
          <w:rFonts w:hint="eastAsia" w:ascii="仿宋_GB2312"/>
          <w:sz w:val="32"/>
          <w:szCs w:val="32"/>
        </w:rPr>
        <w:t>万元，比上</w:t>
      </w:r>
      <w:r>
        <w:rPr>
          <w:rFonts w:hint="eastAsia" w:ascii="仿宋_GB2312"/>
          <w:sz w:val="32"/>
          <w:szCs w:val="32"/>
          <w:lang w:val="en-US" w:eastAsia="zh-CN"/>
        </w:rPr>
        <w:t>年增加87.2</w:t>
      </w:r>
      <w:r>
        <w:rPr>
          <w:rFonts w:hint="eastAsia" w:ascii="仿宋_GB2312"/>
          <w:sz w:val="32"/>
          <w:szCs w:val="32"/>
        </w:rPr>
        <w:t>，原因是：</w:t>
      </w:r>
      <w:r>
        <w:rPr>
          <w:rFonts w:hint="eastAsia" w:ascii="仿宋_GB2312"/>
          <w:sz w:val="32"/>
          <w:szCs w:val="32"/>
          <w:lang w:val="en-US" w:eastAsia="zh-CN"/>
        </w:rPr>
        <w:t>项目增加</w:t>
      </w:r>
      <w:r>
        <w:rPr>
          <w:rFonts w:hint="eastAsia" w:ascii="仿宋_GB2312"/>
          <w:sz w:val="32"/>
          <w:szCs w:val="32"/>
        </w:rPr>
        <w:t>，主要为以下方面:灾害防治及应急管理支出</w:t>
      </w:r>
      <w:r>
        <w:rPr>
          <w:rFonts w:hint="eastAsia" w:ascii="仿宋_GB2312"/>
          <w:sz w:val="32"/>
          <w:szCs w:val="32"/>
          <w:lang w:val="en-US" w:eastAsia="zh-CN"/>
        </w:rPr>
        <w:t>100.75</w:t>
      </w:r>
      <w:r>
        <w:rPr>
          <w:rFonts w:hint="eastAsia" w:ascii="仿宋_GB2312"/>
          <w:sz w:val="32"/>
          <w:szCs w:val="32"/>
        </w:rPr>
        <w:t>万元，占</w:t>
      </w:r>
      <w:r>
        <w:rPr>
          <w:rFonts w:hint="eastAsia" w:ascii="仿宋_GB2312"/>
          <w:sz w:val="32"/>
          <w:szCs w:val="32"/>
          <w:lang w:val="en-US" w:eastAsia="zh-CN"/>
        </w:rPr>
        <w:t>38</w:t>
      </w:r>
      <w:r>
        <w:rPr>
          <w:rFonts w:hint="eastAsia" w:ascii="仿宋_GB2312"/>
          <w:sz w:val="32"/>
          <w:szCs w:val="32"/>
        </w:rPr>
        <w:t>%；社会保障和就业支出</w:t>
      </w:r>
      <w:r>
        <w:rPr>
          <w:rFonts w:hint="eastAsia" w:ascii="仿宋_GB2312"/>
          <w:sz w:val="32"/>
          <w:szCs w:val="32"/>
          <w:lang w:val="en-US" w:eastAsia="zh-CN"/>
        </w:rPr>
        <w:t>18.89</w:t>
      </w:r>
      <w:r>
        <w:rPr>
          <w:rFonts w:hint="eastAsia" w:ascii="仿宋_GB2312"/>
          <w:sz w:val="32"/>
          <w:szCs w:val="32"/>
        </w:rPr>
        <w:t>万元，占</w:t>
      </w:r>
      <w:r>
        <w:rPr>
          <w:rFonts w:hint="eastAsia" w:ascii="仿宋_GB2312"/>
          <w:sz w:val="32"/>
          <w:szCs w:val="32"/>
          <w:lang w:val="en-US" w:eastAsia="zh-CN"/>
        </w:rPr>
        <w:t>7</w:t>
      </w:r>
      <w:r>
        <w:rPr>
          <w:rFonts w:hint="eastAsia" w:ascii="仿宋_GB2312"/>
          <w:sz w:val="32"/>
          <w:szCs w:val="32"/>
        </w:rPr>
        <w:t>%；卫生健康支出</w:t>
      </w:r>
      <w:r>
        <w:rPr>
          <w:rFonts w:hint="eastAsia" w:ascii="仿宋_GB2312"/>
          <w:sz w:val="32"/>
          <w:szCs w:val="32"/>
          <w:lang w:val="en-US" w:eastAsia="zh-CN"/>
        </w:rPr>
        <w:t>7.49</w:t>
      </w:r>
      <w:r>
        <w:rPr>
          <w:rFonts w:hint="eastAsia" w:ascii="仿宋_GB2312"/>
          <w:sz w:val="32"/>
          <w:szCs w:val="32"/>
        </w:rPr>
        <w:t>万元，占</w:t>
      </w:r>
      <w:r>
        <w:rPr>
          <w:rFonts w:hint="eastAsia" w:ascii="仿宋_GB2312"/>
          <w:sz w:val="32"/>
          <w:szCs w:val="32"/>
          <w:lang w:val="en-US" w:eastAsia="zh-CN"/>
        </w:rPr>
        <w:t>3</w:t>
      </w:r>
      <w:r>
        <w:rPr>
          <w:rFonts w:hint="eastAsia" w:ascii="仿宋_GB2312"/>
          <w:sz w:val="32"/>
          <w:szCs w:val="32"/>
        </w:rPr>
        <w:t>%；住房保障支出</w:t>
      </w:r>
      <w:r>
        <w:rPr>
          <w:rFonts w:hint="eastAsia" w:ascii="仿宋_GB2312"/>
          <w:sz w:val="32"/>
          <w:szCs w:val="32"/>
          <w:lang w:val="en-US" w:eastAsia="zh-CN"/>
        </w:rPr>
        <w:t>10.62</w:t>
      </w:r>
      <w:r>
        <w:rPr>
          <w:rFonts w:hint="eastAsia" w:ascii="仿宋_GB2312"/>
          <w:sz w:val="32"/>
          <w:szCs w:val="32"/>
        </w:rPr>
        <w:t>万元，占</w:t>
      </w:r>
      <w:r>
        <w:rPr>
          <w:rFonts w:hint="eastAsia" w:ascii="仿宋_GB2312"/>
          <w:sz w:val="32"/>
          <w:szCs w:val="32"/>
          <w:lang w:val="en-US" w:eastAsia="zh-CN"/>
        </w:rPr>
        <w:t>4</w:t>
      </w:r>
      <w:r>
        <w:rPr>
          <w:rFonts w:hint="eastAsia" w:ascii="仿宋_GB2312"/>
          <w:sz w:val="32"/>
          <w:szCs w:val="32"/>
        </w:rPr>
        <w:t>%。项目支出</w:t>
      </w:r>
      <w:r>
        <w:rPr>
          <w:rFonts w:hint="eastAsia" w:ascii="仿宋_GB2312"/>
          <w:sz w:val="32"/>
          <w:szCs w:val="32"/>
          <w:lang w:val="en-US" w:eastAsia="zh-CN"/>
        </w:rPr>
        <w:t>130.57</w:t>
      </w:r>
      <w:r>
        <w:rPr>
          <w:rFonts w:hint="eastAsia" w:ascii="仿宋_GB2312"/>
          <w:sz w:val="32"/>
          <w:szCs w:val="32"/>
        </w:rPr>
        <w:t>万元，占</w:t>
      </w:r>
      <w:r>
        <w:rPr>
          <w:rFonts w:hint="eastAsia" w:ascii="仿宋_GB2312"/>
          <w:sz w:val="32"/>
          <w:szCs w:val="32"/>
          <w:lang w:val="en-US" w:eastAsia="zh-CN"/>
        </w:rPr>
        <w:t>48</w:t>
      </w:r>
      <w:r>
        <w:rPr>
          <w:rFonts w:hint="eastAsia" w:ascii="仿宋_GB2312"/>
          <w:sz w:val="32"/>
          <w:szCs w:val="32"/>
        </w:rPr>
        <w:t>%</w:t>
      </w:r>
    </w:p>
    <w:p>
      <w:pPr>
        <w:ind w:firstLine="525" w:firstLineChars="250"/>
        <w:rPr>
          <w:rFonts w:hint="eastAsia" w:ascii="Times New Roman" w:hAnsi="Times New Roman" w:eastAsia="仿宋_GB2312" w:cs="仿宋_GB2312"/>
          <w:color w:val="auto"/>
          <w:sz w:val="32"/>
          <w:szCs w:val="32"/>
          <w:highlight w:val="none"/>
          <w:lang w:eastAsia="zh-CN"/>
        </w:rPr>
      </w:pPr>
      <w:r>
        <w:drawing>
          <wp:inline distT="0" distB="0" distL="114300" distR="114300">
            <wp:extent cx="4819650" cy="2743200"/>
            <wp:effectExtent l="4445" t="4445" r="14605" b="14605"/>
            <wp:docPr id="1"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31"/>
          <w:rFonts w:ascii="Times New Roman" w:hAnsi="Times New Roman" w:eastAsia="黑体"/>
          <w:b w:val="0"/>
          <w:color w:val="auto"/>
          <w:highlight w:val="none"/>
        </w:rPr>
      </w:pPr>
      <w:bookmarkStart w:id="28" w:name="_Toc15377208"/>
      <w:bookmarkStart w:id="29" w:name="_Toc15396606"/>
      <w:r>
        <w:rPr>
          <w:rFonts w:hint="eastAsia" w:ascii="Times New Roman" w:hAnsi="Times New Roman" w:eastAsia="黑体"/>
          <w:color w:val="auto"/>
          <w:sz w:val="32"/>
          <w:szCs w:val="32"/>
          <w:highlight w:val="none"/>
        </w:rPr>
        <w:t>四、财</w:t>
      </w:r>
      <w:r>
        <w:rPr>
          <w:rStyle w:val="31"/>
          <w:rFonts w:hint="eastAsia" w:ascii="Times New Roman" w:hAnsi="Times New Roman" w:eastAsia="黑体"/>
          <w:b w:val="0"/>
          <w:color w:val="auto"/>
          <w:highlight w:val="none"/>
        </w:rPr>
        <w:t>政拨款收入支出决算总体情况说明</w:t>
      </w:r>
      <w:bookmarkEnd w:id="28"/>
      <w:bookmarkEnd w:id="29"/>
    </w:p>
    <w:p>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268.32</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w:t>
      </w:r>
      <w:r>
        <w:rPr>
          <w:rFonts w:hint="eastAsia" w:eastAsia="仿宋_GB2312" w:cs="仿宋_GB2312"/>
          <w:color w:val="auto"/>
          <w:kern w:val="2"/>
          <w:sz w:val="32"/>
          <w:szCs w:val="32"/>
          <w:highlight w:val="none"/>
          <w:lang w:val="en-US" w:eastAsia="zh-CN" w:bidi="ar-SA"/>
        </w:rPr>
        <w:t>87.2</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32.5</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项目增加。</w:t>
      </w:r>
    </w:p>
    <w:p>
      <w:pPr>
        <w:spacing w:line="240" w:lineRule="auto"/>
        <w:ind w:firstLine="420" w:firstLineChars="200"/>
        <w:outlineLvl w:val="1"/>
        <w:rPr>
          <w:rFonts w:hint="eastAsia"/>
          <w:lang w:val="en-US" w:eastAsia="zh-CN"/>
        </w:rPr>
      </w:pPr>
      <w:bookmarkStart w:id="30" w:name="_Toc15396607"/>
      <w:bookmarkStart w:id="31" w:name="_Toc15377209"/>
      <w:r>
        <w:rPr>
          <w:rFonts w:hint="eastAsia"/>
          <w:lang w:val="en-US" w:eastAsia="zh-CN"/>
        </w:rPr>
        <w:t xml:space="preserve"> </w:t>
      </w:r>
      <w:r>
        <w:rPr>
          <w:rFonts w:hint="eastAsia"/>
          <w:lang w:val="en-US" w:eastAsia="zh-CN"/>
        </w:rPr>
        <w:drawing>
          <wp:inline distT="0" distB="0" distL="114300" distR="114300">
            <wp:extent cx="4839970" cy="2755265"/>
            <wp:effectExtent l="0" t="0" r="17780" b="6985"/>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10"/>
                    <a:stretch>
                      <a:fillRect/>
                    </a:stretch>
                  </pic:blipFill>
                  <pic:spPr>
                    <a:xfrm>
                      <a:off x="0" y="0"/>
                      <a:ext cx="4839970" cy="2755265"/>
                    </a:xfrm>
                    <a:prstGeom prst="rect">
                      <a:avLst/>
                    </a:prstGeom>
                  </pic:spPr>
                </pic:pic>
              </a:graphicData>
            </a:graphic>
          </wp:inline>
        </w:drawing>
      </w:r>
    </w:p>
    <w:p>
      <w:pPr>
        <w:spacing w:line="600" w:lineRule="exact"/>
        <w:ind w:firstLine="420" w:firstLineChars="200"/>
        <w:outlineLvl w:val="1"/>
        <w:rPr>
          <w:rFonts w:hint="eastAsia"/>
          <w:lang w:val="en-US" w:eastAsia="zh-CN"/>
        </w:rPr>
      </w:pPr>
    </w:p>
    <w:p>
      <w:pPr>
        <w:spacing w:line="600" w:lineRule="exact"/>
        <w:ind w:firstLine="420" w:firstLineChars="200"/>
        <w:outlineLvl w:val="1"/>
        <w:rPr>
          <w:rFonts w:hint="eastAsia"/>
          <w:lang w:val="en-US" w:eastAsia="zh-CN"/>
        </w:rPr>
      </w:pPr>
    </w:p>
    <w:p>
      <w:pPr>
        <w:spacing w:line="600" w:lineRule="exact"/>
        <w:ind w:firstLine="420" w:firstLineChars="200"/>
        <w:outlineLvl w:val="1"/>
        <w:rPr>
          <w:rFonts w:hint="eastAsia"/>
          <w:lang w:val="en-US" w:eastAsia="zh-CN"/>
        </w:rPr>
      </w:pPr>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Style w:val="31"/>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般公共预算财政拨款支出决算情况说明</w:t>
      </w:r>
      <w:bookmarkEnd w:id="30"/>
      <w:bookmarkEnd w:id="31"/>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2"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268.32</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%。与2023年度相比，一般公共预算财政拨款支出增加87.2万元，增长32.5%。主要变动原因是项目增加</w:t>
      </w: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w:t>
      </w:r>
    </w:p>
    <w:p>
      <w:pPr>
        <w:pStyle w:val="6"/>
        <w:rPr>
          <w:rFonts w:hint="eastAsia" w:ascii="Times New Roman" w:hAnsi="Times New Roman" w:eastAsia="仿宋_GB2312" w:cs="仿宋_GB2312"/>
          <w:color w:val="auto"/>
          <w:kern w:val="2"/>
          <w:sz w:val="32"/>
          <w:szCs w:val="32"/>
          <w:highlight w:val="none"/>
          <w:lang w:val="en-US" w:eastAsia="zh-CN" w:bidi="ar-SA"/>
        </w:rPr>
      </w:pPr>
    </w:p>
    <w:p>
      <w:pPr>
        <w:pStyle w:val="6"/>
        <w:rPr>
          <w:rFonts w:hint="eastAsia" w:ascii="Times New Roman" w:hAnsi="Times New Roman" w:eastAsia="仿宋_GB2312" w:cs="仿宋_GB2312"/>
          <w:color w:val="auto"/>
          <w:kern w:val="2"/>
          <w:sz w:val="32"/>
          <w:szCs w:val="32"/>
          <w:highlight w:val="none"/>
          <w:lang w:val="en-US" w:eastAsia="zh-CN" w:bidi="ar-SA"/>
        </w:rPr>
      </w:pPr>
    </w:p>
    <w:p>
      <w:pPr>
        <w:pStyle w:val="6"/>
        <w:rPr>
          <w:rFonts w:hint="eastAsia" w:ascii="Times New Roman" w:hAnsi="Times New Roman" w:eastAsia="仿宋_GB2312" w:cs="仿宋_GB2312"/>
          <w:color w:val="auto"/>
          <w:kern w:val="2"/>
          <w:sz w:val="32"/>
          <w:szCs w:val="32"/>
          <w:highlight w:val="none"/>
          <w:lang w:val="en-US" w:eastAsia="zh-CN" w:bidi="ar-SA"/>
        </w:rPr>
      </w:pPr>
      <w:r>
        <w:drawing>
          <wp:inline distT="0" distB="0" distL="114300" distR="114300">
            <wp:extent cx="4826000" cy="2743200"/>
            <wp:effectExtent l="4445" t="4445" r="8255" b="14605"/>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3"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3"/>
    </w:p>
    <w:p>
      <w:pPr>
        <w:pStyle w:val="37"/>
        <w:jc w:val="both"/>
        <w:rPr>
          <w:rFonts w:hint="eastAsia" w:ascii="仿宋_GB2312"/>
          <w:sz w:val="32"/>
          <w:szCs w:val="32"/>
        </w:rPr>
      </w:pPr>
      <w:r>
        <w:rPr>
          <w:rFonts w:hint="eastAsia" w:ascii="仿宋_GB2312"/>
          <w:sz w:val="32"/>
          <w:szCs w:val="32"/>
          <w:lang w:eastAsia="zh-CN"/>
        </w:rPr>
        <w:t>2024</w:t>
      </w:r>
      <w:r>
        <w:rPr>
          <w:rFonts w:hint="eastAsia" w:ascii="仿宋_GB2312"/>
          <w:sz w:val="32"/>
          <w:szCs w:val="32"/>
        </w:rPr>
        <w:t>年一般公共预算财政拨款支出</w:t>
      </w:r>
      <w:r>
        <w:rPr>
          <w:rFonts w:hint="eastAsia" w:ascii="仿宋_GB2312"/>
          <w:sz w:val="32"/>
          <w:szCs w:val="32"/>
          <w:lang w:val="en-US" w:eastAsia="zh-CN"/>
        </w:rPr>
        <w:t>268.32</w:t>
      </w:r>
      <w:r>
        <w:rPr>
          <w:rFonts w:hint="eastAsia" w:ascii="仿宋_GB2312"/>
          <w:sz w:val="32"/>
          <w:szCs w:val="32"/>
        </w:rPr>
        <w:t>万元，比上</w:t>
      </w:r>
      <w:r>
        <w:rPr>
          <w:rFonts w:hint="eastAsia" w:ascii="仿宋_GB2312"/>
          <w:sz w:val="32"/>
          <w:szCs w:val="32"/>
          <w:lang w:val="en-US" w:eastAsia="zh-CN"/>
        </w:rPr>
        <w:t>年增加87.2</w:t>
      </w:r>
      <w:r>
        <w:rPr>
          <w:rFonts w:hint="eastAsia" w:ascii="仿宋_GB2312"/>
          <w:sz w:val="32"/>
          <w:szCs w:val="32"/>
        </w:rPr>
        <w:t>，原因是：</w:t>
      </w:r>
      <w:r>
        <w:rPr>
          <w:rFonts w:hint="eastAsia" w:ascii="仿宋_GB2312"/>
          <w:sz w:val="32"/>
          <w:szCs w:val="32"/>
          <w:lang w:val="en-US" w:eastAsia="zh-CN"/>
        </w:rPr>
        <w:t>项目增加</w:t>
      </w:r>
      <w:r>
        <w:rPr>
          <w:rFonts w:hint="eastAsia" w:ascii="仿宋_GB2312"/>
          <w:sz w:val="32"/>
          <w:szCs w:val="32"/>
        </w:rPr>
        <w:t>，主要为以下方面:灾害防治及应急管理支出</w:t>
      </w:r>
      <w:r>
        <w:rPr>
          <w:rFonts w:hint="eastAsia" w:ascii="仿宋_GB2312"/>
          <w:sz w:val="32"/>
          <w:szCs w:val="32"/>
          <w:lang w:val="en-US" w:eastAsia="zh-CN"/>
        </w:rPr>
        <w:t>100.75</w:t>
      </w:r>
      <w:r>
        <w:rPr>
          <w:rFonts w:hint="eastAsia" w:ascii="仿宋_GB2312"/>
          <w:sz w:val="32"/>
          <w:szCs w:val="32"/>
        </w:rPr>
        <w:t>万元，占</w:t>
      </w:r>
      <w:r>
        <w:rPr>
          <w:rFonts w:hint="eastAsia" w:ascii="仿宋_GB2312"/>
          <w:sz w:val="32"/>
          <w:szCs w:val="32"/>
          <w:lang w:val="en-US" w:eastAsia="zh-CN"/>
        </w:rPr>
        <w:t>38</w:t>
      </w:r>
      <w:r>
        <w:rPr>
          <w:rFonts w:hint="eastAsia" w:ascii="仿宋_GB2312"/>
          <w:sz w:val="32"/>
          <w:szCs w:val="32"/>
        </w:rPr>
        <w:t>%；社会保障和就业支出</w:t>
      </w:r>
      <w:r>
        <w:rPr>
          <w:rFonts w:hint="eastAsia" w:ascii="仿宋_GB2312"/>
          <w:sz w:val="32"/>
          <w:szCs w:val="32"/>
          <w:lang w:val="en-US" w:eastAsia="zh-CN"/>
        </w:rPr>
        <w:t>18.89</w:t>
      </w:r>
      <w:r>
        <w:rPr>
          <w:rFonts w:hint="eastAsia" w:ascii="仿宋_GB2312"/>
          <w:sz w:val="32"/>
          <w:szCs w:val="32"/>
        </w:rPr>
        <w:t>万元，占</w:t>
      </w:r>
      <w:r>
        <w:rPr>
          <w:rFonts w:hint="eastAsia" w:ascii="仿宋_GB2312"/>
          <w:sz w:val="32"/>
          <w:szCs w:val="32"/>
          <w:lang w:val="en-US" w:eastAsia="zh-CN"/>
        </w:rPr>
        <w:t>7</w:t>
      </w:r>
      <w:r>
        <w:rPr>
          <w:rFonts w:hint="eastAsia" w:ascii="仿宋_GB2312"/>
          <w:sz w:val="32"/>
          <w:szCs w:val="32"/>
        </w:rPr>
        <w:t>%；卫生健康支出</w:t>
      </w:r>
      <w:r>
        <w:rPr>
          <w:rFonts w:hint="eastAsia" w:ascii="仿宋_GB2312"/>
          <w:sz w:val="32"/>
          <w:szCs w:val="32"/>
          <w:lang w:val="en-US" w:eastAsia="zh-CN"/>
        </w:rPr>
        <w:t>7.49</w:t>
      </w:r>
      <w:r>
        <w:rPr>
          <w:rFonts w:hint="eastAsia" w:ascii="仿宋_GB2312"/>
          <w:sz w:val="32"/>
          <w:szCs w:val="32"/>
        </w:rPr>
        <w:t>万元，占</w:t>
      </w:r>
      <w:r>
        <w:rPr>
          <w:rFonts w:hint="eastAsia" w:ascii="仿宋_GB2312"/>
          <w:sz w:val="32"/>
          <w:szCs w:val="32"/>
          <w:lang w:val="en-US" w:eastAsia="zh-CN"/>
        </w:rPr>
        <w:t>3</w:t>
      </w:r>
      <w:r>
        <w:rPr>
          <w:rFonts w:hint="eastAsia" w:ascii="仿宋_GB2312"/>
          <w:sz w:val="32"/>
          <w:szCs w:val="32"/>
        </w:rPr>
        <w:t>%；住房保障支出</w:t>
      </w:r>
      <w:r>
        <w:rPr>
          <w:rFonts w:hint="eastAsia" w:ascii="仿宋_GB2312"/>
          <w:sz w:val="32"/>
          <w:szCs w:val="32"/>
          <w:lang w:val="en-US" w:eastAsia="zh-CN"/>
        </w:rPr>
        <w:t>10.62</w:t>
      </w:r>
      <w:r>
        <w:rPr>
          <w:rFonts w:hint="eastAsia" w:ascii="仿宋_GB2312"/>
          <w:sz w:val="32"/>
          <w:szCs w:val="32"/>
        </w:rPr>
        <w:t>万元，占</w:t>
      </w:r>
      <w:r>
        <w:rPr>
          <w:rFonts w:hint="eastAsia" w:ascii="仿宋_GB2312"/>
          <w:sz w:val="32"/>
          <w:szCs w:val="32"/>
          <w:lang w:val="en-US" w:eastAsia="zh-CN"/>
        </w:rPr>
        <w:t>4</w:t>
      </w:r>
      <w:r>
        <w:rPr>
          <w:rFonts w:hint="eastAsia" w:ascii="仿宋_GB2312"/>
          <w:sz w:val="32"/>
          <w:szCs w:val="32"/>
        </w:rPr>
        <w:t>%。项目支出</w:t>
      </w:r>
      <w:r>
        <w:rPr>
          <w:rFonts w:hint="eastAsia" w:ascii="仿宋_GB2312"/>
          <w:sz w:val="32"/>
          <w:szCs w:val="32"/>
          <w:lang w:val="en-US" w:eastAsia="zh-CN"/>
        </w:rPr>
        <w:t>130.57</w:t>
      </w:r>
      <w:r>
        <w:rPr>
          <w:rFonts w:hint="eastAsia" w:ascii="仿宋_GB2312"/>
          <w:sz w:val="32"/>
          <w:szCs w:val="32"/>
        </w:rPr>
        <w:t>万元，占</w:t>
      </w:r>
      <w:r>
        <w:rPr>
          <w:rFonts w:hint="eastAsia" w:ascii="仿宋_GB2312"/>
          <w:sz w:val="32"/>
          <w:szCs w:val="32"/>
          <w:lang w:val="en-US" w:eastAsia="zh-CN"/>
        </w:rPr>
        <w:t>48</w:t>
      </w:r>
      <w:r>
        <w:rPr>
          <w:rFonts w:hint="eastAsia" w:ascii="仿宋_GB2312"/>
          <w:sz w:val="32"/>
          <w:szCs w:val="32"/>
        </w:rPr>
        <w:t>%</w:t>
      </w:r>
    </w:p>
    <w:p>
      <w:pPr>
        <w:spacing w:line="600" w:lineRule="exact"/>
        <w:ind w:firstLine="420" w:firstLineChars="200"/>
        <w:outlineLvl w:val="2"/>
      </w:pPr>
      <w:bookmarkStart w:id="34" w:name="_Toc15377212"/>
    </w:p>
    <w:p>
      <w:pPr>
        <w:spacing w:line="240" w:lineRule="auto"/>
        <w:ind w:firstLine="420" w:firstLineChars="200"/>
        <w:outlineLvl w:val="2"/>
        <w:rPr>
          <w:rFonts w:hint="eastAsia" w:eastAsia="宋体"/>
          <w:lang w:eastAsia="zh-CN"/>
        </w:rPr>
      </w:pPr>
      <w:r>
        <w:rPr>
          <w:rFonts w:hint="eastAsia" w:eastAsia="宋体"/>
          <w:lang w:eastAsia="zh-CN"/>
        </w:rPr>
        <w:drawing>
          <wp:inline distT="0" distB="0" distL="114300" distR="114300">
            <wp:extent cx="4838700" cy="2762250"/>
            <wp:effectExtent l="0" t="0" r="0" b="0"/>
            <wp:docPr id="8"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1"/>
                    <pic:cNvPicPr>
                      <a:picLocks noChangeAspect="1"/>
                    </pic:cNvPicPr>
                  </pic:nvPicPr>
                  <pic:blipFill>
                    <a:blip r:embed="rId12"/>
                    <a:stretch>
                      <a:fillRect/>
                    </a:stretch>
                  </pic:blipFill>
                  <pic:spPr>
                    <a:xfrm>
                      <a:off x="0" y="0"/>
                      <a:ext cx="4838700" cy="2762250"/>
                    </a:xfrm>
                    <a:prstGeom prst="rect">
                      <a:avLst/>
                    </a:prstGeom>
                  </pic:spPr>
                </pic:pic>
              </a:graphicData>
            </a:graphic>
          </wp:inline>
        </w:drawing>
      </w:r>
    </w:p>
    <w:p>
      <w:pPr>
        <w:spacing w:line="600" w:lineRule="exact"/>
        <w:ind w:firstLine="420" w:firstLineChars="200"/>
        <w:outlineLvl w:val="2"/>
      </w:pPr>
    </w:p>
    <w:p>
      <w:pPr>
        <w:spacing w:line="600" w:lineRule="exact"/>
        <w:ind w:firstLine="420" w:firstLineChars="200"/>
        <w:outlineLvl w:val="2"/>
      </w:pP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（三）一般公共预算财政拨款支出决算具体情况</w:t>
      </w:r>
      <w:bookmarkEnd w:id="34"/>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5" w:name="_Toc15378460"/>
      <w:bookmarkStart w:id="36" w:name="_Toc15377444"/>
      <w:bookmarkStart w:id="37"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268.32</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5"/>
      <w:bookmarkEnd w:id="36"/>
      <w:bookmarkEnd w:id="37"/>
    </w:p>
    <w:p>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.208  社会保障和就业支出：</w:t>
      </w:r>
      <w:r>
        <w:rPr>
          <w:rFonts w:hint="eastAsia" w:ascii="Times New Roman" w:hAnsi="Times New Roman" w:eastAsia="仿宋_GB2312" w:cs="仿宋_GB2312"/>
          <w:color w:val="auto"/>
          <w:kern w:val="2"/>
          <w:sz w:val="32"/>
          <w:szCs w:val="32"/>
          <w:highlight w:val="none"/>
          <w:lang w:val="en-US" w:eastAsia="zh-CN" w:bidi="ar-SA"/>
        </w:rPr>
        <w:t>支出决算为18.83万元，完成预算100%</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210  卫生健康支出</w:t>
      </w:r>
      <w:r>
        <w:rPr>
          <w:rFonts w:hint="eastAsia" w:ascii="Times New Roman" w:hAnsi="Times New Roman" w:eastAsia="仿宋_GB2312" w:cs="仿宋_GB2312"/>
          <w:color w:val="auto"/>
          <w:kern w:val="2"/>
          <w:sz w:val="32"/>
          <w:szCs w:val="32"/>
          <w:highlight w:val="none"/>
          <w:lang w:val="en-US" w:eastAsia="zh-CN" w:bidi="ar-SA"/>
        </w:rPr>
        <w:t>: 支出决算为</w:t>
      </w:r>
      <w:r>
        <w:rPr>
          <w:rFonts w:hint="eastAsia" w:eastAsia="仿宋_GB2312" w:cs="仿宋_GB2312"/>
          <w:color w:val="auto"/>
          <w:kern w:val="2"/>
          <w:sz w:val="32"/>
          <w:szCs w:val="32"/>
          <w:highlight w:val="none"/>
          <w:lang w:val="en-US" w:eastAsia="zh-CN" w:bidi="ar-SA"/>
        </w:rPr>
        <w:t>7.49</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221  住房保障支出：</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10.23</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224   灾害防治及应急管理住处：</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231.77</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p>
    <w:p>
      <w:pPr>
        <w:pStyle w:val="6"/>
        <w:rPr>
          <w:rFonts w:hint="eastAsia"/>
          <w:lang w:val="en-US" w:eastAsia="zh-CN"/>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tabs>
          <w:tab w:val="right" w:pos="8306"/>
        </w:tabs>
        <w:spacing w:line="600" w:lineRule="exact"/>
        <w:ind w:firstLine="640"/>
        <w:outlineLvl w:val="1"/>
        <w:rPr>
          <w:rStyle w:val="31"/>
          <w:rFonts w:ascii="Times New Roman" w:hAnsi="Times New Roman"/>
          <w:color w:val="auto"/>
          <w:highlight w:val="none"/>
        </w:rPr>
      </w:pPr>
      <w:bookmarkStart w:id="38" w:name="_Toc15396608"/>
      <w:bookmarkStart w:id="39"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般公共预算财政拨款基本支出决算情况说明</w:t>
      </w:r>
      <w:bookmarkEnd w:id="38"/>
      <w:bookmarkEnd w:id="39"/>
      <w:r>
        <w:rPr>
          <w:rStyle w:val="31"/>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137.75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127.7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10.05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outlineLvl w:val="1"/>
        <w:rPr>
          <w:rStyle w:val="31"/>
          <w:rFonts w:ascii="Times New Roman" w:hAnsi="Times New Roman" w:eastAsia="黑体"/>
          <w:b w:val="0"/>
          <w:color w:val="auto"/>
          <w:highlight w:val="none"/>
        </w:rPr>
      </w:pPr>
      <w:bookmarkStart w:id="40" w:name="_Toc15396609"/>
      <w:bookmarkStart w:id="41" w:name="_Toc15377215"/>
      <w:r>
        <w:rPr>
          <w:rFonts w:hint="eastAsia" w:ascii="Times New Roman" w:hAnsi="Times New Roman" w:eastAsia="黑体"/>
          <w:color w:val="auto"/>
          <w:sz w:val="32"/>
          <w:szCs w:val="32"/>
          <w:highlight w:val="none"/>
        </w:rPr>
        <w:t>七、</w:t>
      </w:r>
      <w:r>
        <w:rPr>
          <w:rStyle w:val="31"/>
          <w:rFonts w:hint="eastAsia" w:ascii="Times New Roman" w:hAnsi="Times New Roman" w:eastAsia="黑体"/>
          <w:b w:val="0"/>
          <w:color w:val="auto"/>
          <w:highlight w:val="none"/>
        </w:rPr>
        <w:t>财政拨款</w:t>
      </w:r>
      <w:r>
        <w:rPr>
          <w:rStyle w:val="31"/>
          <w:rFonts w:hint="eastAsia" w:ascii="Times New Roman" w:hAnsi="Times New Roman" w:eastAsia="黑体"/>
          <w:color w:val="auto"/>
          <w:highlight w:val="none"/>
        </w:rPr>
        <w:t>“</w:t>
      </w:r>
      <w:r>
        <w:rPr>
          <w:rStyle w:val="31"/>
          <w:rFonts w:hint="eastAsia" w:ascii="Times New Roman" w:hAnsi="Times New Roman" w:eastAsia="黑体"/>
          <w:b w:val="0"/>
          <w:color w:val="auto"/>
          <w:highlight w:val="none"/>
        </w:rPr>
        <w:t>三公”经费支出决算情况说明</w:t>
      </w:r>
      <w:bookmarkEnd w:id="40"/>
      <w:bookmarkEnd w:id="41"/>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2"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2"/>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2.59</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94.5</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%。决算数小于预算数（或与预算数持平）的主要原因是</w:t>
      </w:r>
      <w:r>
        <w:rPr>
          <w:rFonts w:hint="eastAsia" w:eastAsia="仿宋_GB2312" w:cs="仿宋_GB2312"/>
          <w:color w:val="auto"/>
          <w:kern w:val="2"/>
          <w:sz w:val="32"/>
          <w:szCs w:val="32"/>
          <w:highlight w:val="none"/>
          <w:lang w:val="en-US" w:eastAsia="zh-CN" w:bidi="ar-SA"/>
        </w:rPr>
        <w:t>无变动</w:t>
      </w: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3"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3"/>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2.59</w:t>
      </w:r>
      <w:r>
        <w:rPr>
          <w:rFonts w:hint="eastAsia" w:ascii="仿宋_GB2312" w:hAnsi="仿宋_GB2312" w:eastAsia="仿宋_GB2312" w:cs="仿宋_GB2312"/>
          <w:color w:val="auto"/>
          <w:kern w:val="2"/>
          <w:sz w:val="32"/>
          <w:szCs w:val="32"/>
          <w:highlight w:val="none"/>
          <w:lang w:val="en-US" w:eastAsia="zh-CN" w:bidi="ar-SA"/>
        </w:rPr>
        <w:t>万元，占100%；公务接待费支出决算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万元，占0%。具体情况如下：</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1.因公出国（境）经费支出**万元，完成预算**%。</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。因公出国（境）支出决算比2023年增加/减少**万元，增长/下降**%。主要原因是……</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开支内容包括：……（团组名称、出访地点、取得成效等）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2.59万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公务用车购置及运行维护费支出决算比2023年度增加/减少**万元，增长/下降**%。主要原因是……</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辆，其中：轿车**辆、金额**万元，越野车**辆、金额**万元，载客汽车**辆、金额**万元，主要用于……。截至2024年12月31日，单位共有公务用车**辆，其中：轿车**辆、越野车**辆、载客汽车**辆。</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2.59</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eastAsia="仿宋_GB2312" w:cs="仿宋_GB2312"/>
          <w:color w:val="auto"/>
          <w:kern w:val="2"/>
          <w:sz w:val="32"/>
          <w:szCs w:val="32"/>
          <w:highlight w:val="none"/>
          <w:lang w:val="en-US" w:eastAsia="zh-CN" w:bidi="ar-SA"/>
        </w:rPr>
        <w:t>下乡</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ascii="Times New Roman" w:hAnsi="Times New Roman" w:eastAsia="仿宋_GB2312" w:cs="仿宋_GB2312"/>
          <w:color w:val="auto"/>
          <w:kern w:val="2"/>
          <w:sz w:val="32"/>
          <w:szCs w:val="32"/>
          <w:highlight w:val="none"/>
          <w:lang w:val="en-US" w:eastAsia="zh-CN" w:bidi="ar-SA"/>
        </w:rPr>
        <w:t>公务接待费支出决算比2023年度增加/减少**万元，增长/下降**%。主要原因是……。其中：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元，主要用于……(执行公务、开展业务活动开支的交通费、住宿费、用餐费等)。国内公务接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人次（不包括陪同人员），共计支出**万元，具体内容包括：……（接待具体项目、金额）。</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万元，主要用于……（具体项目）。外事接待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人次（不包括陪同人员），共计支出**万</w:t>
      </w:r>
      <w:r>
        <w:rPr>
          <w:rFonts w:hint="eastAsia" w:ascii="Times New Roman" w:hAnsi="Times New Roman" w:eastAsia="仿宋_GB2312" w:cs="仿宋_GB2312"/>
          <w:color w:val="auto"/>
          <w:kern w:val="2"/>
          <w:sz w:val="32"/>
          <w:szCs w:val="32"/>
          <w:highlight w:val="none"/>
          <w:lang w:val="en-US" w:eastAsia="zh-CN" w:bidi="ar-SA"/>
        </w:rPr>
        <w:t>元。</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44" w:name="_Toc15377218"/>
      <w:bookmarkStart w:id="45" w:name="_Toc15396610"/>
    </w:p>
    <w:p>
      <w:pPr>
        <w:spacing w:line="600" w:lineRule="exact"/>
        <w:ind w:firstLine="640"/>
        <w:outlineLvl w:val="1"/>
        <w:rPr>
          <w:rStyle w:val="31"/>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1"/>
          <w:rFonts w:hint="eastAsia" w:ascii="Times New Roman" w:hAnsi="Times New Roman" w:eastAsia="黑体"/>
          <w:b w:val="0"/>
          <w:color w:val="auto"/>
          <w:highlight w:val="none"/>
        </w:rPr>
        <w:t>政府性基金预算支出决算情况说明</w:t>
      </w:r>
      <w:bookmarkEnd w:id="44"/>
      <w:bookmarkEnd w:id="45"/>
    </w:p>
    <w:p>
      <w:pPr>
        <w:numPr>
          <w:ilvl w:val="0"/>
          <w:numId w:val="0"/>
        </w:numPr>
        <w:spacing w:line="600" w:lineRule="exact"/>
        <w:ind w:left="630" w:leftChars="0"/>
        <w:outlineLvl w:val="1"/>
        <w:rPr>
          <w:rStyle w:val="31"/>
          <w:rFonts w:ascii="Times New Roman" w:hAnsi="Times New Roman" w:eastAsia="黑体"/>
          <w:b w:val="0"/>
          <w:color w:val="auto"/>
          <w:highlight w:val="none"/>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。与2023年度相比，政府性基金预算财政拨款支出增加/减少**万元，增长/下降**%。主要变动原因是……</w:t>
      </w:r>
      <w:bookmarkStart w:id="46" w:name="_Toc15377219"/>
      <w:bookmarkStart w:id="47" w:name="_Toc15396611"/>
      <w:r>
        <w:rPr>
          <w:rStyle w:val="31"/>
          <w:rFonts w:hint="eastAsia" w:ascii="Times New Roman" w:hAnsi="Times New Roman" w:eastAsia="黑体"/>
          <w:b w:val="0"/>
          <w:color w:val="auto"/>
          <w:highlight w:val="none"/>
          <w:lang w:eastAsia="zh-CN"/>
        </w:rPr>
        <w:t>九、</w:t>
      </w:r>
      <w:r>
        <w:rPr>
          <w:rStyle w:val="31"/>
          <w:rFonts w:hint="eastAsia" w:ascii="Times New Roman" w:hAnsi="Times New Roman" w:eastAsia="黑体"/>
          <w:b w:val="0"/>
          <w:color w:val="auto"/>
          <w:highlight w:val="none"/>
        </w:rPr>
        <w:t>国有资本经营预算支出决算情况说明</w:t>
      </w:r>
      <w:bookmarkEnd w:id="46"/>
      <w:bookmarkEnd w:id="47"/>
    </w:p>
    <w:p>
      <w:pPr>
        <w:numPr>
          <w:ilvl w:val="0"/>
          <w:numId w:val="0"/>
        </w:numPr>
        <w:spacing w:line="600" w:lineRule="exact"/>
        <w:ind w:left="630" w:leftChars="0"/>
        <w:outlineLvl w:val="1"/>
        <w:rPr>
          <w:rStyle w:val="31"/>
          <w:rFonts w:hint="eastAsia" w:ascii="Times New Roman" w:hAnsi="Times New Roman" w:eastAsia="黑体"/>
          <w:b w:val="0"/>
          <w:color w:val="auto"/>
          <w:highlight w:val="none"/>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。与2023年度相比，国有资本经营预算财政拨款支出增加/减少**万元，增长/下降**%。主要变动原因是……</w:t>
      </w:r>
      <w:bookmarkStart w:id="48" w:name="_Toc15396612"/>
      <w:bookmarkStart w:id="49" w:name="_Toc15377221"/>
      <w:r>
        <w:rPr>
          <w:rStyle w:val="31"/>
          <w:rFonts w:hint="eastAsia" w:ascii="Times New Roman" w:hAnsi="Times New Roman" w:eastAsia="黑体"/>
          <w:b w:val="0"/>
          <w:color w:val="auto"/>
          <w:highlight w:val="none"/>
          <w:lang w:eastAsia="zh-CN"/>
        </w:rPr>
        <w:t>十、</w:t>
      </w:r>
      <w:r>
        <w:rPr>
          <w:rStyle w:val="31"/>
          <w:rFonts w:hint="eastAsia" w:ascii="Times New Roman" w:hAnsi="Times New Roman" w:eastAsia="黑体"/>
          <w:b w:val="0"/>
          <w:color w:val="auto"/>
          <w:highlight w:val="none"/>
        </w:rPr>
        <w:t>其他重要事项的情况说明</w:t>
      </w:r>
      <w:bookmarkEnd w:id="48"/>
      <w:bookmarkEnd w:id="49"/>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0" w:name="_Toc15377222"/>
      <w:r>
        <w:rPr>
          <w:rFonts w:hint="eastAsia" w:ascii="Times New Roman" w:hAnsi="Times New Roman" w:eastAsia="楷体_GB2312" w:cs="楷体_GB2312"/>
          <w:b/>
          <w:color w:val="auto"/>
          <w:sz w:val="32"/>
          <w:szCs w:val="32"/>
          <w:highlight w:val="none"/>
        </w:rPr>
        <w:t>（一）机关运行经费支出情况</w:t>
      </w:r>
      <w:bookmarkEnd w:id="50"/>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金川县防震减灾事务中心</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7.79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元，与2023年度决算数持平</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1" w:name="_Toc15377223"/>
      <w:r>
        <w:rPr>
          <w:rFonts w:hint="eastAsia" w:ascii="Times New Roman" w:hAnsi="Times New Roman" w:eastAsia="楷体_GB2312" w:cs="楷体_GB2312"/>
          <w:b/>
          <w:color w:val="auto"/>
          <w:sz w:val="32"/>
          <w:szCs w:val="32"/>
          <w:highlight w:val="none"/>
        </w:rPr>
        <w:t>（二）政府采购支出情况</w:t>
      </w:r>
      <w:bookmarkEnd w:id="51"/>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金川县防震减灾事务中心</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万元。主要用于……（具体工作）。授予中小企业合同金额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2" w:name="_Toc15377224"/>
      <w:r>
        <w:rPr>
          <w:rFonts w:hint="eastAsia" w:ascii="Times New Roman" w:hAnsi="Times New Roman" w:eastAsia="楷体_GB2312" w:cs="楷体_GB2312"/>
          <w:b/>
          <w:color w:val="auto"/>
          <w:sz w:val="32"/>
          <w:szCs w:val="32"/>
          <w:highlight w:val="none"/>
        </w:rPr>
        <w:t>（三）国有资产占有使用情况</w:t>
      </w:r>
      <w:bookmarkEnd w:id="5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金川县防震减灾事务中心</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辆，其他用车主要是用于……。单价100万元（含）以上设备（不含车辆）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根据预算绩效管理要求，***在2024年度预算编制阶段，组织对***（项目名称）等***个项目开展了预算事前绩效评估，对***个项目编制了绩效目标，预算执行过程中，选取***个项目开展绩效监控。</w:t>
      </w:r>
    </w:p>
    <w:p>
      <w:pPr>
        <w:ind w:left="0" w:leftChars="0" w:firstLine="0" w:firstLineChars="0"/>
        <w:rPr>
          <w:rFonts w:hint="default" w:ascii="Times New Roman" w:hAnsi="Times New Roman" w:eastAsia="黑体" w:cs="Times New Roman"/>
          <w:sz w:val="24"/>
          <w:szCs w:val="24"/>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部门整体（含部门预算项目）绩效自评报告、***等专项预算项目绩效自评报告，其中，***部门整体（含部门预算项目）绩效自评得分为***分，绩效自评综述……；***专项预算项目绩效自评得分为***分，绩效自评综述……。绩效自评报告详见附件。</w:t>
      </w:r>
    </w:p>
    <w:p>
      <w:pPr>
        <w:pStyle w:val="6"/>
        <w:rPr>
          <w:rFonts w:hint="eastAsia"/>
          <w:lang w:val="en-US" w:eastAsia="zh-CN"/>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53" w:name="_Toc15396613"/>
      <w:bookmarkStart w:id="54" w:name="_Toc15377225"/>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3"/>
      <w:bookmarkEnd w:id="54"/>
    </w:p>
    <w:p>
      <w:pPr>
        <w:spacing w:line="600" w:lineRule="exact"/>
        <w:jc w:val="left"/>
        <w:rPr>
          <w:rFonts w:ascii="Times New Roman" w:hAnsi="Times New Roman"/>
          <w:b/>
          <w:color w:val="auto"/>
          <w:sz w:val="44"/>
          <w:szCs w:val="44"/>
          <w:highlight w:val="none"/>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2.事业收入：指事业单位开展专业业务活动及辅助活动取得的收入。如……（二级预算单位事业收入情况）等。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3.经营收入：指事业单位在专业业务活动及其辅助活动之外开展非独立核算经营活动取得的收入。如……（二级预算单位经营收入情况）等。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4.其他收入：指单位取得的除上述收入以外的各项收入。主要是……（收入类型）等。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w:t>
      </w:r>
    </w:p>
    <w:tbl>
      <w:tblPr>
        <w:tblStyle w:val="17"/>
        <w:tblW w:w="72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00"/>
        <w:gridCol w:w="37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360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60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2101199</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其他行政事业单位医疗支出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22405</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地震事务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2240501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2240504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地震监测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2240550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地震事业机构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2240599</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其他地震事务支出</w:t>
            </w:r>
          </w:p>
        </w:tc>
      </w:tr>
    </w:tbl>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解释本部门决算报表中涉及的全部功能分类科目至项级，不涉及的科目请自行删除。请参照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202</w:t>
      </w:r>
      <w:r>
        <w:rPr>
          <w:rFonts w:hint="eastAsia" w:eastAsia="仿宋_GB2312" w:cs="仿宋_GB2312"/>
          <w:b/>
          <w:bCs/>
          <w:color w:val="auto"/>
          <w:kern w:val="2"/>
          <w:sz w:val="32"/>
          <w:szCs w:val="32"/>
          <w:highlight w:val="none"/>
          <w:lang w:val="en-US" w:eastAsia="zh-CN" w:bidi="ar-SA"/>
        </w:rPr>
        <w:t>4</w:t>
      </w:r>
      <w:r>
        <w:rPr>
          <w:rFonts w:hint="eastAsia" w:ascii="Times New Roman" w:hAnsi="Times New Roman" w:eastAsia="仿宋_GB2312" w:cs="仿宋_GB2312"/>
          <w:b/>
          <w:bCs/>
          <w:color w:val="auto"/>
          <w:kern w:val="2"/>
          <w:sz w:val="32"/>
          <w:szCs w:val="32"/>
          <w:highlight w:val="none"/>
          <w:lang w:val="en-US" w:eastAsia="zh-CN" w:bidi="ar-SA"/>
        </w:rPr>
        <w:t>年政府收支分类科目</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增减内容）</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27.基本支出：指为保障机构正常运转、完成日常工作任务而发生的人员支出和公用支出。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28.项目支出：指在基本支出之外为完成特定行政任务和事业发展目标所发生的支出。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29.经营支出：指事业单位在专业业务活动及其辅助活动之外开展非独立核算经营活动发生的支出。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30.</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32.……</w:t>
      </w:r>
    </w:p>
    <w:p>
      <w:pPr>
        <w:spacing w:line="600" w:lineRule="exact"/>
        <w:jc w:val="center"/>
        <w:rPr>
          <w:rStyle w:val="30"/>
          <w:rFonts w:hint="eastAsia" w:ascii="Times New Roman" w:hAnsi="Times New Roman" w:eastAsia="黑体"/>
          <w:b w:val="0"/>
          <w:color w:val="auto"/>
          <w:highlight w:val="none"/>
          <w:lang w:eastAsia="zh-CN"/>
        </w:rPr>
      </w:pPr>
      <w:bookmarkStart w:id="55" w:name="_Toc15396614"/>
      <w:bookmarkStart w:id="56" w:name="_Toc15377226"/>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5"/>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报告范本</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（报告范围包括机关和下属单位）</w:t>
      </w:r>
    </w:p>
    <w:p>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pPr>
        <w:pBdr>
          <w:bottom w:val="single" w:color="FFFFFF" w:sz="4" w:space="1"/>
        </w:pBdr>
        <w:kinsoku/>
        <w:wordWrap/>
        <w:overflowPunct/>
        <w:topLinePunct w:val="0"/>
        <w:autoSpaceDE w:val="0"/>
        <w:autoSpaceDN w:val="0"/>
        <w:spacing w:line="560" w:lineRule="exact"/>
        <w:ind w:firstLine="723" w:firstLineChars="200"/>
        <w:jc w:val="left"/>
        <w:rPr>
          <w:rFonts w:ascii="Times New Roman" w:hAnsi="Times New Roman" w:eastAsia="楷体_GB2312" w:cs="Times New Roman"/>
          <w:b/>
          <w:bCs/>
          <w:color w:val="000000"/>
          <w:kern w:val="0"/>
          <w:sz w:val="36"/>
          <w:szCs w:val="36"/>
          <w:shd w:val="clear" w:color="auto" w:fill="FFFFFF"/>
          <w:lang w:val="zh-CN"/>
        </w:rPr>
      </w:pPr>
      <w:r>
        <w:rPr>
          <w:rFonts w:ascii="Times New Roman" w:hAnsi="Times New Roman" w:eastAsia="楷体_GB2312" w:cs="Times New Roman"/>
          <w:b/>
          <w:bCs/>
          <w:color w:val="000000"/>
          <w:kern w:val="0"/>
          <w:sz w:val="36"/>
          <w:szCs w:val="36"/>
          <w:shd w:val="clear" w:color="auto" w:fill="FFFFFF"/>
          <w:lang w:val="zh-CN"/>
        </w:rPr>
        <w:t>（一）机构组成。</w:t>
      </w:r>
    </w:p>
    <w:p>
      <w:pPr>
        <w:pBdr>
          <w:bottom w:val="single" w:color="FFFFFF" w:sz="4" w:space="1"/>
        </w:pBdr>
        <w:kinsoku/>
        <w:wordWrap/>
        <w:overflowPunct/>
        <w:topLinePunct w:val="0"/>
        <w:autoSpaceDE w:val="0"/>
        <w:autoSpaceDN w:val="0"/>
        <w:spacing w:line="560" w:lineRule="exact"/>
        <w:ind w:firstLine="640" w:firstLineChars="200"/>
        <w:jc w:val="left"/>
        <w:rPr>
          <w:rFonts w:hint="eastAsia" w:ascii="仿宋" w:eastAsia="仿宋" w:cs="仿宋_GB2312"/>
          <w:b w:val="0"/>
          <w:bCs w:val="0"/>
          <w:vanish w:val="0"/>
          <w:kern w:val="2"/>
          <w:sz w:val="32"/>
          <w:szCs w:val="32"/>
        </w:rPr>
      </w:pPr>
      <w:r>
        <w:rPr>
          <w:rFonts w:hint="eastAsia" w:ascii="仿宋" w:eastAsia="仿宋" w:cs="仿宋_GB2312"/>
          <w:b w:val="0"/>
          <w:bCs w:val="0"/>
          <w:vanish w:val="0"/>
          <w:kern w:val="2"/>
          <w:sz w:val="32"/>
          <w:szCs w:val="32"/>
        </w:rPr>
        <w:t>我</w:t>
      </w:r>
      <w:r>
        <w:rPr>
          <w:rFonts w:ascii="仿宋" w:eastAsia="仿宋" w:cs="仿宋_GB2312"/>
          <w:b w:val="0"/>
          <w:bCs w:val="0"/>
          <w:vanish w:val="0"/>
          <w:kern w:val="2"/>
          <w:sz w:val="32"/>
          <w:szCs w:val="32"/>
        </w:rPr>
        <w:t>中心</w:t>
      </w:r>
      <w:r>
        <w:rPr>
          <w:rFonts w:hint="eastAsia" w:ascii="仿宋" w:eastAsia="仿宋" w:cs="仿宋_GB2312"/>
          <w:b w:val="0"/>
          <w:bCs w:val="0"/>
          <w:vanish w:val="0"/>
          <w:kern w:val="2"/>
          <w:sz w:val="32"/>
          <w:szCs w:val="32"/>
        </w:rPr>
        <w:t>在县委县政府的正确领导下设置了</w:t>
      </w:r>
      <w:r>
        <w:rPr>
          <w:rFonts w:hint="eastAsia" w:ascii="仿宋" w:eastAsia="仿宋" w:cs="仿宋_GB2312"/>
          <w:b w:val="0"/>
          <w:bCs w:val="0"/>
          <w:vanish w:val="0"/>
          <w:kern w:val="2"/>
          <w:sz w:val="32"/>
          <w:szCs w:val="32"/>
          <w:lang w:val="en-US" w:eastAsia="zh-CN"/>
        </w:rPr>
        <w:t>2</w:t>
      </w:r>
      <w:r>
        <w:rPr>
          <w:rFonts w:hint="eastAsia" w:ascii="仿宋" w:eastAsia="仿宋" w:cs="仿宋_GB2312"/>
          <w:b w:val="0"/>
          <w:bCs w:val="0"/>
          <w:vanish w:val="0"/>
          <w:kern w:val="2"/>
          <w:sz w:val="32"/>
          <w:szCs w:val="32"/>
        </w:rPr>
        <w:t>个独立机构。</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1084" w:firstLineChars="300"/>
        <w:contextualSpacing/>
        <w:jc w:val="left"/>
        <w:textAlignment w:val="auto"/>
        <w:outlineLvl w:val="9"/>
        <w:rPr>
          <w:lang w:val="zh-CN"/>
        </w:rPr>
      </w:pPr>
      <w:r>
        <w:rPr>
          <w:rFonts w:hint="eastAsia" w:eastAsia="楷体_GB2312" w:cs="Times New Roman"/>
          <w:b/>
          <w:bCs/>
          <w:color w:val="000000"/>
          <w:kern w:val="0"/>
          <w:sz w:val="36"/>
          <w:szCs w:val="36"/>
          <w:shd w:val="clear" w:color="auto" w:fill="FFFFFF"/>
          <w:lang w:val="en-US" w:eastAsia="zh-CN"/>
        </w:rPr>
        <w:t>二，</w:t>
      </w:r>
      <w:r>
        <w:rPr>
          <w:rFonts w:ascii="Times New Roman" w:hAnsi="Times New Roman" w:eastAsia="楷体_GB2312" w:cs="Times New Roman"/>
          <w:b/>
          <w:bCs/>
          <w:color w:val="000000"/>
          <w:kern w:val="0"/>
          <w:sz w:val="36"/>
          <w:szCs w:val="36"/>
          <w:shd w:val="clear" w:color="auto" w:fill="FFFFFF"/>
          <w:lang w:val="zh-CN"/>
        </w:rPr>
        <w:t>机构职能。</w:t>
      </w:r>
    </w:p>
    <w:p>
      <w:pPr>
        <w:autoSpaceDE w:val="0"/>
        <w:autoSpaceDN w:val="0"/>
        <w:adjustRightInd w:val="0"/>
        <w:ind w:firstLine="640" w:firstLineChars="200"/>
        <w:jc w:val="left"/>
        <w:rPr>
          <w:rFonts w:hint="eastAsia" w:ascii="仿宋" w:eastAsia="仿宋" w:cs="仿宋_GB2312"/>
          <w:color w:val="000000"/>
          <w:kern w:val="0"/>
          <w:sz w:val="32"/>
          <w:szCs w:val="32"/>
          <w:lang w:bidi="ar-SA"/>
        </w:rPr>
      </w:pPr>
      <w:r>
        <w:rPr>
          <w:rFonts w:hint="eastAsia" w:ascii="仿宋" w:eastAsia="仿宋" w:cs="仿宋_GB2312"/>
          <w:color w:val="000000"/>
          <w:kern w:val="0"/>
          <w:sz w:val="32"/>
          <w:szCs w:val="32"/>
          <w:lang w:bidi="ar-SA"/>
        </w:rPr>
        <w:t>贯彻执行国家和省有关防震减灾工作的方针、政策、法律、规范和标准；组织起草有关法规，制定防震减灾发展中长期规划,编制防震减灾工作年度计划并组织实施。负责地震台网的规划、建设和管理。负责地震监测设施及其观测环境保护工作的监督、检查指导和协调。负责地震监测预报工作和地震震情速报工作的管理和指导。负责地震灾情速报、地震现场考察、地震灾害损失评估等工作，参与制定地震灾区重建规划。负责地震应急工作的管理、指导，制定应急预案、落实应急措施，开展震后各项应急工作。负责重大建设工程和可能产生严重次生灾害工程的地震安全性评价管理工作；负责全县抗震设防要求的监督和管理，指导农村房屋抗震设防。负责开展防震减灾科普知识宣传教育工作， 提高全民防震减灾意识。负责群测群防“三网一员”建设的管理、指导。负责防震减灾科技成果的推广应用，提高防震减灾科技水平。负责县政府防震减灾领导小组办公室的日常工作，发生破坏性地震后履行政府抗震救灾指挥机构办事部门的职责。负责承办县委、县人民政府、县应急管理事务中心和上级业务主管部门交办的事项。</w:t>
      </w:r>
    </w:p>
    <w:p>
      <w:pPr>
        <w:pStyle w:val="2"/>
        <w:rPr>
          <w:lang w:val="zh-CN"/>
        </w:rPr>
      </w:pPr>
    </w:p>
    <w:p>
      <w:pPr>
        <w:keepNext w:val="0"/>
        <w:keepLines w:val="0"/>
        <w:pageBreakBefore w:val="0"/>
        <w:widowControl w:val="0"/>
        <w:kinsoku/>
        <w:wordWrap/>
        <w:overflowPunct/>
        <w:topLinePunct w:val="0"/>
        <w:autoSpaceDE/>
        <w:autoSpaceDN/>
        <w:bidi w:val="0"/>
        <w:adjustRightInd/>
        <w:snapToGrid/>
        <w:spacing w:line="600" w:lineRule="exact"/>
        <w:ind w:firstLine="723" w:firstLineChars="200"/>
        <w:textAlignment w:val="auto"/>
        <w:rPr>
          <w:rFonts w:ascii="Times New Roman" w:hAnsi="Times New Roman" w:cs="Times New Roman"/>
          <w:szCs w:val="32"/>
        </w:rPr>
      </w:pPr>
      <w:r>
        <w:rPr>
          <w:rFonts w:ascii="Times New Roman" w:hAnsi="Times New Roman" w:eastAsia="楷体_GB2312" w:cs="Times New Roman"/>
          <w:b/>
          <w:bCs/>
          <w:color w:val="000000"/>
          <w:kern w:val="0"/>
          <w:sz w:val="36"/>
          <w:szCs w:val="36"/>
          <w:shd w:val="clear" w:color="auto" w:fill="FFFFFF"/>
          <w:lang w:val="zh-CN"/>
        </w:rPr>
        <w:t>（三）人员概况。</w:t>
      </w:r>
      <w:r>
        <w:rPr>
          <w:rFonts w:ascii="Times New Roman" w:hAnsi="Times New Roman" w:cs="Times New Roman"/>
          <w:szCs w:val="32"/>
        </w:rPr>
        <w:t>截至202</w:t>
      </w:r>
      <w:r>
        <w:rPr>
          <w:rFonts w:hint="eastAsia" w:cs="Times New Roman"/>
          <w:szCs w:val="32"/>
          <w:lang w:val="en-US" w:eastAsia="zh-CN"/>
        </w:rPr>
        <w:t>4</w:t>
      </w:r>
      <w:r>
        <w:rPr>
          <w:rFonts w:ascii="Times New Roman" w:hAnsi="Times New Roman" w:cs="Times New Roman"/>
          <w:szCs w:val="32"/>
        </w:rPr>
        <w:t>年末，</w:t>
      </w:r>
      <w:r>
        <w:rPr>
          <w:rFonts w:hint="eastAsia" w:ascii="仿宋" w:eastAsia="仿宋"/>
          <w:sz w:val="32"/>
          <w:szCs w:val="32"/>
          <w:lang w:val="en-US" w:eastAsia="zh-CN"/>
        </w:rPr>
        <w:t>我中心</w:t>
      </w:r>
      <w:r>
        <w:rPr>
          <w:rFonts w:hint="eastAsia" w:ascii="仿宋" w:eastAsia="仿宋"/>
          <w:sz w:val="32"/>
          <w:szCs w:val="32"/>
        </w:rPr>
        <w:t>机构为</w:t>
      </w:r>
      <w:r>
        <w:rPr>
          <w:rFonts w:hint="eastAsia" w:ascii="仿宋" w:eastAsia="仿宋"/>
          <w:sz w:val="32"/>
          <w:szCs w:val="32"/>
          <w:lang w:val="en-US" w:eastAsia="zh-CN"/>
        </w:rPr>
        <w:t>2</w:t>
      </w:r>
      <w:r>
        <w:rPr>
          <w:rFonts w:hint="eastAsia" w:ascii="仿宋" w:eastAsia="仿宋"/>
          <w:sz w:val="32"/>
          <w:szCs w:val="32"/>
        </w:rPr>
        <w:t>个，本年由编办核定编制6个；年末实际在职</w:t>
      </w:r>
      <w:r>
        <w:rPr>
          <w:rFonts w:hint="eastAsia" w:ascii="仿宋" w:eastAsia="仿宋"/>
          <w:sz w:val="32"/>
          <w:szCs w:val="32"/>
          <w:lang w:val="en-US" w:eastAsia="zh-CN"/>
        </w:rPr>
        <w:t>6</w:t>
      </w:r>
      <w:r>
        <w:rPr>
          <w:rFonts w:hint="eastAsia" w:ascii="仿宋" w:eastAsia="仿宋"/>
          <w:sz w:val="32"/>
          <w:szCs w:val="32"/>
        </w:rPr>
        <w:t>个，退休人员为0个</w:t>
      </w:r>
    </w:p>
    <w:p>
      <w:pPr>
        <w:keepNext w:val="0"/>
        <w:keepLines w:val="0"/>
        <w:pageBreakBefore w:val="0"/>
        <w:widowControl/>
        <w:kinsoku/>
        <w:wordWrap/>
        <w:overflowPunct/>
        <w:topLinePunct w:val="0"/>
        <w:autoSpaceDE/>
        <w:autoSpaceDN/>
        <w:bidi w:val="0"/>
        <w:adjustRightInd w:val="0"/>
        <w:snapToGrid w:val="0"/>
        <w:spacing w:line="578" w:lineRule="exact"/>
        <w:ind w:firstLine="420" w:firstLineChars="200"/>
        <w:contextualSpacing/>
        <w:jc w:val="left"/>
        <w:textAlignment w:val="auto"/>
        <w:outlineLvl w:val="9"/>
        <w:rPr>
          <w:rFonts w:ascii="Times New Roman" w:hAnsi="Times New Roman" w:eastAsia="黑体" w:cs="Times New Roman"/>
          <w:color w:val="000000"/>
          <w:kern w:val="0"/>
          <w:szCs w:val="32"/>
          <w:shd w:val="clear" w:color="auto" w:fill="FFFFFF"/>
        </w:rPr>
      </w:pPr>
      <w:r>
        <w:rPr>
          <w:rFonts w:ascii="Times New Roman" w:hAnsi="Times New Roman" w:eastAsia="黑体" w:cs="Times New Roman"/>
          <w:color w:val="000000"/>
          <w:kern w:val="0"/>
          <w:szCs w:val="32"/>
          <w:shd w:val="clear" w:color="auto" w:fill="FFFFFF"/>
        </w:rPr>
        <w:t>二、</w:t>
      </w:r>
      <w:r>
        <w:rPr>
          <w:rFonts w:ascii="Times New Roman" w:hAnsi="Times New Roman" w:eastAsia="黑体" w:cs="Times New Roman"/>
          <w:color w:val="000000"/>
          <w:kern w:val="0"/>
          <w:szCs w:val="32"/>
          <w:shd w:val="clear" w:color="auto" w:fill="FFFFFF"/>
          <w:lang w:eastAsia="zh-CN"/>
        </w:rPr>
        <w:t>部门</w:t>
      </w:r>
      <w:r>
        <w:rPr>
          <w:rFonts w:ascii="Times New Roman" w:hAnsi="Times New Roman" w:eastAsia="黑体" w:cs="Times New Roman"/>
          <w:color w:val="000000"/>
          <w:kern w:val="0"/>
          <w:szCs w:val="32"/>
          <w:shd w:val="clear" w:color="auto" w:fill="FFFFFF"/>
        </w:rPr>
        <w:t>资金收支情况</w:t>
      </w:r>
    </w:p>
    <w:p>
      <w:pPr>
        <w:pStyle w:val="37"/>
        <w:jc w:val="both"/>
        <w:rPr>
          <w:rFonts w:hint="default" w:ascii="仿宋_GB2312"/>
          <w:sz w:val="32"/>
          <w:szCs w:val="32"/>
          <w:lang w:val="en-US"/>
        </w:rPr>
      </w:pPr>
      <w:r>
        <w:rPr>
          <w:rFonts w:ascii="Times New Roman" w:hAnsi="Times New Roman" w:eastAsia="楷体_GB2312" w:cs="Times New Roman"/>
          <w:b/>
          <w:bCs/>
          <w:color w:val="000000"/>
          <w:kern w:val="0"/>
          <w:szCs w:val="32"/>
          <w:shd w:val="clear" w:color="auto" w:fill="FFFFFF"/>
          <w:lang w:val="zh-CN"/>
        </w:rPr>
        <w:t>（一）</w:t>
      </w:r>
      <w:r>
        <w:rPr>
          <w:rFonts w:ascii="Times New Roman" w:hAnsi="Times New Roman" w:eastAsia="楷体_GB2312" w:cs="Times New Roman"/>
          <w:b/>
          <w:bCs/>
          <w:color w:val="000000"/>
          <w:kern w:val="0"/>
          <w:sz w:val="36"/>
          <w:szCs w:val="36"/>
          <w:shd w:val="clear" w:color="auto" w:fill="FFFFFF"/>
          <w:lang w:val="zh-CN"/>
        </w:rPr>
        <w:t>收入情况。</w:t>
      </w:r>
      <w:r>
        <w:rPr>
          <w:rFonts w:hint="eastAsia" w:ascii="仿宋_GB2312"/>
          <w:sz w:val="32"/>
          <w:szCs w:val="32"/>
          <w:lang w:eastAsia="zh-CN"/>
        </w:rPr>
        <w:t>2024</w:t>
      </w:r>
      <w:r>
        <w:rPr>
          <w:rFonts w:hint="eastAsia" w:ascii="仿宋_GB2312"/>
          <w:sz w:val="32"/>
          <w:szCs w:val="32"/>
        </w:rPr>
        <w:t>年初预算数为</w:t>
      </w:r>
      <w:r>
        <w:rPr>
          <w:rFonts w:hint="eastAsia" w:ascii="仿宋_GB2312"/>
          <w:sz w:val="32"/>
          <w:szCs w:val="32"/>
          <w:lang w:val="en-US" w:eastAsia="zh-CN"/>
        </w:rPr>
        <w:t>132.65</w:t>
      </w:r>
      <w:r>
        <w:rPr>
          <w:rFonts w:hint="eastAsia" w:ascii="仿宋_GB2312"/>
          <w:sz w:val="32"/>
          <w:szCs w:val="32"/>
        </w:rPr>
        <w:t>万元，其中:人员经费支出</w:t>
      </w:r>
      <w:r>
        <w:rPr>
          <w:rFonts w:hint="eastAsia" w:ascii="仿宋_GB2312"/>
          <w:sz w:val="32"/>
          <w:szCs w:val="32"/>
          <w:lang w:val="en-US" w:eastAsia="zh-CN"/>
        </w:rPr>
        <w:t>117.4</w:t>
      </w:r>
      <w:r>
        <w:rPr>
          <w:rFonts w:hint="eastAsia" w:ascii="仿宋_GB2312"/>
          <w:sz w:val="32"/>
          <w:szCs w:val="32"/>
        </w:rPr>
        <w:t>万元，日常公共经费支出</w:t>
      </w:r>
      <w:r>
        <w:rPr>
          <w:rFonts w:hint="eastAsia" w:ascii="仿宋_GB2312"/>
          <w:sz w:val="32"/>
          <w:szCs w:val="32"/>
          <w:lang w:val="en-US" w:eastAsia="zh-CN"/>
        </w:rPr>
        <w:t>10.25</w:t>
      </w:r>
      <w:r>
        <w:rPr>
          <w:rFonts w:hint="eastAsia" w:ascii="仿宋_GB2312"/>
          <w:sz w:val="32"/>
          <w:szCs w:val="32"/>
        </w:rPr>
        <w:t>万元。对比</w:t>
      </w:r>
      <w:r>
        <w:rPr>
          <w:rFonts w:hint="eastAsia" w:ascii="仿宋_GB2312"/>
          <w:sz w:val="32"/>
          <w:szCs w:val="32"/>
          <w:lang w:val="en-US" w:eastAsia="zh-CN"/>
        </w:rPr>
        <w:t>2023</w:t>
      </w:r>
      <w:r>
        <w:rPr>
          <w:rFonts w:hint="eastAsia" w:ascii="仿宋_GB2312"/>
          <w:sz w:val="32"/>
          <w:szCs w:val="32"/>
        </w:rPr>
        <w:t>年预算</w:t>
      </w:r>
      <w:r>
        <w:rPr>
          <w:rFonts w:hint="eastAsia" w:ascii="仿宋_GB2312"/>
          <w:sz w:val="32"/>
          <w:szCs w:val="32"/>
          <w:lang w:val="en-US" w:eastAsia="zh-CN"/>
        </w:rPr>
        <w:t>减少48.47</w:t>
      </w:r>
      <w:r>
        <w:rPr>
          <w:rFonts w:hint="eastAsia" w:ascii="仿宋_GB2312"/>
          <w:sz w:val="32"/>
          <w:szCs w:val="32"/>
        </w:rPr>
        <w:t>万元，原因是</w:t>
      </w:r>
      <w:r>
        <w:rPr>
          <w:rFonts w:hint="eastAsia" w:ascii="仿宋_GB2312"/>
          <w:sz w:val="32"/>
          <w:szCs w:val="32"/>
          <w:lang w:eastAsia="zh-CN"/>
        </w:rPr>
        <w:t>2024</w:t>
      </w:r>
      <w:r>
        <w:rPr>
          <w:rFonts w:hint="eastAsia" w:ascii="仿宋_GB2312"/>
          <w:sz w:val="32"/>
          <w:szCs w:val="32"/>
        </w:rPr>
        <w:t>年人员</w:t>
      </w:r>
      <w:r>
        <w:rPr>
          <w:rFonts w:hint="eastAsia" w:ascii="仿宋_GB2312"/>
          <w:sz w:val="32"/>
          <w:szCs w:val="32"/>
          <w:lang w:val="en-US" w:eastAsia="zh-CN"/>
        </w:rPr>
        <w:t>调动减少</w:t>
      </w:r>
      <w:r>
        <w:rPr>
          <w:rFonts w:hint="eastAsia" w:ascii="仿宋_GB2312"/>
          <w:sz w:val="32"/>
          <w:szCs w:val="32"/>
        </w:rPr>
        <w:t>。</w:t>
      </w:r>
      <w:r>
        <w:rPr>
          <w:rFonts w:hint="eastAsia" w:ascii="仿宋_GB2312"/>
          <w:sz w:val="32"/>
          <w:szCs w:val="32"/>
          <w:lang w:eastAsia="zh-CN"/>
        </w:rPr>
        <w:t>2024</w:t>
      </w:r>
      <w:r>
        <w:rPr>
          <w:rFonts w:hint="eastAsia" w:ascii="仿宋_GB2312"/>
          <w:sz w:val="32"/>
          <w:szCs w:val="32"/>
        </w:rPr>
        <w:t>年度执行中调整预算</w:t>
      </w:r>
      <w:r>
        <w:rPr>
          <w:rFonts w:hint="eastAsia" w:ascii="仿宋_GB2312"/>
          <w:sz w:val="32"/>
          <w:szCs w:val="32"/>
          <w:lang w:val="en-US" w:eastAsia="zh-CN"/>
        </w:rPr>
        <w:t>269.62</w:t>
      </w:r>
      <w:r>
        <w:rPr>
          <w:rFonts w:hint="eastAsia" w:ascii="仿宋_GB2312"/>
          <w:sz w:val="32"/>
          <w:szCs w:val="32"/>
        </w:rPr>
        <w:t>万元，主要是</w:t>
      </w:r>
      <w:r>
        <w:rPr>
          <w:rFonts w:hint="eastAsia" w:ascii="仿宋_GB2312"/>
          <w:sz w:val="32"/>
          <w:szCs w:val="32"/>
          <w:lang w:eastAsia="zh-CN"/>
        </w:rPr>
        <w:t>2024</w:t>
      </w:r>
      <w:r>
        <w:rPr>
          <w:rFonts w:hint="eastAsia" w:ascii="仿宋_GB2312"/>
          <w:sz w:val="32"/>
          <w:szCs w:val="32"/>
        </w:rPr>
        <w:t>年人员</w:t>
      </w:r>
      <w:r>
        <w:rPr>
          <w:rFonts w:hint="eastAsia" w:ascii="仿宋_GB2312"/>
          <w:sz w:val="32"/>
          <w:szCs w:val="32"/>
          <w:lang w:val="en-US" w:eastAsia="zh-CN"/>
        </w:rPr>
        <w:t>调动减少.项目增加。</w:t>
      </w:r>
    </w:p>
    <w:p>
      <w:pPr>
        <w:keepNext w:val="0"/>
        <w:keepLines w:val="0"/>
        <w:pageBreakBefore w:val="0"/>
        <w:widowControl/>
        <w:kinsoku/>
        <w:wordWrap/>
        <w:overflowPunct/>
        <w:topLinePunct w:val="0"/>
        <w:autoSpaceDE/>
        <w:autoSpaceDN/>
        <w:bidi w:val="0"/>
        <w:adjustRightInd w:val="0"/>
        <w:snapToGrid w:val="0"/>
        <w:spacing w:line="578" w:lineRule="exact"/>
        <w:ind w:firstLine="422" w:firstLineChars="200"/>
        <w:contextualSpacing/>
        <w:jc w:val="left"/>
        <w:textAlignment w:val="auto"/>
        <w:outlineLvl w:val="9"/>
        <w:rPr>
          <w:rFonts w:ascii="Times New Roman" w:hAnsi="Times New Roman" w:eastAsia="楷体_GB2312" w:cs="Times New Roman"/>
          <w:b/>
          <w:bCs/>
          <w:color w:val="000000"/>
          <w:kern w:val="0"/>
          <w:szCs w:val="32"/>
          <w:shd w:val="clear" w:color="auto" w:fill="FFFFFF"/>
          <w:lang w:val="en-US"/>
        </w:rPr>
      </w:pPr>
    </w:p>
    <w:p>
      <w:pPr>
        <w:keepNext w:val="0"/>
        <w:keepLines w:val="0"/>
        <w:pageBreakBefore w:val="0"/>
        <w:widowControl w:val="0"/>
        <w:kinsoku/>
        <w:wordWrap/>
        <w:overflowPunct/>
        <w:topLinePunct w:val="0"/>
        <w:autoSpaceDE/>
        <w:autoSpaceDN/>
        <w:bidi w:val="0"/>
        <w:adjustRightInd w:val="0"/>
        <w:snapToGrid w:val="0"/>
        <w:spacing w:line="578" w:lineRule="exact"/>
        <w:ind w:left="0" w:firstLine="42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ascii="Times New Roman" w:hAnsi="Times New Roman" w:eastAsia="宋体" w:cs="Times New Roman"/>
          <w:color w:val="000000"/>
          <w:kern w:val="0"/>
          <w:szCs w:val="32"/>
          <w:shd w:val="clear" w:color="auto" w:fill="FFFFFF"/>
          <w:lang w:val="zh-CN"/>
        </w:rPr>
        <w:t>（</w:t>
      </w:r>
      <w:r>
        <w:rPr>
          <w:rFonts w:hint="eastAsia" w:ascii="仿宋_GB2312" w:hAnsi="Times New Roman" w:eastAsia="仿宋_GB2312" w:cs="Times New Roman"/>
          <w:kern w:val="0"/>
          <w:sz w:val="32"/>
          <w:szCs w:val="32"/>
          <w:lang w:val="zh-CN" w:eastAsia="zh-CN" w:bidi="ar-SA"/>
        </w:rPr>
        <w:t>二）支出情况。2024年一般公共预算财政拨款支出</w:t>
      </w:r>
      <w:r>
        <w:rPr>
          <w:rFonts w:hint="eastAsia" w:ascii="仿宋_GB2312" w:hAnsi="Times New Roman" w:eastAsia="仿宋_GB2312" w:cs="Times New Roman"/>
          <w:kern w:val="0"/>
          <w:sz w:val="32"/>
          <w:szCs w:val="32"/>
          <w:lang w:val="en-US" w:eastAsia="zh-CN" w:bidi="ar-SA"/>
        </w:rPr>
        <w:t>268.32</w:t>
      </w:r>
      <w:r>
        <w:rPr>
          <w:rFonts w:hint="eastAsia" w:ascii="仿宋_GB2312" w:hAnsi="Times New Roman" w:eastAsia="仿宋_GB2312" w:cs="Times New Roman"/>
          <w:kern w:val="0"/>
          <w:sz w:val="32"/>
          <w:szCs w:val="32"/>
          <w:lang w:val="zh-CN" w:eastAsia="zh-CN" w:bidi="ar-SA"/>
        </w:rPr>
        <w:t>万元，原因是：</w:t>
      </w:r>
      <w:r>
        <w:rPr>
          <w:rFonts w:hint="eastAsia" w:ascii="仿宋_GB2312" w:hAnsi="Times New Roman" w:eastAsia="仿宋_GB2312" w:cs="Times New Roman"/>
          <w:kern w:val="0"/>
          <w:sz w:val="32"/>
          <w:szCs w:val="32"/>
          <w:lang w:val="en-US" w:eastAsia="zh-CN" w:bidi="ar-SA"/>
        </w:rPr>
        <w:t>项目增加</w:t>
      </w:r>
      <w:r>
        <w:rPr>
          <w:rFonts w:hint="eastAsia" w:ascii="仿宋_GB2312" w:hAnsi="Times New Roman" w:eastAsia="仿宋_GB2312" w:cs="Times New Roman"/>
          <w:kern w:val="0"/>
          <w:sz w:val="32"/>
          <w:szCs w:val="32"/>
          <w:lang w:val="zh-CN" w:eastAsia="zh-CN" w:bidi="ar-SA"/>
        </w:rPr>
        <w:t>，主要为以下方面:灾害防治及应急管理支出</w:t>
      </w:r>
      <w:r>
        <w:rPr>
          <w:rFonts w:hint="eastAsia" w:ascii="仿宋_GB2312" w:hAnsi="Times New Roman" w:eastAsia="仿宋_GB2312" w:cs="Times New Roman"/>
          <w:kern w:val="0"/>
          <w:sz w:val="32"/>
          <w:szCs w:val="32"/>
          <w:lang w:val="en-US" w:eastAsia="zh-CN" w:bidi="ar-SA"/>
        </w:rPr>
        <w:t>100.75</w:t>
      </w:r>
      <w:r>
        <w:rPr>
          <w:rFonts w:hint="eastAsia" w:ascii="仿宋_GB2312" w:hAnsi="Times New Roman" w:eastAsia="仿宋_GB2312" w:cs="Times New Roman"/>
          <w:kern w:val="0"/>
          <w:sz w:val="32"/>
          <w:szCs w:val="32"/>
          <w:lang w:val="zh-CN" w:eastAsia="zh-CN" w:bidi="ar-SA"/>
        </w:rPr>
        <w:t>万元，社会保障和就业支出</w:t>
      </w:r>
      <w:r>
        <w:rPr>
          <w:rFonts w:hint="eastAsia" w:ascii="仿宋_GB2312" w:hAnsi="Times New Roman" w:eastAsia="仿宋_GB2312" w:cs="Times New Roman"/>
          <w:kern w:val="0"/>
          <w:sz w:val="32"/>
          <w:szCs w:val="32"/>
          <w:lang w:val="en-US" w:eastAsia="zh-CN" w:bidi="ar-SA"/>
        </w:rPr>
        <w:t>18.89</w:t>
      </w:r>
      <w:r>
        <w:rPr>
          <w:rFonts w:hint="eastAsia" w:ascii="仿宋_GB2312" w:hAnsi="Times New Roman" w:eastAsia="仿宋_GB2312" w:cs="Times New Roman"/>
          <w:kern w:val="0"/>
          <w:sz w:val="32"/>
          <w:szCs w:val="32"/>
          <w:lang w:val="zh-CN" w:eastAsia="zh-CN" w:bidi="ar-SA"/>
        </w:rPr>
        <w:t>万元，卫生健康支出</w:t>
      </w:r>
      <w:r>
        <w:rPr>
          <w:rFonts w:hint="eastAsia" w:ascii="仿宋_GB2312" w:hAnsi="Times New Roman" w:eastAsia="仿宋_GB2312" w:cs="Times New Roman"/>
          <w:kern w:val="0"/>
          <w:sz w:val="32"/>
          <w:szCs w:val="32"/>
          <w:lang w:val="en-US" w:eastAsia="zh-CN" w:bidi="ar-SA"/>
        </w:rPr>
        <w:t>7.49</w:t>
      </w:r>
      <w:r>
        <w:rPr>
          <w:rFonts w:hint="eastAsia" w:ascii="仿宋_GB2312" w:hAnsi="Times New Roman" w:eastAsia="仿宋_GB2312" w:cs="Times New Roman"/>
          <w:kern w:val="0"/>
          <w:sz w:val="32"/>
          <w:szCs w:val="32"/>
          <w:lang w:val="zh-CN" w:eastAsia="zh-CN" w:bidi="ar-SA"/>
        </w:rPr>
        <w:t>万元，；住房保障支出</w:t>
      </w:r>
      <w:r>
        <w:rPr>
          <w:rFonts w:hint="eastAsia" w:ascii="仿宋_GB2312" w:hAnsi="Times New Roman" w:eastAsia="仿宋_GB2312" w:cs="Times New Roman"/>
          <w:kern w:val="0"/>
          <w:sz w:val="32"/>
          <w:szCs w:val="32"/>
          <w:lang w:val="en-US" w:eastAsia="zh-CN" w:bidi="ar-SA"/>
        </w:rPr>
        <w:t>10.62</w:t>
      </w:r>
      <w:r>
        <w:rPr>
          <w:rFonts w:hint="eastAsia" w:ascii="仿宋_GB2312" w:hAnsi="Times New Roman" w:eastAsia="仿宋_GB2312" w:cs="Times New Roman"/>
          <w:kern w:val="0"/>
          <w:sz w:val="32"/>
          <w:szCs w:val="32"/>
          <w:lang w:val="zh-CN" w:eastAsia="zh-CN" w:bidi="ar-SA"/>
        </w:rPr>
        <w:t>万元，项目支出</w:t>
      </w:r>
      <w:r>
        <w:rPr>
          <w:rFonts w:hint="eastAsia" w:ascii="仿宋_GB2312" w:hAnsi="Times New Roman" w:eastAsia="仿宋_GB2312" w:cs="Times New Roman"/>
          <w:kern w:val="0"/>
          <w:sz w:val="32"/>
          <w:szCs w:val="32"/>
          <w:lang w:val="en-US" w:eastAsia="zh-CN" w:bidi="ar-SA"/>
        </w:rPr>
        <w:t>130.57</w:t>
      </w:r>
      <w:r>
        <w:rPr>
          <w:rFonts w:hint="eastAsia" w:ascii="仿宋_GB2312" w:hAnsi="Times New Roman" w:eastAsia="仿宋_GB2312" w:cs="Times New Roman"/>
          <w:kern w:val="0"/>
          <w:sz w:val="32"/>
          <w:szCs w:val="32"/>
          <w:lang w:val="zh-CN" w:eastAsia="zh-CN" w:bidi="ar-SA"/>
        </w:rPr>
        <w:t>万元。</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default" w:ascii="仿宋_GB2312" w:hAnsi="Times New Roman" w:eastAsia="仿宋_GB2312" w:cs="Times New Roman"/>
          <w:kern w:val="0"/>
          <w:sz w:val="32"/>
          <w:szCs w:val="32"/>
          <w:lang w:val="zh-CN" w:eastAsia="zh-CN" w:bidi="ar-SA"/>
        </w:rPr>
      </w:pPr>
      <w:r>
        <w:rPr>
          <w:rFonts w:hint="default" w:ascii="仿宋_GB2312" w:hAnsi="Times New Roman" w:eastAsia="仿宋_GB2312" w:cs="Times New Roman"/>
          <w:kern w:val="0"/>
          <w:sz w:val="32"/>
          <w:szCs w:val="32"/>
          <w:lang w:val="zh-CN" w:eastAsia="zh-CN" w:bidi="ar-SA"/>
        </w:rPr>
        <w:t>（</w:t>
      </w:r>
      <w:r>
        <w:rPr>
          <w:rFonts w:hint="eastAsia" w:ascii="仿宋_GB2312" w:hAnsi="Times New Roman" w:eastAsia="仿宋_GB2312" w:cs="Times New Roman"/>
          <w:kern w:val="0"/>
          <w:sz w:val="32"/>
          <w:szCs w:val="32"/>
          <w:lang w:val="zh-CN" w:eastAsia="zh-CN" w:bidi="ar-SA"/>
        </w:rPr>
        <w:t>三</w:t>
      </w:r>
      <w:r>
        <w:rPr>
          <w:rFonts w:hint="default" w:ascii="仿宋_GB2312" w:hAnsi="Times New Roman" w:eastAsia="仿宋_GB2312" w:cs="Times New Roman"/>
          <w:kern w:val="0"/>
          <w:sz w:val="32"/>
          <w:szCs w:val="32"/>
          <w:lang w:val="zh-CN" w:eastAsia="zh-CN" w:bidi="ar-SA"/>
        </w:rPr>
        <w:t>）结余分配和结转结余情况</w:t>
      </w:r>
      <w:r>
        <w:rPr>
          <w:rFonts w:hint="eastAsia" w:ascii="仿宋_GB2312" w:hAnsi="Times New Roman" w:eastAsia="仿宋_GB2312" w:cs="Times New Roman"/>
          <w:kern w:val="0"/>
          <w:sz w:val="32"/>
          <w:szCs w:val="32"/>
          <w:lang w:val="zh-CN" w:eastAsia="zh-CN" w:bidi="ar-SA"/>
        </w:rPr>
        <w:t>。</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default" w:ascii="仿宋_GB2312" w:hAnsi="Times New Roman" w:eastAsia="仿宋_GB2312" w:cs="Times New Roman"/>
          <w:kern w:val="0"/>
          <w:sz w:val="32"/>
          <w:szCs w:val="32"/>
          <w:lang w:val="zh-CN" w:eastAsia="zh-CN" w:bidi="ar-SA"/>
        </w:rPr>
      </w:pPr>
      <w:r>
        <w:rPr>
          <w:rFonts w:hint="default" w:ascii="仿宋_GB2312" w:hAnsi="Times New Roman" w:eastAsia="仿宋_GB2312" w:cs="Times New Roman"/>
          <w:kern w:val="0"/>
          <w:sz w:val="32"/>
          <w:szCs w:val="32"/>
          <w:lang w:val="zh-CN" w:eastAsia="zh-CN" w:bidi="ar-SA"/>
        </w:rPr>
        <w:t>三、部门预算绩效分析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default" w:ascii="Times New Roman" w:hAnsi="Times New Roman" w:eastAsia="宋体" w:cs="Times New Roman"/>
          <w:color w:val="000000"/>
          <w:kern w:val="0"/>
          <w:szCs w:val="32"/>
          <w:shd w:val="clear" w:color="auto" w:fill="FFFFFF"/>
          <w:lang w:val="zh-CN"/>
        </w:rPr>
      </w:pPr>
      <w:r>
        <w:rPr>
          <w:rFonts w:hint="default" w:ascii="仿宋_GB2312" w:hAnsi="Times New Roman" w:eastAsia="仿宋_GB2312" w:cs="Times New Roman"/>
          <w:kern w:val="0"/>
          <w:sz w:val="32"/>
          <w:szCs w:val="32"/>
          <w:lang w:val="zh-CN" w:eastAsia="zh-CN" w:bidi="ar-SA"/>
        </w:rPr>
        <w:t>（一）</w:t>
      </w:r>
      <w:r>
        <w:rPr>
          <w:rFonts w:hint="eastAsia" w:ascii="仿宋_GB2312" w:hAnsi="Times New Roman" w:eastAsia="仿宋_GB2312" w:cs="Times New Roman"/>
          <w:kern w:val="0"/>
          <w:sz w:val="32"/>
          <w:szCs w:val="32"/>
          <w:lang w:val="zh-CN" w:eastAsia="zh-CN" w:bidi="ar-SA"/>
        </w:rPr>
        <w:t>部门预算</w:t>
      </w:r>
      <w:r>
        <w:rPr>
          <w:rFonts w:hint="default" w:ascii="仿宋_GB2312" w:hAnsi="Times New Roman" w:eastAsia="仿宋_GB2312" w:cs="Times New Roman"/>
          <w:kern w:val="0"/>
          <w:sz w:val="32"/>
          <w:szCs w:val="32"/>
          <w:lang w:val="zh-CN" w:eastAsia="zh-CN" w:bidi="ar-SA"/>
        </w:rPr>
        <w:t>总体绩效分析</w:t>
      </w:r>
      <w:r>
        <w:rPr>
          <w:rFonts w:hint="default" w:ascii="Times New Roman" w:hAnsi="Times New Roman" w:eastAsia="宋体" w:cs="Times New Roman"/>
          <w:color w:val="000000"/>
          <w:kern w:val="0"/>
          <w:szCs w:val="32"/>
          <w:shd w:val="clear" w:color="auto" w:fill="FFFFFF"/>
          <w:lang w:val="zh-CN"/>
        </w:rPr>
        <w:t>。</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zh-CN" w:eastAsia="zh-CN" w:bidi="ar-SA"/>
        </w:rPr>
        <w:t>根据部门预算绩效评价指标体系“总体绩效”涉及二、三级指标进行逐项绩效分析并评分，依次包括履职效能、预算管理、财务管理、资产管理、采购管理等情况。</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en-US" w:eastAsia="zh-CN" w:bidi="ar-SA"/>
        </w:rPr>
        <w:t>1.</w:t>
      </w:r>
      <w:r>
        <w:rPr>
          <w:rFonts w:hint="eastAsia" w:ascii="仿宋_GB2312" w:hAnsi="Times New Roman" w:eastAsia="仿宋_GB2312" w:cs="Times New Roman"/>
          <w:kern w:val="0"/>
          <w:sz w:val="32"/>
          <w:szCs w:val="32"/>
          <w:lang w:val="zh-CN" w:eastAsia="zh-CN" w:bidi="ar-SA"/>
        </w:rPr>
        <w:t>履职效能。部门整体绩效目标中选定3—5个核心职能目标，对职能目标完成效果情况绩效分析。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en-US" w:eastAsia="zh-CN" w:bidi="ar-SA"/>
        </w:rPr>
        <w:t>2.</w:t>
      </w:r>
      <w:r>
        <w:rPr>
          <w:rFonts w:hint="eastAsia" w:ascii="仿宋_GB2312" w:hAnsi="Times New Roman" w:eastAsia="仿宋_GB2312" w:cs="Times New Roman"/>
          <w:kern w:val="0"/>
          <w:sz w:val="32"/>
          <w:szCs w:val="32"/>
          <w:lang w:val="zh-CN" w:eastAsia="zh-CN" w:bidi="ar-SA"/>
        </w:rPr>
        <w:t>预算管理。围绕预算编制质量、单位收入统筹、支出执行进度、预算年终结余、严控一般性支出进行绩效分析。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en-US" w:eastAsia="zh-CN" w:bidi="ar-SA"/>
        </w:rPr>
        <w:t>3.</w:t>
      </w:r>
      <w:r>
        <w:rPr>
          <w:rFonts w:hint="eastAsia" w:ascii="仿宋_GB2312" w:hAnsi="Times New Roman" w:eastAsia="仿宋_GB2312" w:cs="Times New Roman"/>
          <w:kern w:val="0"/>
          <w:sz w:val="32"/>
          <w:szCs w:val="32"/>
          <w:lang w:val="zh-CN" w:eastAsia="zh-CN" w:bidi="ar-SA"/>
        </w:rPr>
        <w:t>财务管理。围绕财务管理制度、财务岗位设置、资金使用规范进行绩效分析。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en-US" w:eastAsia="zh-CN" w:bidi="ar-SA"/>
        </w:rPr>
        <w:t>4.</w:t>
      </w:r>
      <w:r>
        <w:rPr>
          <w:rFonts w:hint="eastAsia" w:ascii="仿宋_GB2312" w:hAnsi="Times New Roman" w:eastAsia="仿宋_GB2312" w:cs="Times New Roman"/>
          <w:kern w:val="0"/>
          <w:sz w:val="32"/>
          <w:szCs w:val="32"/>
          <w:lang w:val="zh-CN" w:eastAsia="zh-CN" w:bidi="ar-SA"/>
        </w:rPr>
        <w:t>资产管理。围绕人均资产变化率、资产利用率、资产盘活率进行绩效分析。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en-US" w:eastAsia="zh-CN" w:bidi="ar-SA"/>
        </w:rPr>
        <w:t>5.</w:t>
      </w:r>
      <w:r>
        <w:rPr>
          <w:rFonts w:hint="eastAsia" w:ascii="仿宋_GB2312" w:hAnsi="Times New Roman" w:eastAsia="仿宋_GB2312" w:cs="Times New Roman"/>
          <w:kern w:val="0"/>
          <w:sz w:val="32"/>
          <w:szCs w:val="32"/>
          <w:lang w:val="zh-CN" w:eastAsia="zh-CN" w:bidi="ar-SA"/>
        </w:rPr>
        <w:t>采购管理。围绕支持中小企业发展、采购执行率进行绩效分析。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default" w:ascii="仿宋_GB2312" w:hAnsi="Times New Roman" w:eastAsia="仿宋_GB2312" w:cs="Times New Roman"/>
          <w:kern w:val="0"/>
          <w:sz w:val="32"/>
          <w:szCs w:val="32"/>
          <w:lang w:val="en-US" w:eastAsia="zh-CN" w:bidi="ar-SA"/>
        </w:rPr>
      </w:pPr>
      <w:r>
        <w:rPr>
          <w:rFonts w:hint="default" w:ascii="仿宋_GB2312" w:hAnsi="Times New Roman" w:eastAsia="仿宋_GB2312" w:cs="Times New Roman"/>
          <w:kern w:val="0"/>
          <w:sz w:val="32"/>
          <w:szCs w:val="32"/>
          <w:lang w:val="zh-CN" w:eastAsia="zh-CN" w:bidi="ar-SA"/>
        </w:rPr>
        <w:t>（二）部门预算项目绩效分析。</w:t>
      </w:r>
      <w:r>
        <w:rPr>
          <w:rFonts w:hint="eastAsia" w:ascii="仿宋_GB2312" w:hAnsi="Times New Roman" w:eastAsia="仿宋_GB2312" w:cs="Times New Roman"/>
          <w:kern w:val="0"/>
          <w:sz w:val="32"/>
          <w:szCs w:val="32"/>
          <w:lang w:val="zh-CN" w:eastAsia="zh-CN" w:bidi="ar-SA"/>
        </w:rPr>
        <w:t>填报以下数据，并</w:t>
      </w:r>
      <w:r>
        <w:rPr>
          <w:rFonts w:hint="default" w:ascii="仿宋_GB2312" w:hAnsi="Times New Roman" w:eastAsia="仿宋_GB2312" w:cs="Times New Roman"/>
          <w:kern w:val="0"/>
          <w:sz w:val="32"/>
          <w:szCs w:val="32"/>
          <w:lang w:val="zh-CN" w:eastAsia="zh-CN" w:bidi="ar-SA"/>
        </w:rPr>
        <w:t>根据部门预算绩效评价指标体系</w:t>
      </w:r>
      <w:r>
        <w:rPr>
          <w:rFonts w:hint="eastAsia" w:ascii="仿宋_GB2312" w:hAnsi="Times New Roman" w:eastAsia="仿宋_GB2312" w:cs="Times New Roman"/>
          <w:kern w:val="0"/>
          <w:sz w:val="32"/>
          <w:szCs w:val="32"/>
          <w:lang w:val="zh-CN" w:eastAsia="zh-CN" w:bidi="ar-SA"/>
        </w:rPr>
        <w:t>“</w:t>
      </w:r>
      <w:r>
        <w:rPr>
          <w:rFonts w:hint="default" w:ascii="仿宋_GB2312" w:hAnsi="Times New Roman" w:eastAsia="仿宋_GB2312" w:cs="Times New Roman"/>
          <w:kern w:val="0"/>
          <w:sz w:val="32"/>
          <w:szCs w:val="32"/>
          <w:lang w:val="zh-CN" w:eastAsia="zh-CN" w:bidi="ar-SA"/>
        </w:rPr>
        <w:t>项目绩效</w:t>
      </w:r>
      <w:r>
        <w:rPr>
          <w:rFonts w:hint="eastAsia" w:ascii="仿宋_GB2312" w:hAnsi="Times New Roman" w:eastAsia="仿宋_GB2312" w:cs="Times New Roman"/>
          <w:kern w:val="0"/>
          <w:sz w:val="32"/>
          <w:szCs w:val="32"/>
          <w:lang w:val="zh-CN" w:eastAsia="zh-CN" w:bidi="ar-SA"/>
        </w:rPr>
        <w:t>”</w:t>
      </w:r>
      <w:r>
        <w:rPr>
          <w:rFonts w:hint="default" w:ascii="仿宋_GB2312" w:hAnsi="Times New Roman" w:eastAsia="仿宋_GB2312" w:cs="Times New Roman"/>
          <w:kern w:val="0"/>
          <w:sz w:val="32"/>
          <w:szCs w:val="32"/>
          <w:lang w:val="zh-CN" w:eastAsia="zh-CN" w:bidi="ar-SA"/>
        </w:rPr>
        <w:t>涉及</w:t>
      </w:r>
      <w:r>
        <w:rPr>
          <w:rFonts w:hint="eastAsia" w:ascii="仿宋_GB2312" w:hAnsi="Times New Roman" w:eastAsia="仿宋_GB2312" w:cs="Times New Roman"/>
          <w:kern w:val="0"/>
          <w:sz w:val="32"/>
          <w:szCs w:val="32"/>
          <w:lang w:val="zh-CN" w:eastAsia="zh-CN" w:bidi="ar-SA"/>
        </w:rPr>
        <w:t>二、三级</w:t>
      </w:r>
      <w:r>
        <w:rPr>
          <w:rFonts w:hint="default" w:ascii="仿宋_GB2312" w:hAnsi="Times New Roman" w:eastAsia="仿宋_GB2312" w:cs="Times New Roman"/>
          <w:kern w:val="0"/>
          <w:sz w:val="32"/>
          <w:szCs w:val="32"/>
          <w:lang w:val="zh-CN" w:eastAsia="zh-CN" w:bidi="ar-SA"/>
        </w:rPr>
        <w:t>指标进行</w:t>
      </w:r>
      <w:r>
        <w:rPr>
          <w:rFonts w:hint="eastAsia" w:ascii="仿宋_GB2312" w:hAnsi="Times New Roman" w:eastAsia="仿宋_GB2312" w:cs="Times New Roman"/>
          <w:kern w:val="0"/>
          <w:sz w:val="32"/>
          <w:szCs w:val="32"/>
          <w:lang w:val="zh-CN" w:eastAsia="zh-CN" w:bidi="ar-SA"/>
        </w:rPr>
        <w:t>逐项</w:t>
      </w:r>
      <w:r>
        <w:rPr>
          <w:rFonts w:hint="default" w:ascii="仿宋_GB2312" w:hAnsi="Times New Roman" w:eastAsia="仿宋_GB2312" w:cs="Times New Roman"/>
          <w:kern w:val="0"/>
          <w:sz w:val="32"/>
          <w:szCs w:val="32"/>
          <w:lang w:val="zh-CN" w:eastAsia="zh-CN" w:bidi="ar-SA"/>
        </w:rPr>
        <w:t>绩效分析</w:t>
      </w:r>
      <w:r>
        <w:rPr>
          <w:rFonts w:hint="eastAsia" w:ascii="仿宋_GB2312" w:hAnsi="Times New Roman" w:eastAsia="仿宋_GB2312" w:cs="Times New Roman"/>
          <w:kern w:val="0"/>
          <w:sz w:val="32"/>
          <w:szCs w:val="32"/>
          <w:lang w:val="zh-CN" w:eastAsia="zh-CN" w:bidi="ar-SA"/>
        </w:rPr>
        <w:t>并评分</w:t>
      </w:r>
      <w:r>
        <w:rPr>
          <w:rFonts w:hint="default" w:ascii="仿宋_GB2312" w:hAnsi="Times New Roman" w:eastAsia="仿宋_GB2312" w:cs="Times New Roman"/>
          <w:kern w:val="0"/>
          <w:sz w:val="32"/>
          <w:szCs w:val="32"/>
          <w:lang w:val="zh-CN" w:eastAsia="zh-CN" w:bidi="ar-SA"/>
        </w:rPr>
        <w:t>，依次包括项目</w:t>
      </w:r>
      <w:r>
        <w:rPr>
          <w:rFonts w:hint="default" w:ascii="仿宋_GB2312" w:hAnsi="Times New Roman" w:eastAsia="仿宋_GB2312" w:cs="Times New Roman"/>
          <w:kern w:val="0"/>
          <w:sz w:val="32"/>
          <w:szCs w:val="32"/>
          <w:lang w:val="en-US" w:eastAsia="zh-CN" w:bidi="ar-SA"/>
        </w:rPr>
        <w:t>决策、项目执行、目标实现等情况</w:t>
      </w:r>
      <w:r>
        <w:rPr>
          <w:rFonts w:hint="eastAsia" w:ascii="仿宋_GB2312" w:hAnsi="Times New Roman" w:eastAsia="仿宋_GB2312" w:cs="Times New Roman"/>
          <w:kern w:val="0"/>
          <w:sz w:val="32"/>
          <w:szCs w:val="32"/>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default" w:ascii="仿宋_GB2312" w:hAnsi="Times New Roman" w:eastAsia="仿宋_GB2312" w:cs="Times New Roman"/>
          <w:kern w:val="0"/>
          <w:sz w:val="32"/>
          <w:szCs w:val="32"/>
          <w:lang w:val="zh-CN" w:eastAsia="zh-CN" w:bidi="ar-SA"/>
        </w:rPr>
      </w:pPr>
      <w:r>
        <w:rPr>
          <w:rFonts w:hint="default" w:ascii="仿宋_GB2312" w:hAnsi="Times New Roman" w:eastAsia="仿宋_GB2312" w:cs="Times New Roman"/>
          <w:kern w:val="0"/>
          <w:sz w:val="32"/>
          <w:szCs w:val="32"/>
          <w:lang w:val="en-US" w:eastAsia="zh-CN" w:bidi="ar-SA"/>
        </w:rPr>
        <w:t>常年项目绩效分析。</w:t>
      </w:r>
      <w:r>
        <w:rPr>
          <w:rFonts w:hint="default" w:ascii="仿宋_GB2312" w:hAnsi="Times New Roman" w:eastAsia="仿宋_GB2312" w:cs="Times New Roman"/>
          <w:kern w:val="0"/>
          <w:sz w:val="32"/>
          <w:szCs w:val="32"/>
          <w:lang w:val="zh-CN" w:eastAsia="zh-CN" w:bidi="ar-SA"/>
        </w:rPr>
        <w:t>该类项目总数</w:t>
      </w:r>
      <w:r>
        <w:rPr>
          <w:rFonts w:hint="eastAsia" w:ascii="仿宋_GB2312" w:hAnsi="Times New Roman" w:eastAsia="仿宋_GB2312" w:cs="Times New Roman"/>
          <w:kern w:val="0"/>
          <w:sz w:val="32"/>
          <w:szCs w:val="32"/>
          <w:lang w:val="en-US" w:eastAsia="zh-CN" w:bidi="ar-SA"/>
        </w:rPr>
        <w:t>1</w:t>
      </w:r>
      <w:r>
        <w:rPr>
          <w:rFonts w:hint="default" w:ascii="仿宋_GB2312" w:hAnsi="Times New Roman" w:eastAsia="仿宋_GB2312" w:cs="Times New Roman"/>
          <w:kern w:val="0"/>
          <w:sz w:val="32"/>
          <w:szCs w:val="32"/>
          <w:lang w:val="zh-CN" w:eastAsia="zh-CN" w:bidi="ar-SA"/>
        </w:rPr>
        <w:t>个，涉及预算总金额</w:t>
      </w:r>
      <w:r>
        <w:rPr>
          <w:rFonts w:hint="eastAsia" w:ascii="仿宋_GB2312" w:hAnsi="Times New Roman" w:eastAsia="仿宋_GB2312" w:cs="Times New Roman"/>
          <w:kern w:val="0"/>
          <w:sz w:val="32"/>
          <w:szCs w:val="32"/>
          <w:lang w:val="en-US" w:eastAsia="zh-CN" w:bidi="ar-SA"/>
        </w:rPr>
        <w:t>5</w:t>
      </w:r>
      <w:r>
        <w:rPr>
          <w:rFonts w:hint="default" w:ascii="仿宋_GB2312" w:hAnsi="Times New Roman" w:eastAsia="仿宋_GB2312" w:cs="Times New Roman"/>
          <w:kern w:val="0"/>
          <w:sz w:val="32"/>
          <w:szCs w:val="32"/>
          <w:lang w:val="zh-CN" w:eastAsia="zh-CN" w:bidi="ar-SA"/>
        </w:rPr>
        <w:t>万元，1</w:t>
      </w:r>
      <w:r>
        <w:rPr>
          <w:rFonts w:hint="eastAsia" w:ascii="仿宋_GB2312" w:hAnsi="Times New Roman" w:eastAsia="仿宋_GB2312" w:cs="Times New Roman"/>
          <w:kern w:val="0"/>
          <w:sz w:val="32"/>
          <w:szCs w:val="32"/>
          <w:lang w:val="zh-CN" w:eastAsia="zh-CN" w:bidi="ar-SA"/>
        </w:rPr>
        <w:t>—</w:t>
      </w:r>
      <w:r>
        <w:rPr>
          <w:rFonts w:hint="default" w:ascii="仿宋_GB2312" w:hAnsi="Times New Roman" w:eastAsia="仿宋_GB2312" w:cs="Times New Roman"/>
          <w:kern w:val="0"/>
          <w:sz w:val="32"/>
          <w:szCs w:val="32"/>
          <w:lang w:val="zh-CN" w:eastAsia="zh-CN" w:bidi="ar-SA"/>
        </w:rPr>
        <w:t>1</w:t>
      </w:r>
      <w:r>
        <w:rPr>
          <w:rFonts w:hint="default" w:ascii="仿宋_GB2312" w:hAnsi="Times New Roman" w:eastAsia="仿宋_GB2312" w:cs="Times New Roman"/>
          <w:kern w:val="0"/>
          <w:sz w:val="32"/>
          <w:szCs w:val="32"/>
          <w:lang w:val="en-US" w:eastAsia="zh-CN" w:bidi="ar-SA"/>
        </w:rPr>
        <w:t>2</w:t>
      </w:r>
      <w:r>
        <w:rPr>
          <w:rFonts w:hint="default" w:ascii="仿宋_GB2312" w:hAnsi="Times New Roman" w:eastAsia="仿宋_GB2312" w:cs="Times New Roman"/>
          <w:kern w:val="0"/>
          <w:sz w:val="32"/>
          <w:szCs w:val="32"/>
          <w:lang w:val="zh-CN" w:eastAsia="zh-CN" w:bidi="ar-SA"/>
        </w:rPr>
        <w:t>月预算执行总体进度为</w:t>
      </w:r>
      <w:r>
        <w:rPr>
          <w:rFonts w:hint="eastAsia" w:ascii="仿宋_GB2312" w:hAnsi="Times New Roman" w:eastAsia="仿宋_GB2312" w:cs="Times New Roman"/>
          <w:kern w:val="0"/>
          <w:sz w:val="32"/>
          <w:szCs w:val="32"/>
          <w:lang w:val="en-US" w:eastAsia="zh-CN" w:bidi="ar-SA"/>
        </w:rPr>
        <w:t>100</w:t>
      </w:r>
      <w:r>
        <w:rPr>
          <w:rFonts w:hint="default" w:ascii="仿宋_GB2312" w:hAnsi="Times New Roman" w:eastAsia="仿宋_GB2312" w:cs="Times New Roman"/>
          <w:kern w:val="0"/>
          <w:sz w:val="32"/>
          <w:szCs w:val="32"/>
          <w:lang w:val="zh-CN" w:eastAsia="zh-CN" w:bidi="ar-SA"/>
        </w:rPr>
        <w:t>%，其中：预算结余率大于</w:t>
      </w:r>
      <w:r>
        <w:rPr>
          <w:rFonts w:hint="default" w:ascii="仿宋_GB2312" w:hAnsi="Times New Roman" w:eastAsia="仿宋_GB2312" w:cs="Times New Roman"/>
          <w:kern w:val="0"/>
          <w:sz w:val="32"/>
          <w:szCs w:val="32"/>
          <w:lang w:val="en-US" w:eastAsia="zh-CN" w:bidi="ar-SA"/>
        </w:rPr>
        <w:t>10%</w:t>
      </w:r>
      <w:r>
        <w:rPr>
          <w:rFonts w:hint="default" w:ascii="仿宋_GB2312" w:hAnsi="Times New Roman" w:eastAsia="仿宋_GB2312" w:cs="Times New Roman"/>
          <w:kern w:val="0"/>
          <w:sz w:val="32"/>
          <w:szCs w:val="32"/>
          <w:lang w:val="zh-CN" w:eastAsia="zh-CN" w:bidi="ar-SA"/>
        </w:rPr>
        <w:t>的项目共计</w:t>
      </w:r>
      <w:r>
        <w:rPr>
          <w:rFonts w:hint="eastAsia" w:ascii="仿宋_GB2312" w:hAnsi="Times New Roman" w:eastAsia="仿宋_GB2312" w:cs="Times New Roman"/>
          <w:kern w:val="0"/>
          <w:sz w:val="32"/>
          <w:szCs w:val="32"/>
          <w:lang w:val="en-US" w:eastAsia="zh-CN" w:bidi="ar-SA"/>
        </w:rPr>
        <w:t>0</w:t>
      </w:r>
      <w:r>
        <w:rPr>
          <w:rFonts w:hint="default" w:ascii="仿宋_GB2312" w:hAnsi="Times New Roman" w:eastAsia="仿宋_GB2312" w:cs="Times New Roman"/>
          <w:kern w:val="0"/>
          <w:sz w:val="32"/>
          <w:szCs w:val="32"/>
          <w:lang w:val="zh-CN" w:eastAsia="zh-CN" w:bidi="ar-SA"/>
        </w:rPr>
        <w:t>个。</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default" w:ascii="仿宋_GB2312" w:hAnsi="Times New Roman" w:eastAsia="仿宋_GB2312" w:cs="Times New Roman"/>
          <w:kern w:val="0"/>
          <w:sz w:val="32"/>
          <w:szCs w:val="32"/>
          <w:lang w:val="zh-CN" w:eastAsia="zh-CN" w:bidi="ar-SA"/>
        </w:rPr>
      </w:pPr>
      <w:r>
        <w:rPr>
          <w:rFonts w:hint="default" w:ascii="仿宋_GB2312" w:hAnsi="Times New Roman" w:eastAsia="仿宋_GB2312" w:cs="Times New Roman"/>
          <w:kern w:val="0"/>
          <w:sz w:val="32"/>
          <w:szCs w:val="32"/>
          <w:lang w:val="en-US" w:eastAsia="zh-CN" w:bidi="ar-SA"/>
        </w:rPr>
        <w:t>阶段</w:t>
      </w:r>
      <w:r>
        <w:rPr>
          <w:rFonts w:hint="eastAsia" w:ascii="仿宋_GB2312" w:hAnsi="Times New Roman" w:eastAsia="仿宋_GB2312" w:cs="Times New Roman"/>
          <w:kern w:val="0"/>
          <w:sz w:val="32"/>
          <w:szCs w:val="32"/>
          <w:lang w:val="en-US" w:eastAsia="zh-CN" w:bidi="ar-SA"/>
        </w:rPr>
        <w:t>（</w:t>
      </w:r>
      <w:r>
        <w:rPr>
          <w:rFonts w:hint="default" w:ascii="仿宋_GB2312" w:hAnsi="Times New Roman" w:eastAsia="仿宋_GB2312" w:cs="Times New Roman"/>
          <w:kern w:val="0"/>
          <w:sz w:val="32"/>
          <w:szCs w:val="32"/>
          <w:lang w:val="en-US" w:eastAsia="zh-CN" w:bidi="ar-SA"/>
        </w:rPr>
        <w:t>一次性</w:t>
      </w:r>
      <w:r>
        <w:rPr>
          <w:rFonts w:hint="eastAsia" w:ascii="仿宋_GB2312" w:hAnsi="Times New Roman" w:eastAsia="仿宋_GB2312" w:cs="Times New Roman"/>
          <w:kern w:val="0"/>
          <w:sz w:val="32"/>
          <w:szCs w:val="32"/>
          <w:lang w:val="en-US" w:eastAsia="zh-CN" w:bidi="ar-SA"/>
        </w:rPr>
        <w:t>）</w:t>
      </w:r>
      <w:r>
        <w:rPr>
          <w:rFonts w:hint="default" w:ascii="仿宋_GB2312" w:hAnsi="Times New Roman" w:eastAsia="仿宋_GB2312" w:cs="Times New Roman"/>
          <w:kern w:val="0"/>
          <w:sz w:val="32"/>
          <w:szCs w:val="32"/>
          <w:lang w:val="en-US" w:eastAsia="zh-CN" w:bidi="ar-SA"/>
        </w:rPr>
        <w:t>项目绩效分析。</w:t>
      </w:r>
      <w:r>
        <w:rPr>
          <w:rFonts w:hint="default" w:ascii="仿宋_GB2312" w:hAnsi="Times New Roman" w:eastAsia="仿宋_GB2312" w:cs="Times New Roman"/>
          <w:kern w:val="0"/>
          <w:sz w:val="32"/>
          <w:szCs w:val="32"/>
          <w:lang w:val="zh-CN" w:eastAsia="zh-CN" w:bidi="ar-SA"/>
        </w:rPr>
        <w:t>该类项目总数</w:t>
      </w:r>
      <w:r>
        <w:rPr>
          <w:rFonts w:hint="eastAsia" w:ascii="仿宋_GB2312" w:hAnsi="Times New Roman" w:eastAsia="仿宋_GB2312" w:cs="Times New Roman"/>
          <w:kern w:val="0"/>
          <w:sz w:val="32"/>
          <w:szCs w:val="32"/>
          <w:lang w:val="en-US" w:eastAsia="zh-CN" w:bidi="ar-SA"/>
        </w:rPr>
        <w:t>3</w:t>
      </w:r>
      <w:r>
        <w:rPr>
          <w:rFonts w:hint="default" w:ascii="仿宋_GB2312" w:hAnsi="Times New Roman" w:eastAsia="仿宋_GB2312" w:cs="Times New Roman"/>
          <w:kern w:val="0"/>
          <w:sz w:val="32"/>
          <w:szCs w:val="32"/>
          <w:lang w:val="zh-CN" w:eastAsia="zh-CN" w:bidi="ar-SA"/>
        </w:rPr>
        <w:t>个，涉及预算总金额</w:t>
      </w:r>
      <w:r>
        <w:rPr>
          <w:rFonts w:hint="eastAsia" w:ascii="仿宋_GB2312" w:hAnsi="Times New Roman" w:eastAsia="仿宋_GB2312" w:cs="Times New Roman"/>
          <w:kern w:val="0"/>
          <w:sz w:val="32"/>
          <w:szCs w:val="32"/>
          <w:lang w:val="en-US" w:eastAsia="zh-CN" w:bidi="ar-SA"/>
        </w:rPr>
        <w:t>118.68</w:t>
      </w:r>
      <w:r>
        <w:rPr>
          <w:rFonts w:hint="default" w:ascii="仿宋_GB2312" w:hAnsi="Times New Roman" w:eastAsia="仿宋_GB2312" w:cs="Times New Roman"/>
          <w:kern w:val="0"/>
          <w:sz w:val="32"/>
          <w:szCs w:val="32"/>
          <w:lang w:val="zh-CN" w:eastAsia="zh-CN" w:bidi="ar-SA"/>
        </w:rPr>
        <w:t>万元，1</w:t>
      </w:r>
      <w:r>
        <w:rPr>
          <w:rFonts w:hint="eastAsia" w:ascii="仿宋_GB2312" w:hAnsi="Times New Roman" w:eastAsia="仿宋_GB2312" w:cs="Times New Roman"/>
          <w:kern w:val="0"/>
          <w:sz w:val="32"/>
          <w:szCs w:val="32"/>
          <w:lang w:val="zh-CN" w:eastAsia="zh-CN" w:bidi="ar-SA"/>
        </w:rPr>
        <w:t>—</w:t>
      </w:r>
      <w:r>
        <w:rPr>
          <w:rFonts w:hint="default" w:ascii="仿宋_GB2312" w:hAnsi="Times New Roman" w:eastAsia="仿宋_GB2312" w:cs="Times New Roman"/>
          <w:kern w:val="0"/>
          <w:sz w:val="32"/>
          <w:szCs w:val="32"/>
          <w:lang w:val="zh-CN" w:eastAsia="zh-CN" w:bidi="ar-SA"/>
        </w:rPr>
        <w:t>1</w:t>
      </w:r>
      <w:r>
        <w:rPr>
          <w:rFonts w:hint="default" w:ascii="仿宋_GB2312" w:hAnsi="Times New Roman" w:eastAsia="仿宋_GB2312" w:cs="Times New Roman"/>
          <w:kern w:val="0"/>
          <w:sz w:val="32"/>
          <w:szCs w:val="32"/>
          <w:lang w:val="en-US" w:eastAsia="zh-CN" w:bidi="ar-SA"/>
        </w:rPr>
        <w:t>2</w:t>
      </w:r>
      <w:r>
        <w:rPr>
          <w:rFonts w:hint="default" w:ascii="仿宋_GB2312" w:hAnsi="Times New Roman" w:eastAsia="仿宋_GB2312" w:cs="Times New Roman"/>
          <w:kern w:val="0"/>
          <w:sz w:val="32"/>
          <w:szCs w:val="32"/>
          <w:lang w:val="zh-CN" w:eastAsia="zh-CN" w:bidi="ar-SA"/>
        </w:rPr>
        <w:t>月预算执行总体进度为</w:t>
      </w:r>
      <w:r>
        <w:rPr>
          <w:rFonts w:hint="eastAsia" w:ascii="仿宋_GB2312" w:hAnsi="Times New Roman" w:eastAsia="仿宋_GB2312" w:cs="Times New Roman"/>
          <w:kern w:val="0"/>
          <w:sz w:val="32"/>
          <w:szCs w:val="32"/>
          <w:lang w:val="en-US" w:eastAsia="zh-CN" w:bidi="ar-SA"/>
        </w:rPr>
        <w:t>100</w:t>
      </w:r>
      <w:r>
        <w:rPr>
          <w:rFonts w:hint="default" w:ascii="仿宋_GB2312" w:hAnsi="Times New Roman" w:eastAsia="仿宋_GB2312" w:cs="Times New Roman"/>
          <w:kern w:val="0"/>
          <w:sz w:val="32"/>
          <w:szCs w:val="32"/>
          <w:lang w:val="zh-CN" w:eastAsia="zh-CN" w:bidi="ar-SA"/>
        </w:rPr>
        <w:t>%，其中：预算结余率大于</w:t>
      </w:r>
      <w:r>
        <w:rPr>
          <w:rFonts w:hint="default" w:ascii="仿宋_GB2312" w:hAnsi="Times New Roman" w:eastAsia="仿宋_GB2312" w:cs="Times New Roman"/>
          <w:kern w:val="0"/>
          <w:sz w:val="32"/>
          <w:szCs w:val="32"/>
          <w:lang w:val="en-US" w:eastAsia="zh-CN" w:bidi="ar-SA"/>
        </w:rPr>
        <w:t>10%</w:t>
      </w:r>
      <w:r>
        <w:rPr>
          <w:rFonts w:hint="default" w:ascii="仿宋_GB2312" w:hAnsi="Times New Roman" w:eastAsia="仿宋_GB2312" w:cs="Times New Roman"/>
          <w:kern w:val="0"/>
          <w:sz w:val="32"/>
          <w:szCs w:val="32"/>
          <w:lang w:val="zh-CN" w:eastAsia="zh-CN" w:bidi="ar-SA"/>
        </w:rPr>
        <w:t>的项目共计</w:t>
      </w:r>
      <w:r>
        <w:rPr>
          <w:rFonts w:hint="eastAsia" w:ascii="仿宋_GB2312" w:hAnsi="Times New Roman" w:eastAsia="仿宋_GB2312" w:cs="Times New Roman"/>
          <w:kern w:val="0"/>
          <w:sz w:val="32"/>
          <w:szCs w:val="32"/>
          <w:lang w:val="en-US" w:eastAsia="zh-CN" w:bidi="ar-SA"/>
        </w:rPr>
        <w:t>0</w:t>
      </w:r>
      <w:r>
        <w:rPr>
          <w:rFonts w:hint="default" w:ascii="仿宋_GB2312" w:hAnsi="Times New Roman" w:eastAsia="仿宋_GB2312" w:cs="Times New Roman"/>
          <w:kern w:val="0"/>
          <w:sz w:val="32"/>
          <w:szCs w:val="32"/>
          <w:lang w:val="zh-CN" w:eastAsia="zh-CN" w:bidi="ar-SA"/>
        </w:rPr>
        <w:t>个。</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en-US" w:eastAsia="zh-CN" w:bidi="ar-SA"/>
        </w:rPr>
        <w:t>1.</w:t>
      </w:r>
      <w:r>
        <w:rPr>
          <w:rFonts w:hint="eastAsia" w:ascii="仿宋_GB2312" w:hAnsi="Times New Roman" w:eastAsia="仿宋_GB2312" w:cs="Times New Roman"/>
          <w:kern w:val="0"/>
          <w:sz w:val="32"/>
          <w:szCs w:val="32"/>
          <w:lang w:val="zh-CN" w:eastAsia="zh-CN" w:bidi="ar-SA"/>
        </w:rPr>
        <w:t>项目决策。围绕决策程序、目标设置、项目入库</w:t>
      </w:r>
      <w:r>
        <w:rPr>
          <w:rFonts w:hint="default" w:ascii="仿宋_GB2312" w:hAnsi="Times New Roman" w:eastAsia="仿宋_GB2312" w:cs="Times New Roman"/>
          <w:kern w:val="0"/>
          <w:sz w:val="32"/>
          <w:szCs w:val="32"/>
          <w:lang w:val="zh-CN" w:eastAsia="zh-CN" w:bidi="ar-SA"/>
        </w:rPr>
        <w:t>进行绩效分析</w:t>
      </w:r>
      <w:r>
        <w:rPr>
          <w:rFonts w:hint="eastAsia" w:ascii="仿宋_GB2312" w:hAnsi="Times New Roman" w:eastAsia="仿宋_GB2312" w:cs="Times New Roman"/>
          <w:kern w:val="0"/>
          <w:sz w:val="32"/>
          <w:szCs w:val="32"/>
          <w:lang w:val="zh-CN" w:eastAsia="zh-CN" w:bidi="ar-SA"/>
        </w:rPr>
        <w:t>。</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en-US" w:eastAsia="zh-CN" w:bidi="ar-SA"/>
        </w:rPr>
        <w:t>2.项目执行</w:t>
      </w:r>
      <w:r>
        <w:rPr>
          <w:rFonts w:hint="eastAsia" w:ascii="仿宋_GB2312" w:hAnsi="Times New Roman" w:eastAsia="仿宋_GB2312" w:cs="Times New Roman"/>
          <w:kern w:val="0"/>
          <w:sz w:val="32"/>
          <w:szCs w:val="32"/>
          <w:lang w:val="zh-CN" w:eastAsia="zh-CN" w:bidi="ar-SA"/>
        </w:rPr>
        <w:t>。围绕资金执行同向、项目调整、执行结果</w:t>
      </w:r>
      <w:r>
        <w:rPr>
          <w:rFonts w:hint="default" w:ascii="仿宋_GB2312" w:hAnsi="Times New Roman" w:eastAsia="仿宋_GB2312" w:cs="Times New Roman"/>
          <w:kern w:val="0"/>
          <w:sz w:val="32"/>
          <w:szCs w:val="32"/>
          <w:lang w:val="zh-CN" w:eastAsia="zh-CN" w:bidi="ar-SA"/>
        </w:rPr>
        <w:t>进行绩效分析</w:t>
      </w:r>
      <w:r>
        <w:rPr>
          <w:rFonts w:hint="eastAsia" w:ascii="仿宋_GB2312" w:hAnsi="Times New Roman" w:eastAsia="仿宋_GB2312" w:cs="Times New Roman"/>
          <w:kern w:val="0"/>
          <w:sz w:val="32"/>
          <w:szCs w:val="32"/>
          <w:lang w:val="zh-CN" w:eastAsia="zh-CN" w:bidi="ar-SA"/>
        </w:rPr>
        <w:t>。</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en-US" w:eastAsia="zh-CN" w:bidi="ar-SA"/>
        </w:rPr>
        <w:t>3.</w:t>
      </w:r>
      <w:r>
        <w:rPr>
          <w:rFonts w:hint="eastAsia" w:ascii="仿宋_GB2312" w:hAnsi="Times New Roman" w:eastAsia="仿宋_GB2312" w:cs="Times New Roman"/>
          <w:kern w:val="0"/>
          <w:sz w:val="32"/>
          <w:szCs w:val="32"/>
          <w:lang w:val="zh-CN" w:eastAsia="zh-CN" w:bidi="ar-SA"/>
        </w:rPr>
        <w:t>目标实现。围绕目标完成、目标偏离、实现效果</w:t>
      </w:r>
      <w:r>
        <w:rPr>
          <w:rFonts w:hint="default" w:ascii="仿宋_GB2312" w:hAnsi="Times New Roman" w:eastAsia="仿宋_GB2312" w:cs="Times New Roman"/>
          <w:kern w:val="0"/>
          <w:sz w:val="32"/>
          <w:szCs w:val="32"/>
          <w:lang w:val="zh-CN" w:eastAsia="zh-CN" w:bidi="ar-SA"/>
        </w:rPr>
        <w:t>进行绩效分析</w:t>
      </w:r>
      <w:r>
        <w:rPr>
          <w:rFonts w:hint="eastAsia" w:ascii="仿宋_GB2312" w:hAnsi="Times New Roman" w:eastAsia="仿宋_GB2312" w:cs="Times New Roman"/>
          <w:kern w:val="0"/>
          <w:sz w:val="32"/>
          <w:szCs w:val="32"/>
          <w:lang w:val="zh-CN" w:eastAsia="zh-CN" w:bidi="ar-SA"/>
        </w:rPr>
        <w:t>。</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en-US" w:eastAsia="zh-CN" w:bidi="ar-SA"/>
        </w:rPr>
      </w:pPr>
      <w:r>
        <w:rPr>
          <w:rFonts w:hint="default" w:ascii="仿宋_GB2312" w:hAnsi="Times New Roman" w:eastAsia="仿宋_GB2312" w:cs="Times New Roman"/>
          <w:kern w:val="0"/>
          <w:sz w:val="32"/>
          <w:szCs w:val="32"/>
          <w:lang w:val="en-US" w:eastAsia="zh-CN" w:bidi="ar-SA"/>
        </w:rPr>
        <w:t>省级部门对2024年度一般公共预算、政府性基金预算、国有资本经营预算安排的常年项目、阶段项目绩效目标完成情况，以及债券资金、政府购买服务有关情况进行梳理阐述</w:t>
      </w:r>
      <w:r>
        <w:rPr>
          <w:rFonts w:hint="eastAsia" w:ascii="仿宋_GB2312" w:hAnsi="Times New Roman" w:eastAsia="仿宋_GB2312" w:cs="Times New Roman"/>
          <w:kern w:val="0"/>
          <w:sz w:val="32"/>
          <w:szCs w:val="32"/>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default" w:ascii="仿宋_GB2312" w:hAnsi="Times New Roman" w:eastAsia="仿宋_GB2312" w:cs="Times New Roman"/>
          <w:kern w:val="0"/>
          <w:sz w:val="32"/>
          <w:szCs w:val="32"/>
          <w:lang w:val="zh-CN" w:eastAsia="zh-CN" w:bidi="ar-SA"/>
        </w:rPr>
      </w:pPr>
      <w:r>
        <w:rPr>
          <w:rFonts w:hint="default" w:ascii="仿宋_GB2312" w:hAnsi="Times New Roman" w:eastAsia="仿宋_GB2312" w:cs="Times New Roman"/>
          <w:kern w:val="0"/>
          <w:sz w:val="32"/>
          <w:szCs w:val="32"/>
          <w:lang w:val="zh-CN" w:eastAsia="zh-CN" w:bidi="ar-SA"/>
        </w:rPr>
        <w:t>（</w:t>
      </w:r>
      <w:r>
        <w:rPr>
          <w:rFonts w:hint="eastAsia" w:ascii="仿宋_GB2312" w:hAnsi="Times New Roman" w:eastAsia="仿宋_GB2312" w:cs="Times New Roman"/>
          <w:kern w:val="0"/>
          <w:sz w:val="32"/>
          <w:szCs w:val="32"/>
          <w:lang w:val="en-US" w:eastAsia="zh-CN" w:bidi="ar-SA"/>
        </w:rPr>
        <w:t>三</w:t>
      </w:r>
      <w:r>
        <w:rPr>
          <w:rFonts w:hint="default" w:ascii="仿宋_GB2312" w:hAnsi="Times New Roman" w:eastAsia="仿宋_GB2312" w:cs="Times New Roman"/>
          <w:kern w:val="0"/>
          <w:sz w:val="32"/>
          <w:szCs w:val="32"/>
          <w:lang w:val="zh-CN" w:eastAsia="zh-CN" w:bidi="ar-SA"/>
        </w:rPr>
        <w:t>）绩效结果应用情况</w:t>
      </w:r>
      <w:r>
        <w:rPr>
          <w:rFonts w:hint="eastAsia" w:ascii="仿宋_GB2312" w:hAnsi="Times New Roman" w:eastAsia="仿宋_GB2312" w:cs="Times New Roman"/>
          <w:kern w:val="0"/>
          <w:sz w:val="32"/>
          <w:szCs w:val="32"/>
          <w:lang w:val="zh-CN" w:eastAsia="zh-CN" w:bidi="ar-SA"/>
        </w:rPr>
        <w:t>。围绕内部应用情况、</w:t>
      </w:r>
      <w:r>
        <w:rPr>
          <w:rFonts w:hint="default" w:ascii="仿宋_GB2312" w:hAnsi="Times New Roman" w:eastAsia="仿宋_GB2312" w:cs="Times New Roman"/>
          <w:kern w:val="0"/>
          <w:sz w:val="32"/>
          <w:szCs w:val="32"/>
          <w:lang w:val="zh-CN" w:eastAsia="zh-CN" w:bidi="ar-SA"/>
        </w:rPr>
        <w:t>信息公开情况</w:t>
      </w:r>
      <w:r>
        <w:rPr>
          <w:rFonts w:hint="eastAsia" w:ascii="仿宋_GB2312" w:hAnsi="Times New Roman" w:eastAsia="仿宋_GB2312" w:cs="Times New Roman"/>
          <w:kern w:val="0"/>
          <w:sz w:val="32"/>
          <w:szCs w:val="32"/>
          <w:lang w:val="zh-CN" w:eastAsia="zh-CN" w:bidi="ar-SA"/>
        </w:rPr>
        <w:t>、</w:t>
      </w:r>
      <w:r>
        <w:rPr>
          <w:rFonts w:hint="default" w:ascii="仿宋_GB2312" w:hAnsi="Times New Roman" w:eastAsia="仿宋_GB2312" w:cs="Times New Roman"/>
          <w:kern w:val="0"/>
          <w:sz w:val="32"/>
          <w:szCs w:val="32"/>
          <w:lang w:val="zh-CN" w:eastAsia="zh-CN" w:bidi="ar-SA"/>
        </w:rPr>
        <w:t>整改反馈情况</w:t>
      </w:r>
      <w:r>
        <w:rPr>
          <w:rFonts w:hint="eastAsia" w:ascii="仿宋_GB2312" w:hAnsi="Times New Roman" w:eastAsia="仿宋_GB2312" w:cs="Times New Roman"/>
          <w:kern w:val="0"/>
          <w:sz w:val="32"/>
          <w:szCs w:val="32"/>
          <w:lang w:val="zh-CN" w:eastAsia="zh-CN" w:bidi="ar-SA"/>
        </w:rPr>
        <w:t>进行分析。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default" w:ascii="仿宋_GB2312" w:hAnsi="Times New Roman" w:eastAsia="仿宋_GB2312" w:cs="Times New Roman"/>
          <w:kern w:val="0"/>
          <w:sz w:val="32"/>
          <w:szCs w:val="32"/>
          <w:lang w:val="zh-CN" w:eastAsia="zh-CN" w:bidi="ar-SA"/>
        </w:rPr>
      </w:pPr>
      <w:r>
        <w:rPr>
          <w:rFonts w:hint="default" w:ascii="仿宋_GB2312" w:hAnsi="Times New Roman" w:eastAsia="仿宋_GB2312" w:cs="Times New Roman"/>
          <w:kern w:val="0"/>
          <w:sz w:val="32"/>
          <w:szCs w:val="32"/>
          <w:lang w:val="zh-CN" w:eastAsia="zh-CN" w:bidi="ar-SA"/>
        </w:rPr>
        <w:t>四、评价结论及建议</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default" w:ascii="仿宋_GB2312" w:hAnsi="Times New Roman" w:eastAsia="仿宋_GB2312" w:cs="Times New Roman"/>
          <w:kern w:val="0"/>
          <w:sz w:val="32"/>
          <w:szCs w:val="32"/>
          <w:lang w:val="en-US" w:eastAsia="zh-CN" w:bidi="ar-SA"/>
        </w:rPr>
      </w:pPr>
      <w:r>
        <w:rPr>
          <w:rFonts w:hint="default" w:ascii="仿宋_GB2312" w:hAnsi="Times New Roman" w:eastAsia="仿宋_GB2312" w:cs="Times New Roman"/>
          <w:kern w:val="0"/>
          <w:sz w:val="32"/>
          <w:szCs w:val="32"/>
          <w:lang w:val="zh-CN" w:eastAsia="zh-CN" w:bidi="ar-SA"/>
        </w:rPr>
        <w:t>（一）评价结论。</w:t>
      </w:r>
      <w:r>
        <w:rPr>
          <w:rFonts w:hint="eastAsia" w:ascii="仿宋_GB2312" w:hAnsi="Times New Roman" w:eastAsia="仿宋_GB2312" w:cs="Times New Roman"/>
          <w:kern w:val="0"/>
          <w:sz w:val="32"/>
          <w:szCs w:val="32"/>
          <w:lang w:val="en-US" w:eastAsia="zh-CN" w:bidi="ar-SA"/>
        </w:rPr>
        <w:t>简要阐述部门预算绩效自评总体结论，其中必须包含自评得分。</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en-US" w:eastAsia="zh-CN" w:bidi="ar-SA"/>
        </w:rPr>
      </w:pPr>
      <w:r>
        <w:rPr>
          <w:rFonts w:hint="default" w:ascii="仿宋_GB2312" w:hAnsi="Times New Roman" w:eastAsia="仿宋_GB2312" w:cs="Times New Roman"/>
          <w:kern w:val="0"/>
          <w:sz w:val="32"/>
          <w:szCs w:val="32"/>
          <w:lang w:val="zh-CN" w:eastAsia="zh-CN" w:bidi="ar-SA"/>
        </w:rPr>
        <w:t>（二）存在问题。</w:t>
      </w:r>
      <w:r>
        <w:rPr>
          <w:rFonts w:hint="eastAsia" w:ascii="仿宋_GB2312" w:hAnsi="Times New Roman" w:eastAsia="仿宋_GB2312" w:cs="Times New Roman"/>
          <w:kern w:val="0"/>
          <w:sz w:val="32"/>
          <w:szCs w:val="32"/>
          <w:lang w:val="en-US" w:eastAsia="zh-CN" w:bidi="ar-SA"/>
        </w:rPr>
        <w:t>简要阐述部门预算绩效自评发现的主要问题。</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default" w:ascii="仿宋_GB2312" w:hAnsi="Times New Roman" w:eastAsia="仿宋_GB2312" w:cs="Times New Roman"/>
          <w:kern w:val="0"/>
          <w:sz w:val="32"/>
          <w:szCs w:val="32"/>
          <w:lang w:val="zh-CN" w:eastAsia="zh-CN" w:bidi="ar-SA"/>
        </w:rPr>
        <w:t>（三）改进建议。</w:t>
      </w:r>
      <w:r>
        <w:rPr>
          <w:rFonts w:hint="eastAsia" w:ascii="仿宋_GB2312" w:eastAsia="仿宋_GB2312" w:cs="Times New Roman"/>
          <w:kern w:val="0"/>
          <w:sz w:val="32"/>
          <w:szCs w:val="32"/>
          <w:lang w:val="en-US" w:eastAsia="zh-CN" w:bidi="ar-SA"/>
        </w:rPr>
        <w:t>无</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zh-CN" w:eastAsia="zh-CN" w:bidi="ar-SA"/>
        </w:rPr>
        <w:t>附表：</w:t>
      </w:r>
      <w:r>
        <w:rPr>
          <w:rFonts w:hint="eastAsia" w:ascii="仿宋_GB2312" w:hAnsi="Times New Roman" w:eastAsia="仿宋_GB2312" w:cs="Times New Roman"/>
          <w:kern w:val="0"/>
          <w:sz w:val="32"/>
          <w:szCs w:val="32"/>
          <w:lang w:val="en-US" w:eastAsia="zh-CN" w:bidi="ar-SA"/>
        </w:rPr>
        <w:t>部门预算项目支出绩效自评表（2024年度）</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p>
    <w:p>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2</w:t>
      </w:r>
    </w:p>
    <w:tbl>
      <w:tblPr>
        <w:tblStyle w:val="17"/>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10"/>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ascii="Times New Roman" w:hAnsi="Times New Roman" w:cs="Times New Roman"/>
                <w:i w:val="0"/>
                <w:color w:val="000000"/>
                <w:kern w:val="0"/>
                <w:sz w:val="24"/>
                <w:szCs w:val="24"/>
                <w:u w:val="none"/>
                <w:lang w:val="en-US" w:eastAsia="zh-CN" w:bidi="ar"/>
              </w:rPr>
              <w:t>金川县防震减灾事务中心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eastAsia" w:ascii="Times New Roman" w:hAnsi="Times New Roman" w:cs="Times New Roman"/>
                <w:i w:val="0"/>
                <w:color w:val="000000"/>
                <w:kern w:val="0"/>
                <w:sz w:val="24"/>
                <w:szCs w:val="24"/>
                <w:u w:val="none"/>
                <w:lang w:val="en-US" w:eastAsia="zh-CN" w:bidi="ar"/>
              </w:rPr>
              <w:t>268.32</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eastAsia" w:ascii="Times New Roman" w:hAnsi="Times New Roman" w:cs="Times New Roman"/>
                <w:i w:val="0"/>
                <w:color w:val="000000"/>
                <w:kern w:val="0"/>
                <w:sz w:val="24"/>
                <w:szCs w:val="24"/>
                <w:u w:val="none"/>
                <w:lang w:val="en-US" w:eastAsia="zh-CN" w:bidi="ar"/>
              </w:rPr>
              <w:t>268.32</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ascii="Times New Roman" w:hAnsi="Times New Roman" w:cs="Times New Roman"/>
                <w:i w:val="0"/>
                <w:color w:val="000000"/>
                <w:kern w:val="0"/>
                <w:sz w:val="21"/>
                <w:szCs w:val="21"/>
                <w:u w:val="none"/>
                <w:lang w:val="en-US" w:eastAsia="zh-CN" w:bidi="ar"/>
              </w:rPr>
              <w:t>加强地震台网的规划，建设和管理，加强地震监测设施及其观测环境保护工作的监督，检查指导和协调。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7" w:hRule="atLeast"/>
          <w:jc w:val="center"/>
        </w:trPr>
        <w:tc>
          <w:tcPr>
            <w:tcW w:w="130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ascii="Times New Roman" w:hAnsi="Times New Roman" w:cs="Times New Roman"/>
                <w:i w:val="0"/>
                <w:color w:val="000000"/>
                <w:kern w:val="0"/>
                <w:sz w:val="21"/>
                <w:szCs w:val="21"/>
                <w:u w:val="none"/>
                <w:lang w:val="en-US" w:eastAsia="zh-CN" w:bidi="ar"/>
              </w:rPr>
              <w:t>加强地震监测</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加强地震台网的规划，建设和管理，加强地震监测设施及其观测环境保护工作的监督，检查指导和协调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4" w:hRule="atLeast"/>
          <w:jc w:val="center"/>
        </w:trPr>
        <w:tc>
          <w:tcPr>
            <w:tcW w:w="13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outlineLvl w:val="9"/>
              <w:rPr>
                <w:rFonts w:hint="default" w:ascii="Times New Roman" w:hAnsi="Times New Roman" w:eastAsia="宋体" w:cs="Times New Roman"/>
                <w:i w:val="0"/>
                <w:color w:val="000000"/>
                <w:sz w:val="24"/>
                <w:szCs w:val="24"/>
                <w:u w:val="none"/>
              </w:rPr>
            </w:pPr>
            <w:r>
              <w:rPr>
                <w:rFonts w:hint="eastAsia" w:ascii="Times New Roman" w:hAnsi="Times New Roman" w:cs="Times New Roman"/>
                <w:i w:val="0"/>
                <w:color w:val="000000"/>
                <w:kern w:val="0"/>
                <w:sz w:val="21"/>
                <w:szCs w:val="21"/>
                <w:u w:val="none"/>
                <w:lang w:val="en-US" w:eastAsia="zh-CN" w:bidi="ar"/>
              </w:rPr>
              <w:t>加强防震减灾宣传</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做好防震减灾知识宣传，制定应急预案，落实应急措施。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4" w:hRule="atLeast"/>
          <w:jc w:val="center"/>
        </w:trPr>
        <w:tc>
          <w:tcPr>
            <w:tcW w:w="130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防震减灾科技成果推广</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提高防震减灾科技水平。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按时完成县委县政府安排的各项工作</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kern w:val="0"/>
                <w:sz w:val="24"/>
                <w:szCs w:val="24"/>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kern w:val="0"/>
                <w:sz w:val="24"/>
                <w:szCs w:val="24"/>
                <w:u w:val="none"/>
                <w:lang w:val="en-US" w:eastAsia="zh-CN" w:bidi="ar"/>
              </w:rPr>
              <w:t>15</w:t>
            </w:r>
            <w:r>
              <w:rPr>
                <w:rFonts w:hint="default" w:ascii="Times New Roman" w:hAnsi="Times New Roman" w:eastAsia="宋体" w:cs="Times New Roman"/>
                <w:i w:val="0"/>
                <w:color w:val="000000"/>
                <w:kern w:val="0"/>
                <w:sz w:val="24"/>
                <w:szCs w:val="24"/>
                <w:u w:val="none"/>
                <w:lang w:val="en-US" w:eastAsia="zh-CN" w:bidi="ar"/>
              </w:rPr>
              <w:t>%</w:t>
            </w:r>
          </w:p>
        </w:tc>
        <w:tc>
          <w:tcPr>
            <w:tcW w:w="1113"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有效提高防</w:t>
            </w:r>
            <w:r>
              <w:rPr>
                <w:rFonts w:hint="eastAsia" w:ascii="宋体" w:hAnsi="宋体" w:cs="宋体"/>
                <w:i w:val="0"/>
                <w:color w:val="000000"/>
                <w:kern w:val="0"/>
                <w:sz w:val="18"/>
                <w:szCs w:val="18"/>
                <w:u w:val="none"/>
                <w:lang w:val="en-US" w:eastAsia="zh-CN" w:bidi="ar"/>
              </w:rPr>
              <w:t>防震减灾</w:t>
            </w:r>
            <w:r>
              <w:rPr>
                <w:rFonts w:ascii="宋体" w:hAnsi="宋体" w:eastAsia="宋体" w:cs="宋体"/>
                <w:i w:val="0"/>
                <w:color w:val="000000"/>
                <w:kern w:val="0"/>
                <w:sz w:val="18"/>
                <w:szCs w:val="18"/>
                <w:u w:val="none"/>
                <w:lang w:val="en-US" w:eastAsia="zh-CN" w:bidi="ar"/>
              </w:rPr>
              <w:t>宣传确保</w:t>
            </w:r>
            <w:r>
              <w:rPr>
                <w:rFonts w:hint="eastAsia" w:ascii="宋体" w:hAnsi="宋体" w:cs="宋体"/>
                <w:i w:val="0"/>
                <w:color w:val="000000"/>
                <w:kern w:val="0"/>
                <w:sz w:val="18"/>
                <w:szCs w:val="18"/>
                <w:u w:val="none"/>
                <w:lang w:val="en-US" w:eastAsia="zh-CN" w:bidi="ar"/>
              </w:rPr>
              <w:t>防灾知识知晓率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&lt;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工资发放，保险缴纳准确率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&gt;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97</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按时发放工资，缴纳全</w:t>
            </w:r>
            <w:r>
              <w:rPr>
                <w:rFonts w:hint="eastAsia" w:ascii="宋体" w:hAnsi="宋体" w:cs="宋体"/>
                <w:i w:val="0"/>
                <w:color w:val="000000"/>
                <w:kern w:val="0"/>
                <w:sz w:val="18"/>
                <w:szCs w:val="18"/>
                <w:u w:val="none"/>
                <w:lang w:val="en-US" w:eastAsia="zh-CN" w:bidi="ar"/>
              </w:rPr>
              <w:t>中心</w:t>
            </w:r>
            <w:r>
              <w:rPr>
                <w:rFonts w:ascii="宋体" w:hAnsi="宋体" w:eastAsia="宋体" w:cs="宋体"/>
                <w:i w:val="0"/>
                <w:color w:val="000000"/>
                <w:kern w:val="0"/>
                <w:sz w:val="18"/>
                <w:szCs w:val="18"/>
                <w:u w:val="none"/>
                <w:lang w:val="en-US" w:eastAsia="zh-CN" w:bidi="ar"/>
              </w:rPr>
              <w:t>职工社保率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&gt;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97</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7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保障全</w:t>
            </w:r>
            <w:r>
              <w:rPr>
                <w:rFonts w:hint="eastAsia" w:ascii="宋体" w:hAnsi="宋体" w:cs="宋体"/>
                <w:i w:val="0"/>
                <w:color w:val="000000"/>
                <w:kern w:val="0"/>
                <w:sz w:val="18"/>
                <w:szCs w:val="18"/>
                <w:u w:val="none"/>
                <w:lang w:val="en-US" w:eastAsia="zh-CN" w:bidi="ar"/>
              </w:rPr>
              <w:t>中心</w:t>
            </w:r>
            <w:r>
              <w:rPr>
                <w:rFonts w:ascii="宋体" w:hAnsi="宋体" w:eastAsia="宋体" w:cs="宋体"/>
                <w:i w:val="0"/>
                <w:color w:val="000000"/>
                <w:kern w:val="0"/>
                <w:sz w:val="18"/>
                <w:szCs w:val="18"/>
                <w:u w:val="none"/>
                <w:lang w:val="en-US" w:eastAsia="zh-CN" w:bidi="ar"/>
              </w:rPr>
              <w:t>基本运转率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&gt;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97</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全</w:t>
            </w:r>
            <w:r>
              <w:rPr>
                <w:rFonts w:hint="eastAsia" w:ascii="宋体" w:hAnsi="宋体" w:cs="宋体"/>
                <w:i w:val="0"/>
                <w:color w:val="000000"/>
                <w:kern w:val="0"/>
                <w:sz w:val="18"/>
                <w:szCs w:val="18"/>
                <w:u w:val="none"/>
                <w:lang w:val="en-US" w:eastAsia="zh-CN" w:bidi="ar"/>
              </w:rPr>
              <w:t>中心</w:t>
            </w:r>
            <w:r>
              <w:rPr>
                <w:rFonts w:ascii="宋体" w:hAnsi="宋体" w:eastAsia="宋体" w:cs="宋体"/>
                <w:i w:val="0"/>
                <w:color w:val="000000"/>
                <w:kern w:val="0"/>
                <w:sz w:val="18"/>
                <w:szCs w:val="18"/>
                <w:u w:val="none"/>
                <w:lang w:val="en-US" w:eastAsia="zh-CN" w:bidi="ar"/>
              </w:rPr>
              <w:t>干部职工及群众满意度</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&gt;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成本指标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经济成本指标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360" w:firstLineChars="200"/>
              <w:jc w:val="left"/>
              <w:textAlignment w:val="center"/>
              <w:rPr>
                <w:rFonts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严格预算控制，严禁超预算</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&gt;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bl>
    <w:p>
      <w:pPr>
        <w:ind w:left="0" w:leftChars="0" w:firstLine="0" w:firstLineChars="0"/>
        <w:rPr>
          <w:rFonts w:hint="eastAsia" w:ascii="仿宋_GB2312" w:hAnsi="Times New Roman" w:eastAsia="仿宋_GB2312" w:cs="Times New Roman"/>
          <w:kern w:val="0"/>
          <w:sz w:val="32"/>
          <w:szCs w:val="32"/>
          <w:lang w:val="zh-CN" w:eastAsia="zh-CN" w:bidi="ar-SA"/>
        </w:rPr>
      </w:pPr>
    </w:p>
    <w:p>
      <w:pPr>
        <w:ind w:left="0" w:leftChars="0" w:firstLine="0" w:firstLineChars="0"/>
        <w:rPr>
          <w:rFonts w:hint="eastAsia" w:ascii="仿宋_GB2312" w:hAnsi="Times New Roman" w:eastAsia="仿宋_GB2312" w:cs="Times New Roman"/>
          <w:kern w:val="0"/>
          <w:sz w:val="32"/>
          <w:szCs w:val="32"/>
          <w:lang w:val="zh-CN" w:eastAsia="zh-CN" w:bidi="ar-SA"/>
        </w:rPr>
      </w:pPr>
    </w:p>
    <w:p>
      <w:pPr>
        <w:ind w:left="0" w:leftChars="0" w:firstLine="0" w:firstLineChars="0"/>
        <w:rPr>
          <w:rFonts w:hint="eastAsia" w:ascii="仿宋_GB2312" w:hAnsi="Times New Roman" w:eastAsia="仿宋_GB2312" w:cs="Times New Roman"/>
          <w:kern w:val="0"/>
          <w:sz w:val="32"/>
          <w:szCs w:val="32"/>
          <w:lang w:val="zh-CN" w:eastAsia="zh-CN" w:bidi="ar-SA"/>
        </w:rPr>
      </w:pPr>
    </w:p>
    <w:p>
      <w:pPr>
        <w:ind w:left="0" w:leftChars="0" w:firstLine="0" w:firstLineChars="0"/>
        <w:rPr>
          <w:rFonts w:hint="eastAsia" w:ascii="仿宋_GB2312" w:hAnsi="Times New Roman" w:eastAsia="仿宋_GB2312" w:cs="Times New Roman"/>
          <w:kern w:val="0"/>
          <w:sz w:val="32"/>
          <w:szCs w:val="32"/>
          <w:lang w:val="zh-CN" w:eastAsia="zh-CN" w:bidi="ar-SA"/>
        </w:rPr>
      </w:pPr>
    </w:p>
    <w:p>
      <w:pPr>
        <w:ind w:left="0" w:leftChars="0" w:firstLine="0" w:firstLineChars="0"/>
        <w:rPr>
          <w:rFonts w:hint="eastAsia" w:ascii="仿宋_GB2312" w:hAnsi="Times New Roman" w:eastAsia="仿宋_GB2312" w:cs="Times New Roman"/>
          <w:kern w:val="0"/>
          <w:sz w:val="32"/>
          <w:szCs w:val="32"/>
          <w:lang w:val="zh-CN" w:eastAsia="zh-CN" w:bidi="ar-SA"/>
        </w:rPr>
      </w:pPr>
    </w:p>
    <w:p>
      <w:pPr>
        <w:ind w:left="0" w:leftChars="0" w:firstLine="0" w:firstLineChars="0"/>
        <w:rPr>
          <w:rFonts w:hint="eastAsia" w:ascii="仿宋_GB2312" w:hAnsi="Times New Roman" w:eastAsia="仿宋_GB2312" w:cs="Times New Roman"/>
          <w:kern w:val="0"/>
          <w:sz w:val="32"/>
          <w:szCs w:val="32"/>
          <w:lang w:val="zh-CN" w:eastAsia="zh-CN" w:bidi="ar-SA"/>
        </w:rPr>
      </w:pPr>
    </w:p>
    <w:p>
      <w:pPr>
        <w:ind w:left="0" w:leftChars="0" w:firstLine="0" w:firstLineChars="0"/>
        <w:rPr>
          <w:rFonts w:hint="eastAsia" w:ascii="仿宋_GB2312" w:hAnsi="Times New Roman" w:eastAsia="仿宋_GB2312" w:cs="Times New Roman"/>
          <w:kern w:val="0"/>
          <w:sz w:val="32"/>
          <w:szCs w:val="32"/>
          <w:lang w:val="zh-CN" w:eastAsia="zh-CN" w:bidi="ar-SA"/>
        </w:rPr>
      </w:pPr>
    </w:p>
    <w:p>
      <w:pPr>
        <w:ind w:left="0" w:leftChars="0" w:firstLine="0" w:firstLineChars="0"/>
        <w:rPr>
          <w:rFonts w:hint="eastAsia" w:ascii="仿宋_GB2312" w:hAnsi="Times New Roman" w:eastAsia="仿宋_GB2312" w:cs="Times New Roman"/>
          <w:kern w:val="0"/>
          <w:sz w:val="32"/>
          <w:szCs w:val="32"/>
          <w:lang w:val="zh-CN" w:eastAsia="zh-CN" w:bidi="ar-SA"/>
        </w:rPr>
      </w:pPr>
    </w:p>
    <w:p>
      <w:pPr>
        <w:ind w:left="0" w:leftChars="0" w:firstLine="0" w:firstLineChars="0"/>
        <w:rPr>
          <w:rFonts w:hint="eastAsia" w:ascii="仿宋_GB2312" w:hAnsi="Times New Roman" w:eastAsia="仿宋_GB2312" w:cs="Times New Roman"/>
          <w:kern w:val="0"/>
          <w:sz w:val="32"/>
          <w:szCs w:val="32"/>
          <w:lang w:val="zh-CN" w:eastAsia="zh-CN" w:bidi="ar-SA"/>
        </w:rPr>
      </w:pPr>
    </w:p>
    <w:p>
      <w:pPr>
        <w:ind w:left="0" w:leftChars="0" w:firstLine="0" w:firstLineChars="0"/>
        <w:rPr>
          <w:rFonts w:hint="eastAsia" w:ascii="仿宋_GB2312" w:hAnsi="Times New Roman" w:eastAsia="仿宋_GB2312" w:cs="Times New Roman"/>
          <w:kern w:val="0"/>
          <w:sz w:val="32"/>
          <w:szCs w:val="32"/>
          <w:lang w:val="zh-CN" w:eastAsia="zh-CN" w:bidi="ar-SA"/>
        </w:rPr>
      </w:pPr>
    </w:p>
    <w:p>
      <w:pPr>
        <w:ind w:left="0" w:leftChars="0" w:firstLine="0" w:firstLineChars="0"/>
        <w:rPr>
          <w:rFonts w:hint="eastAsia" w:ascii="仿宋_GB2312" w:hAnsi="Times New Roman" w:eastAsia="仿宋_GB2312" w:cs="Times New Roman"/>
          <w:kern w:val="0"/>
          <w:sz w:val="32"/>
          <w:szCs w:val="32"/>
          <w:lang w:val="zh-CN" w:eastAsia="zh-CN" w:bidi="ar-SA"/>
        </w:rPr>
      </w:pPr>
    </w:p>
    <w:p>
      <w:pPr>
        <w:ind w:left="0" w:leftChars="0" w:firstLine="0" w:firstLineChars="0"/>
        <w:rPr>
          <w:rFonts w:hint="eastAsia" w:ascii="仿宋_GB2312" w:hAnsi="Times New Roman" w:eastAsia="仿宋_GB2312" w:cs="Times New Roman"/>
          <w:kern w:val="0"/>
          <w:sz w:val="32"/>
          <w:szCs w:val="32"/>
          <w:lang w:val="zh-CN" w:eastAsia="zh-CN" w:bidi="ar-SA"/>
        </w:rPr>
      </w:pPr>
    </w:p>
    <w:p>
      <w:pPr>
        <w:ind w:left="0" w:leftChars="0" w:firstLine="0" w:firstLineChars="0"/>
        <w:rPr>
          <w:rFonts w:hint="eastAsia" w:ascii="仿宋_GB2312" w:hAnsi="Times New Roman" w:eastAsia="仿宋_GB2312" w:cs="Times New Roman"/>
          <w:kern w:val="0"/>
          <w:sz w:val="32"/>
          <w:szCs w:val="32"/>
          <w:lang w:val="zh-CN" w:eastAsia="zh-CN" w:bidi="ar-SA"/>
        </w:rPr>
      </w:pPr>
    </w:p>
    <w:p>
      <w:pPr>
        <w:ind w:left="0" w:leftChars="0" w:firstLine="0" w:firstLineChars="0"/>
        <w:rPr>
          <w:rFonts w:hint="eastAsia" w:ascii="仿宋_GB2312" w:hAnsi="Times New Roman" w:eastAsia="仿宋_GB2312" w:cs="Times New Roman"/>
          <w:kern w:val="0"/>
          <w:sz w:val="32"/>
          <w:szCs w:val="32"/>
          <w:lang w:val="zh-CN" w:eastAsia="zh-CN" w:bidi="ar-SA"/>
        </w:rPr>
      </w:pPr>
    </w:p>
    <w:p>
      <w:pPr>
        <w:ind w:left="0" w:leftChars="0" w:firstLine="0" w:firstLineChars="0"/>
        <w:rPr>
          <w:rFonts w:hint="eastAsia" w:ascii="仿宋_GB2312" w:hAnsi="Times New Roman" w:eastAsia="仿宋_GB2312" w:cs="Times New Roman"/>
          <w:kern w:val="0"/>
          <w:sz w:val="32"/>
          <w:szCs w:val="32"/>
          <w:lang w:val="zh-CN" w:eastAsia="zh-CN" w:bidi="ar-SA"/>
        </w:rPr>
      </w:pPr>
    </w:p>
    <w:p>
      <w:pPr>
        <w:ind w:left="0" w:leftChars="0" w:firstLine="0" w:firstLineChars="0"/>
        <w:rPr>
          <w:rFonts w:hint="eastAsia" w:ascii="仿宋_GB2312" w:hAnsi="Times New Roman" w:eastAsia="仿宋_GB2312" w:cs="Times New Roman"/>
          <w:kern w:val="0"/>
          <w:sz w:val="32"/>
          <w:szCs w:val="32"/>
          <w:lang w:val="zh-CN" w:eastAsia="zh-CN" w:bidi="ar-SA"/>
        </w:rPr>
      </w:pPr>
    </w:p>
    <w:p>
      <w:pPr>
        <w:ind w:left="0" w:leftChars="0" w:firstLine="0" w:firstLineChars="0"/>
        <w:rPr>
          <w:rFonts w:hint="eastAsia" w:ascii="仿宋_GB2312" w:hAnsi="Times New Roman" w:eastAsia="仿宋_GB2312" w:cs="Times New Roman"/>
          <w:kern w:val="0"/>
          <w:sz w:val="32"/>
          <w:szCs w:val="32"/>
          <w:lang w:val="en-US" w:eastAsia="zh-CN" w:bidi="ar-SA"/>
        </w:rPr>
      </w:pPr>
      <w:r>
        <w:rPr>
          <w:rFonts w:hint="eastAsia" w:ascii="仿宋_GB2312" w:hAnsi="Times New Roman" w:eastAsia="仿宋_GB2312" w:cs="Times New Roman"/>
          <w:kern w:val="0"/>
          <w:sz w:val="32"/>
          <w:szCs w:val="32"/>
          <w:lang w:val="zh-CN" w:eastAsia="zh-CN" w:bidi="ar-SA"/>
        </w:rPr>
        <w:t>附件</w:t>
      </w:r>
      <w:r>
        <w:rPr>
          <w:rFonts w:hint="eastAsia" w:ascii="仿宋_GB2312" w:hAnsi="Times New Roman" w:eastAsia="仿宋_GB2312" w:cs="Times New Roman"/>
          <w:kern w:val="0"/>
          <w:sz w:val="32"/>
          <w:szCs w:val="32"/>
          <w:lang w:val="en-US" w:eastAsia="zh-CN" w:bidi="ar-SA"/>
        </w:rPr>
        <w:t>2</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en-US" w:eastAsia="zh-CN" w:bidi="ar-SA"/>
        </w:rPr>
      </w:pPr>
      <w:r>
        <w:rPr>
          <w:rFonts w:hint="eastAsia" w:ascii="仿宋_GB2312" w:hAnsi="Times New Roman" w:eastAsia="仿宋_GB2312" w:cs="Times New Roman"/>
          <w:kern w:val="0"/>
          <w:sz w:val="32"/>
          <w:szCs w:val="32"/>
          <w:lang w:val="en-US" w:eastAsia="zh-CN" w:bidi="ar-SA"/>
        </w:rPr>
        <w:t>专项预算项目绩效评价报告范本</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zh-CN" w:eastAsia="zh-CN" w:bidi="ar-SA"/>
        </w:rPr>
        <w:t>一、项目概况</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zh-CN" w:eastAsia="zh-CN" w:bidi="ar-SA"/>
        </w:rPr>
        <w:t>（一）设立背景及基本情况。</w:t>
      </w:r>
      <w:r>
        <w:rPr>
          <w:rFonts w:hint="eastAsia" w:ascii="仿宋_GB2312" w:hAnsi="Times New Roman" w:eastAsia="仿宋_GB2312" w:cs="Times New Roman"/>
          <w:kern w:val="0"/>
          <w:sz w:val="32"/>
          <w:szCs w:val="32"/>
          <w:lang w:val="en-US" w:eastAsia="zh-CN" w:bidi="ar-SA"/>
        </w:rPr>
        <w:t>项目设立原因及背景，</w:t>
      </w:r>
      <w:r>
        <w:rPr>
          <w:rFonts w:hint="eastAsia" w:ascii="仿宋_GB2312" w:hAnsi="Times New Roman" w:eastAsia="仿宋_GB2312" w:cs="Times New Roman"/>
          <w:kern w:val="0"/>
          <w:sz w:val="32"/>
          <w:szCs w:val="32"/>
          <w:lang w:val="zh-CN" w:eastAsia="zh-CN" w:bidi="ar-SA"/>
        </w:rPr>
        <w:t>项目立项、资金申报的依据，项目主要内容</w:t>
      </w:r>
      <w:r>
        <w:rPr>
          <w:rFonts w:hint="eastAsia" w:ascii="仿宋_GB2312" w:hAnsi="Times New Roman" w:eastAsia="仿宋_GB2312" w:cs="Times New Roman"/>
          <w:kern w:val="0"/>
          <w:sz w:val="32"/>
          <w:szCs w:val="32"/>
          <w:lang w:val="en-US" w:eastAsia="zh-CN" w:bidi="ar-SA"/>
        </w:rPr>
        <w:t>。</w:t>
      </w:r>
      <w:r>
        <w:rPr>
          <w:rFonts w:hint="eastAsia" w:ascii="仿宋_GB2312" w:hAnsi="Times New Roman" w:eastAsia="仿宋_GB2312" w:cs="Times New Roman"/>
          <w:kern w:val="0"/>
          <w:sz w:val="32"/>
          <w:szCs w:val="32"/>
          <w:lang w:val="zh-CN" w:eastAsia="zh-CN" w:bidi="ar-SA"/>
        </w:rPr>
        <w:t>主管部门职能。</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zh-CN" w:eastAsia="zh-CN" w:bidi="ar-SA"/>
        </w:rPr>
        <w:t>（二）</w:t>
      </w:r>
      <w:r>
        <w:rPr>
          <w:rFonts w:hint="default" w:ascii="仿宋_GB2312" w:hAnsi="Times New Roman" w:eastAsia="仿宋_GB2312" w:cs="Times New Roman"/>
          <w:kern w:val="0"/>
          <w:sz w:val="32"/>
          <w:szCs w:val="32"/>
          <w:lang w:val="en-US" w:eastAsia="zh-CN" w:bidi="ar-SA"/>
        </w:rPr>
        <w:t>实施目的及支持方向</w:t>
      </w:r>
      <w:r>
        <w:rPr>
          <w:rFonts w:hint="eastAsia" w:ascii="仿宋_GB2312" w:hAnsi="Times New Roman" w:eastAsia="仿宋_GB2312" w:cs="Times New Roman"/>
          <w:kern w:val="0"/>
          <w:sz w:val="32"/>
          <w:szCs w:val="32"/>
          <w:lang w:val="en-US" w:eastAsia="zh-CN" w:bidi="ar-SA"/>
        </w:rPr>
        <w:t>。项目资金</w:t>
      </w:r>
      <w:r>
        <w:rPr>
          <w:rFonts w:hint="eastAsia" w:ascii="仿宋_GB2312" w:hAnsi="Times New Roman" w:eastAsia="仿宋_GB2312" w:cs="Times New Roman"/>
          <w:kern w:val="0"/>
          <w:sz w:val="32"/>
          <w:szCs w:val="32"/>
          <w:lang w:val="zh-CN" w:eastAsia="zh-CN" w:bidi="ar-SA"/>
        </w:rPr>
        <w:t>管理办法制定情况，项目实施目的和主要工作任务，项目支持方向。</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zh-CN" w:eastAsia="zh-CN" w:bidi="ar-SA"/>
        </w:rPr>
        <w:t>（三）</w:t>
      </w:r>
      <w:r>
        <w:rPr>
          <w:rFonts w:hint="default" w:ascii="仿宋_GB2312" w:hAnsi="Times New Roman" w:eastAsia="仿宋_GB2312" w:cs="Times New Roman"/>
          <w:kern w:val="0"/>
          <w:sz w:val="32"/>
          <w:szCs w:val="32"/>
          <w:lang w:val="en-US" w:eastAsia="zh-CN" w:bidi="ar-SA"/>
        </w:rPr>
        <w:t>预算安排及分配管理</w:t>
      </w:r>
      <w:r>
        <w:rPr>
          <w:rFonts w:hint="eastAsia" w:ascii="仿宋_GB2312" w:hAnsi="Times New Roman" w:eastAsia="仿宋_GB2312" w:cs="Times New Roman"/>
          <w:kern w:val="0"/>
          <w:sz w:val="32"/>
          <w:szCs w:val="32"/>
          <w:lang w:val="zh-CN" w:eastAsia="zh-CN" w:bidi="ar-SA"/>
        </w:rPr>
        <w:t>。项目预算安排情况，项目资金分配原则及考虑因素，项目资金分配情况。</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default"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zh-CN" w:eastAsia="zh-CN" w:bidi="ar-SA"/>
        </w:rPr>
        <w:t>（四）项目绩效目标设置。项目整体、区域和具体绩效目标设置情况，项目自评工作开展情况。</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zh-CN" w:eastAsia="zh-CN" w:bidi="ar-SA"/>
        </w:rPr>
        <w:t>二、评价实施</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zh-CN" w:eastAsia="zh-CN" w:bidi="ar-SA"/>
        </w:rPr>
        <w:t>（一）评价目的。通过项目绩效自评要实现的目的。</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zh-CN" w:eastAsia="zh-CN" w:bidi="ar-SA"/>
        </w:rPr>
        <w:t>（二）预设问题及评价重点。按照绩效评价指标体系，对资金支出使用全过程及其实施效果进行综合评价和判断。</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zh-CN" w:eastAsia="zh-CN" w:bidi="ar-SA"/>
        </w:rPr>
        <w:t>（三）评价选点。项目绩效自评所抽样点位情况。每个专项预算项目应选取专项资金分配涉及市县总数的20%、总计不超过20个的市县点位进行实地踏勘，且点位清单应作为自评附表。</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zh-CN" w:eastAsia="zh-CN" w:bidi="ar-SA"/>
        </w:rPr>
        <w:t>（四）评价方法。根据项目情况和评价重点，用来收集相关材料和开展具体评价的方法。包括：采用成本效益分析法、标杆管理法、案卷研究法、单位自评法、实地勘察法、问卷调查法、座谈调研法等多种方法。</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zh-CN" w:eastAsia="zh-CN" w:bidi="ar-SA"/>
        </w:rPr>
        <w:t>（五）评价组织。评价组人员构成和职责分工。</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zh-CN" w:eastAsia="zh-CN" w:bidi="ar-SA"/>
        </w:rPr>
        <w:t>三、绩效分析</w:t>
      </w:r>
      <w:r>
        <w:rPr>
          <w:rFonts w:hint="eastAsia" w:ascii="仿宋_GB2312" w:hAnsi="Times New Roman" w:eastAsia="仿宋_GB2312" w:cs="Times New Roman"/>
          <w:kern w:val="0"/>
          <w:sz w:val="32"/>
          <w:szCs w:val="32"/>
          <w:lang w:val="zh-CN" w:eastAsia="zh-CN" w:bidi="ar-SA"/>
        </w:rPr>
        <w:tab/>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en-US" w:eastAsia="zh-CN" w:bidi="ar-SA"/>
        </w:rPr>
      </w:pPr>
      <w:r>
        <w:rPr>
          <w:rFonts w:hint="default" w:ascii="仿宋_GB2312" w:hAnsi="Times New Roman" w:eastAsia="仿宋_GB2312" w:cs="Times New Roman"/>
          <w:kern w:val="0"/>
          <w:sz w:val="32"/>
          <w:szCs w:val="32"/>
          <w:lang w:val="zh-CN" w:eastAsia="zh-CN" w:bidi="ar-SA"/>
        </w:rPr>
        <w:t>根据</w:t>
      </w:r>
      <w:r>
        <w:rPr>
          <w:rFonts w:hint="eastAsia" w:ascii="仿宋_GB2312" w:hAnsi="Times New Roman" w:eastAsia="仿宋_GB2312" w:cs="Times New Roman"/>
          <w:kern w:val="0"/>
          <w:sz w:val="32"/>
          <w:szCs w:val="32"/>
          <w:lang w:val="zh-CN" w:eastAsia="zh-CN" w:bidi="ar-SA"/>
        </w:rPr>
        <w:t>项目</w:t>
      </w:r>
      <w:r>
        <w:rPr>
          <w:rFonts w:hint="default" w:ascii="仿宋_GB2312" w:hAnsi="Times New Roman" w:eastAsia="仿宋_GB2312" w:cs="Times New Roman"/>
          <w:kern w:val="0"/>
          <w:sz w:val="32"/>
          <w:szCs w:val="32"/>
          <w:lang w:val="zh-CN" w:eastAsia="zh-CN" w:bidi="ar-SA"/>
        </w:rPr>
        <w:t>预算绩效评价指标体系</w:t>
      </w:r>
      <w:r>
        <w:rPr>
          <w:rFonts w:hint="eastAsia" w:ascii="仿宋_GB2312" w:hAnsi="Times New Roman" w:eastAsia="仿宋_GB2312" w:cs="Times New Roman"/>
          <w:kern w:val="0"/>
          <w:sz w:val="32"/>
          <w:szCs w:val="32"/>
          <w:lang w:val="zh-CN" w:eastAsia="zh-CN" w:bidi="ar-SA"/>
        </w:rPr>
        <w:t>通用指标、专用指标、个性指标</w:t>
      </w:r>
      <w:r>
        <w:rPr>
          <w:rFonts w:hint="default" w:ascii="仿宋_GB2312" w:hAnsi="Times New Roman" w:eastAsia="仿宋_GB2312" w:cs="Times New Roman"/>
          <w:kern w:val="0"/>
          <w:sz w:val="32"/>
          <w:szCs w:val="32"/>
          <w:lang w:val="zh-CN" w:eastAsia="zh-CN" w:bidi="ar-SA"/>
        </w:rPr>
        <w:t>涉及</w:t>
      </w:r>
      <w:r>
        <w:rPr>
          <w:rFonts w:hint="eastAsia" w:ascii="仿宋_GB2312" w:hAnsi="Times New Roman" w:eastAsia="仿宋_GB2312" w:cs="Times New Roman"/>
          <w:kern w:val="0"/>
          <w:sz w:val="32"/>
          <w:szCs w:val="32"/>
          <w:lang w:val="zh-CN" w:eastAsia="zh-CN" w:bidi="ar-SA"/>
        </w:rPr>
        <w:t>二、三级</w:t>
      </w:r>
      <w:r>
        <w:rPr>
          <w:rFonts w:hint="default" w:ascii="仿宋_GB2312" w:hAnsi="Times New Roman" w:eastAsia="仿宋_GB2312" w:cs="Times New Roman"/>
          <w:kern w:val="0"/>
          <w:sz w:val="32"/>
          <w:szCs w:val="32"/>
          <w:lang w:val="zh-CN" w:eastAsia="zh-CN" w:bidi="ar-SA"/>
        </w:rPr>
        <w:t>指标进行</w:t>
      </w:r>
      <w:r>
        <w:rPr>
          <w:rFonts w:hint="eastAsia" w:ascii="仿宋_GB2312" w:hAnsi="Times New Roman" w:eastAsia="仿宋_GB2312" w:cs="Times New Roman"/>
          <w:kern w:val="0"/>
          <w:sz w:val="32"/>
          <w:szCs w:val="32"/>
          <w:lang w:val="zh-CN" w:eastAsia="zh-CN" w:bidi="ar-SA"/>
        </w:rPr>
        <w:t>逐项</w:t>
      </w:r>
      <w:r>
        <w:rPr>
          <w:rFonts w:hint="default" w:ascii="仿宋_GB2312" w:hAnsi="Times New Roman" w:eastAsia="仿宋_GB2312" w:cs="Times New Roman"/>
          <w:kern w:val="0"/>
          <w:sz w:val="32"/>
          <w:szCs w:val="32"/>
          <w:lang w:val="zh-CN" w:eastAsia="zh-CN" w:bidi="ar-SA"/>
        </w:rPr>
        <w:t>绩效分析</w:t>
      </w:r>
      <w:r>
        <w:rPr>
          <w:rFonts w:hint="eastAsia" w:ascii="仿宋_GB2312" w:hAnsi="Times New Roman" w:eastAsia="仿宋_GB2312" w:cs="Times New Roman"/>
          <w:kern w:val="0"/>
          <w:sz w:val="32"/>
          <w:szCs w:val="32"/>
          <w:lang w:val="zh-CN" w:eastAsia="zh-CN" w:bidi="ar-SA"/>
        </w:rPr>
        <w:t>并评分</w:t>
      </w:r>
      <w:r>
        <w:rPr>
          <w:rFonts w:hint="eastAsia" w:ascii="仿宋_GB2312" w:hAnsi="Times New Roman" w:eastAsia="仿宋_GB2312" w:cs="Times New Roman"/>
          <w:kern w:val="0"/>
          <w:sz w:val="32"/>
          <w:szCs w:val="32"/>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en-US" w:eastAsia="zh-CN" w:bidi="ar-SA"/>
        </w:rPr>
      </w:pPr>
      <w:r>
        <w:rPr>
          <w:rFonts w:hint="eastAsia" w:ascii="仿宋_GB2312" w:hAnsi="Times New Roman" w:eastAsia="仿宋_GB2312" w:cs="Times New Roman"/>
          <w:kern w:val="0"/>
          <w:sz w:val="32"/>
          <w:szCs w:val="32"/>
          <w:lang w:val="zh-CN" w:eastAsia="zh-CN" w:bidi="ar-SA"/>
        </w:rPr>
        <w:t>（一）</w:t>
      </w:r>
      <w:r>
        <w:rPr>
          <w:rFonts w:hint="eastAsia" w:ascii="仿宋_GB2312" w:hAnsi="Times New Roman" w:eastAsia="仿宋_GB2312" w:cs="Times New Roman"/>
          <w:kern w:val="0"/>
          <w:sz w:val="32"/>
          <w:szCs w:val="32"/>
          <w:lang w:val="en-US" w:eastAsia="zh-CN" w:bidi="ar-SA"/>
        </w:rPr>
        <w:t>通用指标</w:t>
      </w:r>
      <w:r>
        <w:rPr>
          <w:rFonts w:hint="default" w:ascii="仿宋_GB2312" w:hAnsi="Times New Roman" w:eastAsia="仿宋_GB2312" w:cs="Times New Roman"/>
          <w:kern w:val="0"/>
          <w:sz w:val="32"/>
          <w:szCs w:val="32"/>
          <w:lang w:val="zh-CN" w:eastAsia="zh-CN" w:bidi="ar-SA"/>
        </w:rPr>
        <w:t>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en-US" w:eastAsia="zh-CN" w:bidi="ar-SA"/>
        </w:rPr>
        <w:t>1.</w:t>
      </w:r>
      <w:r>
        <w:rPr>
          <w:rFonts w:hint="eastAsia" w:ascii="仿宋_GB2312" w:hAnsi="Times New Roman" w:eastAsia="仿宋_GB2312" w:cs="Times New Roman"/>
          <w:kern w:val="0"/>
          <w:sz w:val="32"/>
          <w:szCs w:val="32"/>
          <w:lang w:val="zh-CN" w:eastAsia="zh-CN" w:bidi="ar-SA"/>
        </w:rPr>
        <w:t>项目决策。围绕决策程序、规划论证、资金投向进行绩效分析。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en-US" w:eastAsia="zh-CN" w:bidi="ar-SA"/>
        </w:rPr>
        <w:t>2.</w:t>
      </w:r>
      <w:r>
        <w:rPr>
          <w:rFonts w:hint="eastAsia" w:ascii="仿宋_GB2312" w:hAnsi="Times New Roman" w:eastAsia="仿宋_GB2312" w:cs="Times New Roman"/>
          <w:kern w:val="0"/>
          <w:sz w:val="32"/>
          <w:szCs w:val="32"/>
          <w:lang w:val="zh-CN" w:eastAsia="zh-CN" w:bidi="ar-SA"/>
        </w:rPr>
        <w:t>项目管理。围绕制度办法、分配管理、绩效监管进行绩效分析。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en-US" w:eastAsia="zh-CN" w:bidi="ar-SA"/>
        </w:rPr>
        <w:t>3.项目实施。</w:t>
      </w:r>
      <w:r>
        <w:rPr>
          <w:rFonts w:hint="eastAsia" w:ascii="仿宋_GB2312" w:hAnsi="Times New Roman" w:eastAsia="仿宋_GB2312" w:cs="Times New Roman"/>
          <w:kern w:val="0"/>
          <w:sz w:val="32"/>
          <w:szCs w:val="32"/>
          <w:lang w:val="zh-CN" w:eastAsia="zh-CN" w:bidi="ar-SA"/>
        </w:rPr>
        <w:t>围绕预算执行、资金使用进行绩效分析。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仿宋_GB2312" w:hAnsi="Times New Roman" w:eastAsia="仿宋_GB2312" w:cs="Times New Roman"/>
          <w:kern w:val="0"/>
          <w:sz w:val="32"/>
          <w:szCs w:val="32"/>
          <w:lang w:val="zh-CN" w:eastAsia="zh-CN" w:bidi="ar-SA"/>
        </w:rPr>
      </w:pPr>
      <w:r>
        <w:rPr>
          <w:rFonts w:hint="eastAsia" w:ascii="仿宋_GB2312" w:hAnsi="Times New Roman" w:eastAsia="仿宋_GB2312" w:cs="Times New Roman"/>
          <w:kern w:val="0"/>
          <w:sz w:val="32"/>
          <w:szCs w:val="32"/>
          <w:lang w:val="en-US" w:eastAsia="zh-CN" w:bidi="ar-SA"/>
        </w:rPr>
        <w:t>4.项目结果。围绕</w:t>
      </w:r>
      <w:r>
        <w:rPr>
          <w:rFonts w:hint="eastAsia" w:ascii="仿宋_GB2312" w:hAnsi="Times New Roman" w:eastAsia="仿宋_GB2312" w:cs="Times New Roman"/>
          <w:kern w:val="0"/>
          <w:sz w:val="32"/>
          <w:szCs w:val="32"/>
          <w:lang w:val="zh-CN" w:eastAsia="zh-CN" w:bidi="ar-SA"/>
        </w:rPr>
        <w:t>目标完成、完成时效进行绩效分析。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仿宋_GB2312" w:hAnsi="Times New Roman" w:eastAsia="仿宋_GB2312" w:cs="Times New Roman"/>
          <w:kern w:val="0"/>
          <w:sz w:val="32"/>
          <w:szCs w:val="32"/>
          <w:lang w:val="zh-CN" w:eastAsia="zh-CN" w:bidi="ar-SA"/>
        </w:rPr>
        <w:t>（二）</w:t>
      </w:r>
      <w:r>
        <w:rPr>
          <w:rFonts w:hint="eastAsia" w:ascii="仿宋_GB2312" w:hAnsi="Times New Roman" w:eastAsia="仿宋_GB2312" w:cs="Times New Roman"/>
          <w:kern w:val="0"/>
          <w:sz w:val="32"/>
          <w:szCs w:val="32"/>
          <w:lang w:val="en-US" w:eastAsia="zh-CN" w:bidi="ar-SA"/>
        </w:rPr>
        <w:t>专用指标</w:t>
      </w:r>
      <w:r>
        <w:rPr>
          <w:rFonts w:hint="default" w:ascii="仿宋_GB2312" w:hAnsi="Times New Roman" w:eastAsia="仿宋_GB2312" w:cs="Times New Roman"/>
          <w:kern w:val="0"/>
          <w:sz w:val="32"/>
          <w:szCs w:val="32"/>
          <w:lang w:val="zh-CN" w:eastAsia="zh-CN" w:bidi="ar-SA"/>
        </w:rPr>
        <w:t>绩效分析。</w:t>
      </w:r>
      <w:r>
        <w:rPr>
          <w:rFonts w:hint="eastAsia" w:ascii="仿宋_GB2312" w:hAnsi="Times New Roman" w:eastAsia="仿宋_GB2312" w:cs="Times New Roman"/>
          <w:kern w:val="0"/>
          <w:sz w:val="32"/>
          <w:szCs w:val="32"/>
          <w:lang w:val="zh-CN" w:eastAsia="zh-CN" w:bidi="ar-SA"/>
        </w:rPr>
        <w:t>根据</w:t>
      </w:r>
      <w:r>
        <w:rPr>
          <w:rFonts w:hint="eastAsia" w:ascii="仿宋_GB2312" w:hAnsi="Times New Roman" w:eastAsia="仿宋_GB2312" w:cs="Times New Roman"/>
          <w:kern w:val="0"/>
          <w:sz w:val="32"/>
          <w:szCs w:val="32"/>
          <w:lang w:val="en-US" w:eastAsia="zh-CN" w:bidi="ar-SA"/>
        </w:rPr>
        <w:t>专项预算项目资金支持对象选择所属指标进行绩效分</w:t>
      </w:r>
      <w:r>
        <w:rPr>
          <w:rFonts w:hint="eastAsia" w:ascii="Times New Roman" w:hAnsi="Times New Roman" w:eastAsia="仿宋_GB2312" w:cs="仿宋_GB2312"/>
          <w:b w:val="0"/>
          <w:bCs w:val="0"/>
          <w:kern w:val="0"/>
          <w:position w:val="0"/>
          <w:sz w:val="32"/>
          <w:szCs w:val="32"/>
          <w:highlight w:val="none"/>
          <w:lang w:val="en-US" w:eastAsia="zh-CN" w:bidi="ar-SA"/>
        </w:rPr>
        <w:t>析。支持对象</w:t>
      </w:r>
      <w:r>
        <w:rPr>
          <w:rFonts w:hint="eastAsia" w:ascii="Times New Roman" w:hAnsi="Times New Roman" w:eastAsia="仿宋_GB2312" w:cs="仿宋_GB2312"/>
          <w:b w:val="0"/>
          <w:bCs w:val="0"/>
          <w:kern w:val="0"/>
          <w:position w:val="0"/>
          <w:sz w:val="32"/>
          <w:szCs w:val="32"/>
          <w:highlight w:val="none"/>
          <w:lang w:val="zh-CN" w:eastAsia="zh-CN" w:bidi="ar-SA"/>
        </w:rPr>
        <w:t>包括产业发展、民生保障、基础设施、行政运转等方面。</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1.产业发展。围绕符合性、成长性、经济性进行绩效分析。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民生保障。</w:t>
      </w:r>
      <w:r>
        <w:rPr>
          <w:rFonts w:hint="eastAsia" w:ascii="Times New Roman" w:hAnsi="Times New Roman" w:eastAsia="仿宋_GB2312" w:cs="仿宋_GB2312"/>
          <w:b w:val="0"/>
          <w:bCs w:val="0"/>
          <w:kern w:val="0"/>
          <w:position w:val="0"/>
          <w:sz w:val="32"/>
          <w:szCs w:val="32"/>
          <w:highlight w:val="none"/>
          <w:lang w:val="en-US" w:eastAsia="zh-CN" w:bidi="ar-SA"/>
        </w:rPr>
        <w:t>围绕区域均衡性、对象精准性、标准合理性、群众满意度进行绩效分析。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3.基础设施。在建项目围绕工程进度和资金拨付进行绩效分析；建成项目围绕项目验收、功能实现、后续管护进行</w:t>
      </w:r>
      <w:r>
        <w:rPr>
          <w:rFonts w:hint="eastAsia" w:ascii="Times New Roman" w:hAnsi="Times New Roman" w:eastAsia="仿宋_GB2312" w:cs="仿宋_GB2312"/>
          <w:b w:val="0"/>
          <w:bCs w:val="0"/>
          <w:kern w:val="0"/>
          <w:position w:val="0"/>
          <w:sz w:val="32"/>
          <w:szCs w:val="32"/>
          <w:highlight w:val="none"/>
          <w:lang w:val="zh-CN" w:eastAsia="zh-CN" w:bidi="ar-SA"/>
        </w:rPr>
        <w:t>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w:t>
      </w:r>
      <w:r>
        <w:rPr>
          <w:rFonts w:hint="eastAsia" w:ascii="Times New Roman" w:hAnsi="Times New Roman" w:eastAsia="仿宋_GB2312" w:cs="仿宋_GB2312"/>
          <w:b w:val="0"/>
          <w:bCs w:val="0"/>
          <w:kern w:val="0"/>
          <w:position w:val="0"/>
          <w:sz w:val="32"/>
          <w:szCs w:val="32"/>
          <w:highlight w:val="none"/>
          <w:lang w:val="zh-CN" w:eastAsia="zh-CN" w:bidi="ar-SA"/>
        </w:rPr>
        <w:t>行政运转。围绕用途合规性、程序合规性、标准合规性进行绩效分析。</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楷体_GB2312" w:cs="Times New Roman"/>
          <w:b/>
          <w:color w:val="auto"/>
          <w:sz w:val="32"/>
          <w:szCs w:val="32"/>
          <w:highlight w:val="none"/>
          <w:u w:val="none"/>
          <w:lang w:val="zh-CN"/>
        </w:rPr>
        <w:t>（三）</w:t>
      </w:r>
      <w:r>
        <w:rPr>
          <w:rFonts w:hint="eastAsia"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Times New Roman" w:hAnsi="Times New Roman" w:eastAsia="仿宋_GB2312" w:cs="仿宋_GB2312"/>
          <w:b w:val="0"/>
          <w:bCs w:val="0"/>
          <w:kern w:val="0"/>
          <w:position w:val="0"/>
          <w:sz w:val="32"/>
          <w:szCs w:val="32"/>
          <w:highlight w:val="none"/>
          <w:lang w:val="zh-CN" w:eastAsia="zh-CN" w:bidi="ar-SA"/>
        </w:rPr>
        <w:t>根据项目个性自行设定部分指标，反映该项指标执行完成情况。</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四、评价结论</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简要阐述专项预算项目绩效自评总体结论，包含评价总分、</w:t>
      </w:r>
      <w:r>
        <w:rPr>
          <w:rFonts w:hint="eastAsia" w:ascii="Times New Roman" w:hAnsi="Times New Roman" w:eastAsia="仿宋_GB2312" w:cs="仿宋_GB2312"/>
          <w:b w:val="0"/>
          <w:bCs w:val="0"/>
          <w:kern w:val="0"/>
          <w:position w:val="0"/>
          <w:sz w:val="32"/>
          <w:szCs w:val="32"/>
          <w:highlight w:val="none"/>
          <w:lang w:val="zh-CN" w:eastAsia="zh-CN" w:bidi="ar-SA"/>
        </w:rPr>
        <w:t>项目实施情况。</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五、存在主要问题</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简要阐述专项预算项目绩效自评发现的主要问题。</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zh-CN" w:eastAsia="zh-CN" w:bidi="ar-SA"/>
        </w:rPr>
      </w:pPr>
      <w:r>
        <w:rPr>
          <w:rFonts w:hint="eastAsia" w:ascii="黑体" w:hAnsi="黑体" w:eastAsia="黑体" w:cs="黑体"/>
          <w:b w:val="0"/>
          <w:bCs w:val="0"/>
          <w:kern w:val="0"/>
          <w:position w:val="0"/>
          <w:sz w:val="32"/>
          <w:szCs w:val="32"/>
          <w:highlight w:val="none"/>
          <w:lang w:val="zh-CN" w:eastAsia="zh-CN" w:bidi="ar-SA"/>
        </w:rPr>
        <w:t>六、改进建议</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简要阐述专项预算项目在</w:t>
      </w:r>
      <w:r>
        <w:rPr>
          <w:rFonts w:hint="eastAsia" w:ascii="Times New Roman" w:hAnsi="Times New Roman" w:eastAsia="仿宋_GB2312" w:cs="仿宋_GB2312"/>
          <w:b w:val="0"/>
          <w:bCs w:val="0"/>
          <w:kern w:val="0"/>
          <w:position w:val="0"/>
          <w:sz w:val="32"/>
          <w:szCs w:val="32"/>
          <w:highlight w:val="none"/>
          <w:lang w:val="en" w:eastAsia="zh-CN" w:bidi="ar-SA"/>
        </w:rPr>
        <w:t>预算安排、完善政策、改进管理等方面的</w:t>
      </w:r>
      <w:r>
        <w:rPr>
          <w:rFonts w:hint="eastAsia" w:ascii="Times New Roman" w:hAnsi="Times New Roman" w:eastAsia="仿宋_GB2312" w:cs="仿宋_GB2312"/>
          <w:b w:val="0"/>
          <w:bCs w:val="0"/>
          <w:kern w:val="0"/>
          <w:position w:val="0"/>
          <w:sz w:val="32"/>
          <w:szCs w:val="32"/>
          <w:highlight w:val="none"/>
          <w:lang w:val="en-US" w:eastAsia="zh-CN" w:bidi="ar-SA"/>
        </w:rPr>
        <w:t>措施</w:t>
      </w:r>
      <w:r>
        <w:rPr>
          <w:rFonts w:hint="eastAsia" w:ascii="Times New Roman" w:hAnsi="Times New Roman" w:eastAsia="仿宋_GB2312" w:cs="仿宋_GB2312"/>
          <w:b w:val="0"/>
          <w:bCs w:val="0"/>
          <w:kern w:val="0"/>
          <w:position w:val="0"/>
          <w:sz w:val="32"/>
          <w:szCs w:val="32"/>
          <w:highlight w:val="none"/>
          <w:lang w:val="en" w:eastAsia="zh-CN" w:bidi="ar-SA"/>
        </w:rPr>
        <w:t>建议，其中</w:t>
      </w:r>
      <w:r>
        <w:rPr>
          <w:rFonts w:hint="eastAsia" w:ascii="Times New Roman" w:hAnsi="Times New Roman" w:eastAsia="仿宋_GB2312" w:cs="仿宋_GB2312"/>
          <w:b w:val="0"/>
          <w:bCs w:val="0"/>
          <w:kern w:val="0"/>
          <w:position w:val="0"/>
          <w:sz w:val="32"/>
          <w:szCs w:val="32"/>
          <w:highlight w:val="none"/>
          <w:lang w:val="en-US" w:eastAsia="zh-CN" w:bidi="ar-SA"/>
        </w:rPr>
        <w:t>必须对应评价发现的主要问题一一提出措施建议。</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71" w:name="_GoBack"/>
      <w:bookmarkEnd w:id="71"/>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7"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30"/>
          <w:rFonts w:hint="eastAsia" w:ascii="Times New Roman" w:hAnsi="Times New Roman" w:eastAsia="黑体"/>
          <w:b w:val="0"/>
          <w:color w:val="auto"/>
          <w:highlight w:val="none"/>
        </w:rPr>
        <w:t>五部分 附表</w:t>
      </w:r>
      <w:bookmarkEnd w:id="56"/>
      <w:bookmarkEnd w:id="57"/>
      <w:bookmarkStart w:id="58" w:name="_Toc15396619"/>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8"/>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0"/>
      <w:r>
        <w:rPr>
          <w:rFonts w:hint="eastAsia" w:ascii="Times New Roman" w:hAnsi="Times New Roman" w:eastAsia="仿宋_GB2312" w:cs="仿宋_GB2312"/>
          <w:color w:val="auto"/>
          <w:sz w:val="32"/>
          <w:szCs w:val="32"/>
          <w:highlight w:val="none"/>
        </w:rPr>
        <w:t>二、收入决算表</w:t>
      </w:r>
      <w:bookmarkEnd w:id="59"/>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1"/>
      <w:r>
        <w:rPr>
          <w:rFonts w:hint="eastAsia" w:ascii="Times New Roman" w:hAnsi="Times New Roman" w:eastAsia="仿宋_GB2312" w:cs="仿宋_GB2312"/>
          <w:color w:val="auto"/>
          <w:sz w:val="32"/>
          <w:szCs w:val="32"/>
          <w:highlight w:val="none"/>
        </w:rPr>
        <w:t>三、支出决算表</w:t>
      </w:r>
      <w:bookmarkEnd w:id="60"/>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2"/>
      <w:r>
        <w:rPr>
          <w:rFonts w:hint="eastAsia" w:ascii="Times New Roman" w:hAnsi="Times New Roman" w:eastAsia="仿宋_GB2312" w:cs="仿宋_GB2312"/>
          <w:color w:val="auto"/>
          <w:sz w:val="32"/>
          <w:szCs w:val="32"/>
          <w:highlight w:val="none"/>
        </w:rPr>
        <w:t>四、财政拨款收入支出决算总表</w:t>
      </w:r>
      <w:bookmarkEnd w:id="61"/>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3"/>
      <w:r>
        <w:rPr>
          <w:rFonts w:hint="eastAsia" w:ascii="Times New Roman" w:hAnsi="Times New Roman" w:eastAsia="仿宋_GB2312" w:cs="仿宋_GB2312"/>
          <w:color w:val="auto"/>
          <w:sz w:val="32"/>
          <w:szCs w:val="32"/>
          <w:highlight w:val="none"/>
        </w:rPr>
        <w:t>五、财政拨款支出决算明细表</w:t>
      </w:r>
      <w:bookmarkEnd w:id="62"/>
      <w:bookmarkStart w:id="63" w:name="_Toc15396624"/>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3"/>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5"/>
      <w:r>
        <w:rPr>
          <w:rFonts w:hint="eastAsia" w:ascii="Times New Roman" w:hAnsi="Times New Roman" w:eastAsia="仿宋_GB2312" w:cs="仿宋_GB2312"/>
          <w:color w:val="auto"/>
          <w:sz w:val="32"/>
          <w:szCs w:val="32"/>
          <w:highlight w:val="none"/>
        </w:rPr>
        <w:t>七、一般公共预算财政拨款支出决算明细表</w:t>
      </w:r>
      <w:bookmarkEnd w:id="64"/>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6"/>
      <w:r>
        <w:rPr>
          <w:rFonts w:hint="eastAsia" w:ascii="Times New Roman" w:hAnsi="Times New Roman" w:eastAsia="仿宋_GB2312" w:cs="仿宋_GB2312"/>
          <w:color w:val="auto"/>
          <w:sz w:val="32"/>
          <w:szCs w:val="32"/>
          <w:highlight w:val="none"/>
        </w:rPr>
        <w:t>八、一般公共预算财政拨款基本支出决算表</w:t>
      </w:r>
      <w:bookmarkEnd w:id="65"/>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27"/>
      <w:r>
        <w:rPr>
          <w:rFonts w:hint="eastAsia" w:ascii="Times New Roman" w:hAnsi="Times New Roman" w:eastAsia="仿宋_GB2312" w:cs="仿宋_GB2312"/>
          <w:color w:val="auto"/>
          <w:sz w:val="32"/>
          <w:szCs w:val="32"/>
          <w:highlight w:val="none"/>
        </w:rPr>
        <w:t>九、一般公共预算财政拨款项目支出决算表</w:t>
      </w:r>
      <w:bookmarkEnd w:id="66"/>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5396628"/>
      <w:r>
        <w:rPr>
          <w:rFonts w:hint="eastAsia" w:ascii="Times New Roman" w:hAnsi="Times New Roman" w:eastAsia="仿宋_GB2312" w:cs="仿宋_GB2312"/>
          <w:color w:val="auto"/>
          <w:sz w:val="32"/>
          <w:szCs w:val="32"/>
          <w:highlight w:val="none"/>
        </w:rPr>
        <w:t>十、</w:t>
      </w:r>
      <w:bookmarkEnd w:id="67"/>
      <w:r>
        <w:rPr>
          <w:rFonts w:hint="eastAsia" w:ascii="Times New Roman" w:hAnsi="Times New Roman" w:eastAsia="仿宋_GB2312" w:cs="仿宋_GB2312"/>
          <w:color w:val="auto"/>
          <w:sz w:val="32"/>
          <w:szCs w:val="32"/>
          <w:highlight w:val="none"/>
        </w:rPr>
        <w:t>政府性基金预算财政拨款收入支出决算表</w:t>
      </w: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8" w:name="_Toc15396629"/>
      <w:r>
        <w:rPr>
          <w:rFonts w:hint="eastAsia" w:ascii="Times New Roman" w:hAnsi="Times New Roman" w:eastAsia="仿宋_GB2312" w:cs="仿宋_GB2312"/>
          <w:color w:val="auto"/>
          <w:sz w:val="32"/>
          <w:szCs w:val="32"/>
          <w:highlight w:val="none"/>
        </w:rPr>
        <w:t>十一、</w:t>
      </w:r>
      <w:bookmarkEnd w:id="68"/>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9" w:name="_Toc15396630"/>
      <w:r>
        <w:rPr>
          <w:rFonts w:hint="eastAsia" w:ascii="Times New Roman" w:hAnsi="Times New Roman" w:eastAsia="仿宋_GB2312" w:cs="仿宋_GB2312"/>
          <w:color w:val="auto"/>
          <w:sz w:val="32"/>
          <w:szCs w:val="32"/>
          <w:highlight w:val="none"/>
        </w:rPr>
        <w:t>十二、</w:t>
      </w:r>
      <w:bookmarkEnd w:id="69"/>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70" w:name="_Toc15396631"/>
      <w:r>
        <w:rPr>
          <w:rFonts w:hint="eastAsia" w:ascii="Times New Roman" w:hAnsi="Times New Roman" w:eastAsia="仿宋_GB2312" w:cs="仿宋_GB2312"/>
          <w:color w:val="auto"/>
          <w:sz w:val="32"/>
          <w:szCs w:val="32"/>
          <w:highlight w:val="none"/>
        </w:rPr>
        <w:t>十三、</w:t>
      </w:r>
      <w:bookmarkEnd w:id="70"/>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headerReference r:id="rId4" w:type="first"/>
      <w:headerReference r:id="rId3" w:type="default"/>
      <w:footerReference r:id="rId5"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altName w:val="方正舒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- 2 -</w:t>
                    </w:r>
                    <w: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CD6A75"/>
    <w:multiLevelType w:val="singleLevel"/>
    <w:tmpl w:val="21CD6A75"/>
    <w:lvl w:ilvl="0" w:tentative="0">
      <w:start w:val="1"/>
      <w:numFmt w:val="chineseCounting"/>
      <w:suff w:val="nothing"/>
      <w:lvlText w:val="%1、"/>
      <w:lvlJc w:val="left"/>
      <w:rPr>
        <w:rFonts w:hint="eastAsia"/>
      </w:rPr>
    </w:lvl>
  </w:abstractNum>
  <w:abstractNum w:abstractNumId="1">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jODMwYjk5YTdiMmFiN2I4Njg4YWFhMzk3NjZhNj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5414A9B"/>
    <w:rsid w:val="165E0673"/>
    <w:rsid w:val="16B831D5"/>
    <w:rsid w:val="16BB723D"/>
    <w:rsid w:val="17E50567"/>
    <w:rsid w:val="186504BB"/>
    <w:rsid w:val="19A445FC"/>
    <w:rsid w:val="1BE8440E"/>
    <w:rsid w:val="1D155CEE"/>
    <w:rsid w:val="1D1638FE"/>
    <w:rsid w:val="1E312DEB"/>
    <w:rsid w:val="1E740ACF"/>
    <w:rsid w:val="1FF35744"/>
    <w:rsid w:val="1FF6BC77"/>
    <w:rsid w:val="2186353C"/>
    <w:rsid w:val="22923AAA"/>
    <w:rsid w:val="23860B96"/>
    <w:rsid w:val="240371BF"/>
    <w:rsid w:val="244F3473"/>
    <w:rsid w:val="24C97D99"/>
    <w:rsid w:val="24CB7AAA"/>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E16B2"/>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8825F81"/>
    <w:rsid w:val="4A627F82"/>
    <w:rsid w:val="4AA861FB"/>
    <w:rsid w:val="4B0E749A"/>
    <w:rsid w:val="4B2477C4"/>
    <w:rsid w:val="4B4F25DA"/>
    <w:rsid w:val="4BE068DB"/>
    <w:rsid w:val="4D577224"/>
    <w:rsid w:val="4DBF1CEB"/>
    <w:rsid w:val="4DF0007C"/>
    <w:rsid w:val="4E3715BC"/>
    <w:rsid w:val="4EAB630A"/>
    <w:rsid w:val="4ECE2238"/>
    <w:rsid w:val="4F833267"/>
    <w:rsid w:val="4FE9BD67"/>
    <w:rsid w:val="4FFB052F"/>
    <w:rsid w:val="537E6D0A"/>
    <w:rsid w:val="53F74C96"/>
    <w:rsid w:val="55170BA8"/>
    <w:rsid w:val="553218C9"/>
    <w:rsid w:val="567E1AA5"/>
    <w:rsid w:val="56E47B74"/>
    <w:rsid w:val="57175D52"/>
    <w:rsid w:val="57BD3DD4"/>
    <w:rsid w:val="5AD015A1"/>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3E0668"/>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index 6"/>
    <w:basedOn w:val="1"/>
    <w:next w:val="1"/>
    <w:qFormat/>
    <w:uiPriority w:val="0"/>
    <w:pPr>
      <w:ind w:left="2100"/>
    </w:pPr>
  </w:style>
  <w:style w:type="paragraph" w:styleId="6">
    <w:name w:val="Normal Indent"/>
    <w:basedOn w:val="1"/>
    <w:unhideWhenUsed/>
    <w:qFormat/>
    <w:uiPriority w:val="99"/>
    <w:pPr>
      <w:ind w:firstLine="420" w:firstLineChars="200"/>
    </w:pPr>
  </w:style>
  <w:style w:type="paragraph" w:styleId="7">
    <w:name w:val="Body Text"/>
    <w:basedOn w:val="1"/>
    <w:link w:val="27"/>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Chars="200"/>
    </w:pPr>
    <w:rPr>
      <w:rFonts w:ascii="仿宋_GB2312"/>
      <w:szCs w:val="32"/>
    </w:rPr>
  </w:style>
  <w:style w:type="paragraph" w:styleId="9">
    <w:name w:val="Body Text First Indent 2"/>
    <w:basedOn w:val="8"/>
    <w:unhideWhenUsed/>
    <w:qFormat/>
    <w:uiPriority w:val="99"/>
    <w:pPr>
      <w:ind w:firstLine="420" w:firstLineChars="200"/>
    </w:pPr>
  </w:style>
  <w:style w:type="paragraph" w:styleId="10">
    <w:name w:val="toc 3"/>
    <w:basedOn w:val="1"/>
    <w:next w:val="1"/>
    <w:autoRedefine/>
    <w:unhideWhenUsed/>
    <w:qFormat/>
    <w:uiPriority w:val="39"/>
    <w:pPr>
      <w:tabs>
        <w:tab w:val="right" w:leader="dot" w:pos="8296"/>
      </w:tabs>
      <w:ind w:left="840" w:leftChars="400"/>
    </w:pPr>
  </w:style>
  <w:style w:type="paragraph" w:styleId="11">
    <w:name w:val="Balloon Text"/>
    <w:basedOn w:val="1"/>
    <w:link w:val="33"/>
    <w:autoRedefine/>
    <w:semiHidden/>
    <w:unhideWhenUsed/>
    <w:qFormat/>
    <w:uiPriority w:val="99"/>
    <w:rPr>
      <w:sz w:val="18"/>
      <w:szCs w:val="18"/>
    </w:rPr>
  </w:style>
  <w:style w:type="paragraph" w:styleId="12">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3"/>
    <w:autoRedefine/>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9"/>
    <w:semiHidden/>
    <w:qFormat/>
    <w:uiPriority w:val="0"/>
    <w:pPr>
      <w:snapToGrid w:val="0"/>
      <w:jc w:val="left"/>
    </w:pPr>
    <w:rPr>
      <w:sz w:val="18"/>
      <w:szCs w:val="18"/>
    </w:r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autoRedefine/>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3"/>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2"/>
    <w:autoRedefine/>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7"/>
    <w:autoRedefine/>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1"/>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paragraph" w:customStyle="1" w:styleId="35">
    <w:name w:val="TOC Heading"/>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7">
    <w:name w:val="No Spacing"/>
    <w:uiPriority w:val="0"/>
    <w:pPr>
      <w:ind w:firstLine="200" w:firstLineChars="200"/>
    </w:pPr>
    <w:rPr>
      <w:rFonts w:ascii="Times New Roman" w:hAnsi="Times New Roman" w:eastAsia="仿宋_GB2312"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chart" Target="charts/chart4.xml"/><Relationship Id="rId10" Type="http://schemas.openxmlformats.org/officeDocument/2006/relationships/image" Target="media/image1.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IPOJN\Desktop\&#26032;&#24314;%20XLSX%20&#24037;&#20316;&#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IPOJN\Desktop\&#26032;&#24314;%20XLSX%20&#24037;&#20316;&#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IPOJN\Desktop\&#20915;&#31639;&#2227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IPOJN\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收入支出决算总体情况说明</a:t>
            </a:r>
          </a:p>
        </c:rich>
      </c:tx>
      <c:layout>
        <c:manualLayout>
          <c:xMode val="edge"/>
          <c:yMode val="edge"/>
          <c:x val="0.271973684210526"/>
          <c:y val="0.03125"/>
        </c:manualLayout>
      </c:layout>
      <c:overlay val="0"/>
      <c:spPr>
        <a:noFill/>
        <a:ln>
          <a:noFill/>
        </a:ln>
        <a:effectLst/>
      </c:spPr>
    </c:title>
    <c:autoTitleDeleted val="0"/>
    <c:plotArea>
      <c:layout>
        <c:manualLayout>
          <c:layoutTarget val="inner"/>
          <c:xMode val="edge"/>
          <c:yMode val="edge"/>
          <c:x val="0.0269736842105263"/>
          <c:y val="0.281712962962963"/>
          <c:w val="0.942105263157895"/>
          <c:h val="0.606342592592593"/>
        </c:manualLayout>
      </c:layout>
      <c:barChart>
        <c:barDir val="col"/>
        <c:grouping val="clustered"/>
        <c:varyColors val="0"/>
        <c:ser>
          <c:idx val="0"/>
          <c:order val="0"/>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工作表.xlsx]Sheet1'!$A$1:$A$2</c:f>
              <c:strCache>
                <c:ptCount val="2"/>
                <c:pt idx="0">
                  <c:v>2023年</c:v>
                </c:pt>
                <c:pt idx="1">
                  <c:v>2024年</c:v>
                </c:pt>
              </c:strCache>
            </c:strRef>
          </c:cat>
          <c:val>
            <c:numRef>
              <c:f>'[新建 XLSX 工作表.xlsx]Sheet1'!$B$1:$B$2</c:f>
              <c:numCache>
                <c:formatCode>General</c:formatCode>
                <c:ptCount val="2"/>
                <c:pt idx="0">
                  <c:v>181.12</c:v>
                </c:pt>
                <c:pt idx="1">
                  <c:v>268.32</c:v>
                </c:pt>
              </c:numCache>
            </c:numRef>
          </c:val>
        </c:ser>
        <c:dLbls>
          <c:showLegendKey val="0"/>
          <c:showVal val="1"/>
          <c:showCatName val="0"/>
          <c:showSerName val="0"/>
          <c:showPercent val="0"/>
          <c:showBubbleSize val="0"/>
        </c:dLbls>
        <c:gapWidth val="260"/>
        <c:overlap val="-32"/>
        <c:axId val="637415715"/>
        <c:axId val="260737532"/>
      </c:barChart>
      <c:catAx>
        <c:axId val="63741571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0737532"/>
        <c:crosses val="autoZero"/>
        <c:auto val="1"/>
        <c:lblAlgn val="ctr"/>
        <c:lblOffset val="100"/>
        <c:noMultiLvlLbl val="0"/>
      </c:catAx>
      <c:valAx>
        <c:axId val="260737532"/>
        <c:scaling>
          <c:orientation val="minMax"/>
        </c:scaling>
        <c:delete val="1"/>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7415715"/>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'[新建 XLSX 工作表.xlsx]Sheet1'!$A$2</c:f>
              <c:strCache>
                <c:ptCount val="1"/>
                <c:pt idx="0">
                  <c:v>一般公共预算拨款</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'[新建 XLSX 工作表.xlsx]Sheet1'!$B$2</c:f>
              <c:numCache>
                <c:formatCode>General</c:formatCode>
                <c:ptCount val="1"/>
                <c:pt idx="0">
                  <c:v>268.32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rgbClr val="404040">
                  <a:lumMod val="75000"/>
                  <a:lumOff val="25000"/>
                </a:srgbClr>
              </a:solidFill>
              <a:latin typeface="+mn-lt"/>
              <a:ea typeface="+mn-ea"/>
              <a:cs typeface="+mn-cs"/>
            </a:defRPr>
          </a:pPr>
        </a:p>
      </c:tx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[决算图.xls]Sheet1!$A$2</c:f>
              <c:strCache>
                <c:ptCount val="1"/>
                <c:pt idx="0">
                  <c:v>2024年一般公共预算财政拨款支出</c:v>
                </c:pt>
              </c:strCache>
            </c:strRef>
          </c:tx>
          <c:spPr>
            <a:scene3d>
              <a:camera prst="orthographicFront"/>
              <a:lightRig rig="threePt" dir="t"/>
            </a:scene3d>
            <a:sp3d contourW="9525"/>
          </c:spPr>
          <c:explosion val="0"/>
          <c:dPt>
            <c:idx val="0"/>
            <c:bubble3D val="0"/>
            <c:spPr>
              <a:solidFill>
                <a:srgbClr val="4F81BD"/>
              </a:solidFill>
              <a:ln>
                <a:solidFill>
                  <a:srgbClr val="FFFFFF"/>
                </a:solidFill>
              </a:ln>
              <a:effectLst/>
              <a:scene3d>
                <a:camera prst="orthographicFront"/>
                <a:lightRig rig="threePt" dir="t"/>
              </a:scene3d>
              <a:sp3d contourW="9525"/>
            </c:spPr>
          </c:dPt>
          <c:dPt>
            <c:idx val="1"/>
            <c:bubble3D val="0"/>
            <c:spPr>
              <a:solidFill>
                <a:srgbClr val="C0504D"/>
              </a:solidFill>
              <a:ln>
                <a:solidFill>
                  <a:srgbClr val="FFFFFF"/>
                </a:solidFill>
              </a:ln>
              <a:effectLst/>
              <a:scene3d>
                <a:camera prst="orthographicFront"/>
                <a:lightRig rig="threePt" dir="t"/>
              </a:scene3d>
              <a:sp3d contourW="9525"/>
            </c:spPr>
          </c:dPt>
          <c:dPt>
            <c:idx val="2"/>
            <c:bubble3D val="0"/>
            <c:spPr>
              <a:solidFill>
                <a:srgbClr val="9BBB59"/>
              </a:solidFill>
              <a:ln>
                <a:solidFill>
                  <a:srgbClr val="FFFFFF"/>
                </a:solidFill>
              </a:ln>
              <a:effectLst/>
              <a:scene3d>
                <a:camera prst="orthographicFront"/>
                <a:lightRig rig="threePt" dir="t"/>
              </a:scene3d>
              <a:sp3d contourW="9525"/>
            </c:spPr>
          </c:dPt>
          <c:dPt>
            <c:idx val="3"/>
            <c:bubble3D val="0"/>
            <c:spPr>
              <a:solidFill>
                <a:srgbClr val="8064A2"/>
              </a:solidFill>
              <a:ln>
                <a:solidFill>
                  <a:srgbClr val="FFFFFF"/>
                </a:solidFill>
              </a:ln>
              <a:effectLst/>
              <a:scene3d>
                <a:camera prst="orthographicFront"/>
                <a:lightRig rig="threePt" dir="t"/>
              </a:scene3d>
              <a:sp3d contourW="9525"/>
            </c:spPr>
          </c:dPt>
          <c:dPt>
            <c:idx val="4"/>
            <c:bubble3D val="0"/>
            <c:spPr>
              <a:solidFill>
                <a:srgbClr val="4BACC6"/>
              </a:solidFill>
              <a:ln>
                <a:solidFill>
                  <a:srgbClr val="FFFFFF"/>
                </a:solidFill>
              </a:ln>
              <a:effectLst/>
              <a:scene3d>
                <a:camera prst="orthographicFront"/>
                <a:lightRig rig="threePt" dir="t"/>
              </a:scene3d>
              <a:sp3d contourW="9525"/>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[决算图.xls]Sheet1!$B$1:$F$1</c:f>
              <c:strCache>
                <c:ptCount val="5"/>
                <c:pt idx="0">
                  <c:v>灾害防治及应急管理支出</c:v>
                </c:pt>
                <c:pt idx="1">
                  <c:v>社会 保障和就业管理支出</c:v>
                </c:pt>
                <c:pt idx="2">
                  <c:v>卫生健康支出</c:v>
                </c:pt>
                <c:pt idx="3">
                  <c:v>住房保障支出</c:v>
                </c:pt>
                <c:pt idx="4">
                  <c:v>项目支出</c:v>
                </c:pt>
              </c:strCache>
            </c:strRef>
          </c:cat>
          <c:val>
            <c:numRef>
              <c:f>[决算图.xls]Sheet1!$B$2:$F$2</c:f>
              <c:numCache>
                <c:formatCode>0%</c:formatCode>
                <c:ptCount val="5"/>
                <c:pt idx="0">
                  <c:v>0.38</c:v>
                </c:pt>
                <c:pt idx="1">
                  <c:v>0.07</c:v>
                </c:pt>
                <c:pt idx="2">
                  <c:v>0.03</c:v>
                </c:pt>
                <c:pt idx="3">
                  <c:v>0.04</c:v>
                </c:pt>
                <c:pt idx="4">
                  <c:v>0.48</c:v>
                </c:pt>
              </c:numCache>
            </c:numRef>
          </c:val>
        </c:ser>
        <c:dLbls>
          <c:showLegendKey val="0"/>
          <c:showVal val="1"/>
          <c:showCatName val="0"/>
          <c:showSerName val="0"/>
          <c:showPercent val="0"/>
          <c:showBubbleSize val="0"/>
        </c:dLbls>
      </c:pie3D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工作表.xlsx]Sheet1'!$A$1:$A$2</c:f>
              <c:strCache>
                <c:ptCount val="2"/>
                <c:pt idx="0">
                  <c:v>2023年</c:v>
                </c:pt>
                <c:pt idx="1">
                  <c:v>2024年</c:v>
                </c:pt>
              </c:strCache>
            </c:strRef>
          </c:cat>
          <c:val>
            <c:numRef>
              <c:f>'[新建 XLSX 工作表.xlsx]Sheet1'!$B$1:$B$2</c:f>
              <c:numCache>
                <c:formatCode>General</c:formatCode>
                <c:ptCount val="2"/>
                <c:pt idx="0">
                  <c:v>181.12</c:v>
                </c:pt>
                <c:pt idx="1">
                  <c:v>268.32</c:v>
                </c:pt>
              </c:numCache>
            </c:numRef>
          </c:val>
        </c:ser>
        <c:dLbls>
          <c:showLegendKey val="0"/>
          <c:showVal val="1"/>
          <c:showCatName val="0"/>
          <c:showSerName val="0"/>
          <c:showPercent val="0"/>
          <c:showBubbleSize val="0"/>
        </c:dLbls>
        <c:gapWidth val="246"/>
        <c:overlap val="-28"/>
        <c:axId val="635741347"/>
        <c:axId val="349270246"/>
      </c:barChart>
      <c:catAx>
        <c:axId val="63574134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9270246"/>
        <c:crosses val="autoZero"/>
        <c:auto val="1"/>
        <c:lblAlgn val="ctr"/>
        <c:lblOffset val="100"/>
        <c:noMultiLvlLbl val="0"/>
      </c:catAx>
      <c:valAx>
        <c:axId val="34927024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574134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9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10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styleClr val="auto"/>
    </cs:lnRef>
    <cs:fillRef idx="1">
      <cs:styleClr val="auto"/>
    </cs:fillRef>
    <cs:effectRef idx="0"/>
    <cs:fontRef idx="minor">
      <a:srgbClr val="000000"/>
    </cs:fontRef>
    <cs:spPr>
      <a:ln>
        <a:solidFill>
          <a:srgbClr val="FFFFFF"/>
        </a:solidFill>
      </a:ln>
      <a:effectLst/>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E6E6E6">
            <a:lumMod val="902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404040">
        <a:lumMod val="75000"/>
        <a:lumOff val="25000"/>
      </a:srgbClr>
    </cs:fontRef>
    <cs:defRPr sz="1400" b="1" kern="120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1299</Words>
  <Characters>7410</Characters>
  <Lines>61</Lines>
  <Paragraphs>17</Paragraphs>
  <TotalTime>2</TotalTime>
  <ScaleCrop>false</ScaleCrop>
  <LinksUpToDate>false</LinksUpToDate>
  <CharactersWithSpaces>8692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IPOJN</cp:lastModifiedBy>
  <cp:lastPrinted>2025-08-06T17:34:00Z</cp:lastPrinted>
  <dcterms:modified xsi:type="dcterms:W3CDTF">2025-08-18T07:04:47Z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514B98834BFD45878F2C433894027D90_13</vt:lpwstr>
  </property>
</Properties>
</file>