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hint="eastAsia" w:ascii="方正小标宋简体" w:eastAsia="方正小标宋简体"/>
          <w:color w:val="000000"/>
          <w:sz w:val="72"/>
          <w:szCs w:val="72"/>
        </w:rPr>
      </w:pPr>
    </w:p>
    <w:p>
      <w:pPr>
        <w:spacing w:line="600" w:lineRule="exact"/>
        <w:jc w:val="center"/>
        <w:outlineLvl w:val="0"/>
        <w:rPr>
          <w:rFonts w:hint="eastAsia" w:ascii="方正小标宋简体" w:eastAsia="方正小标宋简体"/>
          <w:color w:val="000000"/>
          <w:sz w:val="72"/>
          <w:szCs w:val="72"/>
        </w:rPr>
      </w:pPr>
    </w:p>
    <w:p>
      <w:pPr>
        <w:spacing w:line="800" w:lineRule="exact"/>
        <w:jc w:val="center"/>
        <w:rPr>
          <w:rFonts w:hint="eastAsia" w:ascii="方正小标宋简体" w:eastAsia="方正小标宋简体"/>
          <w:sz w:val="72"/>
          <w:szCs w:val="72"/>
        </w:rPr>
      </w:pPr>
      <w:bookmarkStart w:id="1" w:name="_Toc15378441"/>
      <w:bookmarkStart w:id="2" w:name="_Toc15396475"/>
      <w:bookmarkStart w:id="3" w:name="_Toc15396597"/>
      <w:bookmarkStart w:id="4" w:name="_Toc15377193"/>
      <w:bookmarkStart w:id="5" w:name="_Toc15377425"/>
      <w:r>
        <w:rPr>
          <w:rFonts w:hint="eastAsia" w:ascii="方正小标宋简体" w:eastAsia="方正小标宋简体"/>
          <w:sz w:val="72"/>
          <w:szCs w:val="72"/>
        </w:rPr>
        <w:t>202</w:t>
      </w:r>
      <w:r>
        <w:rPr>
          <w:rFonts w:ascii="方正小标宋简体" w:eastAsia="方正小标宋简体"/>
          <w:sz w:val="72"/>
          <w:szCs w:val="72"/>
        </w:rPr>
        <w:t>1</w:t>
      </w:r>
      <w:r>
        <w:rPr>
          <w:rFonts w:hint="eastAsia" w:ascii="方正小标宋简体" w:eastAsia="方正小标宋简体"/>
          <w:sz w:val="72"/>
          <w:szCs w:val="72"/>
        </w:rPr>
        <w:t>年度</w:t>
      </w:r>
      <w:bookmarkEnd w:id="1"/>
      <w:bookmarkEnd w:id="2"/>
      <w:bookmarkEnd w:id="3"/>
      <w:bookmarkEnd w:id="4"/>
      <w:bookmarkEnd w:id="5"/>
    </w:p>
    <w:bookmarkEnd w:id="0"/>
    <w:p>
      <w:pPr>
        <w:spacing w:line="800" w:lineRule="exact"/>
        <w:jc w:val="center"/>
        <w:rPr>
          <w:rFonts w:hint="eastAsia" w:ascii="方正小标宋简体" w:eastAsia="方正小标宋简体"/>
          <w:sz w:val="72"/>
          <w:szCs w:val="72"/>
        </w:rPr>
      </w:pPr>
      <w:bookmarkStart w:id="6" w:name="_Toc15377194"/>
      <w:bookmarkStart w:id="7" w:name="_Toc15396598"/>
      <w:bookmarkStart w:id="8" w:name="_Toc15378442"/>
      <w:bookmarkStart w:id="9" w:name="_Toc15396476"/>
      <w:bookmarkStart w:id="10" w:name="_Toc15377426"/>
      <w:bookmarkStart w:id="11" w:name="_Toc15306268"/>
      <w:r>
        <w:rPr>
          <w:rFonts w:ascii="方正小标宋简体" w:eastAsia="方正小标宋简体"/>
          <w:sz w:val="72"/>
          <w:szCs w:val="72"/>
        </w:rPr>
        <w:t>金川县防震减灾事务中心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hint="eastAsia" w:ascii="方正小标宋简体" w:eastAsia="方正小标宋简体"/>
          <w:color w:val="000000"/>
          <w:sz w:val="36"/>
          <w:szCs w:val="36"/>
        </w:rPr>
      </w:pPr>
    </w:p>
    <w:p>
      <w:pPr>
        <w:widowControl/>
        <w:ind w:firstLine="180" w:firstLineChars="50"/>
        <w:rPr>
          <w:rFonts w:hint="eastAsia" w:ascii="黑体" w:eastAsia="黑体"/>
          <w:color w:val="000000"/>
          <w:sz w:val="48"/>
          <w:szCs w:val="48"/>
        </w:rPr>
      </w:pPr>
      <w:r>
        <w:rPr>
          <w:rFonts w:hint="eastAsia" w:ascii="方正小标宋简体" w:eastAsia="方正小标宋简体"/>
          <w:sz w:val="36"/>
          <w:szCs w:val="36"/>
        </w:rPr>
        <w:br w:type="page"/>
      </w:r>
      <w:r>
        <w:rPr>
          <w:rFonts w:ascii="方正小标宋简体" w:eastAsia="方正小标宋简体"/>
          <w:sz w:val="36"/>
          <w:szCs w:val="36"/>
        </w:rPr>
        <w:t xml:space="preserve">                   </w:t>
      </w:r>
      <w:r>
        <w:rPr>
          <w:rFonts w:hint="eastAsia" w:ascii="黑体" w:eastAsia="黑体"/>
          <w:color w:val="000000"/>
          <w:sz w:val="48"/>
          <w:szCs w:val="48"/>
        </w:rPr>
        <w:t>目录</w:t>
      </w:r>
    </w:p>
    <w:p>
      <w:pPr>
        <w:pStyle w:val="6"/>
        <w:jc w:val="center"/>
        <w:rPr>
          <w:b w:val="0"/>
          <w:bCs w:val="0"/>
          <w:sz w:val="24"/>
          <w:szCs w:val="24"/>
        </w:rPr>
      </w:pPr>
      <w:r>
        <w:rPr>
          <w:rFonts w:hint="eastAsia"/>
          <w:b w:val="0"/>
          <w:bCs w:val="0"/>
          <w:sz w:val="24"/>
          <w:szCs w:val="24"/>
        </w:rPr>
        <w:t xml:space="preserve">公开时间：2021年 </w:t>
      </w:r>
      <w:r>
        <w:rPr>
          <w:b w:val="0"/>
          <w:bCs w:val="0"/>
          <w:sz w:val="24"/>
          <w:szCs w:val="24"/>
        </w:rPr>
        <w:t>8</w:t>
      </w:r>
      <w:r>
        <w:rPr>
          <w:rFonts w:hint="eastAsia"/>
          <w:b w:val="0"/>
          <w:bCs w:val="0"/>
          <w:sz w:val="24"/>
          <w:szCs w:val="24"/>
        </w:rPr>
        <w:t>月</w:t>
      </w:r>
      <w:r>
        <w:rPr>
          <w:b w:val="0"/>
          <w:bCs w:val="0"/>
          <w:sz w:val="24"/>
          <w:szCs w:val="24"/>
        </w:rPr>
        <w:t>28</w:t>
      </w:r>
      <w:r>
        <w:rPr>
          <w:rFonts w:hint="eastAsia"/>
          <w:b w:val="0"/>
          <w:bCs w:val="0"/>
          <w:sz w:val="24"/>
          <w:szCs w:val="24"/>
        </w:rPr>
        <w:t xml:space="preserve"> 日</w:t>
      </w:r>
    </w:p>
    <w:p>
      <w:pPr>
        <w:pStyle w:val="6"/>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val="0"/>
        </w:rPr>
        <w:t xml:space="preserve">第一部分 </w:t>
      </w:r>
      <w:r>
        <w:rPr>
          <w:rFonts w:hint="eastAsia" w:ascii="黑体" w:eastAsia="黑体"/>
          <w:b w:val="0"/>
          <w:bCs w:val="0"/>
        </w:rPr>
        <w:t>部门概况</w:t>
      </w:r>
      <w:r>
        <w:tab/>
      </w:r>
      <w:r>
        <w:fldChar w:fldCharType="begin"/>
      </w:r>
      <w:r>
        <w:instrText xml:space="preserve"> PAGEREF _Toc79163851 \h </w:instrText>
      </w:r>
      <w:r>
        <w:fldChar w:fldCharType="separate"/>
      </w:r>
      <w:r>
        <w:t>- 4 -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一、基</w:t>
      </w:r>
      <w:r>
        <w:rPr>
          <w:rFonts w:hint="eastAsia" w:ascii="黑体" w:eastAsia="黑体"/>
        </w:rPr>
        <w:t>本职能及主要工作</w:t>
      </w:r>
      <w:r>
        <w:tab/>
      </w:r>
      <w:r>
        <w:fldChar w:fldCharType="begin"/>
      </w:r>
      <w:r>
        <w:instrText xml:space="preserve"> PAGEREF _Toc79163852 \h </w:instrText>
      </w:r>
      <w:r>
        <w:fldChar w:fldCharType="separate"/>
      </w:r>
      <w:r>
        <w:t>- 4 -</w:t>
      </w:r>
      <w:r>
        <w:fldChar w:fldCharType="end"/>
      </w:r>
    </w:p>
    <w:p>
      <w:pPr>
        <w:pStyle w:val="8"/>
        <w:tabs>
          <w:tab w:val="right" w:leader="dot" w:pos="8296"/>
        </w:tabs>
        <w:rPr>
          <w:rFonts w:eastAsia="宋体" w:cs="Arial"/>
          <w:i w:val="0"/>
          <w:iCs w:val="0"/>
          <w:sz w:val="21"/>
          <w:szCs w:val="22"/>
          <w:lang w:bidi="ar-SA"/>
        </w:rPr>
      </w:pPr>
      <w:r>
        <w:rPr>
          <w:rFonts w:hint="eastAsia" w:ascii="仿宋" w:eastAsia="仿宋"/>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Cs/>
          <w:i w:val="0"/>
          <w:iCs w:val="0"/>
          <w:color w:val="000000"/>
        </w:rPr>
        <w:t>（二）202</w:t>
      </w:r>
      <w:r>
        <w:rPr>
          <w:rFonts w:ascii="仿宋" w:eastAsia="仿宋"/>
          <w:bCs/>
          <w:i w:val="0"/>
          <w:iCs w:val="0"/>
          <w:color w:val="000000"/>
        </w:rPr>
        <w:t>1</w:t>
      </w:r>
      <w:r>
        <w:rPr>
          <w:rFonts w:hint="eastAsia" w:ascii="仿宋" w:eastAsia="仿宋"/>
          <w:bCs/>
          <w:i w:val="0"/>
          <w:iCs w:val="0"/>
          <w:color w:val="000000"/>
        </w:rPr>
        <w:t>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- 5 -</w:t>
      </w:r>
      <w:r>
        <w:rPr>
          <w:i w:val="0"/>
          <w:iCs w:val="0"/>
        </w:rPr>
        <w:fldChar w:fldCharType="end"/>
      </w:r>
    </w:p>
    <w:p>
      <w:pPr>
        <w:pStyle w:val="12"/>
        <w:tabs>
          <w:tab w:val="right" w:leader="dot" w:pos="8296"/>
        </w:tabs>
        <w:rPr>
          <w:rFonts w:eastAsia="宋体" w:cs="Arial"/>
          <w:sz w:val="21"/>
          <w:szCs w:val="22"/>
          <w:lang w:bidi="ar-SA"/>
        </w:rPr>
      </w:pPr>
      <w:r>
        <w:rPr>
          <w:rFonts w:hint="eastAsia" w:ascii="黑体" w:eastAsia="黑体"/>
          <w:color w:val="000000"/>
        </w:rPr>
        <w:t>二、机</w:t>
      </w:r>
      <w:r>
        <w:rPr>
          <w:rFonts w:hint="eastAsia" w:ascii="黑体" w:eastAsia="黑体"/>
        </w:rPr>
        <w:t>构设置</w:t>
      </w:r>
      <w:r>
        <w:tab/>
      </w:r>
      <w:r>
        <w:fldChar w:fldCharType="begin"/>
      </w:r>
      <w:r>
        <w:instrText xml:space="preserve"> PAGEREF _Toc79163855 \h </w:instrText>
      </w:r>
      <w:r>
        <w:fldChar w:fldCharType="separate"/>
      </w:r>
      <w:r>
        <w:t>- 8 -</w:t>
      </w:r>
      <w:r>
        <w:fldChar w:fldCharType="end"/>
      </w:r>
    </w:p>
    <w:p>
      <w:pPr>
        <w:pStyle w:val="6"/>
        <w:tabs>
          <w:tab w:val="right" w:leader="dot" w:pos="8296"/>
        </w:tabs>
        <w:rPr>
          <w:rFonts w:eastAsia="宋体" w:cs="Arial"/>
          <w:b w:val="0"/>
          <w:bCs w:val="0"/>
          <w:sz w:val="21"/>
          <w:szCs w:val="22"/>
          <w:lang w:bidi="ar-SA"/>
        </w:rPr>
      </w:pPr>
      <w:r>
        <w:rPr>
          <w:rFonts w:hint="eastAsia" w:ascii="黑体" w:eastAsia="黑体"/>
          <w:b w:val="0"/>
          <w:color w:val="000000"/>
        </w:rPr>
        <w:t>第二部分</w:t>
      </w:r>
      <w:r>
        <w:rPr>
          <w:rFonts w:hint="eastAsia" w:ascii="黑体" w:eastAsia="黑体"/>
          <w:color w:val="000000"/>
        </w:rPr>
        <w:t xml:space="preserve"> </w:t>
      </w:r>
      <w:r>
        <w:rPr>
          <w:rFonts w:hint="eastAsia" w:ascii="黑体" w:eastAsia="黑体"/>
          <w:b w:val="0"/>
          <w:bCs w:val="0"/>
        </w:rPr>
        <w:t>202</w:t>
      </w:r>
      <w:r>
        <w:rPr>
          <w:rFonts w:ascii="黑体" w:eastAsia="黑体"/>
          <w:b w:val="0"/>
          <w:bCs w:val="0"/>
        </w:rPr>
        <w:t>1</w:t>
      </w:r>
      <w:r>
        <w:rPr>
          <w:rFonts w:hint="eastAsia" w:ascii="黑体" w:eastAsia="黑体"/>
          <w:b w:val="0"/>
          <w:bCs w:val="0"/>
        </w:rPr>
        <w:t>年度部门决算情况说明</w:t>
      </w:r>
      <w:r>
        <w:rPr>
          <w:b w:val="0"/>
          <w:bCs w:val="0"/>
        </w:rPr>
        <w:tab/>
      </w:r>
      <w:r>
        <w:fldChar w:fldCharType="begin"/>
      </w:r>
      <w:r>
        <w:instrText xml:space="preserve"> PAGEREF _Toc79163859 \h </w:instrText>
      </w:r>
      <w:r>
        <w:fldChar w:fldCharType="separate"/>
      </w:r>
      <w:r>
        <w:t>- 8 -</w:t>
      </w:r>
      <w:r>
        <w:fldChar w:fldCharType="end"/>
      </w:r>
    </w:p>
    <w:p>
      <w:pPr>
        <w:pStyle w:val="12"/>
        <w:tabs>
          <w:tab w:val="left" w:pos="840"/>
          <w:tab w:val="right" w:leader="dot" w:pos="8296"/>
        </w:tabs>
        <w:rPr>
          <w:rFonts w:eastAsia="宋体" w:cs="Arial"/>
          <w:sz w:val="21"/>
          <w:szCs w:val="22"/>
          <w:lang w:bidi="ar-SA"/>
        </w:rPr>
      </w:pPr>
      <w:r>
        <w:rPr>
          <w:rFonts w:hint="eastAsia" w:ascii="黑体" w:eastAsia="黑体"/>
          <w:bCs/>
        </w:rPr>
        <w:t>一、</w:t>
      </w:r>
      <w:r>
        <w:rPr>
          <w:rFonts w:eastAsia="宋体" w:cs="Arial"/>
          <w:sz w:val="21"/>
          <w:szCs w:val="22"/>
          <w:lang w:bidi="ar-SA"/>
        </w:rPr>
        <w:tab/>
      </w:r>
      <w:r>
        <w:rPr>
          <w:rFonts w:hint="eastAsia" w:ascii="黑体" w:eastAsia="黑体"/>
          <w:color w:val="000000"/>
        </w:rPr>
        <w:t>收</w:t>
      </w:r>
      <w:r>
        <w:rPr>
          <w:rFonts w:hint="eastAsia" w:ascii="黑体" w:eastAsia="黑体"/>
          <w:bCs/>
        </w:rPr>
        <w:t>入支出决算总体情况说明</w:t>
      </w:r>
      <w:r>
        <w:tab/>
      </w:r>
      <w:r>
        <w:fldChar w:fldCharType="begin"/>
      </w:r>
      <w:r>
        <w:instrText xml:space="preserve"> PAGEREF _Toc79163860 \h </w:instrText>
      </w:r>
      <w:r>
        <w:fldChar w:fldCharType="separate"/>
      </w:r>
      <w:r>
        <w:t>- 8 -</w:t>
      </w:r>
      <w:r>
        <w:fldChar w:fldCharType="end"/>
      </w:r>
    </w:p>
    <w:p>
      <w:pPr>
        <w:pStyle w:val="12"/>
        <w:tabs>
          <w:tab w:val="left" w:pos="840"/>
          <w:tab w:val="right" w:leader="dot" w:pos="8296"/>
        </w:tabs>
        <w:rPr>
          <w:rFonts w:eastAsia="宋体" w:cs="Arial"/>
          <w:sz w:val="21"/>
          <w:szCs w:val="22"/>
          <w:lang w:bidi="ar-SA"/>
        </w:rPr>
      </w:pPr>
      <w:r>
        <w:rPr>
          <w:rFonts w:hint="eastAsia" w:ascii="黑体" w:eastAsia="黑体"/>
          <w:bCs/>
        </w:rPr>
        <w:t>二、</w:t>
      </w:r>
      <w:r>
        <w:rPr>
          <w:rFonts w:eastAsia="宋体" w:cs="Arial"/>
          <w:sz w:val="21"/>
          <w:szCs w:val="22"/>
          <w:lang w:bidi="ar-SA"/>
        </w:rPr>
        <w:tab/>
      </w:r>
      <w:r>
        <w:rPr>
          <w:rFonts w:hint="eastAsia" w:ascii="黑体" w:eastAsia="黑体"/>
          <w:color w:val="000000"/>
        </w:rPr>
        <w:t>收</w:t>
      </w:r>
      <w:r>
        <w:rPr>
          <w:rFonts w:hint="eastAsia" w:ascii="黑体" w:eastAsia="黑体"/>
          <w:bCs/>
        </w:rPr>
        <w:t>入决算情况说明</w:t>
      </w:r>
      <w:r>
        <w:tab/>
      </w:r>
      <w:r>
        <w:fldChar w:fldCharType="begin"/>
      </w:r>
      <w:r>
        <w:instrText xml:space="preserve"> PAGEREF _Toc79163861 \h </w:instrText>
      </w:r>
      <w:r>
        <w:fldChar w:fldCharType="separate"/>
      </w:r>
      <w:r>
        <w:t>- 9 -</w:t>
      </w:r>
      <w:r>
        <w:fldChar w:fldCharType="end"/>
      </w:r>
    </w:p>
    <w:p>
      <w:pPr>
        <w:pStyle w:val="12"/>
        <w:tabs>
          <w:tab w:val="left" w:pos="840"/>
          <w:tab w:val="right" w:leader="dot" w:pos="8296"/>
        </w:tabs>
        <w:rPr>
          <w:rFonts w:eastAsia="宋体" w:cs="Arial"/>
          <w:sz w:val="21"/>
          <w:szCs w:val="22"/>
          <w:lang w:bidi="ar-SA"/>
        </w:rPr>
      </w:pPr>
      <w:r>
        <w:rPr>
          <w:rFonts w:hint="eastAsia" w:ascii="黑体" w:eastAsia="黑体"/>
          <w:bCs/>
        </w:rPr>
        <w:t>三、</w:t>
      </w:r>
      <w:r>
        <w:rPr>
          <w:rFonts w:eastAsia="宋体" w:cs="Arial"/>
          <w:sz w:val="21"/>
          <w:szCs w:val="22"/>
          <w:lang w:bidi="ar-SA"/>
        </w:rPr>
        <w:tab/>
      </w:r>
      <w:r>
        <w:rPr>
          <w:rFonts w:hint="eastAsia" w:ascii="黑体" w:eastAsia="黑体"/>
          <w:color w:val="000000"/>
        </w:rPr>
        <w:t>支</w:t>
      </w:r>
      <w:r>
        <w:rPr>
          <w:rFonts w:hint="eastAsia" w:ascii="黑体" w:eastAsia="黑体"/>
          <w:bCs/>
        </w:rPr>
        <w:t>出决算情况说明</w:t>
      </w:r>
      <w:r>
        <w:tab/>
      </w:r>
      <w:r>
        <w:fldChar w:fldCharType="begin"/>
      </w:r>
      <w:r>
        <w:instrText xml:space="preserve"> PAGEREF _Toc79163862 \h </w:instrText>
      </w:r>
      <w:r>
        <w:fldChar w:fldCharType="separate"/>
      </w:r>
      <w:r>
        <w:t>- 9 -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四、财</w:t>
      </w:r>
      <w:r>
        <w:rPr>
          <w:rFonts w:hint="eastAsia" w:ascii="黑体" w:eastAsia="黑体"/>
          <w:bCs/>
        </w:rPr>
        <w:t>政拨款收入支出决算总体情况说明</w:t>
      </w:r>
      <w:r>
        <w:tab/>
      </w:r>
      <w:r>
        <w:fldChar w:fldCharType="begin"/>
      </w:r>
      <w:r>
        <w:instrText xml:space="preserve"> PAGEREF _Toc79163863 \h </w:instrText>
      </w:r>
      <w:r>
        <w:fldChar w:fldCharType="separate"/>
      </w:r>
      <w:r>
        <w:t>- 10 -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五、</w:t>
      </w:r>
      <w:r>
        <w:rPr>
          <w:rFonts w:hint="eastAsia" w:ascii="黑体" w:eastAsia="黑体"/>
          <w:b/>
          <w:color w:val="000000"/>
        </w:rPr>
        <w:t>一</w:t>
      </w:r>
      <w:r>
        <w:rPr>
          <w:rFonts w:hint="eastAsia" w:ascii="黑体" w:eastAsia="黑体"/>
          <w:bCs/>
        </w:rPr>
        <w:t>般公共预算财政拨款支出决算情况说明</w:t>
      </w:r>
      <w:r>
        <w:tab/>
      </w:r>
      <w:r>
        <w:fldChar w:fldCharType="begin"/>
      </w:r>
      <w:r>
        <w:instrText xml:space="preserve"> PAGEREF _Toc79163864 \h </w:instrText>
      </w:r>
      <w:r>
        <w:fldChar w:fldCharType="separate"/>
      </w:r>
      <w:r>
        <w:t>- 11 -</w:t>
      </w:r>
      <w: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- 11 -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- 12 -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- 13 -</w:t>
      </w:r>
      <w:r>
        <w:rPr>
          <w:i w:val="0"/>
          <w:iCs w:val="0"/>
        </w:rPr>
        <w:fldChar w:fldCharType="end"/>
      </w:r>
    </w:p>
    <w:p>
      <w:pPr>
        <w:pStyle w:val="12"/>
        <w:tabs>
          <w:tab w:val="right" w:leader="dot" w:pos="8296"/>
        </w:tabs>
        <w:rPr>
          <w:rFonts w:eastAsia="宋体" w:cs="Arial"/>
          <w:sz w:val="21"/>
          <w:szCs w:val="22"/>
          <w:lang w:bidi="ar-SA"/>
        </w:rPr>
      </w:pPr>
      <w:r>
        <w:rPr>
          <w:rFonts w:hint="eastAsia" w:ascii="黑体" w:eastAsia="黑体"/>
          <w:color w:val="000000"/>
        </w:rPr>
        <w:t>六</w:t>
      </w:r>
      <w:r>
        <w:rPr>
          <w:rFonts w:hint="eastAsia" w:ascii="黑体" w:eastAsia="黑体"/>
          <w:b/>
          <w:color w:val="000000"/>
        </w:rPr>
        <w:t>、一</w:t>
      </w:r>
      <w:r>
        <w:rPr>
          <w:rFonts w:hint="eastAsia" w:ascii="黑体" w:eastAsia="黑体"/>
          <w:bCs/>
        </w:rPr>
        <w:t>般公共预算财政拨款基本支出决算情况说明</w:t>
      </w:r>
      <w:r>
        <w:tab/>
      </w:r>
      <w:r>
        <w:fldChar w:fldCharType="begin"/>
      </w:r>
      <w:r>
        <w:instrText xml:space="preserve"> PAGEREF _Toc79163868 \h </w:instrText>
      </w:r>
      <w:r>
        <w:fldChar w:fldCharType="separate"/>
      </w:r>
      <w:r>
        <w:t>- 14 -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七、</w:t>
      </w:r>
      <w:r>
        <w:rPr>
          <w:rFonts w:hint="eastAsia" w:ascii="黑体" w:eastAsia="黑体"/>
          <w:b/>
          <w:bCs/>
        </w:rPr>
        <w:t>“</w:t>
      </w:r>
      <w:r>
        <w:rPr>
          <w:rFonts w:hint="eastAsia" w:ascii="黑体" w:eastAsia="黑体"/>
          <w:bCs/>
        </w:rPr>
        <w:t>三公”经费财政拨款支出决算情况说明</w:t>
      </w:r>
      <w:r>
        <w:tab/>
      </w:r>
      <w:r>
        <w:fldChar w:fldCharType="begin"/>
      </w:r>
      <w:r>
        <w:instrText xml:space="preserve"> PAGEREF _Toc79163869 \h </w:instrText>
      </w:r>
      <w:r>
        <w:fldChar w:fldCharType="separate"/>
      </w:r>
      <w:r>
        <w:t>- 14 -</w:t>
      </w:r>
      <w: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- 14 -</w:t>
      </w:r>
      <w:r>
        <w:rPr>
          <w:i w:val="0"/>
          <w:iCs w:val="0"/>
        </w:rPr>
        <w:fldChar w:fldCharType="end"/>
      </w:r>
    </w:p>
    <w:p>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- 14 -</w:t>
      </w:r>
      <w:r>
        <w:rPr>
          <w:i w:val="0"/>
          <w:iCs w:val="0"/>
        </w:rPr>
        <w:fldChar w:fldCharType="end"/>
      </w:r>
    </w:p>
    <w:p>
      <w:pPr>
        <w:pStyle w:val="12"/>
        <w:tabs>
          <w:tab w:val="right" w:leader="dot" w:pos="8296"/>
        </w:tabs>
        <w:rPr>
          <w:rFonts w:eastAsia="宋体" w:cs="Arial"/>
          <w:sz w:val="21"/>
          <w:szCs w:val="22"/>
          <w:lang w:bidi="ar-SA"/>
        </w:rPr>
      </w:pPr>
      <w:r>
        <w:rPr>
          <w:rFonts w:hint="eastAsia" w:ascii="黑体" w:eastAsia="黑体"/>
          <w:color w:val="000000"/>
        </w:rPr>
        <w:t>八、</w:t>
      </w:r>
      <w:r>
        <w:rPr>
          <w:rFonts w:hint="eastAsia" w:ascii="黑体" w:eastAsia="黑体"/>
          <w:bCs/>
        </w:rPr>
        <w:t>政府性基金预算支出决算情况说明</w:t>
      </w:r>
      <w:r>
        <w:tab/>
      </w:r>
      <w:r>
        <w:fldChar w:fldCharType="begin"/>
      </w:r>
      <w:r>
        <w:instrText xml:space="preserve"> PAGEREF _Toc79163872 \h </w:instrText>
      </w:r>
      <w:r>
        <w:fldChar w:fldCharType="separate"/>
      </w:r>
      <w:r>
        <w:t>- 16 -</w:t>
      </w:r>
      <w:r>
        <w:fldChar w:fldCharType="end"/>
      </w:r>
    </w:p>
    <w:p>
      <w:pPr>
        <w:pStyle w:val="12"/>
        <w:tabs>
          <w:tab w:val="right" w:leader="dot" w:pos="8296"/>
        </w:tabs>
        <w:rPr>
          <w:rFonts w:eastAsia="宋体" w:cs="Arial"/>
          <w:sz w:val="21"/>
          <w:szCs w:val="22"/>
          <w:lang w:bidi="ar-SA"/>
        </w:rPr>
      </w:pPr>
      <w:r>
        <w:rPr>
          <w:rFonts w:hint="eastAsia" w:ascii="黑体" w:eastAsia="黑体"/>
          <w:bCs/>
        </w:rPr>
        <w:t>九、 国有资本经营预算支出决算情况说明</w:t>
      </w:r>
      <w:r>
        <w:tab/>
      </w:r>
      <w:r>
        <w:fldChar w:fldCharType="begin"/>
      </w:r>
      <w:r>
        <w:instrText xml:space="preserve"> PAGEREF _Toc79163873 \h </w:instrText>
      </w:r>
      <w:r>
        <w:fldChar w:fldCharType="separate"/>
      </w:r>
      <w:r>
        <w:t>- 16 -</w:t>
      </w:r>
      <w:r>
        <w:fldChar w:fldCharType="end"/>
      </w:r>
    </w:p>
    <w:p>
      <w:pPr>
        <w:pStyle w:val="12"/>
        <w:tabs>
          <w:tab w:val="right" w:leader="dot" w:pos="8296"/>
        </w:tabs>
        <w:rPr>
          <w:rFonts w:eastAsia="宋体" w:cs="Arial"/>
          <w:sz w:val="21"/>
          <w:szCs w:val="22"/>
          <w:lang w:bidi="ar-SA"/>
        </w:rPr>
      </w:pPr>
      <w:r>
        <w:rPr>
          <w:rFonts w:hint="eastAsia" w:ascii="黑体" w:eastAsia="黑体"/>
          <w:color w:val="000000"/>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_Toc79163874 \h </w:instrText>
      </w:r>
      <w:r>
        <w:fldChar w:fldCharType="separate"/>
      </w:r>
      <w:r>
        <w:t>- 16 -</w:t>
      </w:r>
      <w:r>
        <w:fldChar w:fldCharType="end"/>
      </w:r>
    </w:p>
    <w:p>
      <w:pPr>
        <w:pStyle w:val="8"/>
        <w:tabs>
          <w:tab w:val="right" w:leader="dot" w:pos="8296"/>
        </w:tabs>
        <w:rPr>
          <w:rFonts w:hint="eastAsia" w:ascii="仿宋" w:eastAsia="仿宋" w:cs="Times New Roman"/>
          <w:bCs/>
          <w:i w:val="0"/>
          <w:iCs w:val="0"/>
          <w:color w:val="000000"/>
          <w:lang w:bidi="ar-SA"/>
        </w:rPr>
      </w:pPr>
      <w:r>
        <w:rPr>
          <w:rFonts w:hint="eastAsia" w:ascii="仿宋" w:eastAsia="仿宋" w:cs="Times New Roman"/>
          <w:b/>
          <w:i w:val="0"/>
          <w:iCs w:val="0"/>
          <w:color w:val="000000"/>
          <w:lang w:bidi="ar-SA"/>
        </w:rPr>
        <w:t>（一）机关运行经费支出情况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bidi="ar-SA"/>
        </w:rPr>
        <w:fldChar w:fldCharType="begin"/>
      </w:r>
      <w:r>
        <w:rPr>
          <w:rFonts w:hint="eastAsia" w:ascii="仿宋" w:eastAsia="仿宋" w:cs="Times New Roman"/>
          <w:bCs/>
          <w:i w:val="0"/>
          <w:iCs w:val="0"/>
          <w:color w:val="000000"/>
          <w:lang w:bidi="ar-SA"/>
        </w:rPr>
        <w:instrText xml:space="preserve"> PAGEREF _Toc79163876 \h </w:instrText>
      </w:r>
      <w:r>
        <w:rPr>
          <w:rFonts w:hint="eastAsia" w:ascii="仿宋" w:eastAsia="仿宋" w:cs="Times New Roman"/>
          <w:bCs/>
          <w:i w:val="0"/>
          <w:iCs w:val="0"/>
          <w:color w:val="000000"/>
          <w:lang w:bidi="ar-SA"/>
        </w:rPr>
        <w:fldChar w:fldCharType="separate"/>
      </w:r>
      <w:r>
        <w:rPr>
          <w:rFonts w:hint="eastAsia" w:ascii="仿宋" w:eastAsia="仿宋" w:cs="Times New Roman"/>
          <w:bCs/>
          <w:i w:val="0"/>
          <w:iCs w:val="0"/>
          <w:color w:val="000000"/>
          <w:lang w:bidi="ar-SA"/>
        </w:rPr>
        <w:t>- 16 -</w:t>
      </w:r>
      <w:r>
        <w:rPr>
          <w:rFonts w:hint="eastAsia" w:ascii="仿宋" w:eastAsia="仿宋" w:cs="Times New Roman"/>
          <w:bCs/>
          <w:i w:val="0"/>
          <w:iCs w:val="0"/>
          <w:color w:val="000000"/>
          <w:lang w:bidi="ar-SA"/>
        </w:rPr>
        <w:fldChar w:fldCharType="end"/>
      </w:r>
    </w:p>
    <w:p>
      <w:pPr>
        <w:pStyle w:val="8"/>
        <w:tabs>
          <w:tab w:val="right" w:leader="dot" w:pos="8296"/>
        </w:tabs>
        <w:rPr>
          <w:rFonts w:hint="eastAsia" w:ascii="仿宋" w:eastAsia="仿宋" w:cs="Times New Roman"/>
          <w:b/>
          <w:i w:val="0"/>
          <w:iCs w:val="0"/>
          <w:color w:val="000000"/>
          <w:lang w:val="en-US" w:eastAsia="zh-CN" w:bidi="ar-SA"/>
        </w:rPr>
      </w:pPr>
      <w:r>
        <w:rPr>
          <w:rFonts w:hint="eastAsia" w:ascii="仿宋" w:eastAsia="仿宋" w:cs="Times New Roman"/>
          <w:b/>
          <w:i w:val="0"/>
          <w:iCs w:val="0"/>
          <w:color w:val="000000"/>
          <w:lang w:val="en-US" w:eastAsia="zh-CN" w:bidi="ar-SA"/>
        </w:rPr>
        <w:t xml:space="preserve">（二）政府采购支出情况  </w:t>
      </w:r>
      <w:r>
        <w:rPr>
          <w:rFonts w:hint="eastAsia" w:ascii="Calibri" w:hAnsi="Calibri" w:eastAsia="Calibri" w:cs="Times New Roman"/>
          <w:b/>
          <w:bCs/>
          <w:caps/>
          <w:smallCaps w:val="0"/>
          <w:kern w:val="2"/>
          <w:sz w:val="20"/>
          <w:szCs w:val="20"/>
          <w:lang w:val="en-US" w:eastAsia="zh-CN" w:bidi="ar-SA"/>
        </w:rPr>
        <w:t>..................................................................................................</w:t>
      </w:r>
      <w:r>
        <w:rPr>
          <w:rFonts w:hint="eastAsia" w:ascii="仿宋" w:eastAsia="仿宋" w:cs="Times New Roman"/>
          <w:bCs/>
          <w:i w:val="0"/>
          <w:iCs w:val="0"/>
          <w:color w:val="000000"/>
          <w:lang w:val="en-US" w:eastAsia="zh-CN" w:bidi="ar-SA"/>
        </w:rPr>
        <w:t>12</w:t>
      </w:r>
    </w:p>
    <w:p>
      <w:pPr>
        <w:pStyle w:val="8"/>
        <w:tabs>
          <w:tab w:val="right" w:leader="dot" w:pos="8296"/>
        </w:tabs>
        <w:rPr>
          <w:rFonts w:hint="eastAsia" w:ascii="仿宋" w:eastAsia="仿宋" w:cs="Times New Roman"/>
          <w:b/>
          <w:i w:val="0"/>
          <w:iCs w:val="0"/>
          <w:color w:val="000000"/>
          <w:lang w:bidi="ar-SA"/>
        </w:rPr>
      </w:pPr>
      <w:r>
        <w:rPr>
          <w:rFonts w:hint="eastAsia" w:ascii="仿宋" w:eastAsia="仿宋" w:cs="Times New Roman"/>
          <w:b/>
          <w:i w:val="0"/>
          <w:iCs w:val="0"/>
          <w:color w:val="000000"/>
          <w:lang w:bidi="ar-SA"/>
        </w:rPr>
        <w:t>（三）国有资产占有使用情况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bidi="ar-SA"/>
        </w:rPr>
        <w:fldChar w:fldCharType="begin"/>
      </w:r>
      <w:r>
        <w:rPr>
          <w:rFonts w:hint="eastAsia" w:ascii="仿宋" w:eastAsia="仿宋" w:cs="Times New Roman"/>
          <w:bCs/>
          <w:i w:val="0"/>
          <w:iCs w:val="0"/>
          <w:color w:val="000000"/>
          <w:lang w:bidi="ar-SA"/>
        </w:rPr>
        <w:instrText xml:space="preserve"> PAGEREF _Toc79163877 \h </w:instrText>
      </w:r>
      <w:r>
        <w:rPr>
          <w:rFonts w:hint="eastAsia" w:ascii="仿宋" w:eastAsia="仿宋" w:cs="Times New Roman"/>
          <w:bCs/>
          <w:i w:val="0"/>
          <w:iCs w:val="0"/>
          <w:color w:val="000000"/>
          <w:lang w:bidi="ar-SA"/>
        </w:rPr>
        <w:fldChar w:fldCharType="separate"/>
      </w:r>
      <w:r>
        <w:rPr>
          <w:rFonts w:hint="eastAsia" w:ascii="仿宋" w:eastAsia="仿宋" w:cs="Times New Roman"/>
          <w:bCs/>
          <w:i w:val="0"/>
          <w:iCs w:val="0"/>
          <w:color w:val="000000"/>
          <w:lang w:bidi="ar-SA"/>
        </w:rPr>
        <w:t>- 17 -</w:t>
      </w:r>
      <w:r>
        <w:rPr>
          <w:rFonts w:hint="eastAsia" w:ascii="仿宋" w:eastAsia="仿宋" w:cs="Times New Roman"/>
          <w:bCs/>
          <w:i w:val="0"/>
          <w:iCs w:val="0"/>
          <w:color w:val="000000"/>
          <w:lang w:bidi="ar-SA"/>
        </w:rPr>
        <w:fldChar w:fldCharType="end"/>
      </w:r>
    </w:p>
    <w:p>
      <w:pPr>
        <w:pStyle w:val="8"/>
        <w:tabs>
          <w:tab w:val="right" w:leader="dot" w:pos="8296"/>
        </w:tabs>
        <w:rPr>
          <w:rFonts w:eastAsia="宋体" w:cs="Arial"/>
          <w:i w:val="0"/>
          <w:iCs w:val="0"/>
          <w:sz w:val="21"/>
          <w:szCs w:val="22"/>
          <w:lang w:bidi="ar-SA"/>
        </w:rPr>
      </w:pPr>
      <w:r>
        <w:rPr>
          <w:rFonts w:hint="eastAsia" w:ascii="仿宋" w:eastAsia="仿宋" w:cs="Times New Roman"/>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- 17 -</w:t>
      </w:r>
      <w:r>
        <w:rPr>
          <w:i w:val="0"/>
          <w:iCs w:val="0"/>
        </w:rPr>
        <w:fldChar w:fldCharType="end"/>
      </w:r>
    </w:p>
    <w:p>
      <w:pPr>
        <w:pStyle w:val="6"/>
        <w:tabs>
          <w:tab w:val="right" w:leader="dot" w:pos="8296"/>
        </w:tabs>
        <w:rPr>
          <w:b w:val="0"/>
          <w:bCs w:val="0"/>
        </w:rPr>
      </w:pPr>
      <w:r>
        <w:rPr>
          <w:rFonts w:hint="eastAsia" w:ascii="黑体" w:eastAsia="黑体"/>
          <w:b w:val="0"/>
          <w:bCs w:val="0"/>
          <w:kern w:val="44"/>
        </w:rPr>
        <w:t>第三部分</w:t>
      </w:r>
      <w:r>
        <w:rPr>
          <w:rFonts w:hint="eastAsia" w:ascii="黑体" w:eastAsia="黑体"/>
          <w:b w:val="0"/>
          <w:bCs w:val="0"/>
          <w:color w:val="000000"/>
        </w:rPr>
        <w:t xml:space="preserve"> 名</w:t>
      </w:r>
      <w:r>
        <w:rPr>
          <w:rFonts w:hint="eastAsia" w:ascii="黑体" w:eastAsia="黑体"/>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- 22 -</w:t>
      </w:r>
      <w:r>
        <w:rPr>
          <w:b w:val="0"/>
          <w:bCs w:val="0"/>
        </w:rPr>
        <w:fldChar w:fldCharType="end"/>
      </w:r>
    </w:p>
    <w:p>
      <w:pPr>
        <w:pStyle w:val="6"/>
        <w:tabs>
          <w:tab w:val="right" w:leader="dot" w:pos="8296"/>
        </w:tabs>
        <w:rPr>
          <w:rFonts w:hint="eastAsia" w:ascii="黑体" w:eastAsia="黑体"/>
          <w:b w:val="0"/>
          <w:bCs w:val="0"/>
          <w:color w:val="000000"/>
        </w:rPr>
      </w:pPr>
      <w:r>
        <w:rPr>
          <w:rFonts w:hint="eastAsia" w:ascii="黑体" w:eastAsia="黑体"/>
          <w:b w:val="0"/>
          <w:bCs w:val="0"/>
          <w:color w:val="000000"/>
        </w:rPr>
        <w:t>第四部分 附件</w:t>
      </w:r>
      <w:r>
        <w:rPr>
          <w:rFonts w:hint="eastAsia" w:ascii="黑体" w:eastAsia="黑体"/>
          <w:b w:val="0"/>
          <w:bCs w:val="0"/>
          <w:color w:val="000000"/>
        </w:rPr>
        <w:tab/>
      </w:r>
      <w:r>
        <w:rPr>
          <w:rFonts w:hint="eastAsia" w:ascii="黑体" w:eastAsia="黑体"/>
          <w:b w:val="0"/>
          <w:bCs w:val="0"/>
          <w:color w:val="000000"/>
        </w:rPr>
        <w:fldChar w:fldCharType="begin"/>
      </w:r>
      <w:r>
        <w:rPr>
          <w:rFonts w:hint="eastAsia" w:ascii="黑体" w:eastAsia="黑体"/>
          <w:b w:val="0"/>
          <w:bCs w:val="0"/>
          <w:color w:val="000000"/>
        </w:rPr>
        <w:instrText xml:space="preserve"> PAGEREF _Toc79163880 \h </w:instrText>
      </w:r>
      <w:r>
        <w:rPr>
          <w:rFonts w:hint="eastAsia" w:ascii="黑体" w:eastAsia="黑体"/>
          <w:b w:val="0"/>
          <w:bCs w:val="0"/>
          <w:color w:val="000000"/>
        </w:rPr>
        <w:fldChar w:fldCharType="separate"/>
      </w:r>
      <w:r>
        <w:rPr>
          <w:rFonts w:hint="eastAsia" w:ascii="黑体" w:eastAsia="黑体"/>
          <w:b w:val="0"/>
          <w:bCs w:val="0"/>
          <w:color w:val="000000"/>
        </w:rPr>
        <w:t>- 25 -</w:t>
      </w:r>
      <w:r>
        <w:rPr>
          <w:rFonts w:hint="eastAsia" w:ascii="黑体" w:eastAsia="黑体"/>
          <w:b w:val="0"/>
          <w:bCs w:val="0"/>
          <w:color w:val="000000"/>
        </w:rPr>
        <w:fldChar w:fldCharType="end"/>
      </w:r>
    </w:p>
    <w:p>
      <w:pPr>
        <w:pStyle w:val="6"/>
        <w:keepNext w:val="0"/>
        <w:keepLines w:val="0"/>
        <w:pageBreakBefore w:val="0"/>
        <w:widowControl w:val="0"/>
        <w:tabs>
          <w:tab w:val="right" w:leader="dot" w:pos="8296"/>
        </w:tabs>
        <w:kinsoku/>
        <w:wordWrap/>
        <w:overflowPunct/>
        <w:topLinePunct w:val="0"/>
        <w:autoSpaceDE/>
        <w:autoSpaceDN/>
        <w:bidi w:val="0"/>
        <w:spacing w:before="0" w:after="0" w:line="240" w:lineRule="auto"/>
        <w:ind w:left="0" w:firstLine="400" w:firstLineChars="200"/>
        <w:textAlignment w:val="auto"/>
        <w:rPr>
          <w:color w:val="auto"/>
        </w:rPr>
      </w:pPr>
      <w:r>
        <w:rPr>
          <w:rFonts w:hint="eastAsia" w:ascii="仿宋_GB2312" w:eastAsia="仿宋_GB2312" w:cs="仿宋_GB2312"/>
          <w:b w:val="0"/>
          <w:bCs w:val="0"/>
          <w:color w:val="auto"/>
          <w:lang w:eastAsia="zh-CN" w:bidi="ar-SA"/>
        </w:rPr>
        <w:t>阿坝州人民政府办公室</w:t>
      </w:r>
      <w:r>
        <w:rPr>
          <w:rFonts w:hint="eastAsia" w:ascii="仿宋_GB2312" w:eastAsia="仿宋_GB2312" w:cs="仿宋_GB2312"/>
          <w:b w:val="0"/>
          <w:bCs w:val="0"/>
          <w:color w:val="auto"/>
          <w:lang w:bidi="ar-SA"/>
        </w:rPr>
        <w:t>2020年部门整体支出绩效评价报告</w:t>
      </w:r>
      <w:r>
        <w:rPr>
          <w:rFonts w:ascii="Arial" w:hAnsi="Arial" w:eastAsia="黑体" w:cs="Arial"/>
          <w:b w:val="0"/>
          <w:bCs w:val="0"/>
          <w:color w:val="auto"/>
          <w:lang w:bidi="ar-SA"/>
        </w:rPr>
        <w:t>………………………………</w:t>
      </w:r>
      <w:r>
        <w:rPr>
          <w:color w:val="auto"/>
        </w:rPr>
        <w:fldChar w:fldCharType="begin"/>
      </w:r>
      <w:r>
        <w:rPr>
          <w:color w:val="auto"/>
        </w:rPr>
        <w:instrText xml:space="preserve"> PAGEREF _Toc79163880 \h </w:instrText>
      </w:r>
      <w:r>
        <w:rPr>
          <w:color w:val="auto"/>
        </w:rPr>
        <w:fldChar w:fldCharType="separate"/>
      </w:r>
      <w:r>
        <w:rPr>
          <w:color w:val="auto"/>
        </w:rPr>
        <w:t>- 25 -</w:t>
      </w:r>
      <w:r>
        <w:rPr>
          <w:color w:val="auto"/>
        </w:rPr>
        <w:fldChar w:fldCharType="end"/>
      </w:r>
    </w:p>
    <w:p>
      <w:pPr>
        <w:pStyle w:val="6"/>
        <w:tabs>
          <w:tab w:val="right" w:leader="dot" w:pos="8296"/>
        </w:tabs>
        <w:rPr>
          <w:rFonts w:eastAsia="宋体" w:cs="Arial"/>
          <w:b w:val="0"/>
          <w:bCs w:val="0"/>
          <w:sz w:val="21"/>
          <w:szCs w:val="22"/>
          <w:lang w:bidi="ar-SA"/>
        </w:rPr>
      </w:pPr>
      <w:r>
        <w:rPr>
          <w:rFonts w:hint="eastAsia" w:ascii="黑体" w:eastAsia="黑体"/>
          <w:b w:val="0"/>
          <w:bCs w:val="0"/>
          <w:color w:val="000000"/>
        </w:rPr>
        <w:t>第</w:t>
      </w:r>
      <w:r>
        <w:rPr>
          <w:rFonts w:hint="eastAsia" w:ascii="黑体" w:eastAsia="黑体"/>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- 30 -</w:t>
      </w:r>
      <w:r>
        <w:rPr>
          <w:b w:val="0"/>
          <w:bCs w:val="0"/>
        </w:rPr>
        <w:fldChar w:fldCharType="end"/>
      </w:r>
    </w:p>
    <w:p>
      <w:pPr>
        <w:pStyle w:val="12"/>
        <w:tabs>
          <w:tab w:val="right" w:leader="dot" w:pos="8296"/>
        </w:tabs>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_Toc79163886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color w:val="000000"/>
        </w:rPr>
        <w:t>二、收</w:t>
      </w:r>
      <w:r>
        <w:rPr>
          <w:rFonts w:hint="eastAsia" w:ascii="仿宋" w:eastAsia="仿宋"/>
        </w:rPr>
        <w:t>入决算表</w:t>
      </w:r>
      <w:r>
        <w:tab/>
      </w:r>
      <w:r>
        <w:fldChar w:fldCharType="begin"/>
      </w:r>
      <w:r>
        <w:instrText xml:space="preserve"> PAGEREF _Toc79163887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_Toc79163888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_Toc79163889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_Toc79163890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_Toc79163891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_Toc79163892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_Toc79163893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_Toc79163894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十、</w:t>
      </w:r>
      <w:r>
        <w:rPr>
          <w:rFonts w:hint="eastAsia" w:ascii="仿宋" w:eastAsia="仿宋"/>
          <w:color w:val="000000"/>
        </w:rPr>
        <w:t>一</w:t>
      </w:r>
      <w:r>
        <w:rPr>
          <w:rFonts w:hint="eastAsia" w:ascii="仿宋" w:eastAsia="仿宋"/>
        </w:rPr>
        <w:t>般公共预算财政拨款“三公”经费支出决算表</w:t>
      </w:r>
      <w:r>
        <w:tab/>
      </w:r>
      <w:r>
        <w:fldChar w:fldCharType="begin"/>
      </w:r>
      <w:r>
        <w:instrText xml:space="preserve"> PAGEREF _Toc79163895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十一、</w:t>
      </w:r>
      <w:r>
        <w:rPr>
          <w:rFonts w:hint="eastAsia" w:ascii="仿宋" w:eastAsia="仿宋"/>
          <w:color w:val="000000"/>
        </w:rPr>
        <w:t>政</w:t>
      </w:r>
      <w:r>
        <w:rPr>
          <w:rFonts w:hint="eastAsia" w:ascii="仿宋" w:eastAsia="仿宋"/>
        </w:rPr>
        <w:t>府性基金预算财政拨款收入支出决算表</w:t>
      </w:r>
      <w:r>
        <w:tab/>
      </w:r>
      <w:r>
        <w:fldChar w:fldCharType="begin"/>
      </w:r>
      <w:r>
        <w:instrText xml:space="preserve"> PAGEREF _Toc79163896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十二、</w:t>
      </w:r>
      <w:r>
        <w:rPr>
          <w:rFonts w:hint="eastAsia" w:ascii="仿宋" w:eastAsia="仿宋"/>
          <w:color w:val="000000"/>
        </w:rPr>
        <w:t>政</w:t>
      </w:r>
      <w:r>
        <w:rPr>
          <w:rFonts w:hint="eastAsia" w:ascii="仿宋" w:eastAsia="仿宋"/>
        </w:rPr>
        <w:t>府性基金预算财政拨款“三公”经费支出决算表</w:t>
      </w:r>
      <w:r>
        <w:tab/>
      </w:r>
      <w:r>
        <w:fldChar w:fldCharType="begin"/>
      </w:r>
      <w:r>
        <w:instrText xml:space="preserve"> PAGEREF _Toc79163897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十三、</w:t>
      </w:r>
      <w:r>
        <w:rPr>
          <w:rFonts w:hint="eastAsia" w:ascii="仿宋" w:eastAsia="仿宋"/>
          <w:color w:val="000000"/>
        </w:rPr>
        <w:t>国</w:t>
      </w:r>
      <w:r>
        <w:rPr>
          <w:rFonts w:hint="eastAsia" w:ascii="仿宋" w:eastAsia="仿宋"/>
        </w:rPr>
        <w:t>有资本经营预算财政拨款支出决算表</w:t>
      </w:r>
      <w:r>
        <w:tab/>
      </w:r>
      <w:r>
        <w:fldChar w:fldCharType="begin"/>
      </w:r>
      <w:r>
        <w:instrText xml:space="preserve"> PAGEREF _Toc79163898 \h </w:instrText>
      </w:r>
      <w:r>
        <w:fldChar w:fldCharType="separate"/>
      </w:r>
      <w:r>
        <w:t>- 30 -</w:t>
      </w:r>
      <w:r>
        <w:fldChar w:fldCharType="end"/>
      </w:r>
    </w:p>
    <w:p>
      <w:pPr>
        <w:pStyle w:val="12"/>
        <w:tabs>
          <w:tab w:val="right" w:leader="dot" w:pos="8296"/>
        </w:tabs>
        <w:rPr>
          <w:rFonts w:eastAsia="宋体" w:cs="Arial"/>
          <w:sz w:val="21"/>
          <w:szCs w:val="22"/>
          <w:lang w:bidi="ar-SA"/>
        </w:rPr>
      </w:pPr>
      <w:r>
        <w:rPr>
          <w:rFonts w:hint="eastAsia" w:ascii="仿宋" w:eastAsia="仿宋"/>
        </w:rPr>
        <w:t>十四、国有资本经营预算财政拨款支出决算表</w:t>
      </w:r>
      <w:r>
        <w:tab/>
      </w:r>
      <w:r>
        <w:fldChar w:fldCharType="begin"/>
      </w:r>
      <w:r>
        <w:instrText xml:space="preserve"> PAGEREF _Toc79163899 \h </w:instrText>
      </w:r>
      <w:r>
        <w:fldChar w:fldCharType="separate"/>
      </w:r>
      <w:r>
        <w:t>- 30 -</w:t>
      </w:r>
      <w:r>
        <w:fldChar w:fldCharType="end"/>
      </w:r>
    </w:p>
    <w:p>
      <w:pPr>
        <w:widowControl/>
        <w:adjustRightInd w:val="0"/>
        <w:snapToGrid w:val="0"/>
        <w:spacing w:line="440" w:lineRule="exact"/>
        <w:ind w:firstLine="1101" w:firstLineChars="550"/>
        <w:jc w:val="left"/>
        <w:rPr>
          <w:rFonts w:hint="eastAsia" w:ascii="仿宋" w:eastAsia="仿宋"/>
          <w:color w:val="FF0000"/>
          <w:sz w:val="24"/>
        </w:rPr>
      </w:pPr>
      <w:r>
        <w:rPr>
          <w:rFonts w:ascii="Calibri" w:hAnsi="Calibri" w:eastAsia="Calibri"/>
          <w:b/>
          <w:bCs/>
          <w:caps/>
          <w:smallCaps w:val="0"/>
          <w:sz w:val="20"/>
          <w:szCs w:val="20"/>
        </w:rPr>
        <w:fldChar w:fldCharType="end"/>
      </w:r>
    </w:p>
    <w:p>
      <w:pPr>
        <w:widowControl/>
        <w:spacing w:line="440" w:lineRule="exact"/>
        <w:jc w:val="left"/>
        <w:rPr>
          <w:rFonts w:hint="eastAsia" w:ascii="仿宋" w:eastAsia="仿宋"/>
          <w:bCs/>
          <w:kern w:val="44"/>
          <w:sz w:val="24"/>
        </w:rPr>
      </w:pPr>
      <w:bookmarkStart w:id="12" w:name="_Toc15377196"/>
      <w:bookmarkStart w:id="13" w:name="_Toc15396599"/>
      <w:r>
        <w:rPr>
          <w:rFonts w:hint="eastAsia" w:ascii="仿宋" w:eastAsia="仿宋"/>
          <w:b/>
          <w:sz w:val="24"/>
        </w:rPr>
        <w:br w:type="page"/>
      </w:r>
    </w:p>
    <w:p>
      <w:pPr>
        <w:pStyle w:val="2"/>
        <w:adjustRightInd w:val="0"/>
        <w:snapToGrid w:val="0"/>
        <w:spacing w:before="0" w:after="0" w:line="560" w:lineRule="exact"/>
        <w:jc w:val="center"/>
        <w:rPr>
          <w:rStyle w:val="17"/>
          <w:rFonts w:hint="eastAsia" w:ascii="方正小标宋简体" w:eastAsia="方正小标宋简体"/>
          <w:b/>
          <w:bCs/>
        </w:rPr>
      </w:pPr>
      <w:bookmarkStart w:id="14" w:name="_Toc79163851"/>
      <w:bookmarkStart w:id="15" w:name="_Toc79163601"/>
      <w:r>
        <w:rPr>
          <w:rFonts w:hint="eastAsia" w:ascii="方正小标宋简体" w:eastAsia="方正小标宋简体"/>
          <w:b w:val="0"/>
        </w:rPr>
        <w:t xml:space="preserve">第一部分 </w:t>
      </w:r>
      <w:r>
        <w:rPr>
          <w:rStyle w:val="17"/>
          <w:rFonts w:hint="eastAsia" w:ascii="方正小标宋简体" w:eastAsia="方正小标宋简体"/>
          <w:b/>
          <w:bCs/>
        </w:rPr>
        <w:t>部门概况</w:t>
      </w:r>
      <w:bookmarkEnd w:id="12"/>
      <w:bookmarkEnd w:id="13"/>
      <w:bookmarkEnd w:id="14"/>
      <w:bookmarkEnd w:id="15"/>
    </w:p>
    <w:p>
      <w:pPr>
        <w:widowControl/>
        <w:adjustRightInd w:val="0"/>
        <w:snapToGrid w:val="0"/>
        <w:spacing w:line="560" w:lineRule="exact"/>
        <w:jc w:val="left"/>
        <w:rPr>
          <w:rFonts w:hint="eastAsia" w:ascii="黑体" w:eastAsia="黑体"/>
          <w:color w:val="000000"/>
          <w:sz w:val="32"/>
          <w:szCs w:val="32"/>
        </w:rPr>
      </w:pPr>
    </w:p>
    <w:p>
      <w:pPr>
        <w:pStyle w:val="3"/>
        <w:adjustRightInd w:val="0"/>
        <w:snapToGrid w:val="0"/>
        <w:spacing w:before="0" w:after="0" w:line="560" w:lineRule="exact"/>
        <w:ind w:firstLine="640" w:firstLineChars="200"/>
        <w:rPr>
          <w:rStyle w:val="18"/>
          <w:rFonts w:hint="eastAsia" w:ascii="仿宋" w:eastAsia="仿宋"/>
          <w:b/>
          <w:bCs/>
        </w:rPr>
      </w:pPr>
      <w:bookmarkStart w:id="16" w:name="_Toc15377197"/>
      <w:bookmarkStart w:id="17" w:name="_Toc79163852"/>
      <w:bookmarkStart w:id="18" w:name="_Toc79163602"/>
      <w:bookmarkStart w:id="19" w:name="_Toc15396600"/>
      <w:r>
        <w:rPr>
          <w:rFonts w:hint="eastAsia" w:ascii="黑体" w:eastAsia="黑体"/>
          <w:b w:val="0"/>
          <w:color w:val="000000"/>
        </w:rPr>
        <w:t>一、基</w:t>
      </w:r>
      <w:r>
        <w:rPr>
          <w:rStyle w:val="18"/>
          <w:rFonts w:hint="eastAsia" w:ascii="黑体" w:eastAsia="黑体"/>
          <w:b/>
          <w:bCs/>
        </w:rPr>
        <w:t>本职能及主要工作</w:t>
      </w:r>
      <w:bookmarkEnd w:id="16"/>
      <w:bookmarkEnd w:id="17"/>
      <w:bookmarkEnd w:id="18"/>
      <w:bookmarkEnd w:id="19"/>
    </w:p>
    <w:p>
      <w:pPr>
        <w:pStyle w:val="5"/>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20" w:name="_Toc79163603"/>
      <w:bookmarkStart w:id="21" w:name="_Toc79163853"/>
      <w:bookmarkStart w:id="22" w:name="_Toc15377198"/>
      <w:bookmarkStart w:id="23" w:name="_Toc15378445"/>
      <w:r>
        <w:rPr>
          <w:rFonts w:hint="eastAsia" w:ascii="仿宋" w:eastAsia="仿宋"/>
          <w:b/>
          <w:bCs/>
          <w:color w:val="000000"/>
          <w:sz w:val="32"/>
          <w:szCs w:val="32"/>
        </w:rPr>
        <w:t>（一）主要职能。</w:t>
      </w:r>
      <w:bookmarkEnd w:id="20"/>
      <w:bookmarkEnd w:id="21"/>
    </w:p>
    <w:bookmarkEnd w:id="22"/>
    <w:bookmarkEnd w:id="23"/>
    <w:p>
      <w:pPr>
        <w:autoSpaceDE w:val="0"/>
        <w:autoSpaceDN w:val="0"/>
        <w:adjustRightInd w:val="0"/>
        <w:ind w:firstLine="640" w:firstLineChars="200"/>
        <w:jc w:val="left"/>
        <w:rPr>
          <w:rFonts w:ascii="仿宋" w:eastAsia="仿宋" w:cs="仿宋_GB2312"/>
          <w:color w:val="000000"/>
          <w:kern w:val="0"/>
          <w:sz w:val="32"/>
          <w:szCs w:val="32"/>
        </w:rPr>
      </w:pPr>
      <w:r>
        <w:rPr>
          <w:rFonts w:hint="eastAsia" w:ascii="仿宋" w:eastAsia="仿宋" w:cs="仿宋_GB2312"/>
          <w:color w:val="000000"/>
          <w:kern w:val="0"/>
          <w:sz w:val="32"/>
          <w:szCs w:val="32"/>
        </w:rPr>
        <w:t>贯彻执行国家和省有关防震减灾工作的方针、政策、法律、规范和标准；组织起草有关法规，制定防震减灾发展中长期规划</w:t>
      </w:r>
      <w:r>
        <w:rPr>
          <w:rFonts w:ascii="仿宋" w:eastAsia="仿宋" w:cs="仿宋_GB2312"/>
          <w:color w:val="000000"/>
          <w:kern w:val="0"/>
          <w:sz w:val="32"/>
          <w:szCs w:val="32"/>
        </w:rPr>
        <w:t>,</w:t>
      </w:r>
      <w:r>
        <w:rPr>
          <w:rFonts w:hint="eastAsia" w:ascii="仿宋" w:eastAsia="仿宋" w:cs="仿宋_GB2312"/>
          <w:color w:val="000000"/>
          <w:kern w:val="0"/>
          <w:sz w:val="32"/>
          <w:szCs w:val="32"/>
        </w:rPr>
        <w:t>编制防震减灾工作年度计划并组织实施。负责地震台网的规划、建设和管理。负责地震监测设施及其观测环境保护工作的监督、检查指导和协调。负责地震监测预报工作和地震震情速报工作的管理和指导。负责地震灾情速报、地震现场考察、地震灾害损失评估等工作，参与制定地震灾区重建规划。负责地震应急工作的管理、指导，制定应急预案、落实应急措施，开展震后各项应急工作。负责重大建设工程和可能产生严重次生灾害工程的地震安全性评价管理工作；负责全县抗震设防要求的监督和管理，指导农村房屋抗震设防。负责开展防震减灾科普知识宣传教育工作，</w:t>
      </w:r>
      <w:r>
        <w:rPr>
          <w:rFonts w:ascii="仿宋" w:eastAsia="仿宋" w:cs="仿宋_GB2312"/>
          <w:color w:val="000000"/>
          <w:kern w:val="0"/>
          <w:sz w:val="32"/>
          <w:szCs w:val="32"/>
        </w:rPr>
        <w:t xml:space="preserve"> </w:t>
      </w:r>
      <w:r>
        <w:rPr>
          <w:rFonts w:hint="eastAsia" w:ascii="仿宋" w:eastAsia="仿宋" w:cs="仿宋_GB2312"/>
          <w:color w:val="000000"/>
          <w:kern w:val="0"/>
          <w:sz w:val="32"/>
          <w:szCs w:val="32"/>
        </w:rPr>
        <w:t>提高全民防震减灾意识。负责群测群防“三网一员”建设的管理、指导。负责防震减灾科技成果的推广应用，提高防震减灾科技水平。负责县政府防震减灾领导小组办公室的日常工作，发生破坏性地震后履行政府抗震救灾指挥机构办事部门的职责。负责承办县委、县人民政府、县应急管理事务中心和上级业务主管部门交办的事项。</w:t>
      </w:r>
    </w:p>
    <w:p>
      <w:pPr>
        <w:keepNext w:val="0"/>
        <w:keepLines w:val="0"/>
        <w:pageBreakBefore w:val="0"/>
        <w:widowControl w:val="0"/>
        <w:kinsoku/>
        <w:wordWrap/>
        <w:overflowPunct/>
        <w:topLinePunct w:val="0"/>
        <w:bidi w:val="0"/>
        <w:adjustRightInd w:val="0"/>
        <w:snapToGrid w:val="0"/>
        <w:spacing w:line="560" w:lineRule="exact"/>
        <w:ind w:right="0" w:firstLine="640" w:firstLineChars="200"/>
        <w:textAlignment w:val="auto"/>
        <w:outlineLvl w:val="9"/>
        <w:rPr>
          <w:rFonts w:hint="eastAsia" w:ascii="仿宋" w:eastAsia="仿宋"/>
          <w:sz w:val="32"/>
          <w:szCs w:val="32"/>
        </w:rPr>
      </w:pPr>
    </w:p>
    <w:p>
      <w:pPr>
        <w:pStyle w:val="5"/>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24" w:name="_Toc79163854"/>
      <w:bookmarkStart w:id="25" w:name="_Toc15378446"/>
      <w:bookmarkStart w:id="26" w:name="_Toc79163604"/>
      <w:bookmarkStart w:id="27" w:name="_Toc15377199"/>
      <w:r>
        <w:rPr>
          <w:rFonts w:hint="eastAsia" w:ascii="仿宋" w:eastAsia="仿宋"/>
          <w:b/>
          <w:bCs/>
          <w:color w:val="000000"/>
          <w:sz w:val="32"/>
          <w:szCs w:val="32"/>
        </w:rPr>
        <w:t>（二）202</w:t>
      </w:r>
      <w:r>
        <w:rPr>
          <w:rFonts w:ascii="仿宋" w:eastAsia="仿宋"/>
          <w:b/>
          <w:bCs/>
          <w:color w:val="000000"/>
          <w:sz w:val="32"/>
          <w:szCs w:val="32"/>
        </w:rPr>
        <w:t>1</w:t>
      </w:r>
      <w:r>
        <w:rPr>
          <w:rFonts w:hint="eastAsia" w:ascii="仿宋" w:eastAsia="仿宋"/>
          <w:b/>
          <w:bCs/>
          <w:color w:val="000000"/>
          <w:sz w:val="32"/>
          <w:szCs w:val="32"/>
        </w:rPr>
        <w:t>年重点工作完成情况。</w:t>
      </w:r>
      <w:bookmarkEnd w:id="24"/>
      <w:bookmarkEnd w:id="25"/>
      <w:bookmarkEnd w:id="26"/>
      <w:bookmarkEnd w:id="27"/>
    </w:p>
    <w:p>
      <w:pPr>
        <w:adjustRightInd w:val="0"/>
        <w:snapToGrid w:val="0"/>
        <w:spacing w:line="560" w:lineRule="exact"/>
        <w:ind w:firstLine="640" w:firstLineChars="200"/>
        <w:textAlignment w:val="baseline"/>
        <w:rPr>
          <w:rFonts w:hint="eastAsia" w:ascii="黑体" w:eastAsia="黑体"/>
          <w:bCs/>
          <w:color w:val="000000"/>
          <w:sz w:val="32"/>
          <w:szCs w:val="32"/>
        </w:rPr>
      </w:pPr>
      <w:bookmarkStart w:id="28" w:name="_Toc15377200"/>
      <w:bookmarkStart w:id="29" w:name="_Toc79163855"/>
      <w:bookmarkStart w:id="30" w:name="_Toc15396601"/>
      <w:bookmarkStart w:id="31" w:name="_Toc79163605"/>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机</w:t>
      </w:r>
      <w:r>
        <w:rPr>
          <w:rStyle w:val="18"/>
          <w:rFonts w:hint="eastAsia" w:ascii="黑体" w:eastAsia="黑体"/>
          <w:b w:val="0"/>
          <w:bCs w:val="0"/>
        </w:rPr>
        <w:t>构设置</w:t>
      </w:r>
      <w:bookmarkEnd w:id="28"/>
      <w:bookmarkEnd w:id="29"/>
      <w:bookmarkEnd w:id="30"/>
      <w:bookmarkEnd w:id="31"/>
    </w:p>
    <w:p>
      <w:pPr>
        <w:widowControl/>
        <w:spacing w:line="560" w:lineRule="exact"/>
        <w:ind w:left="0" w:firstLine="640" w:firstLineChars="200"/>
        <w:jc w:val="left"/>
        <w:rPr>
          <w:rFonts w:hint="eastAsia" w:ascii="仿宋" w:hAnsi="仿宋" w:eastAsia="仿宋_GB2312"/>
          <w:color w:val="000000"/>
          <w:kern w:val="0"/>
          <w:sz w:val="32"/>
          <w:szCs w:val="32"/>
          <w:lang w:eastAsia="zh-CN"/>
        </w:rPr>
      </w:pPr>
      <w:r>
        <w:rPr>
          <w:rFonts w:hint="eastAsia" w:ascii="仿宋" w:eastAsia="仿宋"/>
          <w:sz w:val="32"/>
          <w:szCs w:val="32"/>
        </w:rPr>
        <w:t>2021年机构为1个，</w:t>
      </w:r>
      <w:r>
        <w:rPr>
          <w:rFonts w:ascii="仿宋" w:eastAsia="仿宋"/>
          <w:sz w:val="32"/>
          <w:szCs w:val="32"/>
        </w:rPr>
        <w:t>本年由编办核定</w:t>
      </w:r>
      <w:r>
        <w:rPr>
          <w:rFonts w:hint="eastAsia" w:ascii="仿宋" w:eastAsia="仿宋"/>
          <w:sz w:val="32"/>
          <w:szCs w:val="32"/>
        </w:rPr>
        <w:t>编制6</w:t>
      </w:r>
      <w:r>
        <w:rPr>
          <w:rFonts w:ascii="仿宋" w:eastAsia="仿宋"/>
          <w:sz w:val="32"/>
          <w:szCs w:val="32"/>
        </w:rPr>
        <w:t>个</w:t>
      </w:r>
      <w:r>
        <w:rPr>
          <w:rFonts w:hint="eastAsia" w:ascii="仿宋" w:eastAsia="仿宋"/>
          <w:sz w:val="32"/>
          <w:szCs w:val="32"/>
        </w:rPr>
        <w:t>；</w:t>
      </w:r>
      <w:r>
        <w:rPr>
          <w:rFonts w:ascii="仿宋" w:eastAsia="仿宋"/>
          <w:sz w:val="32"/>
          <w:szCs w:val="32"/>
        </w:rPr>
        <w:t>年末实际在职</w:t>
      </w:r>
      <w:r>
        <w:rPr>
          <w:rFonts w:hint="eastAsia" w:ascii="仿宋" w:eastAsia="仿宋"/>
          <w:sz w:val="32"/>
          <w:szCs w:val="32"/>
        </w:rPr>
        <w:t>8</w:t>
      </w:r>
      <w:r>
        <w:rPr>
          <w:rFonts w:ascii="仿宋" w:eastAsia="仿宋"/>
          <w:sz w:val="32"/>
          <w:szCs w:val="32"/>
        </w:rPr>
        <w:t>个</w:t>
      </w:r>
      <w:r>
        <w:rPr>
          <w:rFonts w:hint="eastAsia" w:ascii="仿宋" w:eastAsia="仿宋"/>
          <w:sz w:val="32"/>
          <w:szCs w:val="32"/>
        </w:rPr>
        <w:t>，退休人员为0个。</w:t>
      </w:r>
      <w:r>
        <w:rPr>
          <w:rFonts w:hint="eastAsia" w:ascii="仿宋_GB2312" w:eastAsia="仿宋_GB2312"/>
          <w:color w:val="000000"/>
          <w:sz w:val="32"/>
          <w:szCs w:val="32"/>
          <w:lang w:eastAsia="zh-CN"/>
        </w:rPr>
        <w:t>。</w:t>
      </w:r>
    </w:p>
    <w:p>
      <w:pPr>
        <w:spacing w:line="560" w:lineRule="exact"/>
        <w:ind w:left="0"/>
      </w:pPr>
    </w:p>
    <w:p>
      <w:pPr>
        <w:pStyle w:val="2"/>
        <w:spacing w:before="0" w:after="0" w:line="560" w:lineRule="exact"/>
        <w:ind w:left="0"/>
        <w:jc w:val="center"/>
        <w:rPr>
          <w:rFonts w:hint="eastAsia" w:ascii="方正小标宋简体" w:eastAsia="方正小标宋简体"/>
        </w:rPr>
      </w:pPr>
      <w:bookmarkStart w:id="32" w:name="_Toc15396602"/>
      <w:bookmarkStart w:id="33" w:name="_Toc15377204"/>
      <w:bookmarkStart w:id="34" w:name="_Toc79163609"/>
      <w:bookmarkStart w:id="35" w:name="_Toc79163859"/>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7"/>
          <w:rFonts w:hint="eastAsia" w:ascii="方正小标宋简体" w:eastAsia="方正小标宋简体"/>
          <w:b/>
          <w:bCs/>
        </w:rPr>
        <w:t>202</w:t>
      </w:r>
      <w:r>
        <w:rPr>
          <w:rStyle w:val="17"/>
          <w:rFonts w:ascii="方正小标宋简体" w:eastAsia="方正小标宋简体"/>
          <w:b/>
          <w:bCs/>
        </w:rPr>
        <w:t>1</w:t>
      </w:r>
      <w:r>
        <w:rPr>
          <w:rStyle w:val="17"/>
          <w:rFonts w:hint="eastAsia" w:ascii="方正小标宋简体" w:eastAsia="方正小标宋简体"/>
          <w:b/>
          <w:bCs/>
        </w:rPr>
        <w:t>年度部门决算情况说明</w:t>
      </w:r>
      <w:bookmarkEnd w:id="32"/>
      <w:bookmarkEnd w:id="33"/>
      <w:bookmarkEnd w:id="34"/>
      <w:bookmarkEnd w:id="35"/>
    </w:p>
    <w:p>
      <w:pPr>
        <w:pStyle w:val="19"/>
        <w:spacing w:line="560" w:lineRule="exact"/>
        <w:ind w:firstLine="640" w:firstLineChars="200"/>
        <w:outlineLvl w:val="1"/>
        <w:rPr>
          <w:rFonts w:hint="eastAsia" w:ascii="黑体" w:eastAsia="黑体"/>
          <w:color w:val="000000"/>
          <w:sz w:val="32"/>
          <w:szCs w:val="32"/>
        </w:rPr>
      </w:pPr>
      <w:bookmarkStart w:id="36" w:name="_Toc79163610"/>
      <w:bookmarkStart w:id="37" w:name="_Toc15377205"/>
      <w:bookmarkStart w:id="38" w:name="_Toc79163860"/>
      <w:bookmarkStart w:id="39" w:name="_Toc15396603"/>
    </w:p>
    <w:p>
      <w:pPr>
        <w:pStyle w:val="19"/>
        <w:spacing w:line="560" w:lineRule="exact"/>
        <w:ind w:firstLine="640" w:firstLineChars="200"/>
        <w:outlineLvl w:val="1"/>
        <w:rPr>
          <w:rStyle w:val="18"/>
          <w:rFonts w:hint="eastAsia" w:ascii="黑体" w:eastAsia="黑体"/>
          <w:b w:val="0"/>
        </w:rPr>
      </w:pPr>
      <w:r>
        <w:rPr>
          <w:rFonts w:hint="eastAsia" w:ascii="黑体" w:eastAsia="黑体"/>
          <w:color w:val="000000"/>
          <w:sz w:val="32"/>
          <w:szCs w:val="32"/>
        </w:rPr>
        <w:t>一、收</w:t>
      </w:r>
      <w:r>
        <w:rPr>
          <w:rStyle w:val="18"/>
          <w:rFonts w:hint="eastAsia" w:ascii="黑体" w:eastAsia="黑体"/>
          <w:b w:val="0"/>
        </w:rPr>
        <w:t>入支出决算总体情况说明</w:t>
      </w:r>
      <w:bookmarkEnd w:id="36"/>
      <w:bookmarkEnd w:id="37"/>
      <w:bookmarkEnd w:id="38"/>
      <w:bookmarkEnd w:id="39"/>
    </w:p>
    <w:p>
      <w:pPr>
        <w:spacing w:line="560" w:lineRule="exact"/>
        <w:ind w:left="0" w:firstLine="640" w:firstLineChars="200"/>
        <w:rPr>
          <w:rFonts w:hint="eastAsia" w:ascii="仿宋" w:eastAsia="仿宋"/>
          <w:color w:val="000000"/>
          <w:sz w:val="32"/>
          <w:szCs w:val="32"/>
          <w:lang w:val="en-US" w:eastAsia="zh-CN"/>
        </w:rPr>
      </w:pPr>
      <w:r>
        <w:rPr>
          <w:rFonts w:ascii="仿宋_GB2312" w:hAnsi="仿宋_GB2312"/>
          <w:sz w:val="32"/>
          <w:szCs w:val="32"/>
        </w:rPr>
        <w:t>20</w:t>
      </w:r>
      <w:r>
        <w:rPr>
          <w:rFonts w:hint="eastAsia" w:ascii="仿宋_GB2312" w:hAnsi="仿宋_GB2312"/>
          <w:sz w:val="32"/>
          <w:szCs w:val="32"/>
        </w:rPr>
        <w:t>2</w:t>
      </w:r>
      <w:r>
        <w:rPr>
          <w:rFonts w:ascii="仿宋_GB2312" w:hAnsi="仿宋_GB2312"/>
          <w:sz w:val="32"/>
          <w:szCs w:val="32"/>
        </w:rPr>
        <w:t>1</w:t>
      </w:r>
      <w:r>
        <w:rPr>
          <w:rFonts w:hint="eastAsia" w:ascii="仿宋_GB2312" w:hAnsi="仿宋_GB2312"/>
          <w:sz w:val="32"/>
          <w:szCs w:val="32"/>
        </w:rPr>
        <w:t>年一般公共预算财政拨款收入156.6万元，比</w:t>
      </w:r>
      <w:r>
        <w:rPr>
          <w:rFonts w:ascii="仿宋_GB2312" w:hAnsi="仿宋_GB2312"/>
          <w:sz w:val="32"/>
          <w:szCs w:val="32"/>
        </w:rPr>
        <w:t>2020</w:t>
      </w:r>
      <w:r>
        <w:rPr>
          <w:rFonts w:hint="eastAsia" w:ascii="仿宋_GB2312" w:hAnsi="仿宋_GB2312"/>
          <w:sz w:val="32"/>
          <w:szCs w:val="32"/>
        </w:rPr>
        <w:t>年增加18.75万元，原因是：人员经费增加</w:t>
      </w:r>
      <w:r>
        <w:rPr>
          <w:rFonts w:hint="eastAsia" w:ascii="仿宋" w:eastAsia="仿宋"/>
          <w:color w:val="000000"/>
          <w:sz w:val="32"/>
          <w:szCs w:val="32"/>
          <w:lang w:val="en-US" w:eastAsia="zh-CN"/>
        </w:rPr>
        <w:t>。</w:t>
      </w:r>
    </w:p>
    <w:p>
      <w:pPr>
        <w:spacing w:line="600" w:lineRule="exact"/>
        <w:rPr>
          <w:rFonts w:hint="eastAsia" w:ascii="黑体" w:eastAsia="黑体" w:cs="Times New Roman"/>
          <w:color w:val="000000"/>
          <w:kern w:val="2"/>
          <w:sz w:val="32"/>
          <w:szCs w:val="32"/>
          <w:lang w:val="en-US" w:eastAsia="zh-CN" w:bidi="ar-SA"/>
        </w:rPr>
      </w:pPr>
      <w:bookmarkStart w:id="40" w:name="_Toc79163611"/>
      <w:bookmarkStart w:id="41" w:name="_Toc79163861"/>
      <w:bookmarkStart w:id="42" w:name="_Toc15377206"/>
      <w:bookmarkStart w:id="43" w:name="_Toc15396604"/>
      <w:r>
        <w:rPr>
          <w:rFonts w:ascii="仿宋" w:eastAsia="仿宋"/>
          <w:color w:val="000000"/>
          <w:sz w:val="32"/>
          <w:szCs w:val="32"/>
          <w:lang w:val="en-US" w:eastAsia="zh-CN"/>
        </w:rPr>
        <w:drawing>
          <wp:anchor distT="0" distB="0" distL="114300" distR="114300" simplePos="0" relativeHeight="1024" behindDoc="0" locked="0" layoutInCell="1" allowOverlap="1">
            <wp:simplePos x="0" y="0"/>
            <wp:positionH relativeFrom="column">
              <wp:posOffset>253365</wp:posOffset>
            </wp:positionH>
            <wp:positionV relativeFrom="paragraph">
              <wp:posOffset>149225</wp:posOffset>
            </wp:positionV>
            <wp:extent cx="4341495" cy="2018665"/>
            <wp:effectExtent l="0" t="0" r="29" b="32"/>
            <wp:wrapSquare wrapText="bothSides"/>
            <wp:docPr id="1"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 2"/>
                    <pic:cNvPicPr>
                      <a:picLocks noChangeAspect="1"/>
                    </pic:cNvPicPr>
                  </pic:nvPicPr>
                  <pic:blipFill>
                    <a:blip r:embed="rId8"/>
                    <a:stretch>
                      <a:fillRect/>
                    </a:stretch>
                  </pic:blipFill>
                  <pic:spPr>
                    <a:xfrm>
                      <a:off x="0" y="0"/>
                      <a:ext cx="4341495" cy="2018665"/>
                    </a:xfrm>
                    <a:prstGeom prst="rect">
                      <a:avLst/>
                    </a:prstGeom>
                    <a:noFill/>
                    <a:ln w="9525" cap="flat" cmpd="sng">
                      <a:noFill/>
                      <a:prstDash val="solid"/>
                      <a:miter/>
                    </a:ln>
                  </pic:spPr>
                </pic:pic>
              </a:graphicData>
            </a:graphic>
          </wp:anchor>
        </w:drawing>
      </w: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600" w:lineRule="exact"/>
        <w:rPr>
          <w:rFonts w:hint="eastAsia" w:ascii="黑体" w:eastAsia="黑体" w:cs="Times New Roman"/>
          <w:color w:val="000000"/>
          <w:kern w:val="2"/>
          <w:sz w:val="32"/>
          <w:szCs w:val="32"/>
          <w:lang w:val="en-US" w:eastAsia="zh-CN" w:bidi="ar-SA"/>
        </w:rPr>
      </w:pPr>
    </w:p>
    <w:p>
      <w:pPr>
        <w:spacing w:line="560" w:lineRule="exact"/>
        <w:ind w:firstLine="640" w:firstLineChars="200"/>
        <w:rPr>
          <w:rFonts w:hint="eastAsia" w:ascii="仿宋" w:eastAsia="仿宋"/>
          <w:color w:val="000000"/>
          <w:sz w:val="32"/>
          <w:szCs w:val="32"/>
        </w:rPr>
      </w:pPr>
      <w:r>
        <w:rPr>
          <w:rFonts w:hint="eastAsia" w:ascii="黑体" w:eastAsia="黑体" w:cs="Times New Roman"/>
          <w:color w:val="000000"/>
          <w:kern w:val="2"/>
          <w:sz w:val="32"/>
          <w:szCs w:val="32"/>
          <w:lang w:val="en-US" w:eastAsia="zh-CN" w:bidi="ar-SA"/>
        </w:rPr>
        <w:t>二、收入决算情况说明</w:t>
      </w:r>
      <w:bookmarkEnd w:id="40"/>
      <w:bookmarkEnd w:id="41"/>
      <w:bookmarkEnd w:id="42"/>
      <w:bookmarkEnd w:id="43"/>
    </w:p>
    <w:p>
      <w:pPr>
        <w:pStyle w:val="22"/>
        <w:jc w:val="both"/>
        <w:rPr>
          <w:rFonts w:hint="eastAsia" w:ascii="仿宋_GB2312"/>
          <w:sz w:val="32"/>
          <w:szCs w:val="32"/>
        </w:rPr>
      </w:pPr>
      <w:bookmarkStart w:id="44" w:name="_Toc15377207"/>
      <w:bookmarkStart w:id="45" w:name="_Toc15396605"/>
      <w:bookmarkStart w:id="46" w:name="_Toc79163612"/>
      <w:bookmarkStart w:id="47" w:name="_Toc79163862"/>
      <w:r>
        <w:rPr>
          <w:rFonts w:ascii="仿宋_GB2312"/>
          <w:sz w:val="32"/>
          <w:szCs w:val="32"/>
        </w:rPr>
        <w:t>20</w:t>
      </w:r>
      <w:r>
        <w:rPr>
          <w:rFonts w:hint="eastAsia" w:ascii="仿宋_GB2312"/>
          <w:sz w:val="32"/>
          <w:szCs w:val="32"/>
        </w:rPr>
        <w:t>2</w:t>
      </w:r>
      <w:r>
        <w:rPr>
          <w:rFonts w:ascii="仿宋_GB2312"/>
          <w:sz w:val="32"/>
          <w:szCs w:val="32"/>
        </w:rPr>
        <w:t>1</w:t>
      </w:r>
      <w:r>
        <w:rPr>
          <w:rFonts w:hint="eastAsia" w:ascii="仿宋_GB2312"/>
          <w:sz w:val="32"/>
          <w:szCs w:val="32"/>
        </w:rPr>
        <w:t>年一般公共预算财政拨款收入156.6万元，比上年增加18.75万元，原因是：人员经费增加，主要为以下方面</w:t>
      </w:r>
      <w:r>
        <w:rPr>
          <w:rFonts w:ascii="仿宋_GB2312"/>
          <w:sz w:val="32"/>
          <w:szCs w:val="32"/>
        </w:rPr>
        <w:t>:</w:t>
      </w:r>
      <w:r>
        <w:rPr>
          <w:rFonts w:hint="eastAsia" w:ascii="仿宋_GB2312"/>
          <w:sz w:val="32"/>
          <w:szCs w:val="32"/>
        </w:rPr>
        <w:t>一般公共服务支出 123.74 万元，占79.02</w:t>
      </w:r>
      <w:r>
        <w:rPr>
          <w:rFonts w:ascii="仿宋_GB2312"/>
          <w:sz w:val="32"/>
          <w:szCs w:val="32"/>
        </w:rPr>
        <w:t>%</w:t>
      </w:r>
      <w:r>
        <w:rPr>
          <w:rFonts w:hint="eastAsia" w:ascii="仿宋_GB2312"/>
          <w:sz w:val="32"/>
          <w:szCs w:val="32"/>
        </w:rPr>
        <w:t>；社会保障和就业支出15.21万元，占9.71</w:t>
      </w:r>
      <w:r>
        <w:rPr>
          <w:rFonts w:ascii="仿宋_GB2312"/>
          <w:sz w:val="32"/>
          <w:szCs w:val="32"/>
        </w:rPr>
        <w:t>%</w:t>
      </w:r>
      <w:r>
        <w:rPr>
          <w:rFonts w:hint="eastAsia" w:ascii="仿宋_GB2312"/>
          <w:sz w:val="32"/>
          <w:szCs w:val="32"/>
        </w:rPr>
        <w:t>；医疗卫生与计划生育支出6.04万元，占2.86</w:t>
      </w:r>
      <w:r>
        <w:rPr>
          <w:rFonts w:ascii="仿宋_GB2312"/>
          <w:sz w:val="32"/>
          <w:szCs w:val="32"/>
        </w:rPr>
        <w:t>%</w:t>
      </w:r>
      <w:r>
        <w:rPr>
          <w:rFonts w:hint="eastAsia" w:ascii="仿宋_GB2312"/>
          <w:sz w:val="32"/>
          <w:szCs w:val="32"/>
        </w:rPr>
        <w:t>；住房保障支出11.61万元，占7.01</w:t>
      </w:r>
      <w:r>
        <w:rPr>
          <w:rFonts w:ascii="仿宋_GB2312"/>
          <w:sz w:val="32"/>
          <w:szCs w:val="32"/>
        </w:rPr>
        <w:t>%</w:t>
      </w:r>
      <w:r>
        <w:rPr>
          <w:rFonts w:hint="eastAsia" w:ascii="仿宋_GB2312"/>
          <w:sz w:val="32"/>
          <w:szCs w:val="32"/>
        </w:rPr>
        <w:t>。项目支出2.2万元，占1.4%</w:t>
      </w:r>
    </w:p>
    <w:p>
      <w:pPr>
        <w:spacing w:line="560" w:lineRule="exact"/>
        <w:ind w:firstLine="640" w:firstLineChars="200"/>
        <w:rPr>
          <w:rFonts w:hint="eastAsia" w:ascii="仿宋" w:eastAsia="仿宋"/>
          <w:color w:val="000000"/>
          <w:sz w:val="32"/>
          <w:szCs w:val="32"/>
        </w:rPr>
      </w:pPr>
      <w:r>
        <w:rPr>
          <w:rFonts w:hint="eastAsia" w:ascii="仿宋" w:eastAsia="仿宋"/>
          <w:color w:val="000000"/>
          <w:sz w:val="32"/>
          <w:szCs w:val="32"/>
        </w:rPr>
        <w:t>。</w:t>
      </w:r>
    </w:p>
    <w:p>
      <w:pPr>
        <w:spacing w:line="600" w:lineRule="exact"/>
        <w:rPr>
          <w:rFonts w:hint="eastAsia" w:ascii="仿宋_GB2312" w:eastAsia="仿宋_GB2312"/>
          <w:color w:val="FF0000"/>
          <w:sz w:val="32"/>
          <w:szCs w:val="32"/>
          <w:lang w:val="en-US" w:eastAsia="zh-CN"/>
        </w:rPr>
      </w:pPr>
      <w:r>
        <w:rPr>
          <w:rFonts w:ascii="仿宋_GB2312" w:eastAsia="仿宋_GB2312"/>
          <w:color w:val="FF0000"/>
          <w:sz w:val="32"/>
          <w:szCs w:val="32"/>
          <w:lang w:val="en-US" w:eastAsia="zh-CN"/>
        </w:rPr>
        <w:drawing>
          <wp:anchor distT="0" distB="0" distL="114300" distR="114300" simplePos="0" relativeHeight="1024" behindDoc="0" locked="0" layoutInCell="1" allowOverlap="1">
            <wp:simplePos x="0" y="0"/>
            <wp:positionH relativeFrom="column">
              <wp:posOffset>241300</wp:posOffset>
            </wp:positionH>
            <wp:positionV relativeFrom="paragraph">
              <wp:posOffset>290195</wp:posOffset>
            </wp:positionV>
            <wp:extent cx="5185410" cy="2293620"/>
            <wp:effectExtent l="0" t="0" r="16" b="35"/>
            <wp:wrapSquare wrapText="bothSides"/>
            <wp:docPr id="4"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ject 3"/>
                    <pic:cNvPicPr>
                      <a:picLocks noChangeAspect="1"/>
                    </pic:cNvPicPr>
                  </pic:nvPicPr>
                  <pic:blipFill>
                    <a:blip r:embed="rId8"/>
                    <a:stretch>
                      <a:fillRect/>
                    </a:stretch>
                  </pic:blipFill>
                  <pic:spPr>
                    <a:xfrm>
                      <a:off x="0" y="0"/>
                      <a:ext cx="5185410" cy="2293620"/>
                    </a:xfrm>
                    <a:prstGeom prst="rect">
                      <a:avLst/>
                    </a:prstGeom>
                    <a:noFill/>
                    <a:ln w="9525" cap="flat" cmpd="sng">
                      <a:noFill/>
                      <a:prstDash val="solid"/>
                      <a:miter/>
                    </a:ln>
                  </pic:spPr>
                </pic:pic>
              </a:graphicData>
            </a:graphic>
          </wp:anchor>
        </w:drawing>
      </w: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lang w:val="en-US" w:eastAsia="zh-CN"/>
        </w:rPr>
      </w:pPr>
    </w:p>
    <w:p>
      <w:pPr>
        <w:spacing w:line="600" w:lineRule="exact"/>
        <w:rPr>
          <w:rFonts w:hint="eastAsia" w:ascii="仿宋_GB2312" w:eastAsia="仿宋_GB2312"/>
          <w:color w:val="FF0000"/>
          <w:sz w:val="32"/>
          <w:szCs w:val="32"/>
        </w:rPr>
      </w:pPr>
    </w:p>
    <w:p>
      <w:pPr>
        <w:spacing w:line="600" w:lineRule="exact"/>
        <w:rPr>
          <w:rFonts w:hint="eastAsia" w:ascii="仿宋_GB2312" w:eastAsia="仿宋_GB2312"/>
          <w:color w:val="FF0000"/>
          <w:sz w:val="32"/>
          <w:szCs w:val="32"/>
        </w:rPr>
      </w:pPr>
    </w:p>
    <w:p>
      <w:pPr>
        <w:pStyle w:val="19"/>
        <w:spacing w:line="560" w:lineRule="exact"/>
        <w:ind w:left="0" w:firstLine="640" w:firstLineChars="200"/>
        <w:outlineLvl w:val="1"/>
        <w:rPr>
          <w:rStyle w:val="18"/>
          <w:rFonts w:hint="eastAsia"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18"/>
          <w:rFonts w:hint="eastAsia" w:ascii="黑体" w:eastAsia="黑体"/>
          <w:b w:val="0"/>
        </w:rPr>
        <w:t>出决算情况说明</w:t>
      </w:r>
      <w:bookmarkEnd w:id="44"/>
      <w:bookmarkEnd w:id="45"/>
      <w:bookmarkEnd w:id="46"/>
      <w:bookmarkEnd w:id="47"/>
    </w:p>
    <w:p>
      <w:pPr>
        <w:spacing w:line="560" w:lineRule="exact"/>
        <w:ind w:firstLine="640" w:firstLineChars="200"/>
        <w:rPr>
          <w:rFonts w:hint="eastAsia" w:ascii="仿宋_GB2312" w:eastAsia="仿宋_GB2312"/>
          <w:sz w:val="32"/>
          <w:szCs w:val="32"/>
        </w:rPr>
      </w:pPr>
      <w:r>
        <w:rPr>
          <w:rFonts w:ascii="仿宋_GB2312" w:hAnsi="仿宋_GB2312"/>
          <w:sz w:val="32"/>
          <w:szCs w:val="32"/>
        </w:rPr>
        <w:t>20</w:t>
      </w:r>
      <w:r>
        <w:rPr>
          <w:rFonts w:hint="eastAsia" w:ascii="仿宋_GB2312" w:hAnsi="仿宋_GB2312"/>
          <w:sz w:val="32"/>
          <w:szCs w:val="32"/>
        </w:rPr>
        <w:t>21年度一般公共预算财政拨款支出156.6万元，占本年支出合计的</w:t>
      </w:r>
      <w:r>
        <w:rPr>
          <w:rFonts w:ascii="仿宋_GB2312" w:hAnsi="仿宋_GB2312"/>
          <w:sz w:val="32"/>
          <w:szCs w:val="32"/>
        </w:rPr>
        <w:t>100%</w:t>
      </w:r>
      <w:r>
        <w:rPr>
          <w:rFonts w:hint="eastAsia" w:ascii="仿宋_GB2312" w:hAnsi="仿宋_GB2312"/>
          <w:sz w:val="32"/>
          <w:szCs w:val="32"/>
        </w:rPr>
        <w:t>，与</w:t>
      </w:r>
      <w:r>
        <w:rPr>
          <w:rFonts w:ascii="仿宋_GB2312" w:hAnsi="仿宋_GB2312"/>
          <w:sz w:val="32"/>
          <w:szCs w:val="32"/>
        </w:rPr>
        <w:t>20</w:t>
      </w:r>
      <w:r>
        <w:rPr>
          <w:rFonts w:hint="eastAsia" w:ascii="仿宋_GB2312" w:hAnsi="仿宋_GB2312"/>
          <w:sz w:val="32"/>
          <w:szCs w:val="32"/>
        </w:rPr>
        <w:t>20年相比增加18.75万元，增加11.97</w:t>
      </w:r>
      <w:r>
        <w:rPr>
          <w:rFonts w:ascii="仿宋_GB2312" w:hAnsi="仿宋_GB2312"/>
          <w:sz w:val="32"/>
          <w:szCs w:val="32"/>
        </w:rPr>
        <w:t>%</w:t>
      </w:r>
      <w:r>
        <w:rPr>
          <w:rFonts w:hint="eastAsia" w:ascii="仿宋_GB2312" w:hAnsi="仿宋_GB2312"/>
          <w:sz w:val="32"/>
          <w:szCs w:val="32"/>
        </w:rPr>
        <w:t>。支出增加是因为人员经费增加</w:t>
      </w:r>
      <w:r>
        <w:rPr>
          <w:rFonts w:hint="eastAsia" w:ascii="仿宋_GB2312" w:eastAsia="仿宋_GB2312"/>
          <w:sz w:val="32"/>
          <w:szCs w:val="32"/>
        </w:rPr>
        <w:t>；</w:t>
      </w:r>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drawing>
          <wp:anchor distT="0" distB="0" distL="114300" distR="114300" simplePos="0" relativeHeight="1024" behindDoc="0" locked="0" layoutInCell="1" allowOverlap="1">
            <wp:simplePos x="0" y="0"/>
            <wp:positionH relativeFrom="column">
              <wp:posOffset>505460</wp:posOffset>
            </wp:positionH>
            <wp:positionV relativeFrom="paragraph">
              <wp:posOffset>256540</wp:posOffset>
            </wp:positionV>
            <wp:extent cx="4541520" cy="2444750"/>
            <wp:effectExtent l="0" t="0" r="25" b="6"/>
            <wp:wrapSquare wrapText="bothSides"/>
            <wp:docPr id="6" name="Objec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ject 4"/>
                    <pic:cNvPicPr>
                      <a:picLocks noChangeAspect="1"/>
                    </pic:cNvPicPr>
                  </pic:nvPicPr>
                  <pic:blipFill>
                    <a:blip r:embed="rId9"/>
                    <a:stretch>
                      <a:fillRect/>
                    </a:stretch>
                  </pic:blipFill>
                  <pic:spPr>
                    <a:xfrm>
                      <a:off x="0" y="0"/>
                      <a:ext cx="4541520" cy="2444750"/>
                    </a:xfrm>
                    <a:prstGeom prst="rect">
                      <a:avLst/>
                    </a:prstGeom>
                    <a:noFill/>
                    <a:ln w="9525" cap="flat" cmpd="sng">
                      <a:noFill/>
                      <a:prstDash val="solid"/>
                      <a:miter/>
                    </a:ln>
                  </pic:spPr>
                </pic:pic>
              </a:graphicData>
            </a:graphic>
          </wp:anchor>
        </w:drawing>
      </w: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rPr>
          <w:rFonts w:hint="eastAsia" w:ascii="仿宋" w:eastAsia="仿宋"/>
          <w:color w:val="000000"/>
          <w:sz w:val="32"/>
          <w:szCs w:val="32"/>
          <w:shd w:val="pct10" w:color="auto" w:fill="FFFFFF"/>
        </w:rPr>
      </w:pPr>
    </w:p>
    <w:p>
      <w:pPr>
        <w:spacing w:line="600" w:lineRule="exact"/>
        <w:ind w:firstLine="640" w:firstLineChars="200"/>
        <w:rPr>
          <w:rFonts w:hint="eastAsia" w:ascii="仿宋_GB2312" w:eastAsia="仿宋_GB2312"/>
          <w:color w:val="FF0000"/>
          <w:sz w:val="32"/>
          <w:szCs w:val="32"/>
        </w:rPr>
      </w:pPr>
    </w:p>
    <w:p>
      <w:pPr>
        <w:spacing w:line="560" w:lineRule="exact"/>
        <w:ind w:firstLine="643" w:firstLineChars="200"/>
        <w:outlineLvl w:val="2"/>
        <w:rPr>
          <w:rFonts w:hint="eastAsia" w:ascii="仿宋" w:eastAsia="仿宋"/>
          <w:b/>
          <w:color w:val="000000"/>
          <w:sz w:val="32"/>
          <w:szCs w:val="32"/>
        </w:rPr>
      </w:pPr>
      <w:bookmarkStart w:id="48" w:name="_Toc15377211"/>
      <w:bookmarkStart w:id="49" w:name="_Toc79163866"/>
      <w:bookmarkStart w:id="50" w:name="_Toc79163616"/>
      <w:r>
        <w:rPr>
          <w:rFonts w:hint="eastAsia" w:ascii="仿宋" w:eastAsia="仿宋"/>
          <w:b/>
          <w:color w:val="000000"/>
          <w:sz w:val="32"/>
          <w:szCs w:val="32"/>
        </w:rPr>
        <w:t>（二）一般公共预算财政拨款支出决算结构情况</w:t>
      </w:r>
      <w:bookmarkEnd w:id="48"/>
      <w:bookmarkEnd w:id="49"/>
      <w:bookmarkEnd w:id="50"/>
    </w:p>
    <w:p>
      <w:pPr>
        <w:spacing w:line="560" w:lineRule="exact"/>
        <w:ind w:firstLine="640"/>
        <w:rPr>
          <w:rFonts w:hint="eastAsia" w:ascii="仿宋" w:eastAsia="仿宋"/>
          <w:color w:val="000000"/>
          <w:sz w:val="32"/>
          <w:szCs w:val="32"/>
        </w:rPr>
      </w:pPr>
      <w:r>
        <w:rPr>
          <w:rFonts w:ascii="仿宋_GB2312" w:hAnsi="仿宋_GB2312"/>
          <w:sz w:val="32"/>
          <w:szCs w:val="32"/>
        </w:rPr>
        <w:t>20</w:t>
      </w:r>
      <w:r>
        <w:rPr>
          <w:rFonts w:hint="eastAsia" w:ascii="仿宋_GB2312" w:hAnsi="仿宋_GB2312"/>
          <w:sz w:val="32"/>
          <w:szCs w:val="32"/>
        </w:rPr>
        <w:t>21年一般公共预算财政拨款支出156.6万元，主要用于以下方面</w:t>
      </w:r>
      <w:r>
        <w:rPr>
          <w:rFonts w:ascii="仿宋_GB2312" w:hAnsi="仿宋_GB2312"/>
          <w:sz w:val="32"/>
          <w:szCs w:val="32"/>
        </w:rPr>
        <w:t>:</w:t>
      </w:r>
      <w:r>
        <w:rPr>
          <w:rFonts w:hint="eastAsia" w:ascii="仿宋_GB2312" w:hAnsi="仿宋_GB2312"/>
          <w:sz w:val="32"/>
          <w:szCs w:val="32"/>
        </w:rPr>
        <w:t>公共服务支出123.74万元，占79.02</w:t>
      </w:r>
      <w:r>
        <w:rPr>
          <w:rFonts w:ascii="仿宋_GB2312" w:hAnsi="仿宋_GB2312"/>
          <w:sz w:val="32"/>
          <w:szCs w:val="32"/>
        </w:rPr>
        <w:t>%</w:t>
      </w:r>
      <w:r>
        <w:rPr>
          <w:rFonts w:hint="eastAsia" w:ascii="仿宋_GB2312" w:hAnsi="仿宋_GB2312"/>
          <w:sz w:val="32"/>
          <w:szCs w:val="32"/>
        </w:rPr>
        <w:t>;社会保障和就业支出15.21万元，占9.71</w:t>
      </w:r>
      <w:r>
        <w:rPr>
          <w:rFonts w:ascii="仿宋_GB2312" w:hAnsi="仿宋_GB2312"/>
          <w:sz w:val="32"/>
          <w:szCs w:val="32"/>
        </w:rPr>
        <w:t>%</w:t>
      </w:r>
      <w:r>
        <w:rPr>
          <w:rFonts w:hint="eastAsia" w:ascii="仿宋_GB2312" w:hAnsi="仿宋_GB2312"/>
          <w:sz w:val="32"/>
          <w:szCs w:val="32"/>
        </w:rPr>
        <w:t>；医疗卫生与计划生育支出6.04万元，占2.86</w:t>
      </w:r>
      <w:r>
        <w:rPr>
          <w:rFonts w:ascii="仿宋_GB2312" w:hAnsi="仿宋_GB2312"/>
          <w:sz w:val="32"/>
          <w:szCs w:val="32"/>
        </w:rPr>
        <w:t>%</w:t>
      </w:r>
      <w:r>
        <w:rPr>
          <w:rFonts w:hint="eastAsia" w:ascii="仿宋_GB2312" w:hAnsi="仿宋_GB2312"/>
          <w:sz w:val="32"/>
          <w:szCs w:val="32"/>
        </w:rPr>
        <w:t>；住房保障支出11.61万元，占7.01</w:t>
      </w:r>
      <w:r>
        <w:rPr>
          <w:rFonts w:ascii="仿宋_GB2312" w:hAnsi="仿宋_GB2312"/>
          <w:sz w:val="32"/>
          <w:szCs w:val="32"/>
        </w:rPr>
        <w:t>%</w:t>
      </w:r>
      <w:r>
        <w:rPr>
          <w:rFonts w:hint="eastAsia" w:ascii="仿宋_GB2312" w:hAnsi="仿宋_GB2312"/>
          <w:sz w:val="32"/>
          <w:szCs w:val="32"/>
        </w:rPr>
        <w:t>项目支出2.2元，占1.4%。</w:t>
      </w:r>
    </w:p>
    <w:p>
      <w:pPr>
        <w:spacing w:line="600" w:lineRule="exact"/>
        <w:ind w:firstLine="640" w:firstLineChars="200"/>
        <w:rPr>
          <w:rFonts w:hint="eastAsia" w:ascii="仿宋" w:eastAsia="仿宋"/>
          <w:color w:val="000000"/>
          <w:sz w:val="32"/>
          <w:szCs w:val="32"/>
        </w:rPr>
      </w:pPr>
      <w:r>
        <w:rPr>
          <w:rFonts w:ascii="仿宋" w:eastAsia="仿宋"/>
          <w:color w:val="000000"/>
          <w:sz w:val="32"/>
          <w:szCs w:val="32"/>
          <w:lang w:eastAsia="zh-CN"/>
        </w:rPr>
        <w:drawing>
          <wp:anchor distT="0" distB="0" distL="114300" distR="114300" simplePos="0" relativeHeight="1024" behindDoc="0" locked="0" layoutInCell="1" allowOverlap="1">
            <wp:simplePos x="0" y="0"/>
            <wp:positionH relativeFrom="column">
              <wp:posOffset>398780</wp:posOffset>
            </wp:positionH>
            <wp:positionV relativeFrom="paragraph">
              <wp:posOffset>316230</wp:posOffset>
            </wp:positionV>
            <wp:extent cx="4853940" cy="2584450"/>
            <wp:effectExtent l="0" t="0" r="21" b="24"/>
            <wp:wrapSquare wrapText="bothSides"/>
            <wp:docPr id="9"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ject 7"/>
                    <pic:cNvPicPr>
                      <a:picLocks noChangeAspect="1"/>
                    </pic:cNvPicPr>
                  </pic:nvPicPr>
                  <pic:blipFill>
                    <a:blip r:embed="rId10"/>
                    <a:stretch>
                      <a:fillRect/>
                    </a:stretch>
                  </pic:blipFill>
                  <pic:spPr>
                    <a:xfrm>
                      <a:off x="0" y="0"/>
                      <a:ext cx="4853940" cy="2584450"/>
                    </a:xfrm>
                    <a:prstGeom prst="rect">
                      <a:avLst/>
                    </a:prstGeom>
                    <a:noFill/>
                    <a:ln w="9525" cap="flat" cmpd="sng">
                      <a:noFill/>
                      <a:prstDash val="solid"/>
                      <a:miter/>
                    </a:ln>
                  </pic:spPr>
                </pic:pic>
              </a:graphicData>
            </a:graphic>
          </wp:anchor>
        </w:drawing>
      </w:r>
    </w:p>
    <w:p>
      <w:pPr>
        <w:spacing w:line="560" w:lineRule="exact"/>
        <w:ind w:firstLine="643" w:firstLineChars="200"/>
        <w:outlineLvl w:val="2"/>
        <w:rPr>
          <w:rFonts w:hint="eastAsia" w:ascii="仿宋" w:eastAsia="仿宋"/>
          <w:b/>
          <w:color w:val="000000"/>
          <w:sz w:val="32"/>
          <w:szCs w:val="32"/>
        </w:rPr>
      </w:pPr>
      <w:bookmarkStart w:id="51" w:name="_Toc79163867"/>
      <w:bookmarkStart w:id="52" w:name="_Toc79163617"/>
      <w:bookmarkStart w:id="53" w:name="_Toc15377212"/>
      <w:r>
        <w:rPr>
          <w:rFonts w:hint="eastAsia" w:ascii="仿宋" w:eastAsia="仿宋"/>
          <w:b/>
          <w:color w:val="000000"/>
          <w:sz w:val="32"/>
          <w:szCs w:val="32"/>
        </w:rPr>
        <w:t>（三）一般公共预算财政拨款支出决算具体情况</w:t>
      </w:r>
      <w:bookmarkEnd w:id="51"/>
      <w:bookmarkEnd w:id="52"/>
      <w:bookmarkEnd w:id="53"/>
    </w:p>
    <w:p>
      <w:pPr>
        <w:tabs>
          <w:tab w:val="right" w:pos="8306"/>
        </w:tabs>
        <w:spacing w:line="560" w:lineRule="exact"/>
        <w:ind w:firstLine="640" w:firstLineChars="200"/>
        <w:outlineLvl w:val="1"/>
        <w:rPr>
          <w:rFonts w:ascii="仿宋_GB2312" w:hAnsi="仿宋_GB2312"/>
          <w:sz w:val="32"/>
          <w:szCs w:val="32"/>
        </w:rPr>
      </w:pPr>
      <w:bookmarkStart w:id="54" w:name="_Toc79163868"/>
      <w:bookmarkStart w:id="55" w:name="_Toc15377214"/>
      <w:bookmarkStart w:id="56" w:name="_Toc79163618"/>
      <w:bookmarkStart w:id="57" w:name="_Toc15396608"/>
      <w:r>
        <w:rPr>
          <w:rFonts w:ascii="仿宋_GB2312" w:hAnsi="仿宋_GB2312"/>
          <w:sz w:val="32"/>
          <w:szCs w:val="32"/>
        </w:rPr>
        <w:t>20</w:t>
      </w:r>
      <w:r>
        <w:rPr>
          <w:rFonts w:hint="eastAsia" w:ascii="仿宋_GB2312" w:hAnsi="仿宋_GB2312"/>
          <w:sz w:val="32"/>
          <w:szCs w:val="32"/>
        </w:rPr>
        <w:t>21年总支出合计156.6万元，其中：基本支出154.4万元，占98.60</w:t>
      </w:r>
      <w:r>
        <w:rPr>
          <w:rFonts w:ascii="仿宋_GB2312" w:hAnsi="仿宋_GB2312"/>
          <w:sz w:val="32"/>
          <w:szCs w:val="32"/>
        </w:rPr>
        <w:t>%</w:t>
      </w:r>
      <w:r>
        <w:rPr>
          <w:rFonts w:hint="eastAsia" w:ascii="仿宋_GB2312" w:hAnsi="仿宋_GB2312"/>
          <w:sz w:val="32"/>
          <w:szCs w:val="32"/>
        </w:rPr>
        <w:t>；项目支出2.2万元，占1.4</w:t>
      </w:r>
      <w:r>
        <w:rPr>
          <w:rFonts w:ascii="仿宋_GB2312" w:hAnsi="仿宋_GB2312"/>
          <w:sz w:val="32"/>
          <w:szCs w:val="32"/>
        </w:rPr>
        <w:t xml:space="preserve"> %</w:t>
      </w:r>
      <w:r>
        <w:rPr>
          <w:rFonts w:hint="eastAsia" w:ascii="仿宋_GB2312" w:hAnsi="仿宋_GB2312"/>
          <w:sz w:val="32"/>
          <w:szCs w:val="32"/>
        </w:rPr>
        <w:t>。</w:t>
      </w:r>
    </w:p>
    <w:p>
      <w:pPr>
        <w:tabs>
          <w:tab w:val="right" w:pos="8306"/>
        </w:tabs>
        <w:spacing w:line="560" w:lineRule="exact"/>
        <w:ind w:firstLine="640" w:firstLineChars="200"/>
        <w:outlineLvl w:val="1"/>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54"/>
      <w:bookmarkEnd w:id="55"/>
      <w:bookmarkEnd w:id="56"/>
      <w:bookmarkEnd w:id="57"/>
      <w:r>
        <w:rPr>
          <w:rStyle w:val="18"/>
          <w:rFonts w:hint="eastAsia" w:ascii="黑体" w:eastAsia="黑体"/>
          <w:b w:val="0"/>
        </w:rPr>
        <w:tab/>
      </w:r>
    </w:p>
    <w:p>
      <w:pPr>
        <w:spacing w:line="560" w:lineRule="exact"/>
        <w:ind w:firstLine="645"/>
        <w:rPr>
          <w:rFonts w:hint="eastAsia" w:ascii="仿宋" w:eastAsia="仿宋"/>
          <w:b/>
          <w:color w:val="FF0000"/>
          <w:sz w:val="32"/>
          <w:szCs w:val="32"/>
        </w:rPr>
      </w:pPr>
      <w:r>
        <w:rPr>
          <w:rFonts w:ascii="仿宋_GB2312" w:hAnsi="仿宋_GB2312"/>
          <w:sz w:val="32"/>
          <w:szCs w:val="32"/>
        </w:rPr>
        <w:t>20</w:t>
      </w:r>
      <w:r>
        <w:rPr>
          <w:rFonts w:hint="eastAsia" w:ascii="仿宋_GB2312" w:hAnsi="仿宋_GB2312"/>
          <w:sz w:val="32"/>
          <w:szCs w:val="32"/>
        </w:rPr>
        <w:t>21年一般公共预算财政拨款支出156.6万元，主要用于以下方面</w:t>
      </w:r>
      <w:r>
        <w:rPr>
          <w:rFonts w:ascii="仿宋_GB2312" w:hAnsi="仿宋_GB2312"/>
          <w:sz w:val="32"/>
          <w:szCs w:val="32"/>
        </w:rPr>
        <w:t>:</w:t>
      </w:r>
      <w:r>
        <w:rPr>
          <w:rFonts w:hint="eastAsia" w:ascii="仿宋_GB2312" w:hAnsi="仿宋_GB2312"/>
          <w:sz w:val="32"/>
          <w:szCs w:val="32"/>
        </w:rPr>
        <w:t>公共服务支出123.74万元，占79.02</w:t>
      </w:r>
      <w:r>
        <w:rPr>
          <w:rFonts w:ascii="仿宋_GB2312" w:hAnsi="仿宋_GB2312"/>
          <w:sz w:val="32"/>
          <w:szCs w:val="32"/>
        </w:rPr>
        <w:t>%</w:t>
      </w:r>
      <w:r>
        <w:rPr>
          <w:rFonts w:hint="eastAsia" w:ascii="仿宋_GB2312" w:hAnsi="仿宋_GB2312"/>
          <w:sz w:val="32"/>
          <w:szCs w:val="32"/>
        </w:rPr>
        <w:t>;社会保障和就业支出15.21万元，占9.71</w:t>
      </w:r>
      <w:r>
        <w:rPr>
          <w:rFonts w:ascii="仿宋_GB2312" w:hAnsi="仿宋_GB2312"/>
          <w:sz w:val="32"/>
          <w:szCs w:val="32"/>
        </w:rPr>
        <w:t>%</w:t>
      </w:r>
      <w:r>
        <w:rPr>
          <w:rFonts w:hint="eastAsia" w:ascii="仿宋_GB2312" w:hAnsi="仿宋_GB2312"/>
          <w:sz w:val="32"/>
          <w:szCs w:val="32"/>
        </w:rPr>
        <w:t>；医疗卫生与计划生育支出6.04万元，占2.86</w:t>
      </w:r>
      <w:r>
        <w:rPr>
          <w:rFonts w:ascii="仿宋_GB2312" w:hAnsi="仿宋_GB2312"/>
          <w:sz w:val="32"/>
          <w:szCs w:val="32"/>
        </w:rPr>
        <w:t>%</w:t>
      </w:r>
      <w:r>
        <w:rPr>
          <w:rFonts w:hint="eastAsia" w:ascii="仿宋_GB2312" w:hAnsi="仿宋_GB2312"/>
          <w:sz w:val="32"/>
          <w:szCs w:val="32"/>
        </w:rPr>
        <w:t>；住房保障支出11.61万元，占7.01</w:t>
      </w:r>
      <w:r>
        <w:rPr>
          <w:rFonts w:ascii="仿宋_GB2312" w:hAnsi="仿宋_GB2312"/>
          <w:sz w:val="32"/>
          <w:szCs w:val="32"/>
        </w:rPr>
        <w:t>%</w:t>
      </w:r>
      <w:r>
        <w:rPr>
          <w:rFonts w:hint="eastAsia" w:ascii="仿宋_GB2312" w:hAnsi="仿宋_GB2312"/>
          <w:sz w:val="32"/>
          <w:szCs w:val="32"/>
        </w:rPr>
        <w:t>项目支出2.2元，占1.4</w:t>
      </w:r>
      <w:r>
        <w:rPr>
          <w:rFonts w:hint="eastAsia" w:ascii="仿宋" w:eastAsia="仿宋"/>
          <w:color w:val="000000"/>
          <w:sz w:val="32"/>
          <w:szCs w:val="32"/>
          <w:lang w:val="en-US" w:eastAsia="zh-CN"/>
        </w:rPr>
        <w:t>。</w:t>
      </w:r>
    </w:p>
    <w:p>
      <w:pPr>
        <w:spacing w:line="560" w:lineRule="exact"/>
        <w:ind w:firstLine="640"/>
        <w:outlineLvl w:val="1"/>
        <w:rPr>
          <w:rStyle w:val="18"/>
          <w:rFonts w:hint="eastAsia" w:ascii="黑体" w:eastAsia="黑体"/>
          <w:b w:val="0"/>
        </w:rPr>
      </w:pPr>
      <w:bookmarkStart w:id="58" w:name="_Toc15396609"/>
      <w:bookmarkStart w:id="59" w:name="_Toc79163869"/>
      <w:bookmarkStart w:id="60" w:name="_Toc79163619"/>
      <w:bookmarkStart w:id="61"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58"/>
      <w:bookmarkEnd w:id="59"/>
      <w:bookmarkEnd w:id="60"/>
      <w:bookmarkEnd w:id="61"/>
    </w:p>
    <w:p>
      <w:pPr>
        <w:spacing w:line="560" w:lineRule="exact"/>
        <w:ind w:firstLine="640"/>
        <w:outlineLvl w:val="2"/>
        <w:rPr>
          <w:rFonts w:hint="eastAsia" w:ascii="仿宋" w:eastAsia="仿宋"/>
          <w:b/>
          <w:color w:val="000000"/>
          <w:sz w:val="32"/>
          <w:szCs w:val="32"/>
        </w:rPr>
      </w:pPr>
      <w:bookmarkStart w:id="62" w:name="_Toc79163870"/>
      <w:bookmarkStart w:id="63" w:name="_Toc15377216"/>
      <w:bookmarkStart w:id="64" w:name="_Toc79163620"/>
      <w:r>
        <w:rPr>
          <w:rFonts w:hint="eastAsia" w:ascii="仿宋" w:eastAsia="仿宋"/>
          <w:b/>
          <w:color w:val="000000"/>
          <w:sz w:val="32"/>
          <w:szCs w:val="32"/>
        </w:rPr>
        <w:t>（一）“三公”经费财政拨款支出决算总体情况说明</w:t>
      </w:r>
      <w:bookmarkEnd w:id="62"/>
      <w:bookmarkEnd w:id="63"/>
      <w:bookmarkEnd w:id="64"/>
    </w:p>
    <w:p>
      <w:pPr>
        <w:spacing w:line="560" w:lineRule="exact"/>
        <w:ind w:firstLine="640"/>
        <w:outlineLvl w:val="2"/>
        <w:rPr>
          <w:rFonts w:ascii="仿宋_GB2312" w:hAnsi="仿宋_GB2312"/>
          <w:sz w:val="32"/>
          <w:szCs w:val="32"/>
        </w:rPr>
      </w:pPr>
      <w:bookmarkStart w:id="65" w:name="_Toc15377217"/>
      <w:bookmarkStart w:id="66" w:name="_Toc79163621"/>
      <w:bookmarkStart w:id="67" w:name="_Toc79163871"/>
      <w:r>
        <w:rPr>
          <w:rFonts w:ascii="仿宋_GB2312" w:hAnsi="仿宋_GB2312"/>
          <w:sz w:val="32"/>
          <w:szCs w:val="32"/>
        </w:rPr>
        <w:t>20</w:t>
      </w:r>
      <w:r>
        <w:rPr>
          <w:rFonts w:hint="eastAsia" w:ascii="仿宋_GB2312" w:hAnsi="仿宋_GB2312"/>
          <w:sz w:val="32"/>
          <w:szCs w:val="32"/>
        </w:rPr>
        <w:t>21年度“三公”经费财政拨款支出决算数比2020年增加1.06万元，增加25.6</w:t>
      </w:r>
      <w:r>
        <w:rPr>
          <w:rFonts w:ascii="仿宋_GB2312" w:hAnsi="仿宋_GB2312"/>
          <w:sz w:val="32"/>
          <w:szCs w:val="32"/>
        </w:rPr>
        <w:t>%</w:t>
      </w:r>
      <w:r>
        <w:rPr>
          <w:rFonts w:hint="eastAsia" w:ascii="仿宋_GB2312" w:hAnsi="仿宋_GB2312"/>
          <w:sz w:val="32"/>
          <w:szCs w:val="32"/>
        </w:rPr>
        <w:t>，其中：公务用车运行维护费增加1万元，公务接待费支出决算增加0.06万元。</w:t>
      </w:r>
    </w:p>
    <w:p>
      <w:pPr>
        <w:spacing w:line="560" w:lineRule="exact"/>
        <w:ind w:firstLine="640"/>
        <w:outlineLvl w:val="2"/>
        <w:rPr>
          <w:rFonts w:hint="eastAsia" w:ascii="仿宋" w:eastAsia="仿宋"/>
          <w:b/>
          <w:color w:val="000000"/>
          <w:sz w:val="32"/>
          <w:szCs w:val="32"/>
        </w:rPr>
      </w:pPr>
      <w:r>
        <w:rPr>
          <w:rFonts w:hint="eastAsia" w:ascii="仿宋" w:eastAsia="仿宋"/>
          <w:b/>
          <w:color w:val="000000"/>
          <w:sz w:val="32"/>
          <w:szCs w:val="32"/>
        </w:rPr>
        <w:t>（二）“三公”经费财政拨款支出决算具体情况说明</w:t>
      </w:r>
      <w:bookmarkEnd w:id="65"/>
      <w:bookmarkEnd w:id="66"/>
      <w:bookmarkEnd w:id="67"/>
    </w:p>
    <w:p>
      <w:pPr>
        <w:pStyle w:val="22"/>
        <w:jc w:val="both"/>
        <w:rPr>
          <w:rFonts w:ascii="仿宋_GB2312"/>
          <w:sz w:val="32"/>
          <w:szCs w:val="32"/>
        </w:rPr>
      </w:pPr>
      <w:r>
        <w:rPr>
          <w:rFonts w:ascii="仿宋_GB2312"/>
          <w:sz w:val="32"/>
          <w:szCs w:val="32"/>
        </w:rPr>
        <w:t>20</w:t>
      </w:r>
      <w:r>
        <w:rPr>
          <w:rFonts w:hint="eastAsia" w:ascii="仿宋_GB2312"/>
          <w:sz w:val="32"/>
          <w:szCs w:val="32"/>
        </w:rPr>
        <w:t>21年度“三公”经费财政拨款支出决算为5.2万元，完成预算100</w:t>
      </w:r>
      <w:r>
        <w:rPr>
          <w:rFonts w:ascii="仿宋_GB2312"/>
          <w:sz w:val="32"/>
          <w:szCs w:val="32"/>
        </w:rPr>
        <w:t>%</w:t>
      </w:r>
      <w:r>
        <w:rPr>
          <w:rFonts w:hint="eastAsia" w:ascii="仿宋_GB2312"/>
          <w:sz w:val="32"/>
          <w:szCs w:val="32"/>
        </w:rPr>
        <w:t>，其中：无因公出国（境）费支出；公务用车购置及运行维护费支出决算为5万元</w:t>
      </w:r>
      <w:r>
        <w:rPr>
          <w:rFonts w:ascii="仿宋_GB2312"/>
          <w:sz w:val="32"/>
          <w:szCs w:val="32"/>
        </w:rPr>
        <w:t>占</w:t>
      </w:r>
      <w:r>
        <w:rPr>
          <w:rFonts w:hint="eastAsia" w:ascii="仿宋_GB2312"/>
          <w:sz w:val="32"/>
          <w:szCs w:val="32"/>
          <w:lang w:val="en-US" w:eastAsia="zh-CN"/>
        </w:rPr>
        <w:t>96</w:t>
      </w:r>
      <w:r>
        <w:rPr>
          <w:rFonts w:ascii="仿宋_GB2312"/>
          <w:sz w:val="32"/>
          <w:szCs w:val="32"/>
        </w:rPr>
        <w:t>%</w:t>
      </w:r>
      <w:r>
        <w:rPr>
          <w:rFonts w:hint="eastAsia" w:ascii="仿宋_GB2312"/>
          <w:sz w:val="32"/>
          <w:szCs w:val="32"/>
        </w:rPr>
        <w:t>；公务接待费支出决算为0.2万元</w:t>
      </w:r>
      <w:r>
        <w:rPr>
          <w:rFonts w:ascii="仿宋_GB2312"/>
          <w:sz w:val="32"/>
          <w:szCs w:val="32"/>
        </w:rPr>
        <w:t>占%4</w:t>
      </w:r>
      <w:r>
        <w:rPr>
          <w:rFonts w:hint="eastAsia" w:ascii="仿宋_GB2312"/>
          <w:sz w:val="32"/>
          <w:szCs w:val="32"/>
        </w:rPr>
        <w:t>。</w:t>
      </w:r>
    </w:p>
    <w:p>
      <w:pPr>
        <w:spacing w:line="560" w:lineRule="exact"/>
        <w:ind w:firstLine="640"/>
        <w:rPr>
          <w:rFonts w:hint="eastAsia" w:ascii="仿宋" w:eastAsia="仿宋"/>
          <w:color w:val="000000"/>
          <w:sz w:val="32"/>
          <w:szCs w:val="32"/>
        </w:rPr>
      </w:pP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rPr>
      </w:pPr>
      <w:r>
        <w:rPr>
          <w:rFonts w:ascii="仿宋" w:eastAsia="仿宋"/>
          <w:color w:val="000000"/>
          <w:sz w:val="32"/>
          <w:szCs w:val="32"/>
        </w:rPr>
        <w:drawing>
          <wp:anchor distT="0" distB="0" distL="114300" distR="114300" simplePos="0" relativeHeight="1024" behindDoc="0" locked="0" layoutInCell="1" allowOverlap="1">
            <wp:simplePos x="0" y="0"/>
            <wp:positionH relativeFrom="column">
              <wp:posOffset>574040</wp:posOffset>
            </wp:positionH>
            <wp:positionV relativeFrom="paragraph">
              <wp:posOffset>234315</wp:posOffset>
            </wp:positionV>
            <wp:extent cx="4497070" cy="2273300"/>
            <wp:effectExtent l="0" t="0" r="5" b="3"/>
            <wp:wrapSquare wrapText="bothSides"/>
            <wp:docPr id="12"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ject 8"/>
                    <pic:cNvPicPr>
                      <a:picLocks noChangeAspect="1"/>
                    </pic:cNvPicPr>
                  </pic:nvPicPr>
                  <pic:blipFill>
                    <a:blip r:embed="rId11"/>
                    <a:stretch>
                      <a:fillRect/>
                    </a:stretch>
                  </pic:blipFill>
                  <pic:spPr>
                    <a:xfrm>
                      <a:off x="0" y="0"/>
                      <a:ext cx="4497070" cy="2273300"/>
                    </a:xfrm>
                    <a:prstGeom prst="rect">
                      <a:avLst/>
                    </a:prstGeom>
                    <a:noFill/>
                    <a:ln w="9525" cap="flat" cmpd="sng">
                      <a:noFill/>
                      <a:prstDash val="solid"/>
                      <a:miter/>
                    </a:ln>
                  </pic:spPr>
                </pic:pic>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numPr>
          <w:ilvl w:val="0"/>
          <w:numId w:val="1"/>
        </w:num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公务用车购置及运行维护费支出</w:t>
      </w:r>
      <w:r>
        <w:rPr>
          <w:rFonts w:ascii="仿宋_GB2312" w:eastAsia="仿宋_GB2312"/>
          <w:b/>
          <w:color w:val="000000"/>
          <w:sz w:val="32"/>
          <w:szCs w:val="32"/>
        </w:rPr>
        <w:t>5</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公务用车购置及运行维护费支出决算比20</w:t>
      </w:r>
      <w:r>
        <w:rPr>
          <w:rFonts w:ascii="仿宋_GB2312" w:eastAsia="仿宋_GB2312"/>
          <w:color w:val="000000"/>
          <w:sz w:val="32"/>
          <w:szCs w:val="32"/>
        </w:rPr>
        <w:t>20</w:t>
      </w:r>
      <w:r>
        <w:rPr>
          <w:rFonts w:hint="eastAsia" w:ascii="仿宋_GB2312" w:eastAsia="仿宋_GB2312"/>
          <w:color w:val="000000"/>
          <w:sz w:val="32"/>
          <w:szCs w:val="32"/>
        </w:rPr>
        <w:t>年</w:t>
      </w:r>
      <w:r>
        <w:rPr>
          <w:rFonts w:ascii="仿宋_GB2312" w:eastAsia="仿宋_GB2312"/>
          <w:color w:val="000000"/>
          <w:sz w:val="32"/>
          <w:szCs w:val="32"/>
        </w:rPr>
        <w:t>增加1</w:t>
      </w:r>
      <w:r>
        <w:rPr>
          <w:rFonts w:hint="eastAsia" w:ascii="仿宋_GB2312" w:eastAsia="仿宋_GB2312"/>
          <w:color w:val="000000"/>
          <w:sz w:val="32"/>
          <w:szCs w:val="32"/>
        </w:rPr>
        <w:t>万元，</w:t>
      </w:r>
      <w:r>
        <w:rPr>
          <w:rFonts w:ascii="仿宋_GB2312" w:eastAsia="仿宋_GB2312"/>
          <w:color w:val="000000"/>
          <w:sz w:val="32"/>
          <w:szCs w:val="32"/>
        </w:rPr>
        <w:t>增加20%</w:t>
      </w:r>
      <w:r>
        <w:rPr>
          <w:rFonts w:hint="eastAsia" w:ascii="仿宋_GB2312" w:eastAsia="仿宋_GB2312"/>
          <w:color w:val="000000"/>
          <w:sz w:val="32"/>
          <w:szCs w:val="32"/>
        </w:rPr>
        <w:t>。主要原因是</w:t>
      </w:r>
      <w:r>
        <w:rPr>
          <w:rFonts w:ascii="仿宋_GB2312" w:eastAsia="仿宋_GB2312"/>
          <w:color w:val="000000"/>
          <w:sz w:val="32"/>
          <w:szCs w:val="32"/>
        </w:rPr>
        <w:t>维修车辆</w:t>
      </w:r>
      <w:r>
        <w:rPr>
          <w:rFonts w:hint="eastAsia" w:ascii="仿宋_GB2312" w:eastAsia="仿宋_GB2312"/>
          <w:color w:val="000000"/>
          <w:sz w:val="32"/>
          <w:szCs w:val="32"/>
        </w:rPr>
        <w:t>。</w:t>
      </w:r>
    </w:p>
    <w:p>
      <w:pPr>
        <w:numPr>
          <w:ilvl w:val="0"/>
          <w:numId w:val="1"/>
        </w:num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t>公务接待费支出</w:t>
      </w:r>
      <w:r>
        <w:rPr>
          <w:rFonts w:hint="eastAsia" w:ascii="仿宋_GB2312" w:eastAsia="仿宋_GB2312"/>
          <w:color w:val="000000"/>
          <w:sz w:val="32"/>
          <w:szCs w:val="32"/>
          <w:lang w:val="en-US" w:eastAsia="zh-CN"/>
        </w:rPr>
        <w:t>0.2万元，完成预算%100.公务接待费支出决算比2020年增加0.06万元，主要原因是就餐人员增加。</w:t>
      </w:r>
    </w:p>
    <w:p>
      <w:pPr>
        <w:numPr>
          <w:numId w:val="0"/>
        </w:numPr>
        <w:spacing w:line="560" w:lineRule="exact"/>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国内公务接待支出0.2万元，主要用于用餐费，接待2批次，8人次、共计支出0.2万元。</w:t>
      </w:r>
    </w:p>
    <w:p>
      <w:pPr>
        <w:spacing w:line="560" w:lineRule="exact"/>
        <w:ind w:firstLine="643" w:firstLineChars="200"/>
        <w:rPr>
          <w:rFonts w:hint="eastAsia" w:ascii="仿宋_GB2312" w:eastAsia="仿宋_GB2312" w:cs="仿宋_GB2312"/>
          <w:color w:val="000000"/>
          <w:sz w:val="32"/>
          <w:szCs w:val="32"/>
          <w:lang w:val="en-US" w:eastAsia="zh-CN" w:bidi="ar-SA"/>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p>
      <w:pPr>
        <w:spacing w:line="560" w:lineRule="exact"/>
        <w:ind w:firstLine="640"/>
        <w:outlineLvl w:val="1"/>
        <w:rPr>
          <w:rStyle w:val="18"/>
          <w:rFonts w:hint="eastAsia" w:ascii="黑体" w:eastAsia="黑体"/>
        </w:rPr>
      </w:pPr>
      <w:bookmarkStart w:id="68" w:name="_Toc15377218"/>
      <w:bookmarkStart w:id="69" w:name="_Toc79163622"/>
      <w:bookmarkStart w:id="70" w:name="_Toc79163872"/>
      <w:bookmarkStart w:id="71" w:name="_Toc15396610"/>
      <w:r>
        <w:rPr>
          <w:rFonts w:hint="eastAsia" w:ascii="黑体" w:eastAsia="黑体"/>
          <w:color w:val="000000"/>
          <w:sz w:val="32"/>
          <w:szCs w:val="32"/>
        </w:rPr>
        <w:t>八、</w:t>
      </w:r>
      <w:r>
        <w:rPr>
          <w:rStyle w:val="18"/>
          <w:rFonts w:hint="eastAsia" w:ascii="黑体" w:eastAsia="黑体"/>
          <w:b w:val="0"/>
        </w:rPr>
        <w:t>政府性基金预算支出决算情况说明</w:t>
      </w:r>
      <w:bookmarkEnd w:id="68"/>
      <w:bookmarkEnd w:id="69"/>
      <w:bookmarkEnd w:id="70"/>
      <w:bookmarkEnd w:id="71"/>
    </w:p>
    <w:p>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560" w:lineRule="exact"/>
        <w:ind w:left="0" w:firstLine="640"/>
        <w:outlineLvl w:val="1"/>
        <w:rPr>
          <w:rStyle w:val="18"/>
          <w:rFonts w:hint="eastAsia" w:ascii="黑体" w:eastAsia="黑体"/>
          <w:b w:val="0"/>
        </w:rPr>
      </w:pPr>
      <w:bookmarkStart w:id="72" w:name="_Toc79163623"/>
      <w:bookmarkStart w:id="73" w:name="_Toc15377219"/>
      <w:bookmarkStart w:id="74" w:name="_Toc15396611"/>
      <w:bookmarkStart w:id="75" w:name="_Toc79163873"/>
      <w:r>
        <w:rPr>
          <w:rStyle w:val="18"/>
          <w:rFonts w:hint="eastAsia" w:ascii="黑体" w:eastAsia="黑体"/>
          <w:b w:val="0"/>
        </w:rPr>
        <w:t>国有资本经营预算支出决算情况说明</w:t>
      </w:r>
      <w:bookmarkEnd w:id="72"/>
      <w:bookmarkEnd w:id="73"/>
      <w:bookmarkEnd w:id="74"/>
      <w:bookmarkEnd w:id="75"/>
    </w:p>
    <w:p>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560" w:lineRule="exact"/>
        <w:ind w:left="0" w:leftChars="0" w:firstLine="640" w:firstLineChars="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其他重要事项的情况说明</w:t>
      </w:r>
    </w:p>
    <w:p>
      <w:pPr>
        <w:numPr>
          <w:ilvl w:val="0"/>
          <w:numId w:val="3"/>
        </w:numPr>
        <w:spacing w:line="560" w:lineRule="exact"/>
        <w:ind w:left="960" w:leftChars="0" w:firstLine="0" w:firstLineChars="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机关运行经费支出情况</w:t>
      </w:r>
    </w:p>
    <w:p>
      <w:pPr>
        <w:numPr>
          <w:numId w:val="0"/>
        </w:numPr>
        <w:spacing w:line="560" w:lineRule="exact"/>
        <w:ind w:left="960" w:leftChars="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2021年金川县防震减灾事务中心机关运行经费支出156.6万元，比2020年增加18.75万元，增加%11.97，主要原因是2021年增加1人。</w:t>
      </w:r>
    </w:p>
    <w:p>
      <w:pPr>
        <w:numPr>
          <w:ilvl w:val="0"/>
          <w:numId w:val="3"/>
        </w:numPr>
        <w:autoSpaceDE w:val="0"/>
        <w:autoSpaceDN w:val="0"/>
        <w:adjustRightInd w:val="0"/>
        <w:spacing w:line="560" w:lineRule="exact"/>
        <w:ind w:left="960" w:leftChars="0" w:firstLine="0" w:firstLineChars="0"/>
        <w:jc w:val="left"/>
        <w:outlineLvl w:val="2"/>
        <w:rPr>
          <w:rFonts w:hint="eastAsia" w:ascii="仿宋" w:eastAsia="仿宋"/>
          <w:b w:val="0"/>
          <w:bCs/>
          <w:color w:val="000000"/>
          <w:sz w:val="32"/>
          <w:szCs w:val="32"/>
          <w:lang w:eastAsia="zh-CN"/>
        </w:rPr>
      </w:pPr>
      <w:bookmarkStart w:id="76" w:name="_Toc79163628"/>
      <w:bookmarkStart w:id="77" w:name="_Toc79163878"/>
      <w:r>
        <w:rPr>
          <w:rFonts w:hint="eastAsia" w:ascii="仿宋" w:eastAsia="仿宋"/>
          <w:b w:val="0"/>
          <w:bCs/>
          <w:color w:val="000000"/>
          <w:sz w:val="32"/>
          <w:szCs w:val="32"/>
          <w:lang w:eastAsia="zh-CN"/>
        </w:rPr>
        <w:t>政府采购支出情况</w:t>
      </w:r>
    </w:p>
    <w:p>
      <w:pPr>
        <w:numPr>
          <w:numId w:val="0"/>
        </w:numPr>
        <w:autoSpaceDE w:val="0"/>
        <w:autoSpaceDN w:val="0"/>
        <w:adjustRightInd w:val="0"/>
        <w:spacing w:line="560" w:lineRule="exact"/>
        <w:jc w:val="left"/>
        <w:outlineLvl w:val="2"/>
        <w:rPr>
          <w:rFonts w:hint="eastAsia" w:ascii="仿宋" w:eastAsia="仿宋"/>
          <w:b w:val="0"/>
          <w:bCs/>
          <w:color w:val="000000"/>
          <w:sz w:val="32"/>
          <w:szCs w:val="32"/>
          <w:lang w:val="en-US" w:eastAsia="zh-CN"/>
        </w:rPr>
      </w:pPr>
      <w:r>
        <w:rPr>
          <w:rFonts w:hint="eastAsia" w:ascii="仿宋" w:eastAsia="仿宋"/>
          <w:b w:val="0"/>
          <w:bCs/>
          <w:color w:val="000000"/>
          <w:sz w:val="32"/>
          <w:szCs w:val="32"/>
          <w:lang w:val="en-US" w:eastAsia="zh-CN"/>
        </w:rPr>
        <w:t xml:space="preserve">       我中心2021年无政府采购支出</w:t>
      </w:r>
    </w:p>
    <w:p>
      <w:pPr>
        <w:numPr>
          <w:ilvl w:val="0"/>
          <w:numId w:val="3"/>
        </w:numPr>
        <w:autoSpaceDE w:val="0"/>
        <w:autoSpaceDN w:val="0"/>
        <w:adjustRightInd w:val="0"/>
        <w:spacing w:line="560" w:lineRule="exact"/>
        <w:ind w:left="960" w:leftChars="0" w:firstLine="0" w:firstLineChars="0"/>
        <w:jc w:val="left"/>
        <w:outlineLvl w:val="2"/>
        <w:rPr>
          <w:rFonts w:hint="eastAsia" w:ascii="仿宋" w:eastAsia="仿宋"/>
          <w:b w:val="0"/>
          <w:bCs/>
          <w:color w:val="000000"/>
          <w:sz w:val="32"/>
          <w:szCs w:val="32"/>
          <w:lang w:val="en-US" w:eastAsia="zh-CN"/>
        </w:rPr>
      </w:pPr>
      <w:r>
        <w:rPr>
          <w:rFonts w:hint="eastAsia" w:ascii="仿宋" w:eastAsia="仿宋"/>
          <w:b w:val="0"/>
          <w:bCs/>
          <w:color w:val="000000"/>
          <w:sz w:val="32"/>
          <w:szCs w:val="32"/>
          <w:lang w:val="en-US" w:eastAsia="zh-CN"/>
        </w:rPr>
        <w:t>国有资产占有使用情况</w:t>
      </w:r>
    </w:p>
    <w:p>
      <w:pPr>
        <w:numPr>
          <w:numId w:val="0"/>
        </w:numPr>
        <w:autoSpaceDE w:val="0"/>
        <w:autoSpaceDN w:val="0"/>
        <w:adjustRightInd w:val="0"/>
        <w:spacing w:line="560" w:lineRule="exact"/>
        <w:ind w:left="960" w:leftChars="0"/>
        <w:jc w:val="left"/>
        <w:outlineLvl w:val="2"/>
        <w:rPr>
          <w:rFonts w:hint="default" w:ascii="仿宋" w:eastAsia="仿宋"/>
          <w:b w:val="0"/>
          <w:bCs/>
          <w:color w:val="000000"/>
          <w:sz w:val="32"/>
          <w:szCs w:val="32"/>
          <w:lang w:val="en-US" w:eastAsia="zh-CN"/>
        </w:rPr>
      </w:pPr>
      <w:bookmarkStart w:id="132" w:name="_GoBack"/>
      <w:r>
        <w:rPr>
          <w:rFonts w:hint="eastAsia" w:ascii="仿宋" w:eastAsia="仿宋"/>
          <w:b w:val="0"/>
          <w:bCs/>
          <w:color w:val="000000"/>
          <w:sz w:val="32"/>
          <w:szCs w:val="32"/>
          <w:lang w:val="en-US" w:eastAsia="zh-CN"/>
        </w:rPr>
        <w:t>截止2021年12月31日，金川县防震减灾事务中心共有车辆</w:t>
      </w:r>
      <w:bookmarkEnd w:id="132"/>
      <w:r>
        <w:rPr>
          <w:rFonts w:hint="eastAsia" w:ascii="仿宋" w:eastAsia="仿宋"/>
          <w:b w:val="0"/>
          <w:bCs/>
          <w:color w:val="000000"/>
          <w:sz w:val="32"/>
          <w:szCs w:val="32"/>
          <w:lang w:val="en-US" w:eastAsia="zh-CN"/>
        </w:rPr>
        <w:t>1辆，主要为应急保障用车。</w:t>
      </w:r>
    </w:p>
    <w:p>
      <w:pPr>
        <w:numPr>
          <w:ilvl w:val="0"/>
          <w:numId w:val="3"/>
        </w:numPr>
        <w:autoSpaceDE w:val="0"/>
        <w:autoSpaceDN w:val="0"/>
        <w:adjustRightInd w:val="0"/>
        <w:spacing w:line="560" w:lineRule="exact"/>
        <w:ind w:left="960" w:leftChars="0" w:firstLine="0" w:firstLineChars="0"/>
        <w:jc w:val="left"/>
        <w:outlineLvl w:val="2"/>
        <w:rPr>
          <w:rFonts w:hint="eastAsia" w:ascii="仿宋" w:eastAsia="仿宋"/>
          <w:b w:val="0"/>
          <w:bCs/>
          <w:color w:val="000000"/>
          <w:sz w:val="32"/>
          <w:szCs w:val="32"/>
        </w:rPr>
      </w:pPr>
      <w:r>
        <w:rPr>
          <w:rFonts w:hint="eastAsia" w:ascii="仿宋" w:eastAsia="仿宋"/>
          <w:b w:val="0"/>
          <w:bCs/>
          <w:color w:val="000000"/>
          <w:sz w:val="32"/>
          <w:szCs w:val="32"/>
        </w:rPr>
        <w:t>预算绩效管理情况。</w:t>
      </w:r>
      <w:bookmarkEnd w:id="76"/>
      <w:bookmarkEnd w:id="77"/>
    </w:p>
    <w:p>
      <w:pPr>
        <w:numPr>
          <w:numId w:val="0"/>
        </w:numPr>
        <w:autoSpaceDE w:val="0"/>
        <w:autoSpaceDN w:val="0"/>
        <w:adjustRightInd w:val="0"/>
        <w:spacing w:line="560" w:lineRule="exact"/>
        <w:ind w:left="960" w:leftChars="0"/>
        <w:jc w:val="left"/>
        <w:outlineLvl w:val="2"/>
        <w:rPr>
          <w:rFonts w:hint="default" w:ascii="仿宋" w:eastAsia="仿宋"/>
          <w:b w:val="0"/>
          <w:bCs/>
          <w:color w:val="000000"/>
          <w:sz w:val="32"/>
          <w:szCs w:val="32"/>
          <w:lang w:val="en-US" w:eastAsia="zh-CN"/>
        </w:rPr>
      </w:pPr>
      <w:r>
        <w:rPr>
          <w:rFonts w:hint="eastAsia" w:ascii="仿宋" w:eastAsia="仿宋"/>
          <w:b w:val="0"/>
          <w:bCs/>
          <w:color w:val="000000"/>
          <w:sz w:val="32"/>
          <w:szCs w:val="32"/>
          <w:lang w:eastAsia="zh-CN"/>
        </w:rPr>
        <w:t>本中心按照要求对</w:t>
      </w:r>
      <w:r>
        <w:rPr>
          <w:rFonts w:hint="eastAsia" w:ascii="仿宋" w:eastAsia="仿宋"/>
          <w:b w:val="0"/>
          <w:bCs/>
          <w:color w:val="000000"/>
          <w:sz w:val="32"/>
          <w:szCs w:val="32"/>
          <w:lang w:val="en-US" w:eastAsia="zh-CN"/>
        </w:rPr>
        <w:t>2021年部门整体支出开展绩效自评，经全面综合评价，我中心预算支出绩效自评得90分，我中心深入贯彻落实十九大关于“全面实施绩效管理”的要求，努力提升本单位绩效预算管理业务水平，主动公开绩效结果，加大资金使用效率。提升政府管理水平。</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113"/>
        <w:gridCol w:w="2304"/>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0"/>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w:t>
            </w:r>
            <w:r>
              <w:rPr>
                <w:rFonts w:ascii="宋体" w:cs="宋体"/>
                <w:color w:val="000000"/>
                <w:kern w:val="0"/>
                <w:sz w:val="36"/>
                <w:szCs w:val="36"/>
                <w:lang w:val="en-US" w:eastAsia="zh-CN" w:bidi="ar-SA"/>
              </w:rPr>
              <w:t>1</w:t>
            </w:r>
            <w:r>
              <w:rPr>
                <w:rFonts w:hint="eastAsia" w:ascii="宋体" w:cs="宋体"/>
                <w:color w:val="000000"/>
                <w:kern w:val="0"/>
                <w:sz w:val="36"/>
                <w:szCs w:val="36"/>
                <w:lang w:bidi="ar-SA"/>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val="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both"/>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eastAsia="宋体" w:cs="宋体"/>
                <w:color w:val="000000"/>
                <w:sz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bidi="ar-SA"/>
              </w:rPr>
            </w:pPr>
            <w:r>
              <w:rPr>
                <w:rFonts w:hint="eastAsia" w:ascii="宋体" w:cs="宋体"/>
                <w:color w:val="000000"/>
                <w:kern w:val="0"/>
                <w:sz w:val="24"/>
                <w:lang w:bidi="ar-SA"/>
              </w:rPr>
              <w:t>效益指标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工作效率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提升工作效率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确保我办硬件设施正常运行，保障我机关职能正常发挥，为职工提高工作效率提供基础保障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确保了我办硬件设施正常运行，保障我机关职能正常发挥，为职工提高工作效率提供基础保障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满意度指标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机关工作人员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bl>
    <w:p>
      <w:pPr>
        <w:spacing w:line="580" w:lineRule="exact"/>
        <w:rPr>
          <w:rFonts w:hint="eastAsia" w:ascii="仿宋_GB2312" w:eastAsia="仿宋_GB2312" w:cs="仿宋_GB2312"/>
          <w:sz w:val="32"/>
          <w:szCs w:val="32"/>
          <w:lang w:bidi="ar-SA"/>
        </w:rPr>
      </w:pP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w:t>
      </w:r>
      <w:r>
        <w:rPr>
          <w:rFonts w:hint="eastAsia" w:ascii="仿宋_GB2312" w:eastAsia="仿宋_GB2312" w:cs="仿宋_GB2312"/>
          <w:sz w:val="32"/>
          <w:szCs w:val="32"/>
          <w:lang w:eastAsia="zh-CN" w:bidi="ar-SA"/>
        </w:rPr>
        <w:t>。</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38"/>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7"/>
            <w:tcBorders>
              <w:top w:val="nil"/>
              <w:left w:val="nil"/>
              <w:bottom w:val="nil"/>
              <w:right w:val="nil"/>
            </w:tcBorders>
            <w:noWrap/>
            <w:tcMar>
              <w:top w:w="15" w:type="dxa"/>
              <w:left w:w="15" w:type="dxa"/>
              <w:right w:w="15" w:type="dxa"/>
            </w:tcMar>
            <w:vAlign w:val="center"/>
          </w:tcPr>
          <w:p>
            <w:pPr>
              <w:pStyle w:val="20"/>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w:t>
            </w:r>
            <w:r>
              <w:rPr>
                <w:rFonts w:ascii="宋体" w:cs="宋体"/>
                <w:color w:val="000000"/>
                <w:kern w:val="0"/>
                <w:sz w:val="36"/>
                <w:szCs w:val="36"/>
                <w:lang w:val="en-US" w:eastAsia="zh-CN" w:bidi="ar-SA"/>
              </w:rPr>
              <w:t>1</w:t>
            </w:r>
            <w:r>
              <w:rPr>
                <w:rFonts w:hint="eastAsia" w:ascii="宋体" w:cs="宋体"/>
                <w:color w:val="000000"/>
                <w:kern w:val="0"/>
                <w:sz w:val="36"/>
                <w:szCs w:val="36"/>
                <w:lang w:bidi="ar-SA"/>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车辆大修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阿坝州人民政府办公室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保质保量完成大修工作，减少安全隐患。</w:t>
            </w:r>
          </w:p>
        </w:tc>
        <w:tc>
          <w:tcPr>
            <w:tcW w:w="4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按计划保质保量完成。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台数</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eastAsia="zh-CN" w:bidi="ar-SA"/>
              </w:rPr>
              <w:t>计划</w:t>
            </w:r>
            <w:r>
              <w:rPr>
                <w:rFonts w:hint="eastAsia" w:ascii="宋体" w:cs="宋体"/>
                <w:color w:val="000000"/>
                <w:sz w:val="24"/>
                <w:lang w:val="en-US" w:eastAsia="zh-CN" w:bidi="ar-SA"/>
              </w:rPr>
              <w:t>2台公务用车大修</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完成了</w:t>
            </w:r>
            <w:r>
              <w:rPr>
                <w:rFonts w:hint="eastAsia" w:ascii="宋体" w:cs="宋体"/>
                <w:color w:val="000000"/>
                <w:sz w:val="24"/>
                <w:lang w:val="en-US" w:eastAsia="zh-CN" w:bidi="ar-SA"/>
              </w:rPr>
              <w:t>2台公务用车大修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保质保量完成大修工作，减少安全隐患</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b/>
                <w:bCs/>
                <w:color w:val="000000"/>
                <w:sz w:val="24"/>
                <w:lang w:bidi="ar-SA"/>
              </w:rPr>
            </w:pPr>
            <w:r>
              <w:rPr>
                <w:rFonts w:hint="eastAsia" w:ascii="宋体" w:cs="宋体"/>
                <w:color w:val="000000"/>
                <w:sz w:val="24"/>
                <w:lang w:eastAsia="zh-CN" w:bidi="ar-SA"/>
              </w:rPr>
              <w:t>保质保量完成大修工作，减少安全隐患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安全驾驶，确保自身和他人生命财产安全</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安全驾驶，确保自身和他人生命财产安全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43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7"/>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cs="宋体"/>
                <w:color w:val="000000"/>
                <w:sz w:val="36"/>
                <w:szCs w:val="36"/>
                <w:lang w:bidi="ar-SA"/>
              </w:rPr>
            </w:pPr>
            <w:r>
              <w:rPr>
                <w:rFonts w:hint="eastAsia" w:ascii="宋体" w:cs="宋体"/>
                <w:b/>
                <w:bCs/>
                <w:color w:val="000000"/>
                <w:kern w:val="0"/>
                <w:sz w:val="36"/>
                <w:szCs w:val="36"/>
                <w:lang w:bidi="ar-SA"/>
              </w:rPr>
              <w:t>项目绩效目标完成情况表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(202</w:t>
            </w:r>
            <w:r>
              <w:rPr>
                <w:rFonts w:ascii="宋体" w:cs="宋体"/>
                <w:color w:val="000000"/>
                <w:kern w:val="0"/>
                <w:sz w:val="36"/>
                <w:szCs w:val="36"/>
                <w:lang w:bidi="ar-SA"/>
              </w:rPr>
              <w:t>1</w:t>
            </w:r>
            <w:r>
              <w:rPr>
                <w:rFonts w:hint="eastAsia" w:ascii="宋体" w:cs="宋体"/>
                <w:color w:val="000000"/>
                <w:kern w:val="0"/>
                <w:sz w:val="36"/>
                <w:szCs w:val="36"/>
                <w:lang w:bidi="ar-SA"/>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sz w:val="24"/>
                <w:szCs w:val="24"/>
                <w:lang w:bidi="ar-SA"/>
              </w:rPr>
              <w:t>州政府八楼会议室配套设施及外挂电梯井改造项目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阿坝州人民政府办公室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解决办公楼上班时段电梯拥挤情况。</w:t>
            </w:r>
          </w:p>
        </w:tc>
        <w:tc>
          <w:tcPr>
            <w:tcW w:w="4786"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达到了预期的目的，工作效率得到了提升。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质量合理</w:t>
            </w: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保证电梯质量合格，保障人员安全</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经过反复测试，未发现安全隐患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效率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提升工作效率</w:t>
            </w: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解决办公楼上班时段电梯拥挤情况。</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达到了预期的目的，工作效率得到了提升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满意度</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使用满意度</w:t>
            </w:r>
          </w:p>
        </w:tc>
        <w:tc>
          <w:tcPr>
            <w:tcW w:w="23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98%</w:t>
            </w:r>
          </w:p>
        </w:tc>
      </w:tr>
    </w:tbl>
    <w:p>
      <w:pPr>
        <w:spacing w:line="580" w:lineRule="exact"/>
        <w:ind w:left="630"/>
        <w:rPr>
          <w:rFonts w:hint="eastAsia" w:ascii="仿宋_GB2312" w:eastAsia="仿宋_GB2312" w:cs="仿宋_GB2312"/>
          <w:sz w:val="32"/>
          <w:szCs w:val="32"/>
          <w:lang w:bidi="ar-SA"/>
        </w:rPr>
      </w:pPr>
    </w:p>
    <w:p>
      <w:pPr>
        <w:spacing w:line="560" w:lineRule="exact"/>
        <w:ind w:left="630"/>
        <w:rPr>
          <w:rFonts w:hint="eastAsia" w:ascii="仿宋_GB2312" w:eastAsia="仿宋_GB2312" w:cs="仿宋_GB2312"/>
          <w:sz w:val="32"/>
          <w:szCs w:val="32"/>
          <w:lang w:bidi="ar-SA"/>
        </w:rPr>
      </w:pPr>
      <w:r>
        <w:rPr>
          <w:rFonts w:hint="eastAsia" w:ascii="楷体_GB2312" w:eastAsia="楷体_GB2312" w:cs="楷体_GB2312"/>
          <w:sz w:val="32"/>
          <w:szCs w:val="32"/>
          <w:lang w:bidi="ar-SA"/>
        </w:rPr>
        <w:t>2.部门绩效评价结果。</w:t>
      </w:r>
    </w:p>
    <w:p>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我</w:t>
      </w:r>
      <w:r>
        <w:rPr>
          <w:rFonts w:ascii="仿宋_GB2312" w:eastAsia="仿宋_GB2312" w:cs="仿宋_GB2312"/>
          <w:sz w:val="32"/>
          <w:szCs w:val="32"/>
          <w:lang w:eastAsia="zh-CN" w:bidi="ar-SA"/>
        </w:rPr>
        <w:t>中心</w:t>
      </w:r>
      <w:r>
        <w:rPr>
          <w:rFonts w:hint="eastAsia" w:ascii="仿宋_GB2312" w:eastAsia="仿宋_GB2312" w:cs="仿宋_GB2312"/>
          <w:sz w:val="32"/>
          <w:szCs w:val="32"/>
          <w:lang w:bidi="ar-SA"/>
        </w:rPr>
        <w:t>按要求对202</w:t>
      </w:r>
      <w:r>
        <w:rPr>
          <w:rFonts w:ascii="仿宋_GB2312" w:eastAsia="仿宋_GB2312" w:cs="仿宋_GB2312"/>
          <w:sz w:val="32"/>
          <w:szCs w:val="32"/>
          <w:lang w:bidi="ar-SA"/>
        </w:rPr>
        <w:t>1</w:t>
      </w:r>
      <w:r>
        <w:rPr>
          <w:rFonts w:hint="eastAsia" w:ascii="仿宋_GB2312" w:eastAsia="仿宋_GB2312" w:cs="仿宋_GB2312"/>
          <w:sz w:val="32"/>
          <w:szCs w:val="32"/>
          <w:lang w:bidi="ar-SA"/>
        </w:rPr>
        <w:t>年部门整体支出绩效评价情况开展自评，《</w:t>
      </w:r>
      <w:r>
        <w:rPr>
          <w:rFonts w:ascii="仿宋_GB2312" w:eastAsia="仿宋_GB2312"/>
          <w:sz w:val="32"/>
          <w:szCs w:val="32"/>
        </w:rPr>
        <w:t>金川县防震减灾事务中心</w:t>
      </w:r>
      <w:r>
        <w:rPr>
          <w:rFonts w:hint="eastAsia" w:ascii="仿宋_GB2312" w:eastAsia="仿宋_GB2312"/>
          <w:sz w:val="32"/>
          <w:szCs w:val="32"/>
        </w:rPr>
        <w:t>2021年部门整体支出绩效评价报告</w:t>
      </w:r>
      <w:r>
        <w:rPr>
          <w:rFonts w:hint="eastAsia" w:ascii="仿宋_GB2312" w:eastAsia="仿宋_GB2312" w:cs="仿宋_GB2312"/>
          <w:sz w:val="32"/>
          <w:szCs w:val="32"/>
          <w:lang w:bidi="ar-SA"/>
        </w:rPr>
        <w:t>》见附件。</w:t>
      </w:r>
    </w:p>
    <w:p>
      <w:pPr>
        <w:spacing w:line="560" w:lineRule="exact"/>
        <w:ind w:left="0"/>
        <w:jc w:val="center"/>
        <w:outlineLvl w:val="0"/>
        <w:rPr>
          <w:rFonts w:hint="eastAsia" w:ascii="方正小标宋简体" w:eastAsia="方正小标宋简体"/>
          <w:color w:val="000000"/>
          <w:sz w:val="44"/>
          <w:szCs w:val="44"/>
        </w:rPr>
      </w:pPr>
      <w:bookmarkStart w:id="78" w:name="_Toc79163879"/>
      <w:bookmarkStart w:id="79" w:name="_Toc15396613"/>
      <w:bookmarkStart w:id="80" w:name="_Toc15377225"/>
      <w:bookmarkStart w:id="81" w:name="_Toc79163629"/>
    </w:p>
    <w:p>
      <w:pPr>
        <w:spacing w:line="560" w:lineRule="exact"/>
        <w:ind w:left="0"/>
        <w:jc w:val="center"/>
        <w:outlineLvl w:val="0"/>
        <w:rPr>
          <w:rStyle w:val="17"/>
          <w:rFonts w:hint="eastAsia" w:ascii="方正小标宋简体" w:eastAsia="方正小标宋简体"/>
          <w:b w:val="0"/>
        </w:rPr>
      </w:pPr>
      <w:r>
        <w:rPr>
          <w:rFonts w:hint="eastAsia" w:ascii="方正小标宋简体" w:eastAsia="方正小标宋简体"/>
          <w:color w:val="000000"/>
          <w:sz w:val="44"/>
          <w:szCs w:val="44"/>
        </w:rPr>
        <w:t>第三部分  名</w:t>
      </w:r>
      <w:r>
        <w:rPr>
          <w:rStyle w:val="17"/>
          <w:rFonts w:hint="eastAsia" w:ascii="方正小标宋简体" w:eastAsia="方正小标宋简体"/>
          <w:b w:val="0"/>
        </w:rPr>
        <w:t>词解释</w:t>
      </w:r>
      <w:bookmarkEnd w:id="78"/>
      <w:bookmarkEnd w:id="79"/>
      <w:bookmarkEnd w:id="80"/>
      <w:bookmarkEnd w:id="81"/>
    </w:p>
    <w:p>
      <w:pPr>
        <w:spacing w:line="560" w:lineRule="exact"/>
        <w:jc w:val="left"/>
        <w:rPr>
          <w:rFonts w:hint="eastAsia" w:ascii="宋体"/>
          <w:b/>
          <w:color w:val="000000"/>
          <w:sz w:val="44"/>
          <w:szCs w:val="44"/>
        </w:rPr>
      </w:pP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pacing w:line="560" w:lineRule="exact"/>
        <w:ind w:firstLine="640" w:firstLineChars="200"/>
        <w:rPr>
          <w:rFonts w:hint="eastAsia" w:ascii="仿宋_GB2312" w:eastAsia="仿宋_GB2312" w:cs="黑体"/>
          <w:sz w:val="32"/>
          <w:szCs w:val="32"/>
          <w:lang w:bidi="ar-SA"/>
        </w:rPr>
      </w:pPr>
    </w:p>
    <w:p>
      <w:pPr>
        <w:spacing w:line="600" w:lineRule="exact"/>
        <w:jc w:val="center"/>
        <w:outlineLvl w:val="0"/>
        <w:rPr>
          <w:rStyle w:val="17"/>
          <w:rFonts w:hint="eastAsia" w:ascii="方正小标宋简体" w:eastAsia="方正小标宋简体"/>
          <w:b w:val="0"/>
        </w:rPr>
      </w:pPr>
      <w:bookmarkStart w:id="82" w:name="_Toc15377226"/>
      <w:r>
        <w:rPr>
          <w:rFonts w:hint="eastAsia" w:ascii="宋体"/>
          <w:b/>
          <w:color w:val="000000"/>
          <w:sz w:val="44"/>
          <w:szCs w:val="44"/>
        </w:rPr>
        <w:br w:type="page"/>
      </w:r>
      <w:bookmarkStart w:id="83" w:name="_Toc15396614"/>
      <w:bookmarkStart w:id="84" w:name="_Toc79163630"/>
      <w:bookmarkStart w:id="85" w:name="_Toc79163880"/>
      <w:r>
        <w:rPr>
          <w:rFonts w:hint="eastAsia" w:ascii="方正小标宋简体" w:eastAsia="方正小标宋简体"/>
          <w:color w:val="000000"/>
          <w:sz w:val="44"/>
          <w:szCs w:val="44"/>
        </w:rPr>
        <w:t>第</w:t>
      </w:r>
      <w:r>
        <w:rPr>
          <w:rStyle w:val="17"/>
          <w:rFonts w:hint="eastAsia" w:ascii="方正小标宋简体" w:eastAsia="方正小标宋简体"/>
          <w:b w:val="0"/>
        </w:rPr>
        <w:t>四部分 附件</w:t>
      </w:r>
      <w:bookmarkEnd w:id="83"/>
      <w:bookmarkEnd w:id="84"/>
      <w:bookmarkEnd w:id="85"/>
    </w:p>
    <w:p>
      <w:pPr>
        <w:spacing w:line="580" w:lineRule="exact"/>
        <w:jc w:val="center"/>
        <w:rPr>
          <w:rFonts w:hint="eastAsia" w:ascii="方正小标宋简体" w:eastAsia="方正小标宋简体" w:cs="方正小标宋简体"/>
          <w:sz w:val="44"/>
          <w:szCs w:val="44"/>
          <w:lang w:bidi="ar-SA"/>
        </w:rPr>
      </w:pP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方正小标宋简体" w:eastAsia="方正小标宋简体" w:cs="Times New Roman"/>
          <w:kern w:val="2"/>
          <w:sz w:val="44"/>
          <w:szCs w:val="44"/>
          <w:lang w:bidi="ar-SA"/>
        </w:rPr>
      </w:pPr>
      <w:bookmarkStart w:id="86" w:name="_Toc79163634"/>
      <w:bookmarkStart w:id="87" w:name="_Toc79163884"/>
      <w:r>
        <w:rPr>
          <w:rFonts w:hint="eastAsia" w:ascii="方正小标宋简体" w:eastAsia="方正小标宋简体" w:cs="Times New Roman"/>
          <w:kern w:val="2"/>
          <w:sz w:val="44"/>
          <w:szCs w:val="44"/>
          <w:lang w:bidi="ar-SA"/>
        </w:rPr>
        <w:t>阿坝州人民政府办公室</w:t>
      </w: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仿宋_GB2312" w:eastAsia="仿宋_GB2312" w:cs="Times New Roman"/>
          <w:kern w:val="2"/>
          <w:sz w:val="32"/>
          <w:szCs w:val="32"/>
          <w:shd w:val="clear" w:color="auto" w:fill="FFFFFF"/>
          <w:lang w:bidi="ar-SA"/>
        </w:rPr>
      </w:pPr>
      <w:r>
        <w:rPr>
          <w:rFonts w:hint="eastAsia" w:ascii="方正小标宋简体" w:eastAsia="方正小标宋简体" w:cs="Times New Roman"/>
          <w:kern w:val="2"/>
          <w:sz w:val="44"/>
          <w:szCs w:val="44"/>
          <w:lang w:bidi="ar-SA"/>
        </w:rPr>
        <w:t>202</w:t>
      </w:r>
      <w:r>
        <w:rPr>
          <w:rFonts w:ascii="方正小标宋简体" w:eastAsia="方正小标宋简体" w:cs="Times New Roman"/>
          <w:kern w:val="2"/>
          <w:sz w:val="44"/>
          <w:szCs w:val="44"/>
          <w:lang w:val="en-US" w:eastAsia="zh-CN" w:bidi="ar-SA"/>
        </w:rPr>
        <w:t>1</w:t>
      </w:r>
      <w:r>
        <w:rPr>
          <w:rFonts w:hint="eastAsia" w:ascii="方正小标宋简体" w:eastAsia="方正小标宋简体" w:cs="Times New Roman"/>
          <w:kern w:val="2"/>
          <w:sz w:val="44"/>
          <w:szCs w:val="44"/>
          <w:lang w:bidi="ar-SA"/>
        </w:rPr>
        <w:t>年部门整体支出绩效评价报告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黑体" w:eastAsia="黑体" w:cs="宋体"/>
          <w:color w:val="auto"/>
          <w:kern w:val="0"/>
          <w:sz w:val="24"/>
          <w:szCs w:val="24"/>
          <w:shd w:val="clear" w:color="auto" w:fill="FFFFFF"/>
          <w:lang w:bidi="ar-SA"/>
        </w:rPr>
      </w:pPr>
      <w:r>
        <w:rPr>
          <w:rFonts w:hint="eastAsia" w:ascii="仿宋_GB2312" w:eastAsia="仿宋_GB2312" w:cs="Times New Roman"/>
          <w:kern w:val="2"/>
          <w:sz w:val="32"/>
          <w:szCs w:val="32"/>
          <w:lang w:bidi="ar-SA"/>
        </w:rPr>
        <w:t>根据《阿坝州财政局关于开展2021年部门、政策和项目支出绩效评价工作的通知》（阿州财监绩〔202</w:t>
      </w:r>
      <w:r>
        <w:rPr>
          <w:rFonts w:hint="eastAsia" w:ascii="仿宋_GB2312" w:hAnsi="仿宋_GB2312" w:cs="Times New Roman"/>
          <w:kern w:val="2"/>
          <w:sz w:val="32"/>
          <w:szCs w:val="32"/>
          <w:lang w:val="en-US" w:eastAsia="zh-CN" w:bidi="ar-SA"/>
        </w:rPr>
        <w:t>1</w:t>
      </w:r>
      <w:r>
        <w:rPr>
          <w:rFonts w:hint="eastAsia" w:ascii="仿宋_GB2312" w:eastAsia="仿宋_GB2312" w:cs="Times New Roman"/>
          <w:kern w:val="2"/>
          <w:sz w:val="32"/>
          <w:szCs w:val="32"/>
          <w:lang w:bidi="ar-SA"/>
        </w:rPr>
        <w:t>〕11号）文件精神，州政府办公室对202</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年部门整体支出绩效进行了全面综合评价。经评价，我</w:t>
      </w:r>
      <w:r>
        <w:rPr>
          <w:rFonts w:ascii="仿宋_GB2312" w:eastAsia="仿宋_GB2312" w:cs="Times New Roman"/>
          <w:kern w:val="2"/>
          <w:sz w:val="32"/>
          <w:szCs w:val="32"/>
          <w:lang w:bidi="ar-SA"/>
        </w:rPr>
        <w:t>中心</w:t>
      </w:r>
      <w:r>
        <w:rPr>
          <w:rFonts w:hint="eastAsia" w:ascii="仿宋_GB2312" w:eastAsia="仿宋_GB2312" w:cs="Times New Roman"/>
          <w:kern w:val="2"/>
          <w:sz w:val="32"/>
          <w:szCs w:val="32"/>
          <w:lang w:bidi="ar-SA"/>
        </w:rPr>
        <w:t>整体支出绩效评价自评得分95</w:t>
      </w:r>
      <w:r>
        <w:rPr>
          <w:rFonts w:hint="eastAsia" w:ascii="仿宋_GB2312" w:eastAsia="仿宋_GB2312" w:cs="Times New Roman"/>
          <w:color w:val="auto"/>
          <w:kern w:val="2"/>
          <w:sz w:val="32"/>
          <w:szCs w:val="32"/>
          <w:lang w:bidi="ar-SA"/>
        </w:rPr>
        <w:t>分。</w:t>
      </w:r>
      <w:r>
        <w:rPr>
          <w:rFonts w:hint="eastAsia" w:ascii="仿宋_GB2312" w:eastAsia="仿宋_GB2312" w:cs="Times New Roman"/>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一、部门（单位）概况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（一）</w:t>
      </w:r>
      <w:r>
        <w:rPr>
          <w:rFonts w:hint="eastAsia" w:ascii="仿宋_GB2312" w:eastAsia="仿宋_GB2312" w:cs="宋体"/>
          <w:color w:val="auto"/>
          <w:kern w:val="0"/>
          <w:sz w:val="32"/>
          <w:szCs w:val="32"/>
          <w:shd w:val="clear" w:color="auto" w:fill="FFFFFF"/>
          <w:lang w:bidi="ar-SA"/>
        </w:rPr>
        <w:t>机构组成。</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ascii="仿宋" w:eastAsia="仿宋"/>
          <w:sz w:val="32"/>
          <w:szCs w:val="32"/>
        </w:rPr>
      </w:pPr>
      <w:r>
        <w:rPr>
          <w:rFonts w:ascii="仿宋" w:eastAsia="仿宋"/>
          <w:sz w:val="32"/>
          <w:szCs w:val="32"/>
        </w:rPr>
        <w:t>我事务中心20</w:t>
      </w:r>
      <w:r>
        <w:rPr>
          <w:rFonts w:hint="eastAsia" w:ascii="仿宋" w:eastAsia="仿宋"/>
          <w:sz w:val="32"/>
          <w:szCs w:val="32"/>
        </w:rPr>
        <w:t>21</w:t>
      </w:r>
      <w:r>
        <w:rPr>
          <w:rFonts w:ascii="仿宋" w:eastAsia="仿宋"/>
          <w:sz w:val="32"/>
          <w:szCs w:val="32"/>
        </w:rPr>
        <w:t>年有1个机构</w:t>
      </w:r>
      <w:r>
        <w:rPr>
          <w:rFonts w:hint="eastAsia" w:ascii="仿宋" w:eastAsia="仿宋"/>
          <w:sz w:val="32"/>
          <w:szCs w:val="32"/>
        </w:rPr>
        <w:t>。</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（二）</w:t>
      </w:r>
      <w:r>
        <w:rPr>
          <w:rFonts w:hint="eastAsia" w:ascii="仿宋_GB2312" w:eastAsia="仿宋_GB2312" w:cs="宋体"/>
          <w:color w:val="auto"/>
          <w:kern w:val="0"/>
          <w:sz w:val="32"/>
          <w:szCs w:val="32"/>
          <w:shd w:val="clear" w:color="auto" w:fill="FFFFFF"/>
          <w:lang w:bidi="ar-SA"/>
        </w:rPr>
        <w:t>机构职能。</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bidi="ar-SA"/>
        </w:rPr>
      </w:pPr>
      <w:r>
        <w:rPr>
          <w:rFonts w:hint="eastAsia" w:ascii="仿宋" w:eastAsia="仿宋" w:cs="仿宋_GB2312"/>
          <w:color w:val="000000"/>
          <w:kern w:val="0"/>
          <w:sz w:val="32"/>
          <w:szCs w:val="32"/>
        </w:rPr>
        <w:t>贯彻执行国家和省有关防震减灾工作的方针、政策、法律、规范和标准；组织起草有关法规，制定防震减灾发展中长期规划</w:t>
      </w:r>
      <w:r>
        <w:rPr>
          <w:rFonts w:ascii="仿宋" w:eastAsia="仿宋" w:cs="仿宋_GB2312"/>
          <w:color w:val="000000"/>
          <w:kern w:val="0"/>
          <w:sz w:val="32"/>
          <w:szCs w:val="32"/>
        </w:rPr>
        <w:t>,</w:t>
      </w:r>
      <w:r>
        <w:rPr>
          <w:rFonts w:hint="eastAsia" w:ascii="仿宋" w:eastAsia="仿宋" w:cs="仿宋_GB2312"/>
          <w:color w:val="000000"/>
          <w:kern w:val="0"/>
          <w:sz w:val="32"/>
          <w:szCs w:val="32"/>
        </w:rPr>
        <w:t>编制防震减灾工作年度计划并组织实施。负责地震台网的规划、建设和管理。负责地震监测设施及其观测环境保护工作的监督、检查指导和协调。负责地震监测预报工作和地震震情速报工作的管理和指导。负责地震灾情速报、地震现场考察、地震灾害损失评估等工作，参与制定地震灾区重建规划。负责地震应急工作的管理、指导，制定应急预案、落实应急措施，开展震后各项应急工作。负责重大建设工程和可能产生严重次生灾害工程的地震安全性评价管理工作；负责全县抗震设防要求的监督和管理，指导农村房屋抗震设防。负责开展防震减灾科普知识宣传教育工作，</w:t>
      </w:r>
      <w:r>
        <w:rPr>
          <w:rFonts w:ascii="仿宋" w:eastAsia="仿宋" w:cs="仿宋_GB2312"/>
          <w:color w:val="000000"/>
          <w:kern w:val="0"/>
          <w:sz w:val="32"/>
          <w:szCs w:val="32"/>
        </w:rPr>
        <w:t xml:space="preserve"> </w:t>
      </w:r>
      <w:r>
        <w:rPr>
          <w:rFonts w:hint="eastAsia" w:ascii="仿宋" w:eastAsia="仿宋" w:cs="仿宋_GB2312"/>
          <w:color w:val="000000"/>
          <w:kern w:val="0"/>
          <w:sz w:val="32"/>
          <w:szCs w:val="32"/>
        </w:rPr>
        <w:t>提高全民防震减灾意识。负责群测群防“三网一员”建设的管理、指导。负责防震减灾科技成果的推广应用，提高防震减灾科技水平。负责县政府防震减灾领导小组办公室的日常工作，发生破坏性地震后履行政府抗震救灾指挥机构办事部门的职责。负责承办县委、县人民政府、县应急管理事务中心和上级业务主管部门交办的事项。</w:t>
      </w:r>
      <w:r>
        <w:rPr>
          <w:rFonts w:hint="eastAsia" w:ascii="仿宋_GB2312" w:eastAsia="仿宋_GB2312" w:cs="Times New Roman"/>
          <w:kern w:val="2"/>
          <w:sz w:val="32"/>
          <w:szCs w:val="32"/>
          <w:lang w:bidi="ar-SA"/>
        </w:rPr>
        <w:t>。</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（三）</w:t>
      </w:r>
      <w:r>
        <w:rPr>
          <w:rFonts w:hint="eastAsia" w:ascii="仿宋_GB2312" w:eastAsia="仿宋_GB2312" w:cs="宋体"/>
          <w:color w:val="auto"/>
          <w:kern w:val="0"/>
          <w:sz w:val="32"/>
          <w:szCs w:val="32"/>
          <w:shd w:val="clear" w:color="auto" w:fill="FFFFFF"/>
          <w:lang w:bidi="ar-SA"/>
        </w:rPr>
        <w:t>人员概况。</w:t>
      </w:r>
    </w:p>
    <w:p>
      <w:pPr>
        <w:widowControl/>
        <w:spacing w:line="560" w:lineRule="exact"/>
        <w:ind w:firstLine="640" w:firstLineChars="200"/>
        <w:jc w:val="left"/>
        <w:rPr>
          <w:rFonts w:hint="eastAsia" w:ascii="仿宋" w:eastAsia="仿宋"/>
          <w:kern w:val="0"/>
          <w:sz w:val="32"/>
          <w:szCs w:val="32"/>
        </w:rPr>
      </w:pPr>
      <w:r>
        <w:rPr>
          <w:rFonts w:hint="eastAsia" w:ascii="仿宋" w:eastAsia="仿宋"/>
          <w:sz w:val="32"/>
          <w:szCs w:val="32"/>
        </w:rPr>
        <w:t>2021年机构为1个，</w:t>
      </w:r>
      <w:r>
        <w:rPr>
          <w:rFonts w:ascii="仿宋" w:eastAsia="仿宋"/>
          <w:sz w:val="32"/>
          <w:szCs w:val="32"/>
        </w:rPr>
        <w:t>本年由编办核定</w:t>
      </w:r>
      <w:r>
        <w:rPr>
          <w:rFonts w:hint="eastAsia" w:ascii="仿宋" w:eastAsia="仿宋"/>
          <w:sz w:val="32"/>
          <w:szCs w:val="32"/>
        </w:rPr>
        <w:t>编制6</w:t>
      </w:r>
      <w:r>
        <w:rPr>
          <w:rFonts w:ascii="仿宋" w:eastAsia="仿宋"/>
          <w:sz w:val="32"/>
          <w:szCs w:val="32"/>
        </w:rPr>
        <w:t>个</w:t>
      </w:r>
      <w:r>
        <w:rPr>
          <w:rFonts w:hint="eastAsia" w:ascii="仿宋" w:eastAsia="仿宋"/>
          <w:sz w:val="32"/>
          <w:szCs w:val="32"/>
        </w:rPr>
        <w:t>；</w:t>
      </w:r>
      <w:r>
        <w:rPr>
          <w:rFonts w:ascii="仿宋" w:eastAsia="仿宋"/>
          <w:sz w:val="32"/>
          <w:szCs w:val="32"/>
        </w:rPr>
        <w:t>年末实际在职</w:t>
      </w:r>
      <w:r>
        <w:rPr>
          <w:rFonts w:hint="eastAsia" w:ascii="仿宋" w:eastAsia="仿宋"/>
          <w:sz w:val="32"/>
          <w:szCs w:val="32"/>
        </w:rPr>
        <w:t>8</w:t>
      </w:r>
      <w:r>
        <w:rPr>
          <w:rFonts w:ascii="仿宋" w:eastAsia="仿宋"/>
          <w:sz w:val="32"/>
          <w:szCs w:val="32"/>
        </w:rPr>
        <w:t>个</w:t>
      </w:r>
      <w:r>
        <w:rPr>
          <w:rFonts w:hint="eastAsia" w:ascii="仿宋" w:eastAsia="仿宋"/>
          <w:sz w:val="32"/>
          <w:szCs w:val="32"/>
        </w:rPr>
        <w:t>，退休人员为0个。</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（一）部门财政资金收入情况。</w:t>
      </w:r>
    </w:p>
    <w:p>
      <w:pPr>
        <w:pStyle w:val="22"/>
        <w:jc w:val="both"/>
        <w:rPr>
          <w:rFonts w:hint="eastAsia" w:ascii="仿宋_GB2312"/>
          <w:sz w:val="32"/>
          <w:szCs w:val="32"/>
        </w:rPr>
      </w:pPr>
      <w:r>
        <w:rPr>
          <w:rFonts w:hint="eastAsia" w:ascii="仿宋_GB2312" w:eastAsia="仿宋_GB2312" w:cs="Times New Roman"/>
          <w:color w:val="auto"/>
          <w:kern w:val="2"/>
          <w:sz w:val="32"/>
          <w:szCs w:val="32"/>
          <w:lang w:bidi="ar-SA"/>
        </w:rPr>
        <w:t>202</w:t>
      </w:r>
      <w:r>
        <w:rPr>
          <w:rFonts w:ascii="仿宋_GB2312" w:eastAsia="仿宋_GB2312" w:cs="Times New Roman"/>
          <w:color w:val="auto"/>
          <w:kern w:val="2"/>
          <w:sz w:val="32"/>
          <w:szCs w:val="32"/>
          <w:lang w:bidi="ar-SA"/>
        </w:rPr>
        <w:t>1</w:t>
      </w:r>
      <w:r>
        <w:rPr>
          <w:rFonts w:hint="eastAsia" w:ascii="仿宋_GB2312" w:eastAsia="仿宋_GB2312" w:cs="Times New Roman"/>
          <w:color w:val="auto"/>
          <w:kern w:val="2"/>
          <w:sz w:val="32"/>
          <w:szCs w:val="32"/>
          <w:lang w:bidi="ar-SA"/>
        </w:rPr>
        <w:t>年财政拨款收入</w:t>
      </w:r>
      <w:r>
        <w:rPr>
          <w:rFonts w:ascii="仿宋_GB2312" w:eastAsia="仿宋_GB2312" w:cs="Times New Roman"/>
          <w:color w:val="auto"/>
          <w:kern w:val="2"/>
          <w:sz w:val="32"/>
          <w:szCs w:val="32"/>
          <w:lang w:bidi="ar-SA"/>
        </w:rPr>
        <w:t>156.6</w:t>
      </w:r>
      <w:r>
        <w:rPr>
          <w:rFonts w:hint="eastAsia" w:ascii="仿宋_GB2312" w:eastAsia="仿宋_GB2312" w:cs="Times New Roman"/>
          <w:color w:val="auto"/>
          <w:kern w:val="2"/>
          <w:sz w:val="32"/>
          <w:szCs w:val="32"/>
          <w:lang w:bidi="ar-SA"/>
        </w:rPr>
        <w:t>万元，较上年</w:t>
      </w:r>
      <w:r>
        <w:rPr>
          <w:rFonts w:ascii="仿宋_GB2312" w:eastAsia="仿宋_GB2312" w:cs="Times New Roman"/>
          <w:color w:val="auto"/>
          <w:kern w:val="2"/>
          <w:sz w:val="32"/>
          <w:szCs w:val="32"/>
          <w:lang w:bidi="ar-SA"/>
        </w:rPr>
        <w:t>增加18.75</w:t>
      </w:r>
      <w:r>
        <w:rPr>
          <w:rFonts w:hint="eastAsia" w:ascii="仿宋_GB2312" w:eastAsia="仿宋_GB2312" w:cs="Times New Roman"/>
          <w:color w:val="auto"/>
          <w:kern w:val="2"/>
          <w:sz w:val="32"/>
          <w:szCs w:val="32"/>
          <w:lang w:bidi="ar-SA"/>
        </w:rPr>
        <w:t>万元，增长</w:t>
      </w:r>
      <w:r>
        <w:rPr>
          <w:rFonts w:ascii="仿宋_GB2312" w:eastAsia="仿宋_GB2312" w:cs="Times New Roman"/>
          <w:color w:val="auto"/>
          <w:kern w:val="2"/>
          <w:sz w:val="32"/>
          <w:szCs w:val="32"/>
          <w:lang w:bidi="ar-SA"/>
        </w:rPr>
        <w:t>29.36</w:t>
      </w:r>
      <w:r>
        <w:rPr>
          <w:rFonts w:hint="eastAsia" w:ascii="仿宋_GB2312" w:eastAsia="仿宋_GB2312" w:cs="Times New Roman"/>
          <w:color w:val="auto"/>
          <w:kern w:val="2"/>
          <w:sz w:val="32"/>
          <w:szCs w:val="32"/>
          <w:lang w:bidi="ar-SA"/>
        </w:rPr>
        <w:t>%。增长的主要原因是</w:t>
      </w:r>
      <w:r>
        <w:rPr>
          <w:rFonts w:hint="eastAsia" w:ascii="仿宋_GB2312"/>
          <w:sz w:val="32"/>
          <w:szCs w:val="32"/>
        </w:rPr>
        <w:t>人员经费增加主要为以下方面</w:t>
      </w:r>
      <w:r>
        <w:rPr>
          <w:rFonts w:ascii="仿宋_GB2312"/>
          <w:sz w:val="32"/>
          <w:szCs w:val="32"/>
        </w:rPr>
        <w:t>:</w:t>
      </w:r>
      <w:r>
        <w:rPr>
          <w:rFonts w:hint="eastAsia" w:ascii="仿宋_GB2312"/>
          <w:sz w:val="32"/>
          <w:szCs w:val="32"/>
        </w:rPr>
        <w:t>一般公共服务支出 123.74 万元，占79.02</w:t>
      </w:r>
      <w:r>
        <w:rPr>
          <w:rFonts w:ascii="仿宋_GB2312"/>
          <w:sz w:val="32"/>
          <w:szCs w:val="32"/>
        </w:rPr>
        <w:t>%</w:t>
      </w:r>
      <w:r>
        <w:rPr>
          <w:rFonts w:hint="eastAsia" w:ascii="仿宋_GB2312"/>
          <w:sz w:val="32"/>
          <w:szCs w:val="32"/>
        </w:rPr>
        <w:t>；社会保障和就业支出15.21万元，占9.71</w:t>
      </w:r>
      <w:r>
        <w:rPr>
          <w:rFonts w:ascii="仿宋_GB2312"/>
          <w:sz w:val="32"/>
          <w:szCs w:val="32"/>
        </w:rPr>
        <w:t>%</w:t>
      </w:r>
      <w:r>
        <w:rPr>
          <w:rFonts w:hint="eastAsia" w:ascii="仿宋_GB2312"/>
          <w:sz w:val="32"/>
          <w:szCs w:val="32"/>
        </w:rPr>
        <w:t>；医疗卫生与计划生育支出6.04万元，占2.86</w:t>
      </w:r>
      <w:r>
        <w:rPr>
          <w:rFonts w:ascii="仿宋_GB2312"/>
          <w:sz w:val="32"/>
          <w:szCs w:val="32"/>
        </w:rPr>
        <w:t>%</w:t>
      </w:r>
      <w:r>
        <w:rPr>
          <w:rFonts w:hint="eastAsia" w:ascii="仿宋_GB2312"/>
          <w:sz w:val="32"/>
          <w:szCs w:val="32"/>
        </w:rPr>
        <w:t>；住房保障支出11.61万元，占7.01</w:t>
      </w:r>
      <w:r>
        <w:rPr>
          <w:rFonts w:ascii="仿宋_GB2312"/>
          <w:sz w:val="32"/>
          <w:szCs w:val="32"/>
        </w:rPr>
        <w:t>%</w:t>
      </w:r>
      <w:r>
        <w:rPr>
          <w:rFonts w:hint="eastAsia" w:ascii="仿宋_GB2312"/>
          <w:sz w:val="32"/>
          <w:szCs w:val="32"/>
        </w:rPr>
        <w:t>。项目支出2.2万元，占1.4%</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(二)部门财政资金支出情况。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jc w:val="left"/>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202</w:t>
      </w:r>
      <w:r>
        <w:rPr>
          <w:rFonts w:ascii="仿宋_GB2312" w:eastAsia="仿宋_GB2312" w:cs="Times New Roman"/>
          <w:kern w:val="2"/>
          <w:sz w:val="32"/>
          <w:szCs w:val="32"/>
          <w:lang w:bidi="ar-SA"/>
        </w:rPr>
        <w:t>1</w:t>
      </w:r>
      <w:r>
        <w:rPr>
          <w:rFonts w:hint="eastAsia" w:ascii="仿宋_GB2312" w:eastAsia="仿宋_GB2312" w:cs="Times New Roman"/>
          <w:kern w:val="2"/>
          <w:sz w:val="32"/>
          <w:szCs w:val="32"/>
          <w:lang w:bidi="ar-SA"/>
        </w:rPr>
        <w:t xml:space="preserve">年财政拨款支出 </w:t>
      </w:r>
      <w:r>
        <w:rPr>
          <w:rFonts w:ascii="仿宋_GB2312" w:eastAsia="仿宋_GB2312" w:cs="Times New Roman"/>
          <w:kern w:val="2"/>
          <w:sz w:val="32"/>
          <w:szCs w:val="32"/>
          <w:lang w:bidi="ar-SA"/>
        </w:rPr>
        <w:t>156.6</w:t>
      </w:r>
      <w:r>
        <w:rPr>
          <w:rFonts w:hint="eastAsia" w:ascii="仿宋_GB2312" w:eastAsia="仿宋_GB2312" w:cs="Times New Roman"/>
          <w:kern w:val="2"/>
          <w:sz w:val="32"/>
          <w:szCs w:val="32"/>
          <w:lang w:bidi="ar-SA"/>
        </w:rPr>
        <w:t>万元，较上年支出增加</w:t>
      </w:r>
      <w:r>
        <w:rPr>
          <w:rFonts w:ascii="仿宋_GB2312" w:eastAsia="仿宋_GB2312" w:cs="Times New Roman"/>
          <w:kern w:val="2"/>
          <w:sz w:val="32"/>
          <w:szCs w:val="32"/>
          <w:lang w:bidi="ar-SA"/>
        </w:rPr>
        <w:t>18.75</w:t>
      </w:r>
      <w:r>
        <w:rPr>
          <w:rFonts w:hint="eastAsia" w:ascii="仿宋_GB2312" w:eastAsia="仿宋_GB2312" w:cs="Times New Roman"/>
          <w:kern w:val="2"/>
          <w:sz w:val="32"/>
          <w:szCs w:val="32"/>
          <w:lang w:bidi="ar-SA"/>
        </w:rPr>
        <w:t>万元，增长</w:t>
      </w:r>
      <w:r>
        <w:rPr>
          <w:rFonts w:ascii="仿宋_GB2312" w:eastAsia="仿宋_GB2312" w:cs="Times New Roman"/>
          <w:kern w:val="2"/>
          <w:sz w:val="32"/>
          <w:szCs w:val="32"/>
          <w:lang w:bidi="ar-SA"/>
        </w:rPr>
        <w:t>29.36</w:t>
      </w:r>
      <w:r>
        <w:rPr>
          <w:rFonts w:hint="eastAsia" w:ascii="仿宋_GB2312" w:eastAsia="仿宋_GB2312" w:cs="Times New Roman"/>
          <w:kern w:val="2"/>
          <w:sz w:val="32"/>
          <w:szCs w:val="32"/>
          <w:lang w:bidi="ar-SA"/>
        </w:rPr>
        <w:t>%。主要原因为</w:t>
      </w:r>
      <w:r>
        <w:rPr>
          <w:rFonts w:ascii="仿宋_GB2312" w:eastAsia="仿宋_GB2312" w:cs="Times New Roman"/>
          <w:kern w:val="2"/>
          <w:sz w:val="32"/>
          <w:szCs w:val="32"/>
          <w:lang w:bidi="ar-SA"/>
        </w:rPr>
        <w:t>人员经费增加。</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我</w:t>
      </w:r>
      <w:r>
        <w:rPr>
          <w:rFonts w:ascii="仿宋_GB2312" w:eastAsia="仿宋_GB2312"/>
          <w:kern w:val="2"/>
          <w:sz w:val="32"/>
          <w:szCs w:val="32"/>
        </w:rPr>
        <w:t>中心</w:t>
      </w:r>
      <w:r>
        <w:rPr>
          <w:rFonts w:hint="eastAsia" w:ascii="仿宋_GB2312" w:eastAsia="仿宋_GB2312"/>
          <w:kern w:val="2"/>
          <w:sz w:val="32"/>
          <w:szCs w:val="32"/>
        </w:rPr>
        <w:t>严格按照州级部门预算编制通知和有关要求，按时完成基础库、项目库报送工作，按时完成202</w:t>
      </w:r>
      <w:r>
        <w:rPr>
          <w:rFonts w:ascii="仿宋_GB2312" w:eastAsia="仿宋_GB2312"/>
          <w:kern w:val="2"/>
          <w:sz w:val="32"/>
          <w:szCs w:val="32"/>
        </w:rPr>
        <w:t>1</w:t>
      </w:r>
      <w:r>
        <w:rPr>
          <w:rFonts w:hint="eastAsia" w:ascii="仿宋_GB2312" w:eastAsia="仿宋_GB2312"/>
          <w:kern w:val="2"/>
          <w:sz w:val="32"/>
          <w:szCs w:val="32"/>
        </w:rPr>
        <w:t>年预算编制工作，并及时提交部门预算草案。按规定编制政府采购预算，预算编制全面、科学。</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eastAsia="仿宋_GB2312"/>
          <w:kern w:val="2"/>
          <w:sz w:val="32"/>
          <w:szCs w:val="32"/>
        </w:rPr>
      </w:pPr>
      <w:r>
        <w:rPr>
          <w:rFonts w:hint="eastAsia" w:ascii="仿宋_GB2312" w:eastAsia="仿宋_GB2312"/>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3</w:t>
      </w:r>
      <w:r>
        <w:rPr>
          <w:rFonts w:hint="eastAsia" w:ascii="仿宋_GB2312" w:eastAsia="仿宋_GB2312"/>
          <w:kern w:val="2"/>
          <w:sz w:val="32"/>
          <w:szCs w:val="32"/>
        </w:rPr>
        <w:t>.预算执行完成情况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ascii="仿宋_GB2312" w:hAnsi="仿宋_GB2312"/>
          <w:sz w:val="32"/>
          <w:szCs w:val="32"/>
        </w:rPr>
      </w:pPr>
      <w:r>
        <w:rPr>
          <w:rFonts w:hint="eastAsia" w:ascii="仿宋_GB2312" w:eastAsia="仿宋_GB2312" w:cs="仿宋"/>
          <w:kern w:val="2"/>
          <w:sz w:val="32"/>
          <w:szCs w:val="32"/>
          <w:lang w:bidi="ar-SA"/>
        </w:rPr>
        <w:t>202</w:t>
      </w:r>
      <w:r>
        <w:rPr>
          <w:rFonts w:ascii="仿宋_GB2312" w:eastAsia="仿宋_GB2312" w:cs="仿宋"/>
          <w:kern w:val="2"/>
          <w:sz w:val="32"/>
          <w:szCs w:val="32"/>
          <w:lang w:bidi="ar-SA"/>
        </w:rPr>
        <w:t>1</w:t>
      </w:r>
      <w:r>
        <w:rPr>
          <w:rFonts w:hint="eastAsia" w:ascii="仿宋_GB2312" w:eastAsia="仿宋_GB2312" w:cs="仿宋"/>
          <w:kern w:val="2"/>
          <w:sz w:val="32"/>
          <w:szCs w:val="32"/>
          <w:lang w:bidi="ar-SA"/>
        </w:rPr>
        <w:t>年“三公”经费支出决算数为</w:t>
      </w:r>
      <w:r>
        <w:rPr>
          <w:rFonts w:ascii="仿宋_GB2312" w:eastAsia="仿宋_GB2312" w:cs="仿宋"/>
          <w:kern w:val="2"/>
          <w:sz w:val="32"/>
          <w:szCs w:val="32"/>
          <w:lang w:bidi="ar-SA"/>
        </w:rPr>
        <w:t>5.2</w:t>
      </w:r>
      <w:r>
        <w:rPr>
          <w:rFonts w:hint="eastAsia" w:ascii="仿宋_GB2312" w:eastAsia="仿宋_GB2312" w:cs="仿宋"/>
          <w:kern w:val="2"/>
          <w:sz w:val="32"/>
          <w:szCs w:val="32"/>
          <w:lang w:bidi="ar-SA"/>
        </w:rPr>
        <w:t>万元，较上年</w:t>
      </w:r>
      <w:r>
        <w:rPr>
          <w:rFonts w:ascii="仿宋_GB2312" w:eastAsia="仿宋_GB2312" w:cs="仿宋"/>
          <w:kern w:val="2"/>
          <w:sz w:val="32"/>
          <w:szCs w:val="32"/>
          <w:lang w:bidi="ar-SA"/>
        </w:rPr>
        <w:t>增加1.6万元</w:t>
      </w:r>
      <w:r>
        <w:rPr>
          <w:rFonts w:hint="eastAsia" w:ascii="仿宋_GB2312" w:eastAsia="仿宋_GB2312" w:cs="仿宋"/>
          <w:kern w:val="2"/>
          <w:sz w:val="32"/>
          <w:szCs w:val="32"/>
          <w:lang w:bidi="ar-SA"/>
        </w:rPr>
        <w:t>，</w:t>
      </w:r>
      <w:r>
        <w:rPr>
          <w:rFonts w:ascii="仿宋_GB2312" w:eastAsia="仿宋_GB2312" w:cs="仿宋"/>
          <w:kern w:val="2"/>
          <w:sz w:val="32"/>
          <w:szCs w:val="32"/>
          <w:lang w:bidi="ar-SA"/>
        </w:rPr>
        <w:t>增加%25.6</w:t>
      </w:r>
      <w:r>
        <w:rPr>
          <w:rFonts w:hint="eastAsia" w:ascii="仿宋_GB2312" w:eastAsia="仿宋_GB2312" w:cs="仿宋"/>
          <w:kern w:val="2"/>
          <w:sz w:val="32"/>
          <w:szCs w:val="32"/>
          <w:lang w:bidi="ar-SA"/>
        </w:rPr>
        <w:t>。</w:t>
      </w:r>
      <w:r>
        <w:rPr>
          <w:rFonts w:ascii="仿宋_GB2312" w:eastAsia="仿宋_GB2312" w:cs="仿宋"/>
          <w:kern w:val="2"/>
          <w:sz w:val="32"/>
          <w:szCs w:val="32"/>
          <w:lang w:bidi="ar-SA"/>
        </w:rPr>
        <w:t>增加</w:t>
      </w:r>
      <w:r>
        <w:rPr>
          <w:rFonts w:hint="eastAsia" w:ascii="仿宋_GB2312" w:eastAsia="仿宋_GB2312" w:cs="仿宋"/>
          <w:kern w:val="2"/>
          <w:sz w:val="32"/>
          <w:szCs w:val="32"/>
          <w:lang w:bidi="ar-SA"/>
        </w:rPr>
        <w:t>的主要原因为</w:t>
      </w:r>
      <w:r>
        <w:rPr>
          <w:rFonts w:hint="eastAsia" w:ascii="仿宋_GB2312" w:hAnsi="仿宋_GB2312"/>
          <w:sz w:val="32"/>
          <w:szCs w:val="32"/>
        </w:rPr>
        <w:t>公务用车运行维护费增加1万元，公务接待费支出决算增加0.06万元</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4</w:t>
      </w:r>
      <w:r>
        <w:rPr>
          <w:rFonts w:hint="eastAsia" w:ascii="仿宋_GB2312" w:eastAsia="仿宋_GB2312"/>
          <w:kern w:val="2"/>
          <w:sz w:val="32"/>
          <w:szCs w:val="32"/>
        </w:rPr>
        <w:t>.综合管理情况</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楷体_GB2312" w:eastAsia="楷体_GB2312" w:cs="Times New Roman"/>
          <w:b/>
          <w:bCs/>
          <w:kern w:val="2"/>
          <w:sz w:val="32"/>
          <w:szCs w:val="32"/>
          <w:lang w:bidi="ar-SA"/>
        </w:rPr>
      </w:pPr>
      <w:r>
        <w:rPr>
          <w:rFonts w:hint="eastAsia" w:ascii="仿宋" w:eastAsia="仿宋"/>
          <w:kern w:val="2"/>
          <w:sz w:val="32"/>
          <w:szCs w:val="32"/>
        </w:rPr>
        <w:t xml:space="preserve">  </w:t>
      </w:r>
      <w:r>
        <w:rPr>
          <w:rFonts w:ascii="仿宋" w:eastAsia="仿宋"/>
          <w:kern w:val="2"/>
          <w:sz w:val="32"/>
          <w:szCs w:val="32"/>
        </w:rPr>
        <w:t>金川县防震减灾事务中心</w:t>
      </w:r>
      <w:r>
        <w:rPr>
          <w:rFonts w:hint="eastAsia" w:ascii="仿宋" w:eastAsia="仿宋"/>
          <w:kern w:val="2"/>
          <w:sz w:val="32"/>
          <w:szCs w:val="32"/>
        </w:rPr>
        <w:t>认真贯彻落实中央和省委省政府相关规定，及时为我</w:t>
      </w:r>
      <w:r>
        <w:rPr>
          <w:rFonts w:ascii="仿宋" w:eastAsia="仿宋"/>
          <w:kern w:val="2"/>
          <w:sz w:val="32"/>
          <w:szCs w:val="32"/>
        </w:rPr>
        <w:t>县防震减灾等</w:t>
      </w:r>
      <w:r>
        <w:rPr>
          <w:rFonts w:hint="eastAsia" w:ascii="仿宋" w:eastAsia="仿宋"/>
          <w:kern w:val="2"/>
          <w:sz w:val="32"/>
          <w:szCs w:val="32"/>
        </w:rPr>
        <w:t>工作提供后勤及资金保障。内控上厉行节约，严格控制因公出国（境）费用、会议费、车辆购置及运行费用和公务接待经费。</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04"/>
        <w:rPr>
          <w:rFonts w:hint="eastAsia" w:ascii="仿宋_GB2312" w:eastAsia="仿宋_GB2312" w:cs="宋体"/>
          <w:color w:val="auto"/>
          <w:kern w:val="0"/>
          <w:sz w:val="32"/>
          <w:szCs w:val="32"/>
          <w:shd w:val="clear" w:color="auto" w:fill="FFFFFF"/>
          <w:lang w:bidi="ar-SA"/>
        </w:rPr>
      </w:pPr>
      <w:r>
        <w:rPr>
          <w:rFonts w:ascii="仿宋_GB2312" w:eastAsia="仿宋_GB2312" w:cs="Times New Roman"/>
          <w:kern w:val="2"/>
          <w:sz w:val="32"/>
          <w:szCs w:val="32"/>
          <w:lang w:bidi="ar-SA"/>
        </w:rPr>
        <w:t>金川县防震减灾事务中心</w:t>
      </w:r>
      <w:r>
        <w:rPr>
          <w:rFonts w:hint="eastAsia" w:ascii="仿宋_GB2312" w:eastAsia="仿宋_GB2312" w:cs="Times New Roman"/>
          <w:kern w:val="2"/>
          <w:sz w:val="32"/>
          <w:szCs w:val="32"/>
          <w:lang w:bidi="ar-SA"/>
        </w:rPr>
        <w:t>财务管理制度健全，执行制度严格合规，会计核算符合相关规定，资金专款专用，资金支付依据和开支标准合法合规，严格执行政府采购，并依法接受财政监督。</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（二）结果应用情况。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ascii="仿宋_GB2312" w:eastAsia="仿宋_GB2312" w:cs="Times New Roman"/>
          <w:kern w:val="2"/>
          <w:sz w:val="32"/>
          <w:szCs w:val="32"/>
          <w:lang w:bidi="ar-SA"/>
        </w:rPr>
        <w:t>金川县防震减灾事务中心</w:t>
      </w:r>
      <w:r>
        <w:rPr>
          <w:rFonts w:hint="eastAsia" w:ascii="仿宋_GB2312" w:eastAsia="仿宋_GB2312" w:cs="Times New Roman"/>
          <w:kern w:val="2"/>
          <w:sz w:val="32"/>
          <w:szCs w:val="32"/>
          <w:lang w:bidi="ar-SA"/>
        </w:rPr>
        <w:t>深入贯彻落实“全面实施绩效管理”的要求，努力提升本单位绩效预算管理业务水平。主动公开绩效结果，加大资金使用效率，提升政府管理水平。及时告知各部门（科室）部门预算及项目支出进度。截至目前，我单位项目支出进度</w:t>
      </w:r>
      <w:r>
        <w:rPr>
          <w:rFonts w:ascii="仿宋_GB2312" w:eastAsia="仿宋_GB2312" w:cs="Times New Roman"/>
          <w:kern w:val="2"/>
          <w:sz w:val="32"/>
          <w:szCs w:val="32"/>
          <w:lang w:bidi="ar-SA"/>
        </w:rPr>
        <w:t>已过半。</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3" w:firstLineChars="20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（一）</w:t>
      </w:r>
      <w:r>
        <w:rPr>
          <w:rFonts w:hint="eastAsia" w:ascii="仿宋_GB2312" w:eastAsia="仿宋_GB2312" w:cs="宋体"/>
          <w:b/>
          <w:bCs/>
          <w:color w:val="auto"/>
          <w:kern w:val="0"/>
          <w:sz w:val="32"/>
          <w:szCs w:val="32"/>
          <w:shd w:val="clear" w:color="auto" w:fill="FFFFFF"/>
          <w:lang w:bidi="ar-SA"/>
        </w:rPr>
        <w:t>评价结论。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综上所诉，我</w:t>
      </w:r>
      <w:r>
        <w:rPr>
          <w:rFonts w:ascii="仿宋_GB2312" w:eastAsia="仿宋_GB2312"/>
          <w:kern w:val="2"/>
          <w:sz w:val="32"/>
          <w:szCs w:val="32"/>
        </w:rPr>
        <w:t>中心</w:t>
      </w:r>
      <w:r>
        <w:rPr>
          <w:rFonts w:hint="eastAsia" w:ascii="仿宋_GB2312" w:eastAsia="仿宋_GB2312"/>
          <w:kern w:val="2"/>
          <w:sz w:val="32"/>
          <w:szCs w:val="32"/>
        </w:rPr>
        <w:t>部门预算支出绩效自评得分95分。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仿宋_GB2312" w:eastAsia="仿宋_GB2312" w:cs="宋体"/>
          <w:b/>
          <w:bCs/>
          <w:color w:val="auto"/>
          <w:kern w:val="0"/>
          <w:sz w:val="32"/>
          <w:szCs w:val="32"/>
          <w:shd w:val="clear" w:color="auto" w:fill="FFFFFF"/>
          <w:lang w:bidi="ar-SA"/>
        </w:rPr>
      </w:pPr>
      <w:r>
        <w:rPr>
          <w:rFonts w:hint="eastAsia" w:ascii="仿宋_GB2312" w:eastAsia="仿宋_GB2312"/>
          <w:b/>
          <w:bCs/>
          <w:kern w:val="2"/>
          <w:sz w:val="32"/>
          <w:szCs w:val="32"/>
          <w:lang w:eastAsia="zh-CN"/>
        </w:rPr>
        <w:t>（二）</w:t>
      </w:r>
      <w:r>
        <w:rPr>
          <w:rFonts w:hint="eastAsia" w:ascii="仿宋_GB2312" w:eastAsia="仿宋_GB2312" w:cs="宋体"/>
          <w:b/>
          <w:bCs/>
          <w:color w:val="auto"/>
          <w:kern w:val="0"/>
          <w:sz w:val="32"/>
          <w:szCs w:val="32"/>
          <w:shd w:val="clear" w:color="auto" w:fill="FFFFFF"/>
          <w:lang w:bidi="ar-SA"/>
        </w:rPr>
        <w:t>存在问题。</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bidi="ar-SA"/>
        </w:rPr>
      </w:pP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（三）</w:t>
      </w:r>
      <w:r>
        <w:rPr>
          <w:rFonts w:hint="eastAsia" w:ascii="仿宋_GB2312" w:eastAsia="仿宋_GB2312" w:cs="宋体"/>
          <w:b/>
          <w:bCs/>
          <w:color w:val="auto"/>
          <w:kern w:val="0"/>
          <w:sz w:val="32"/>
          <w:szCs w:val="32"/>
          <w:shd w:val="clear" w:color="auto" w:fill="FFFFFF"/>
          <w:lang w:bidi="ar-SA"/>
        </w:rPr>
        <w:t>改进建议。</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在今后的工作中，</w:t>
      </w:r>
      <w:r>
        <w:rPr>
          <w:rFonts w:ascii="仿宋_GB2312" w:eastAsia="仿宋_GB2312" w:cs="Times New Roman"/>
          <w:kern w:val="2"/>
          <w:sz w:val="32"/>
          <w:szCs w:val="32"/>
          <w:lang w:bidi="ar-SA"/>
        </w:rPr>
        <w:t>防震减灾事务中心</w:t>
      </w:r>
      <w:r>
        <w:rPr>
          <w:rFonts w:hint="eastAsia" w:ascii="仿宋_GB2312" w:eastAsia="仿宋_GB2312" w:cs="Times New Roman"/>
          <w:kern w:val="2"/>
          <w:sz w:val="32"/>
          <w:szCs w:val="32"/>
          <w:lang w:bidi="ar-SA"/>
        </w:rPr>
        <w:t>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bookmarkEnd w:id="86"/>
    <w:bookmarkEnd w:id="87"/>
    <w:p>
      <w:pPr>
        <w:spacing w:line="600" w:lineRule="exact"/>
        <w:jc w:val="center"/>
        <w:outlineLvl w:val="0"/>
        <w:rPr>
          <w:rFonts w:hint="eastAsia" w:ascii="仿宋_GB2312" w:eastAsia="仿宋_GB2312"/>
          <w:color w:val="000000"/>
          <w:sz w:val="44"/>
          <w:szCs w:val="44"/>
        </w:rPr>
      </w:pPr>
      <w:bookmarkStart w:id="88" w:name="_Toc79163635"/>
      <w:bookmarkStart w:id="89" w:name="_Toc15396618"/>
      <w:bookmarkStart w:id="90" w:name="_Toc79163885"/>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Fonts w:hint="eastAsia" w:ascii="方正小标宋简体" w:eastAsia="方正小标宋简体"/>
          <w:color w:val="000000"/>
          <w:sz w:val="44"/>
          <w:szCs w:val="44"/>
        </w:rPr>
      </w:pPr>
    </w:p>
    <w:p>
      <w:pPr>
        <w:spacing w:line="600" w:lineRule="exact"/>
        <w:jc w:val="center"/>
        <w:outlineLvl w:val="0"/>
        <w:rPr>
          <w:rStyle w:val="17"/>
          <w:rFonts w:hint="eastAsia" w:ascii="方正小标宋简体" w:eastAsia="方正小标宋简体"/>
          <w:b w:val="0"/>
        </w:rPr>
      </w:pPr>
      <w:r>
        <w:rPr>
          <w:rFonts w:hint="eastAsia" w:ascii="方正小标宋简体" w:eastAsia="方正小标宋简体"/>
          <w:color w:val="000000"/>
          <w:sz w:val="44"/>
          <w:szCs w:val="44"/>
        </w:rPr>
        <w:t>第</w:t>
      </w:r>
      <w:r>
        <w:rPr>
          <w:rStyle w:val="17"/>
          <w:rFonts w:hint="eastAsia" w:ascii="方正小标宋简体" w:eastAsia="方正小标宋简体"/>
          <w:b w:val="0"/>
        </w:rPr>
        <w:t>五部分 附表</w:t>
      </w:r>
      <w:bookmarkEnd w:id="82"/>
      <w:bookmarkEnd w:id="88"/>
      <w:bookmarkEnd w:id="89"/>
      <w:bookmarkEnd w:id="90"/>
    </w:p>
    <w:p>
      <w:pPr>
        <w:pStyle w:val="3"/>
        <w:spacing w:before="0" w:after="0" w:line="560" w:lineRule="exact"/>
        <w:rPr>
          <w:rFonts w:hint="eastAsia" w:ascii="仿宋" w:eastAsia="仿宋"/>
          <w:color w:val="000000"/>
        </w:rPr>
      </w:pPr>
      <w:bookmarkStart w:id="91" w:name="_Toc79163886"/>
      <w:bookmarkStart w:id="92" w:name="_Toc79163636"/>
      <w:bookmarkStart w:id="93" w:name="_Toc15396619"/>
      <w:r>
        <w:rPr>
          <w:rFonts w:hint="eastAsia" w:ascii="仿宋" w:eastAsia="仿宋"/>
          <w:b w:val="0"/>
          <w:color w:val="000000"/>
        </w:rPr>
        <w:t>一、收</w:t>
      </w:r>
      <w:r>
        <w:rPr>
          <w:rStyle w:val="18"/>
          <w:rFonts w:hint="eastAsia" w:ascii="仿宋" w:eastAsia="仿宋"/>
          <w:b/>
          <w:bCs/>
        </w:rPr>
        <w:t>入支出决算总表</w:t>
      </w:r>
      <w:bookmarkEnd w:id="91"/>
      <w:bookmarkEnd w:id="92"/>
      <w:bookmarkEnd w:id="93"/>
    </w:p>
    <w:p>
      <w:pPr>
        <w:pStyle w:val="3"/>
        <w:spacing w:before="0" w:after="0" w:line="560" w:lineRule="exact"/>
        <w:rPr>
          <w:rFonts w:hint="eastAsia" w:ascii="仿宋" w:eastAsia="仿宋"/>
          <w:color w:val="000000"/>
        </w:rPr>
      </w:pPr>
      <w:bookmarkStart w:id="94" w:name="_Toc79163887"/>
      <w:bookmarkStart w:id="95" w:name="_Toc15396620"/>
      <w:bookmarkStart w:id="96" w:name="_Toc79163637"/>
      <w:r>
        <w:rPr>
          <w:rFonts w:hint="eastAsia" w:ascii="仿宋" w:eastAsia="仿宋"/>
          <w:b w:val="0"/>
          <w:color w:val="000000"/>
        </w:rPr>
        <w:t>二、收</w:t>
      </w:r>
      <w:r>
        <w:rPr>
          <w:rStyle w:val="18"/>
          <w:rFonts w:hint="eastAsia" w:ascii="仿宋" w:eastAsia="仿宋"/>
          <w:b/>
          <w:bCs/>
        </w:rPr>
        <w:t>入决算表</w:t>
      </w:r>
      <w:bookmarkEnd w:id="94"/>
      <w:bookmarkEnd w:id="95"/>
      <w:bookmarkEnd w:id="96"/>
    </w:p>
    <w:p>
      <w:pPr>
        <w:pStyle w:val="3"/>
        <w:spacing w:before="0" w:after="0" w:line="560" w:lineRule="exact"/>
        <w:rPr>
          <w:rFonts w:hint="eastAsia" w:ascii="仿宋" w:eastAsia="仿宋"/>
          <w:color w:val="000000"/>
        </w:rPr>
      </w:pPr>
      <w:bookmarkStart w:id="97" w:name="_Toc79163888"/>
      <w:bookmarkStart w:id="98" w:name="_Toc15396621"/>
      <w:bookmarkStart w:id="99" w:name="_Toc79163638"/>
      <w:r>
        <w:rPr>
          <w:rStyle w:val="18"/>
          <w:rFonts w:hint="eastAsia" w:ascii="仿宋" w:eastAsia="仿宋"/>
          <w:b/>
          <w:bCs/>
        </w:rPr>
        <w:t>三、</w:t>
      </w:r>
      <w:r>
        <w:rPr>
          <w:rFonts w:hint="eastAsia" w:ascii="仿宋" w:eastAsia="仿宋"/>
          <w:b w:val="0"/>
          <w:color w:val="000000"/>
        </w:rPr>
        <w:t>支</w:t>
      </w:r>
      <w:r>
        <w:rPr>
          <w:rStyle w:val="18"/>
          <w:rFonts w:hint="eastAsia" w:ascii="仿宋" w:eastAsia="仿宋"/>
          <w:b/>
          <w:bCs/>
        </w:rPr>
        <w:t>出决算表</w:t>
      </w:r>
      <w:bookmarkEnd w:id="97"/>
      <w:bookmarkEnd w:id="98"/>
      <w:bookmarkEnd w:id="99"/>
    </w:p>
    <w:p>
      <w:pPr>
        <w:pStyle w:val="3"/>
        <w:spacing w:before="0" w:after="0" w:line="560" w:lineRule="exact"/>
        <w:rPr>
          <w:rFonts w:hint="eastAsia" w:ascii="仿宋" w:eastAsia="仿宋"/>
          <w:b w:val="0"/>
          <w:color w:val="000000"/>
        </w:rPr>
      </w:pPr>
      <w:bookmarkStart w:id="100" w:name="_Toc79163639"/>
      <w:bookmarkStart w:id="101" w:name="_Toc79163889"/>
      <w:bookmarkStart w:id="102" w:name="_Toc15396622"/>
      <w:r>
        <w:rPr>
          <w:rStyle w:val="18"/>
          <w:rFonts w:hint="eastAsia" w:ascii="仿宋" w:eastAsia="仿宋"/>
          <w:b/>
          <w:bCs/>
        </w:rPr>
        <w:t>四、</w:t>
      </w:r>
      <w:r>
        <w:rPr>
          <w:rFonts w:hint="eastAsia" w:ascii="仿宋" w:eastAsia="仿宋"/>
          <w:b w:val="0"/>
          <w:color w:val="000000"/>
        </w:rPr>
        <w:t>财</w:t>
      </w:r>
      <w:r>
        <w:rPr>
          <w:rStyle w:val="18"/>
          <w:rFonts w:hint="eastAsia" w:ascii="仿宋" w:eastAsia="仿宋"/>
          <w:b/>
          <w:bCs/>
        </w:rPr>
        <w:t>政拨款收入支出决算总表</w:t>
      </w:r>
      <w:bookmarkEnd w:id="100"/>
      <w:bookmarkEnd w:id="101"/>
      <w:bookmarkEnd w:id="102"/>
    </w:p>
    <w:p>
      <w:pPr>
        <w:pStyle w:val="3"/>
        <w:spacing w:before="0" w:after="0" w:line="560" w:lineRule="exact"/>
        <w:rPr>
          <w:rStyle w:val="18"/>
          <w:rFonts w:hint="eastAsia" w:ascii="仿宋" w:eastAsia="仿宋"/>
          <w:b/>
          <w:bCs/>
        </w:rPr>
      </w:pPr>
      <w:bookmarkStart w:id="103" w:name="_Toc15396623"/>
      <w:bookmarkStart w:id="104" w:name="_Toc79163640"/>
      <w:bookmarkStart w:id="105" w:name="_Toc79163890"/>
      <w:r>
        <w:rPr>
          <w:rStyle w:val="18"/>
          <w:rFonts w:hint="eastAsia" w:ascii="仿宋" w:eastAsia="仿宋"/>
          <w:b/>
          <w:bCs/>
        </w:rPr>
        <w:t>五、</w:t>
      </w:r>
      <w:r>
        <w:rPr>
          <w:rFonts w:hint="eastAsia" w:ascii="仿宋" w:eastAsia="仿宋"/>
          <w:b w:val="0"/>
          <w:color w:val="000000"/>
        </w:rPr>
        <w:t>财</w:t>
      </w:r>
      <w:r>
        <w:rPr>
          <w:rStyle w:val="18"/>
          <w:rFonts w:hint="eastAsia" w:ascii="仿宋" w:eastAsia="仿宋"/>
          <w:b/>
          <w:bCs/>
        </w:rPr>
        <w:t>政拨款支出决算明细表</w:t>
      </w:r>
      <w:bookmarkEnd w:id="103"/>
      <w:bookmarkEnd w:id="104"/>
      <w:bookmarkEnd w:id="105"/>
      <w:bookmarkStart w:id="106" w:name="_Toc15396624"/>
    </w:p>
    <w:p>
      <w:pPr>
        <w:pStyle w:val="3"/>
        <w:spacing w:before="0" w:after="0" w:line="560" w:lineRule="exact"/>
        <w:rPr>
          <w:rFonts w:hint="eastAsia" w:ascii="仿宋" w:eastAsia="仿宋"/>
          <w:color w:val="000000"/>
        </w:rPr>
      </w:pPr>
      <w:bookmarkStart w:id="107" w:name="_Toc79163641"/>
      <w:bookmarkStart w:id="108" w:name="_Toc79163891"/>
      <w:r>
        <w:rPr>
          <w:rStyle w:val="18"/>
          <w:rFonts w:hint="eastAsia" w:ascii="仿宋" w:eastAsia="仿宋"/>
          <w:b/>
          <w:bCs/>
        </w:rPr>
        <w:t>六、</w:t>
      </w:r>
      <w:r>
        <w:rPr>
          <w:rFonts w:hint="eastAsia" w:ascii="仿宋" w:eastAsia="仿宋"/>
          <w:b w:val="0"/>
          <w:color w:val="000000"/>
        </w:rPr>
        <w:t>一</w:t>
      </w:r>
      <w:r>
        <w:rPr>
          <w:rStyle w:val="18"/>
          <w:rFonts w:hint="eastAsia" w:ascii="仿宋" w:eastAsia="仿宋"/>
          <w:b/>
          <w:bCs/>
        </w:rPr>
        <w:t>般公共预算财政拨款支出决算表</w:t>
      </w:r>
      <w:bookmarkEnd w:id="106"/>
      <w:bookmarkEnd w:id="107"/>
      <w:bookmarkEnd w:id="108"/>
    </w:p>
    <w:p>
      <w:pPr>
        <w:pStyle w:val="3"/>
        <w:spacing w:before="0" w:after="0" w:line="560" w:lineRule="exact"/>
        <w:rPr>
          <w:rFonts w:hint="eastAsia" w:ascii="仿宋" w:eastAsia="仿宋"/>
          <w:color w:val="000000"/>
        </w:rPr>
      </w:pPr>
      <w:bookmarkStart w:id="109" w:name="_Toc79163892"/>
      <w:bookmarkStart w:id="110" w:name="_Toc15396625"/>
      <w:bookmarkStart w:id="111" w:name="_Toc79163642"/>
      <w:r>
        <w:rPr>
          <w:rStyle w:val="18"/>
          <w:rFonts w:hint="eastAsia" w:ascii="仿宋" w:eastAsia="仿宋"/>
          <w:b/>
          <w:bCs/>
        </w:rPr>
        <w:t>七、</w:t>
      </w:r>
      <w:r>
        <w:rPr>
          <w:rFonts w:hint="eastAsia" w:ascii="仿宋" w:eastAsia="仿宋"/>
          <w:b w:val="0"/>
          <w:color w:val="000000"/>
        </w:rPr>
        <w:t>一</w:t>
      </w:r>
      <w:r>
        <w:rPr>
          <w:rStyle w:val="18"/>
          <w:rFonts w:hint="eastAsia" w:ascii="仿宋" w:eastAsia="仿宋"/>
          <w:b/>
          <w:bCs/>
        </w:rPr>
        <w:t>般公共预算财政拨款支出决算明细表</w:t>
      </w:r>
      <w:bookmarkEnd w:id="109"/>
      <w:bookmarkEnd w:id="110"/>
      <w:bookmarkEnd w:id="111"/>
    </w:p>
    <w:p>
      <w:pPr>
        <w:pStyle w:val="3"/>
        <w:spacing w:before="0" w:after="0" w:line="560" w:lineRule="exact"/>
        <w:rPr>
          <w:rFonts w:hint="eastAsia" w:ascii="仿宋" w:eastAsia="仿宋"/>
          <w:color w:val="000000"/>
        </w:rPr>
      </w:pPr>
      <w:bookmarkStart w:id="112" w:name="_Toc79163643"/>
      <w:bookmarkStart w:id="113" w:name="_Toc15396626"/>
      <w:bookmarkStart w:id="114" w:name="_Toc79163893"/>
      <w:r>
        <w:rPr>
          <w:rStyle w:val="18"/>
          <w:rFonts w:hint="eastAsia" w:ascii="仿宋" w:eastAsia="仿宋"/>
          <w:b/>
          <w:bCs/>
        </w:rPr>
        <w:t>八、</w:t>
      </w:r>
      <w:r>
        <w:rPr>
          <w:rFonts w:hint="eastAsia" w:ascii="仿宋" w:eastAsia="仿宋"/>
          <w:b w:val="0"/>
          <w:color w:val="000000"/>
        </w:rPr>
        <w:t>一</w:t>
      </w:r>
      <w:r>
        <w:rPr>
          <w:rStyle w:val="18"/>
          <w:rFonts w:hint="eastAsia" w:ascii="仿宋" w:eastAsia="仿宋"/>
          <w:b/>
          <w:bCs/>
        </w:rPr>
        <w:t>般公共预算财政拨款基本支出决算表</w:t>
      </w:r>
      <w:bookmarkEnd w:id="112"/>
      <w:bookmarkEnd w:id="113"/>
      <w:bookmarkEnd w:id="114"/>
    </w:p>
    <w:p>
      <w:pPr>
        <w:pStyle w:val="3"/>
        <w:spacing w:before="0" w:after="0" w:line="560" w:lineRule="exact"/>
        <w:rPr>
          <w:rFonts w:hint="eastAsia" w:ascii="仿宋" w:eastAsia="仿宋"/>
          <w:color w:val="000000"/>
        </w:rPr>
      </w:pPr>
      <w:bookmarkStart w:id="115" w:name="_Toc79163644"/>
      <w:bookmarkStart w:id="116" w:name="_Toc15396627"/>
      <w:bookmarkStart w:id="117" w:name="_Toc79163894"/>
      <w:r>
        <w:rPr>
          <w:rStyle w:val="18"/>
          <w:rFonts w:hint="eastAsia" w:ascii="仿宋" w:eastAsia="仿宋"/>
          <w:b/>
          <w:bCs/>
        </w:rPr>
        <w:t>九、</w:t>
      </w:r>
      <w:r>
        <w:rPr>
          <w:rFonts w:hint="eastAsia" w:ascii="仿宋" w:eastAsia="仿宋"/>
          <w:b w:val="0"/>
          <w:color w:val="000000"/>
        </w:rPr>
        <w:t>一</w:t>
      </w:r>
      <w:r>
        <w:rPr>
          <w:rStyle w:val="18"/>
          <w:rFonts w:hint="eastAsia" w:ascii="仿宋" w:eastAsia="仿宋"/>
          <w:b/>
          <w:bCs/>
        </w:rPr>
        <w:t>般公共预算财政拨款项目支出决算表</w:t>
      </w:r>
      <w:bookmarkEnd w:id="115"/>
      <w:bookmarkEnd w:id="116"/>
      <w:bookmarkEnd w:id="117"/>
    </w:p>
    <w:p>
      <w:pPr>
        <w:pStyle w:val="3"/>
        <w:spacing w:before="0" w:after="0" w:line="560" w:lineRule="exact"/>
        <w:rPr>
          <w:rFonts w:hint="eastAsia" w:ascii="仿宋" w:eastAsia="仿宋"/>
          <w:color w:val="000000"/>
        </w:rPr>
      </w:pPr>
      <w:bookmarkStart w:id="118" w:name="_Toc79163895"/>
      <w:bookmarkStart w:id="119" w:name="_Toc15396628"/>
      <w:bookmarkStart w:id="120" w:name="_Toc79163645"/>
      <w:r>
        <w:rPr>
          <w:rStyle w:val="18"/>
          <w:rFonts w:hint="eastAsia" w:ascii="仿宋" w:eastAsia="仿宋"/>
          <w:b/>
          <w:bCs/>
        </w:rPr>
        <w:t>十、</w:t>
      </w:r>
      <w:r>
        <w:rPr>
          <w:rFonts w:hint="eastAsia" w:ascii="仿宋" w:eastAsia="仿宋"/>
          <w:b w:val="0"/>
          <w:color w:val="000000"/>
        </w:rPr>
        <w:t>一</w:t>
      </w:r>
      <w:r>
        <w:rPr>
          <w:rStyle w:val="18"/>
          <w:rFonts w:hint="eastAsia" w:ascii="仿宋" w:eastAsia="仿宋"/>
          <w:b/>
          <w:bCs/>
        </w:rPr>
        <w:t>般公共预算财政拨款“三公”经费支出决算表</w:t>
      </w:r>
      <w:bookmarkEnd w:id="118"/>
      <w:bookmarkEnd w:id="119"/>
      <w:bookmarkEnd w:id="120"/>
    </w:p>
    <w:p>
      <w:pPr>
        <w:pStyle w:val="3"/>
        <w:spacing w:before="0" w:after="0" w:line="560" w:lineRule="exact"/>
        <w:rPr>
          <w:rFonts w:hint="eastAsia" w:ascii="仿宋" w:eastAsia="仿宋"/>
          <w:color w:val="000000"/>
        </w:rPr>
      </w:pPr>
      <w:bookmarkStart w:id="121" w:name="_Toc79163896"/>
      <w:bookmarkStart w:id="122" w:name="_Toc15396629"/>
      <w:bookmarkStart w:id="123" w:name="_Toc79163646"/>
      <w:r>
        <w:rPr>
          <w:rStyle w:val="18"/>
          <w:rFonts w:hint="eastAsia" w:ascii="仿宋" w:eastAsia="仿宋"/>
          <w:b/>
          <w:bCs/>
        </w:rPr>
        <w:t>十一、</w:t>
      </w:r>
      <w:r>
        <w:rPr>
          <w:rFonts w:hint="eastAsia" w:ascii="仿宋" w:eastAsia="仿宋"/>
          <w:b w:val="0"/>
          <w:color w:val="000000"/>
        </w:rPr>
        <w:t>政</w:t>
      </w:r>
      <w:r>
        <w:rPr>
          <w:rStyle w:val="18"/>
          <w:rFonts w:hint="eastAsia" w:ascii="仿宋" w:eastAsia="仿宋"/>
          <w:b/>
          <w:bCs/>
        </w:rPr>
        <w:t>府性基金预算财政拨款收入支出决算表</w:t>
      </w:r>
      <w:bookmarkEnd w:id="121"/>
      <w:bookmarkEnd w:id="122"/>
      <w:bookmarkEnd w:id="123"/>
    </w:p>
    <w:p>
      <w:pPr>
        <w:pStyle w:val="3"/>
        <w:spacing w:before="0" w:after="0" w:line="560" w:lineRule="exact"/>
        <w:rPr>
          <w:rFonts w:hint="eastAsia" w:ascii="仿宋" w:eastAsia="仿宋"/>
          <w:color w:val="000000"/>
        </w:rPr>
      </w:pPr>
      <w:bookmarkStart w:id="124" w:name="_Toc15396630"/>
      <w:bookmarkStart w:id="125" w:name="_Toc79163897"/>
      <w:bookmarkStart w:id="126" w:name="_Toc79163647"/>
      <w:r>
        <w:rPr>
          <w:rStyle w:val="18"/>
          <w:rFonts w:hint="eastAsia" w:ascii="仿宋" w:eastAsia="仿宋"/>
          <w:b/>
          <w:bCs/>
        </w:rPr>
        <w:t>十二、</w:t>
      </w:r>
      <w:r>
        <w:rPr>
          <w:rFonts w:hint="eastAsia" w:ascii="仿宋" w:eastAsia="仿宋"/>
          <w:b w:val="0"/>
          <w:color w:val="000000"/>
        </w:rPr>
        <w:t>政</w:t>
      </w:r>
      <w:r>
        <w:rPr>
          <w:rStyle w:val="18"/>
          <w:rFonts w:hint="eastAsia" w:ascii="仿宋" w:eastAsia="仿宋"/>
          <w:b/>
          <w:bCs/>
        </w:rPr>
        <w:t>府性基金预算财政拨款“三公”经费支出决算表</w:t>
      </w:r>
      <w:bookmarkEnd w:id="124"/>
      <w:bookmarkEnd w:id="125"/>
      <w:bookmarkEnd w:id="126"/>
    </w:p>
    <w:p>
      <w:pPr>
        <w:pStyle w:val="3"/>
        <w:spacing w:before="0" w:after="0" w:line="560" w:lineRule="exact"/>
        <w:rPr>
          <w:rStyle w:val="18"/>
          <w:rFonts w:hint="eastAsia" w:ascii="仿宋" w:eastAsia="仿宋"/>
          <w:b/>
          <w:bCs/>
        </w:rPr>
      </w:pPr>
      <w:bookmarkStart w:id="127" w:name="_Toc15396631"/>
      <w:bookmarkStart w:id="128" w:name="_Toc79163648"/>
      <w:bookmarkStart w:id="129" w:name="_Toc79163898"/>
      <w:r>
        <w:rPr>
          <w:rStyle w:val="18"/>
          <w:rFonts w:hint="eastAsia" w:ascii="仿宋" w:eastAsia="仿宋"/>
          <w:b/>
          <w:bCs/>
        </w:rPr>
        <w:t>十三、</w:t>
      </w:r>
      <w:r>
        <w:rPr>
          <w:rFonts w:hint="eastAsia" w:ascii="仿宋" w:eastAsia="仿宋"/>
          <w:b w:val="0"/>
          <w:color w:val="000000"/>
        </w:rPr>
        <w:t>国</w:t>
      </w:r>
      <w:r>
        <w:rPr>
          <w:rStyle w:val="18"/>
          <w:rFonts w:hint="eastAsia" w:ascii="仿宋" w:eastAsia="仿宋"/>
          <w:b/>
          <w:bCs/>
        </w:rPr>
        <w:t>有资本经营预算财政拨款支出决算表</w:t>
      </w:r>
      <w:bookmarkEnd w:id="127"/>
      <w:bookmarkEnd w:id="128"/>
      <w:bookmarkEnd w:id="129"/>
    </w:p>
    <w:p>
      <w:pPr>
        <w:pStyle w:val="3"/>
        <w:spacing w:before="0" w:after="0" w:line="560" w:lineRule="exact"/>
        <w:rPr>
          <w:rStyle w:val="18"/>
          <w:rFonts w:hint="eastAsia" w:ascii="仿宋" w:eastAsia="仿宋"/>
          <w:b/>
          <w:bCs/>
        </w:rPr>
      </w:pPr>
      <w:bookmarkStart w:id="130" w:name="_Toc79163899"/>
      <w:bookmarkStart w:id="131" w:name="_Toc79163649"/>
      <w:r>
        <w:rPr>
          <w:rStyle w:val="18"/>
          <w:rFonts w:hint="eastAsia" w:ascii="仿宋" w:eastAsia="仿宋"/>
          <w:b/>
          <w:bCs/>
        </w:rPr>
        <w:t>十四、国有资本经营预算财政拨款支出决算表</w:t>
      </w:r>
      <w:bookmarkEnd w:id="130"/>
      <w:bookmarkEnd w:id="131"/>
    </w:p>
    <w:p/>
    <w:p/>
    <w:p/>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00"/>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0"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6"/>
        <w:rFonts w:hint="eastAsia" w:ascii="宋体"/>
        <w:sz w:val="28"/>
        <w:szCs w:val="28"/>
      </w:rPr>
      <w:fldChar w:fldCharType="begin"/>
    </w:r>
    <w:r>
      <w:rPr>
        <w:rStyle w:val="16"/>
        <w:rFonts w:hint="eastAsia" w:ascii="宋体"/>
        <w:sz w:val="28"/>
        <w:szCs w:val="28"/>
      </w:rPr>
      <w:instrText xml:space="preserve">Page</w:instrText>
    </w:r>
    <w:r>
      <w:rPr>
        <w:rStyle w:val="16"/>
        <w:rFonts w:hint="eastAsia" w:ascii="宋体"/>
        <w:sz w:val="28"/>
        <w:szCs w:val="28"/>
      </w:rPr>
      <w:fldChar w:fldCharType="separate"/>
    </w:r>
    <w:r>
      <w:rPr>
        <w:rStyle w:val="16"/>
        <w:rFonts w:hint="eastAsia" w:ascii="宋体"/>
        <w:sz w:val="28"/>
        <w:szCs w:val="28"/>
      </w:rPr>
      <w:t>- 2 -</w:t>
    </w:r>
    <w:r>
      <w:rPr>
        <w:rStyle w:val="16"/>
        <w:rFonts w:hint="eastAsia" w:ascii="宋体"/>
        <w:sz w:val="28"/>
        <w:szCs w:val="28"/>
      </w:rPr>
      <w:fldChar w:fldCharType="end"/>
    </w:r>
  </w:p>
  <w:p>
    <w:pPr>
      <w:pStyle w:val="9"/>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0"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6"/>
        <w:sz w:val="28"/>
        <w:szCs w:val="28"/>
      </w:rPr>
      <w:fldChar w:fldCharType="begin"/>
    </w:r>
    <w:r>
      <w:rPr>
        <w:rStyle w:val="16"/>
        <w:sz w:val="28"/>
        <w:szCs w:val="28"/>
      </w:rPr>
      <w:instrText xml:space="preserve">Page</w:instrText>
    </w:r>
    <w:r>
      <w:rPr>
        <w:rStyle w:val="16"/>
        <w:sz w:val="28"/>
        <w:szCs w:val="28"/>
      </w:rPr>
      <w:fldChar w:fldCharType="separate"/>
    </w:r>
    <w:r>
      <w:rPr>
        <w:rStyle w:val="16"/>
        <w:sz w:val="28"/>
        <w:szCs w:val="28"/>
      </w:rPr>
      <w:t>- 1 -</w:t>
    </w:r>
    <w:r>
      <w:rPr>
        <w:rStyle w:val="16"/>
        <w:sz w:val="28"/>
        <w:szCs w:val="28"/>
      </w:rP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357C7763"/>
    <w:multiLevelType w:val="singleLevel"/>
    <w:tmpl w:val="357C7763"/>
    <w:lvl w:ilvl="0" w:tentative="0">
      <w:start w:val="1"/>
      <w:numFmt w:val="decimal"/>
      <w:lvlText w:val="%1."/>
      <w:lvlJc w:val="left"/>
      <w:pPr>
        <w:tabs>
          <w:tab w:val="left" w:pos="312"/>
        </w:tabs>
      </w:pPr>
    </w:lvl>
  </w:abstractNum>
  <w:abstractNum w:abstractNumId="2">
    <w:nsid w:val="60519337"/>
    <w:multiLevelType w:val="singleLevel"/>
    <w:tmpl w:val="60519337"/>
    <w:lvl w:ilvl="0" w:tentative="0">
      <w:start w:val="1"/>
      <w:numFmt w:val="chineseCounting"/>
      <w:suff w:val="nothing"/>
      <w:lvlText w:val="（%1）"/>
      <w:lvlJc w:val="left"/>
      <w:pPr>
        <w:ind w:left="960" w:leftChars="0" w:firstLine="0" w:firstLineChars="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18777D"/>
    <w:rsid w:val="091B58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7"/>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18"/>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uiPriority w:val="0"/>
    <w:tblPr>
      <w:tblLayout w:type="fixed"/>
      <w:tblCellMar>
        <w:top w:w="0" w:type="dxa"/>
        <w:left w:w="108" w:type="dxa"/>
        <w:bottom w:w="0" w:type="dxa"/>
        <w:right w:w="108" w:type="dxa"/>
      </w:tblCellMar>
    </w:tblPr>
  </w:style>
  <w:style w:type="paragraph" w:styleId="5">
    <w:name w:val="Body Text"/>
    <w:next w:val="6"/>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6">
    <w:name w:val="toc 1"/>
    <w:next w:val="1"/>
    <w:qFormat/>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7">
    <w:name w:val="toc 5"/>
    <w:basedOn w:val="1"/>
    <w:next w:val="1"/>
    <w:uiPriority w:val="0"/>
    <w:pPr>
      <w:ind w:left="1680"/>
    </w:pPr>
  </w:style>
  <w:style w:type="paragraph" w:styleId="8">
    <w:name w:val="toc 3"/>
    <w:next w:val="1"/>
    <w:uiPriority w:val="0"/>
    <w:pPr>
      <w:widowControl w:val="0"/>
      <w:ind w:left="420"/>
      <w:jc w:val="left"/>
    </w:pPr>
    <w:rPr>
      <w:rFonts w:ascii="Calibri" w:hAnsi="Calibri" w:eastAsia="Calibri" w:cs="Times New Roman"/>
      <w:i/>
      <w:iCs/>
      <w:kern w:val="2"/>
      <w:sz w:val="20"/>
      <w:szCs w:val="20"/>
      <w:lang w:val="en-US" w:eastAsia="zh-CN" w:bidi="ar-SA"/>
    </w:rPr>
  </w:style>
  <w:style w:type="paragraph" w:styleId="9">
    <w:name w:val="footer"/>
    <w:next w:val="8"/>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10">
    <w:name w:val="header"/>
    <w:next w:val="11"/>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1">
    <w:name w:val="toc 4"/>
    <w:basedOn w:val="1"/>
    <w:next w:val="1"/>
    <w:uiPriority w:val="0"/>
    <w:pPr>
      <w:ind w:left="1260"/>
    </w:pPr>
  </w:style>
  <w:style w:type="paragraph" w:styleId="12">
    <w:name w:val="toc 2"/>
    <w:next w:val="1"/>
    <w:uiPriority w:val="0"/>
    <w:pPr>
      <w:widowControl w:val="0"/>
      <w:ind w:left="210"/>
      <w:jc w:val="left"/>
    </w:pPr>
    <w:rPr>
      <w:rFonts w:ascii="Calibri" w:hAnsi="Calibri" w:eastAsia="Calibri" w:cs="Times New Roman"/>
      <w:smallCaps/>
      <w:kern w:val="2"/>
      <w:sz w:val="20"/>
      <w:szCs w:val="20"/>
      <w:lang w:val="en-US" w:eastAsia="zh-CN" w:bidi="ar-SA"/>
    </w:rPr>
  </w:style>
  <w:style w:type="character" w:styleId="15">
    <w:name w:val="Strong"/>
    <w:uiPriority w:val="0"/>
    <w:rPr>
      <w:rFonts w:cs="Times New Roman"/>
      <w:b/>
      <w:lang w:bidi="ar-SA"/>
    </w:rPr>
  </w:style>
  <w:style w:type="character" w:styleId="16">
    <w:name w:val="page number"/>
    <w:uiPriority w:val="0"/>
  </w:style>
  <w:style w:type="character" w:customStyle="1" w:styleId="17">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uiPriority w:val="0"/>
    <w:rPr>
      <w:rFonts w:ascii="Cambria" w:hAnsi="Cambria" w:eastAsia="宋体" w:cs="Times New Roman"/>
      <w:b/>
      <w:bCs/>
      <w:kern w:val="2"/>
      <w:sz w:val="32"/>
      <w:szCs w:val="32"/>
      <w:lang w:val="en-US" w:eastAsia="zh-CN" w:bidi="ar-SA"/>
    </w:rPr>
  </w:style>
  <w:style w:type="paragraph" w:customStyle="1" w:styleId="19">
    <w:name w:val="列表段落1"/>
    <w:next w:val="11"/>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0">
    <w:name w:val="浅色列表1"/>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1">
    <w:name w:val="Default"/>
    <w:next w:val="7"/>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2">
    <w:name w:val="No Spacing"/>
    <w:uiPriority w:val="0"/>
    <w:pPr>
      <w:ind w:firstLine="200" w:firstLineChars="200"/>
    </w:pPr>
    <w:rPr>
      <w:rFonts w:ascii="Times New Roman" w:hAnsi="Times New Roman" w:eastAsia="仿宋_GB2312"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21</Pages>
  <Words>6133</Words>
  <Characters>6700</Characters>
  <Lines>563</Lines>
  <Paragraphs>268</Paragraphs>
  <TotalTime>439</TotalTime>
  <ScaleCrop>false</ScaleCrop>
  <LinksUpToDate>false</LinksUpToDate>
  <CharactersWithSpaces>6893</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Administrator</cp:lastModifiedBy>
  <dcterms:modified xsi:type="dcterms:W3CDTF">2022-08-31T02:08:34Z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