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96597"/>
      <w:bookmarkStart w:id="2" w:name="_Toc15377425"/>
      <w:bookmarkStart w:id="3" w:name="_Toc15378441"/>
      <w:bookmarkStart w:id="4" w:name="_Toc15396475"/>
      <w:bookmarkStart w:id="5" w:name="_Toc15306267"/>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金川县民族宗教局</w:t>
      </w:r>
      <w:r>
        <w:rPr>
          <w:rFonts w:hint="eastAsia" w:ascii="Times New Roman" w:hAnsi="Times New Roman" w:eastAsia="方正小标宋简体" w:cs="Times New Roman"/>
          <w:color w:val="auto"/>
          <w:kern w:val="2"/>
          <w:sz w:val="44"/>
          <w:szCs w:val="44"/>
          <w:highlight w:val="none"/>
          <w:lang w:val="en-US" w:eastAsia="zh-CN" w:bidi="ar-SA"/>
        </w:rPr>
        <w:t>决算</w:t>
      </w:r>
    </w:p>
    <w:p>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公开</w:t>
      </w:r>
    </w:p>
    <w:p>
      <w:pPr>
        <w:spacing w:line="600" w:lineRule="exact"/>
        <w:jc w:val="center"/>
        <w:outlineLvl w:val="0"/>
        <w:rPr>
          <w:rFonts w:ascii="Times New Roman" w:hAnsi="Times New Roman" w:eastAsia="方正小标宋简体"/>
          <w:color w:val="auto"/>
          <w:sz w:val="72"/>
          <w:szCs w:val="72"/>
          <w:highlight w:val="none"/>
        </w:rPr>
      </w:pPr>
    </w:p>
    <w:p>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80078"/>
        <w:docPartObj>
          <w:docPartGallery w:val="Table of Contents"/>
          <w:docPartUnique/>
        </w:docPartObj>
      </w:sdtPr>
      <w:sdtEndPr>
        <w:rPr>
          <w:sz w:val="20"/>
          <w:szCs w:val="20"/>
        </w:rPr>
      </w:sdtEndPr>
      <w:sdtContent>
        <w:p>
          <w:pPr>
            <w:spacing w:before="0" w:beforeLines="0" w:after="0" w:afterLines="0" w:line="240" w:lineRule="auto"/>
            <w:ind w:left="0" w:leftChars="0" w:right="0" w:rightChars="0" w:firstLine="0" w:firstLineChars="0"/>
            <w:jc w:val="center"/>
          </w:pPr>
          <w:bookmarkStart w:id="6" w:name="_Toc15396599"/>
          <w:bookmarkStart w:id="7" w:name="_Toc15377196"/>
          <w:bookmarkStart w:id="8" w:name="_Toc7311_WPSOffice_Type2"/>
          <w:r>
            <w:rPr>
              <w:rFonts w:ascii="宋体" w:hAnsi="宋体" w:eastAsia="宋体"/>
              <w:sz w:val="21"/>
            </w:rPr>
            <w:t>目录</w:t>
          </w:r>
        </w:p>
        <w:p>
          <w:pPr>
            <w:pStyle w:val="37"/>
            <w:tabs>
              <w:tab w:val="right" w:leader="dot" w:pos="8306"/>
            </w:tabs>
          </w:pPr>
          <w:r>
            <w:rPr>
              <w:b/>
              <w:bCs/>
            </w:rPr>
            <w:fldChar w:fldCharType="begin"/>
          </w:r>
          <w:r>
            <w:instrText xml:space="preserve"> HYPERLINK \l _Toc30513_WPSOffice_Level1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0078"/>
              <w:placeholder>
                <w:docPart w:val="{c3b4e3de-2a47-41f9-a628-509a17189e11}"/>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方正小标宋简体" w:cs="方正小标宋简体"/>
                  <w:b/>
                  <w:bCs/>
                </w:rPr>
                <w:t>第一部分  部门概况</w:t>
              </w:r>
            </w:sdtContent>
          </w:sdt>
          <w:r>
            <w:rPr>
              <w:b/>
              <w:bCs/>
            </w:rPr>
            <w:tab/>
          </w:r>
          <w:bookmarkStart w:id="9" w:name="_Toc30513_WPSOffice_Level1Page"/>
          <w:r>
            <w:rPr>
              <w:b/>
              <w:bCs/>
            </w:rPr>
            <w:t>3</w:t>
          </w:r>
          <w:bookmarkEnd w:id="9"/>
          <w:r>
            <w:rPr>
              <w:b/>
              <w:bCs/>
            </w:rPr>
            <w:fldChar w:fldCharType="end"/>
          </w:r>
        </w:p>
        <w:p>
          <w:pPr>
            <w:pStyle w:val="38"/>
            <w:tabs>
              <w:tab w:val="right" w:leader="dot" w:pos="8306"/>
            </w:tabs>
          </w:pPr>
          <w:r>
            <w:fldChar w:fldCharType="begin"/>
          </w:r>
          <w:r>
            <w:instrText xml:space="preserve"> HYPERLINK \l _Toc7311_WPSOffice_Level2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21a20e09-5688-4263-ad14-e422e3962092}"/>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一、部门职责</w:t>
              </w:r>
            </w:sdtContent>
          </w:sdt>
          <w:r>
            <w:tab/>
          </w:r>
          <w:bookmarkStart w:id="10" w:name="_Toc7311_WPSOffice_Level2Page"/>
          <w:r>
            <w:t>3</w:t>
          </w:r>
          <w:bookmarkEnd w:id="10"/>
          <w:r>
            <w:fldChar w:fldCharType="end"/>
          </w:r>
        </w:p>
        <w:p>
          <w:pPr>
            <w:pStyle w:val="38"/>
            <w:tabs>
              <w:tab w:val="right" w:leader="dot" w:pos="8306"/>
            </w:tabs>
          </w:pPr>
          <w:r>
            <w:fldChar w:fldCharType="begin"/>
          </w:r>
          <w:r>
            <w:instrText xml:space="preserve"> HYPERLINK \l _Toc8819_WPSOffice_Level2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84369254-7618-447c-9449-b013a22e7ef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二、机构设置</w:t>
              </w:r>
            </w:sdtContent>
          </w:sdt>
          <w:r>
            <w:tab/>
          </w:r>
          <w:bookmarkStart w:id="11" w:name="_Toc8819_WPSOffice_Level2Page"/>
          <w:r>
            <w:t>6</w:t>
          </w:r>
          <w:bookmarkEnd w:id="11"/>
          <w:r>
            <w:fldChar w:fldCharType="end"/>
          </w:r>
        </w:p>
        <w:p>
          <w:pPr>
            <w:pStyle w:val="37"/>
            <w:tabs>
              <w:tab w:val="right" w:leader="dot" w:pos="8306"/>
            </w:tabs>
          </w:pPr>
          <w:r>
            <w:rPr>
              <w:b/>
              <w:bCs/>
            </w:rPr>
            <w:fldChar w:fldCharType="begin"/>
          </w:r>
          <w:r>
            <w:instrText xml:space="preserve"> HYPERLINK \l _Toc7311_WPSOffice_Level1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0078"/>
              <w:placeholder>
                <w:docPart w:val="{37cc960e-6ed3-4389-a80b-ec4ebb9e6f26}"/>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方正小标宋简体" w:cs="方正小标宋简体"/>
                  <w:b/>
                  <w:bCs/>
                </w:rPr>
                <w:t>第二部分  2024年度部门决算情况说明</w:t>
              </w:r>
            </w:sdtContent>
          </w:sdt>
          <w:r>
            <w:rPr>
              <w:b/>
              <w:bCs/>
            </w:rPr>
            <w:tab/>
          </w:r>
          <w:bookmarkStart w:id="12" w:name="_Toc7311_WPSOffice_Level1Page"/>
          <w:r>
            <w:rPr>
              <w:b/>
              <w:bCs/>
            </w:rPr>
            <w:t>7</w:t>
          </w:r>
          <w:bookmarkEnd w:id="12"/>
          <w:r>
            <w:rPr>
              <w:b/>
              <w:bCs/>
            </w:rPr>
            <w:fldChar w:fldCharType="end"/>
          </w:r>
        </w:p>
        <w:p>
          <w:pPr>
            <w:pStyle w:val="38"/>
            <w:tabs>
              <w:tab w:val="right" w:leader="dot" w:pos="8306"/>
            </w:tabs>
          </w:pPr>
          <w:r>
            <w:fldChar w:fldCharType="begin"/>
          </w:r>
          <w:r>
            <w:instrText xml:space="preserve"> HYPERLINK \l _Toc13504_WPSOffice_Level2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e208c576-04b8-438c-9d50-2e5b6f9f6bd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一、收</w:t>
              </w:r>
              <w:r>
                <w:rPr>
                  <w:rFonts w:hint="eastAsia" w:ascii="Times New Roman" w:hAnsi="Times New Roman" w:eastAsia="黑体" w:cstheme="majorBidi"/>
                </w:rPr>
                <w:t>入支出决算总体情况说明</w:t>
              </w:r>
            </w:sdtContent>
          </w:sdt>
          <w:r>
            <w:tab/>
          </w:r>
          <w:bookmarkStart w:id="13" w:name="_Toc13504_WPSOffice_Level2Page"/>
          <w:r>
            <w:t>7</w:t>
          </w:r>
          <w:bookmarkEnd w:id="13"/>
          <w:r>
            <w:fldChar w:fldCharType="end"/>
          </w:r>
        </w:p>
        <w:p>
          <w:pPr>
            <w:pStyle w:val="38"/>
            <w:tabs>
              <w:tab w:val="right" w:leader="dot" w:pos="8306"/>
            </w:tabs>
          </w:pPr>
          <w:r>
            <w:fldChar w:fldCharType="begin"/>
          </w:r>
          <w:r>
            <w:instrText xml:space="preserve"> HYPERLINK \l _Toc9819_WPSOffice_Level2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491dd3e2-764f-47e5-98d0-30b150ffc338}"/>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二、收入决算情况说明</w:t>
              </w:r>
            </w:sdtContent>
          </w:sdt>
          <w:r>
            <w:tab/>
          </w:r>
          <w:bookmarkStart w:id="14" w:name="_Toc9819_WPSOffice_Level2Page"/>
          <w:r>
            <w:t>7</w:t>
          </w:r>
          <w:bookmarkEnd w:id="14"/>
          <w:r>
            <w:fldChar w:fldCharType="end"/>
          </w:r>
        </w:p>
        <w:p>
          <w:pPr>
            <w:pStyle w:val="38"/>
            <w:tabs>
              <w:tab w:val="right" w:leader="dot" w:pos="8306"/>
            </w:tabs>
          </w:pPr>
          <w:r>
            <w:fldChar w:fldCharType="begin"/>
          </w:r>
          <w:r>
            <w:instrText xml:space="preserve"> HYPERLINK \l _Toc23222_WPSOffice_Level2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0f0f205d-b7de-4a2b-9f68-889645b31066}"/>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三、支</w:t>
              </w:r>
              <w:r>
                <w:rPr>
                  <w:rFonts w:hint="eastAsia" w:ascii="Times New Roman" w:hAnsi="Times New Roman" w:eastAsia="黑体" w:cstheme="majorBidi"/>
                </w:rPr>
                <w:t>出决算情况说明</w:t>
              </w:r>
            </w:sdtContent>
          </w:sdt>
          <w:r>
            <w:tab/>
          </w:r>
          <w:bookmarkStart w:id="15" w:name="_Toc23222_WPSOffice_Level2Page"/>
          <w:r>
            <w:t>8</w:t>
          </w:r>
          <w:bookmarkEnd w:id="15"/>
          <w:r>
            <w:fldChar w:fldCharType="end"/>
          </w:r>
        </w:p>
        <w:p>
          <w:pPr>
            <w:pStyle w:val="38"/>
            <w:tabs>
              <w:tab w:val="right" w:leader="dot" w:pos="8306"/>
            </w:tabs>
          </w:pPr>
          <w:r>
            <w:fldChar w:fldCharType="begin"/>
          </w:r>
          <w:r>
            <w:instrText xml:space="preserve"> HYPERLINK \l _Toc23055_WPSOffice_Level2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13274f2f-e135-4ee3-93e2-cbdedc1c5551}"/>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四、财</w:t>
              </w:r>
              <w:r>
                <w:rPr>
                  <w:rFonts w:hint="eastAsia" w:ascii="Times New Roman" w:hAnsi="Times New Roman" w:eastAsia="黑体" w:cstheme="majorBidi"/>
                </w:rPr>
                <w:t>政拨款收入支出决算总体情况说明</w:t>
              </w:r>
            </w:sdtContent>
          </w:sdt>
          <w:r>
            <w:tab/>
          </w:r>
          <w:bookmarkStart w:id="16" w:name="_Toc23055_WPSOffice_Level2Page"/>
          <w:r>
            <w:t>8</w:t>
          </w:r>
          <w:bookmarkEnd w:id="16"/>
          <w:r>
            <w:fldChar w:fldCharType="end"/>
          </w:r>
        </w:p>
        <w:p>
          <w:pPr>
            <w:pStyle w:val="38"/>
            <w:tabs>
              <w:tab w:val="right" w:leader="dot" w:pos="8306"/>
            </w:tabs>
          </w:pPr>
          <w:r>
            <w:fldChar w:fldCharType="begin"/>
          </w:r>
          <w:r>
            <w:instrText xml:space="preserve"> HYPERLINK \l _Toc7931_WPSOffice_Level2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cfbbdbd5-9dfb-49bf-bdc7-c1869f9a79c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五、一</w:t>
              </w:r>
              <w:r>
                <w:rPr>
                  <w:rFonts w:hint="eastAsia" w:ascii="Times New Roman" w:hAnsi="Times New Roman" w:eastAsia="黑体" w:cstheme="majorBidi"/>
                </w:rPr>
                <w:t>般公共预算财政拨款支出决算情况说明</w:t>
              </w:r>
            </w:sdtContent>
          </w:sdt>
          <w:r>
            <w:tab/>
          </w:r>
          <w:bookmarkStart w:id="17" w:name="_Toc7931_WPSOffice_Level2Page"/>
          <w:r>
            <w:t>9</w:t>
          </w:r>
          <w:bookmarkEnd w:id="17"/>
          <w:r>
            <w:fldChar w:fldCharType="end"/>
          </w:r>
        </w:p>
        <w:p>
          <w:pPr>
            <w:pStyle w:val="38"/>
            <w:tabs>
              <w:tab w:val="right" w:leader="dot" w:pos="8306"/>
            </w:tabs>
          </w:pPr>
          <w:r>
            <w:fldChar w:fldCharType="begin"/>
          </w:r>
          <w:r>
            <w:instrText xml:space="preserve"> HYPERLINK \l _Toc32447_WPSOffice_Level2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4b34b4bd-ba35-4cd9-baf5-88f17bc69e2c}"/>
              </w:placeholder>
            </w:sdtPr>
            <w:sdtEndPr>
              <w:rPr>
                <w:rFonts w:ascii="Times New Roman" w:hAnsi="Times New Roman" w:eastAsia="宋体" w:cs="Times New Roman"/>
                <w:kern w:val="2"/>
                <w:sz w:val="21"/>
                <w:szCs w:val="24"/>
                <w:lang w:val="en-US" w:eastAsia="zh-CN" w:bidi="ar-SA"/>
              </w:rPr>
            </w:sdtEndPr>
            <w:sdtContent>
              <w:r>
                <w:rPr>
                  <w:rFonts w:ascii="Times New Roman" w:hAnsi="Times New Roman" w:eastAsia="黑体" w:cs="Times New Roman"/>
                </w:rPr>
                <w:t>六、一般公共预算财政拨款基本支出决算情况说明</w:t>
              </w:r>
            </w:sdtContent>
          </w:sdt>
          <w:r>
            <w:tab/>
          </w:r>
          <w:bookmarkStart w:id="18" w:name="_Toc32447_WPSOffice_Level2Page"/>
          <w:r>
            <w:t>12</w:t>
          </w:r>
          <w:bookmarkEnd w:id="18"/>
          <w:r>
            <w:fldChar w:fldCharType="end"/>
          </w:r>
        </w:p>
        <w:p>
          <w:pPr>
            <w:pStyle w:val="38"/>
            <w:tabs>
              <w:tab w:val="right" w:leader="dot" w:pos="8306"/>
            </w:tabs>
          </w:pPr>
          <w:r>
            <w:fldChar w:fldCharType="begin"/>
          </w:r>
          <w:r>
            <w:instrText xml:space="preserve"> HYPERLINK \l _Toc11652_WPSOffice_Level2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d3208334-13ab-4e5e-a774-2d3dfdeb58b1}"/>
              </w:placeholder>
            </w:sdtPr>
            <w:sdtEndPr>
              <w:rPr>
                <w:rFonts w:ascii="Times New Roman" w:hAnsi="Times New Roman" w:eastAsia="宋体" w:cs="Times New Roman"/>
                <w:kern w:val="2"/>
                <w:sz w:val="21"/>
                <w:szCs w:val="24"/>
                <w:lang w:val="en-US" w:eastAsia="zh-CN" w:bidi="ar-SA"/>
              </w:rPr>
            </w:sdtEndPr>
            <w:sdtContent>
              <w:r>
                <w:rPr>
                  <w:rFonts w:ascii="Times New Roman" w:hAnsi="Times New Roman" w:eastAsia="黑体" w:cs="Times New Roman"/>
                </w:rPr>
                <w:t>七、“三公”经费财政拨款支出决算情况说明</w:t>
              </w:r>
            </w:sdtContent>
          </w:sdt>
          <w:r>
            <w:tab/>
          </w:r>
          <w:bookmarkStart w:id="19" w:name="_Toc11652_WPSOffice_Level2Page"/>
          <w:r>
            <w:t>12</w:t>
          </w:r>
          <w:bookmarkEnd w:id="19"/>
          <w:r>
            <w:fldChar w:fldCharType="end"/>
          </w:r>
        </w:p>
        <w:p>
          <w:pPr>
            <w:pStyle w:val="38"/>
            <w:tabs>
              <w:tab w:val="right" w:leader="dot" w:pos="8306"/>
            </w:tabs>
          </w:pPr>
          <w:r>
            <w:fldChar w:fldCharType="begin"/>
          </w:r>
          <w:r>
            <w:instrText xml:space="preserve"> HYPERLINK \l _Toc27127_WPSOffice_Level2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4d1183bb-139c-46e4-adda-1f1a9315fdbc}"/>
              </w:placeholder>
            </w:sdtPr>
            <w:sdtEndPr>
              <w:rPr>
                <w:rFonts w:ascii="Times New Roman" w:hAnsi="Times New Roman" w:eastAsia="宋体" w:cs="Times New Roman"/>
                <w:kern w:val="2"/>
                <w:sz w:val="21"/>
                <w:szCs w:val="24"/>
                <w:lang w:val="en-US" w:eastAsia="zh-CN" w:bidi="ar-SA"/>
              </w:rPr>
            </w:sdtEndPr>
            <w:sdtContent>
              <w:r>
                <w:rPr>
                  <w:rFonts w:ascii="Times New Roman" w:hAnsi="Times New Roman" w:eastAsia="黑体" w:cs="Times New Roman"/>
                </w:rPr>
                <w:t>八、政府性基金预算支出决算情况说明</w:t>
              </w:r>
            </w:sdtContent>
          </w:sdt>
          <w:r>
            <w:tab/>
          </w:r>
          <w:bookmarkStart w:id="20" w:name="_Toc27127_WPSOffice_Level2Page"/>
          <w:r>
            <w:t>14</w:t>
          </w:r>
          <w:bookmarkEnd w:id="20"/>
          <w:r>
            <w:fldChar w:fldCharType="end"/>
          </w:r>
        </w:p>
        <w:p>
          <w:pPr>
            <w:pStyle w:val="38"/>
            <w:tabs>
              <w:tab w:val="right" w:leader="dot" w:pos="8306"/>
            </w:tabs>
          </w:pPr>
          <w:r>
            <w:fldChar w:fldCharType="begin"/>
          </w:r>
          <w:r>
            <w:instrText xml:space="preserve"> HYPERLINK \l _Toc397_WPSOffice_Level2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6acd806d-1f16-4263-9c73-6bc1a7bf51e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 xml:space="preserve">九、 </w:t>
              </w:r>
              <w:r>
                <w:rPr>
                  <w:rFonts w:ascii="Times New Roman" w:hAnsi="Times New Roman" w:eastAsia="黑体" w:cs="Times New Roman"/>
                </w:rPr>
                <w:t>国有资本经营预算支出决算情况说明</w:t>
              </w:r>
            </w:sdtContent>
          </w:sdt>
          <w:r>
            <w:tab/>
          </w:r>
          <w:bookmarkStart w:id="21" w:name="_Toc397_WPSOffice_Level2Page"/>
          <w:r>
            <w:t>14</w:t>
          </w:r>
          <w:bookmarkEnd w:id="21"/>
          <w:r>
            <w:fldChar w:fldCharType="end"/>
          </w:r>
        </w:p>
        <w:p>
          <w:pPr>
            <w:pStyle w:val="38"/>
            <w:tabs>
              <w:tab w:val="right" w:leader="dot" w:pos="8306"/>
            </w:tabs>
          </w:pPr>
          <w:r>
            <w:fldChar w:fldCharType="begin"/>
          </w:r>
          <w:r>
            <w:instrText xml:space="preserve"> HYPERLINK \l _Toc7788_WPSOffice_Level2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8fff7595-a589-4813-a02c-43740171c78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 xml:space="preserve">十、 </w:t>
              </w:r>
              <w:r>
                <w:rPr>
                  <w:rFonts w:ascii="Times New Roman" w:hAnsi="Times New Roman" w:eastAsia="黑体" w:cs="Times New Roman"/>
                </w:rPr>
                <w:t>其他重要事项的情况说明</w:t>
              </w:r>
            </w:sdtContent>
          </w:sdt>
          <w:r>
            <w:tab/>
          </w:r>
          <w:bookmarkStart w:id="22" w:name="_Toc7788_WPSOffice_Level2Page"/>
          <w:r>
            <w:t>14</w:t>
          </w:r>
          <w:bookmarkEnd w:id="22"/>
          <w:r>
            <w:fldChar w:fldCharType="end"/>
          </w:r>
        </w:p>
        <w:p>
          <w:pPr>
            <w:pStyle w:val="37"/>
            <w:tabs>
              <w:tab w:val="right" w:leader="dot" w:pos="8306"/>
            </w:tabs>
          </w:pPr>
          <w:r>
            <w:rPr>
              <w:b/>
              <w:bCs/>
            </w:rPr>
            <w:fldChar w:fldCharType="begin"/>
          </w:r>
          <w:r>
            <w:instrText xml:space="preserve"> HYPERLINK \l _Toc8819_WPSOffice_Level1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0078"/>
              <w:placeholder>
                <w:docPart w:val="{a17fefef-462f-4657-9166-5d39a3bfac9a}"/>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第三部分  名词解释</w:t>
              </w:r>
            </w:sdtContent>
          </w:sdt>
          <w:r>
            <w:rPr>
              <w:b/>
              <w:bCs/>
            </w:rPr>
            <w:tab/>
          </w:r>
          <w:bookmarkStart w:id="23" w:name="_Toc8819_WPSOffice_Level1Page"/>
          <w:r>
            <w:rPr>
              <w:b/>
              <w:bCs/>
            </w:rPr>
            <w:t>16</w:t>
          </w:r>
          <w:bookmarkEnd w:id="23"/>
          <w:r>
            <w:rPr>
              <w:b/>
              <w:bCs/>
            </w:rPr>
            <w:fldChar w:fldCharType="end"/>
          </w:r>
        </w:p>
        <w:p>
          <w:pPr>
            <w:pStyle w:val="37"/>
            <w:tabs>
              <w:tab w:val="right" w:leader="dot" w:pos="8306"/>
            </w:tabs>
          </w:pPr>
          <w:r>
            <w:rPr>
              <w:b/>
              <w:bCs/>
            </w:rPr>
            <w:fldChar w:fldCharType="begin"/>
          </w:r>
          <w:r>
            <w:instrText xml:space="preserve"> HYPERLINK \l _Toc13504_WPSOffice_Level1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0078"/>
              <w:placeholder>
                <w:docPart w:val="{0e53c6be-a675-4673-974e-25cdbaecaba2}"/>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第四部分  附件</w:t>
              </w:r>
            </w:sdtContent>
          </w:sdt>
          <w:r>
            <w:rPr>
              <w:b/>
              <w:bCs/>
            </w:rPr>
            <w:tab/>
          </w:r>
          <w:bookmarkStart w:id="24" w:name="_Toc13504_WPSOffice_Level1Page"/>
          <w:r>
            <w:rPr>
              <w:b/>
              <w:bCs/>
            </w:rPr>
            <w:t>18</w:t>
          </w:r>
          <w:bookmarkEnd w:id="24"/>
          <w:r>
            <w:rPr>
              <w:b/>
              <w:bCs/>
            </w:rPr>
            <w:fldChar w:fldCharType="end"/>
          </w:r>
        </w:p>
        <w:p>
          <w:pPr>
            <w:pStyle w:val="38"/>
            <w:tabs>
              <w:tab w:val="right" w:leader="dot" w:pos="8306"/>
            </w:tabs>
          </w:pPr>
          <w:r>
            <w:fldChar w:fldCharType="begin"/>
          </w:r>
          <w:r>
            <w:instrText xml:space="preserve"> HYPERLINK \l _Toc32157_WPSOffice_Level2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dc79dfaf-f501-4aaa-abc1-89363ce24b7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方正小标宋简体" w:cs="Times New Roman"/>
                </w:rPr>
                <w:t>金川县民族宗教局</w:t>
              </w:r>
            </w:sdtContent>
          </w:sdt>
          <w:r>
            <w:tab/>
          </w:r>
          <w:bookmarkStart w:id="25" w:name="_Toc32157_WPSOffice_Level2Page"/>
          <w:r>
            <w:t>18</w:t>
          </w:r>
          <w:bookmarkEnd w:id="25"/>
          <w:r>
            <w:fldChar w:fldCharType="end"/>
          </w:r>
        </w:p>
        <w:p>
          <w:pPr>
            <w:pStyle w:val="38"/>
            <w:tabs>
              <w:tab w:val="right" w:leader="dot" w:pos="8306"/>
            </w:tabs>
          </w:pPr>
          <w:r>
            <w:fldChar w:fldCharType="begin"/>
          </w:r>
          <w:r>
            <w:instrText xml:space="preserve"> HYPERLINK \l _Toc23694_WPSOffice_Level2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06b89984-7f4d-4a78-9eb2-09ab9c48c4d6}"/>
              </w:placeholder>
            </w:sdtPr>
            <w:sdtEndPr>
              <w:rPr>
                <w:rFonts w:ascii="Times New Roman" w:hAnsi="Times New Roman" w:eastAsia="宋体" w:cs="Times New Roman"/>
                <w:kern w:val="2"/>
                <w:sz w:val="21"/>
                <w:szCs w:val="24"/>
                <w:lang w:val="en-US" w:eastAsia="zh-CN" w:bidi="ar-SA"/>
              </w:rPr>
            </w:sdtEndPr>
            <w:sdtContent>
              <w:r>
                <w:rPr>
                  <w:rFonts w:ascii="Times New Roman" w:hAnsi="Times New Roman" w:eastAsia="方正小标宋简体" w:cs="Times New Roman"/>
                </w:rPr>
                <w:t>部门预算绩效</w:t>
              </w:r>
              <w:r>
                <w:rPr>
                  <w:rFonts w:hint="eastAsia" w:ascii="Times New Roman" w:hAnsi="Times New Roman" w:eastAsia="方正小标宋简体" w:cs="Times New Roman"/>
                </w:rPr>
                <w:t>评价</w:t>
              </w:r>
              <w:r>
                <w:rPr>
                  <w:rFonts w:ascii="Times New Roman" w:hAnsi="Times New Roman" w:eastAsia="方正小标宋简体" w:cs="Times New Roman"/>
                </w:rPr>
                <w:t>报告</w:t>
              </w:r>
            </w:sdtContent>
          </w:sdt>
          <w:r>
            <w:tab/>
          </w:r>
          <w:bookmarkStart w:id="26" w:name="_Toc23694_WPSOffice_Level2Page"/>
          <w:r>
            <w:t>18</w:t>
          </w:r>
          <w:bookmarkEnd w:id="26"/>
          <w:r>
            <w:fldChar w:fldCharType="end"/>
          </w:r>
        </w:p>
        <w:p>
          <w:pPr>
            <w:pStyle w:val="38"/>
            <w:tabs>
              <w:tab w:val="right" w:leader="dot" w:pos="8306"/>
            </w:tabs>
          </w:pPr>
          <w:r>
            <w:fldChar w:fldCharType="begin"/>
          </w:r>
          <w:r>
            <w:instrText xml:space="preserve"> HYPERLINK \l _Toc12383_WPSOffice_Level2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6a493728-fc56-40df-aa95-a0f8c0c15e58}"/>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Times New Roman"/>
                </w:rPr>
                <w:t>一、</w:t>
              </w:r>
              <w:r>
                <w:rPr>
                  <w:rFonts w:ascii="Times New Roman" w:hAnsi="Times New Roman" w:eastAsia="仿宋_GB2312" w:cs="Times New Roman"/>
                </w:rPr>
                <w:t>部门（单位）基本情况</w:t>
              </w:r>
            </w:sdtContent>
          </w:sdt>
          <w:r>
            <w:tab/>
          </w:r>
          <w:bookmarkStart w:id="27" w:name="_Toc12383_WPSOffice_Level2Page"/>
          <w:r>
            <w:t>18</w:t>
          </w:r>
          <w:bookmarkEnd w:id="27"/>
          <w:r>
            <w:fldChar w:fldCharType="end"/>
          </w:r>
        </w:p>
        <w:p>
          <w:pPr>
            <w:pStyle w:val="38"/>
            <w:tabs>
              <w:tab w:val="right" w:leader="dot" w:pos="8306"/>
            </w:tabs>
          </w:pPr>
          <w:r>
            <w:fldChar w:fldCharType="begin"/>
          </w:r>
          <w:r>
            <w:instrText xml:space="preserve"> HYPERLINK \l _Toc28783_WPSOffice_Level2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d025aad1-1eae-4d12-9bf3-e7ee95bb6008}"/>
              </w:placeholder>
            </w:sdtPr>
            <w:sdtEndPr>
              <w:rPr>
                <w:rFonts w:ascii="Times New Roman" w:hAnsi="Times New Roman" w:eastAsia="宋体" w:cs="Times New Roman"/>
                <w:kern w:val="2"/>
                <w:sz w:val="21"/>
                <w:szCs w:val="24"/>
                <w:lang w:val="en-US" w:eastAsia="zh-CN" w:bidi="ar-SA"/>
              </w:rPr>
            </w:sdtEndPr>
            <w:sdtContent>
              <w:r>
                <w:rPr>
                  <w:rFonts w:ascii="Times New Roman" w:hAnsi="Times New Roman" w:eastAsia="仿宋_GB2312" w:cs="Times New Roman"/>
                </w:rPr>
                <w:t>二、部门资金收支情况</w:t>
              </w:r>
            </w:sdtContent>
          </w:sdt>
          <w:r>
            <w:tab/>
          </w:r>
          <w:bookmarkStart w:id="28" w:name="_Toc28783_WPSOffice_Level2Page"/>
          <w:r>
            <w:t>18</w:t>
          </w:r>
          <w:bookmarkEnd w:id="28"/>
          <w:r>
            <w:fldChar w:fldCharType="end"/>
          </w:r>
        </w:p>
        <w:p>
          <w:pPr>
            <w:pStyle w:val="38"/>
            <w:tabs>
              <w:tab w:val="right" w:leader="dot" w:pos="8306"/>
            </w:tabs>
          </w:pPr>
          <w:r>
            <w:fldChar w:fldCharType="begin"/>
          </w:r>
          <w:r>
            <w:instrText xml:space="preserve"> HYPERLINK \l _Toc5481_WPSOffice_Level2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f69b37d4-5d57-4da8-a004-208a46e6a516}"/>
              </w:placeholder>
            </w:sdtPr>
            <w:sdtEndPr>
              <w:rPr>
                <w:rFonts w:ascii="Times New Roman" w:hAnsi="Times New Roman" w:eastAsia="宋体" w:cs="Times New Roman"/>
                <w:kern w:val="2"/>
                <w:sz w:val="21"/>
                <w:szCs w:val="24"/>
                <w:lang w:val="en-US" w:eastAsia="zh-CN" w:bidi="ar-SA"/>
              </w:rPr>
            </w:sdtEndPr>
            <w:sdtContent>
              <w:r>
                <w:rPr>
                  <w:rFonts w:ascii="Times New Roman" w:hAnsi="Times New Roman" w:eastAsia="仿宋_GB2312" w:cs="Times New Roman"/>
                </w:rPr>
                <w:t>三、部门预算绩效分析</w:t>
              </w:r>
            </w:sdtContent>
          </w:sdt>
          <w:r>
            <w:tab/>
          </w:r>
          <w:bookmarkStart w:id="29" w:name="_Toc5481_WPSOffice_Level2Page"/>
          <w:r>
            <w:t>19</w:t>
          </w:r>
          <w:bookmarkEnd w:id="29"/>
          <w:r>
            <w:fldChar w:fldCharType="end"/>
          </w:r>
        </w:p>
        <w:p>
          <w:pPr>
            <w:pStyle w:val="38"/>
            <w:tabs>
              <w:tab w:val="right" w:leader="dot" w:pos="8306"/>
            </w:tabs>
          </w:pPr>
          <w:r>
            <w:fldChar w:fldCharType="begin"/>
          </w:r>
          <w:r>
            <w:instrText xml:space="preserve"> HYPERLINK \l _Toc28655_WPSOffice_Level2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7572b8bb-b682-4aae-ad44-886b9e233c75}"/>
              </w:placeholder>
            </w:sdtPr>
            <w:sdtEndPr>
              <w:rPr>
                <w:rFonts w:ascii="Times New Roman" w:hAnsi="Times New Roman" w:eastAsia="宋体" w:cs="Times New Roman"/>
                <w:kern w:val="2"/>
                <w:sz w:val="21"/>
                <w:szCs w:val="24"/>
                <w:lang w:val="en-US" w:eastAsia="zh-CN" w:bidi="ar-SA"/>
              </w:rPr>
            </w:sdtEndPr>
            <w:sdtContent>
              <w:r>
                <w:rPr>
                  <w:rFonts w:ascii="Times New Roman" w:hAnsi="Times New Roman" w:eastAsia="仿宋_GB2312" w:cs="Times New Roman"/>
                </w:rPr>
                <w:t>四、评价结论及建议</w:t>
              </w:r>
            </w:sdtContent>
          </w:sdt>
          <w:r>
            <w:tab/>
          </w:r>
          <w:bookmarkStart w:id="30" w:name="_Toc28655_WPSOffice_Level2Page"/>
          <w:r>
            <w:t>23</w:t>
          </w:r>
          <w:bookmarkEnd w:id="30"/>
          <w:r>
            <w:fldChar w:fldCharType="end"/>
          </w:r>
        </w:p>
        <w:p>
          <w:pPr>
            <w:pStyle w:val="37"/>
            <w:tabs>
              <w:tab w:val="right" w:leader="dot" w:pos="8306"/>
            </w:tabs>
          </w:pPr>
          <w:r>
            <w:rPr>
              <w:b/>
              <w:bCs/>
            </w:rPr>
            <w:fldChar w:fldCharType="begin"/>
          </w:r>
          <w:r>
            <w:instrText xml:space="preserve"> HYPERLINK \l _Toc9819_WPSOffice_Level1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0078"/>
              <w:placeholder>
                <w:docPart w:val="{3fa1be41-bf7d-4ce4-87fa-72f2fa43f968}"/>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第五部分 附表</w:t>
              </w:r>
            </w:sdtContent>
          </w:sdt>
          <w:r>
            <w:rPr>
              <w:b/>
              <w:bCs/>
            </w:rPr>
            <w:tab/>
          </w:r>
          <w:bookmarkStart w:id="31" w:name="_Toc9819_WPSOffice_Level1Page"/>
          <w:r>
            <w:rPr>
              <w:b/>
              <w:bCs/>
            </w:rPr>
            <w:t>27</w:t>
          </w:r>
          <w:bookmarkEnd w:id="31"/>
          <w:r>
            <w:rPr>
              <w:b/>
              <w:bCs/>
            </w:rPr>
            <w:fldChar w:fldCharType="end"/>
          </w:r>
        </w:p>
        <w:p>
          <w:pPr>
            <w:pStyle w:val="38"/>
            <w:tabs>
              <w:tab w:val="right" w:leader="dot" w:pos="8306"/>
            </w:tabs>
          </w:pPr>
          <w:r>
            <w:fldChar w:fldCharType="begin"/>
          </w:r>
          <w:r>
            <w:instrText xml:space="preserve"> HYPERLINK \l _Toc22834_WPSOffice_Level2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29dfc0f9-a7ee-4509-aeb5-804a3b5df43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一、收入支出决算总表</w:t>
              </w:r>
            </w:sdtContent>
          </w:sdt>
          <w:r>
            <w:tab/>
          </w:r>
          <w:bookmarkStart w:id="32" w:name="_Toc22834_WPSOffice_Level2Page"/>
          <w:r>
            <w:t>27</w:t>
          </w:r>
          <w:bookmarkEnd w:id="32"/>
          <w:r>
            <w:fldChar w:fldCharType="end"/>
          </w:r>
        </w:p>
        <w:p>
          <w:pPr>
            <w:pStyle w:val="38"/>
            <w:tabs>
              <w:tab w:val="right" w:leader="dot" w:pos="8306"/>
            </w:tabs>
          </w:pPr>
          <w:r>
            <w:fldChar w:fldCharType="begin"/>
          </w:r>
          <w:r>
            <w:instrText xml:space="preserve"> HYPERLINK \l _Toc29529_WPSOffice_Level2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53aac25d-de77-4f53-bb66-6f21fc947893}"/>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二、收入决算表</w:t>
              </w:r>
            </w:sdtContent>
          </w:sdt>
          <w:r>
            <w:tab/>
          </w:r>
          <w:bookmarkStart w:id="33" w:name="_Toc29529_WPSOffice_Level2Page"/>
          <w:r>
            <w:t>27</w:t>
          </w:r>
          <w:bookmarkEnd w:id="33"/>
          <w:r>
            <w:fldChar w:fldCharType="end"/>
          </w:r>
        </w:p>
        <w:p>
          <w:pPr>
            <w:pStyle w:val="38"/>
            <w:tabs>
              <w:tab w:val="right" w:leader="dot" w:pos="8306"/>
            </w:tabs>
          </w:pPr>
          <w:r>
            <w:fldChar w:fldCharType="begin"/>
          </w:r>
          <w:r>
            <w:instrText xml:space="preserve"> HYPERLINK \l _Toc8644_WPSOffice_Level2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f1883ada-bcac-47e9-a952-c3f673de4101}"/>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三、支出决算表</w:t>
              </w:r>
            </w:sdtContent>
          </w:sdt>
          <w:r>
            <w:tab/>
          </w:r>
          <w:bookmarkStart w:id="34" w:name="_Toc8644_WPSOffice_Level2Page"/>
          <w:r>
            <w:t>27</w:t>
          </w:r>
          <w:bookmarkEnd w:id="34"/>
          <w:r>
            <w:fldChar w:fldCharType="end"/>
          </w:r>
        </w:p>
        <w:p>
          <w:pPr>
            <w:pStyle w:val="38"/>
            <w:tabs>
              <w:tab w:val="right" w:leader="dot" w:pos="8306"/>
            </w:tabs>
          </w:pPr>
          <w:r>
            <w:fldChar w:fldCharType="begin"/>
          </w:r>
          <w:r>
            <w:instrText xml:space="preserve"> HYPERLINK \l _Toc25553_WPSOffice_Level2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5d029838-ce70-40bd-bedb-67a4d7bca992}"/>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四、财政拨款收入支出决算总表</w:t>
              </w:r>
            </w:sdtContent>
          </w:sdt>
          <w:r>
            <w:tab/>
          </w:r>
          <w:bookmarkStart w:id="35" w:name="_Toc25553_WPSOffice_Level2Page"/>
          <w:r>
            <w:t>27</w:t>
          </w:r>
          <w:bookmarkEnd w:id="35"/>
          <w:r>
            <w:fldChar w:fldCharType="end"/>
          </w:r>
        </w:p>
        <w:p>
          <w:pPr>
            <w:pStyle w:val="38"/>
            <w:tabs>
              <w:tab w:val="right" w:leader="dot" w:pos="8306"/>
            </w:tabs>
          </w:pPr>
          <w:r>
            <w:fldChar w:fldCharType="begin"/>
          </w:r>
          <w:r>
            <w:instrText xml:space="preserve"> HYPERLINK \l _Toc10733_WPSOffice_Level2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6ca648c7-b10f-41bd-b829-63bdab4437ee}"/>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五、财政拨款支出决算明细表</w:t>
              </w:r>
            </w:sdtContent>
          </w:sdt>
          <w:r>
            <w:tab/>
          </w:r>
          <w:bookmarkStart w:id="36" w:name="_Toc10733_WPSOffice_Level2Page"/>
          <w:r>
            <w:t>27</w:t>
          </w:r>
          <w:bookmarkEnd w:id="36"/>
          <w:r>
            <w:fldChar w:fldCharType="end"/>
          </w:r>
        </w:p>
        <w:p>
          <w:pPr>
            <w:pStyle w:val="38"/>
            <w:tabs>
              <w:tab w:val="right" w:leader="dot" w:pos="8306"/>
            </w:tabs>
          </w:pPr>
          <w:r>
            <w:fldChar w:fldCharType="begin"/>
          </w:r>
          <w:r>
            <w:instrText xml:space="preserve"> HYPERLINK \l _Toc5698_WPSOffice_Level2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90124e00-dc2e-470e-bb07-8665d0c56f4d}"/>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六、一般公共预算财政拨款支出决算表</w:t>
              </w:r>
            </w:sdtContent>
          </w:sdt>
          <w:r>
            <w:tab/>
          </w:r>
          <w:bookmarkStart w:id="37" w:name="_Toc5698_WPSOffice_Level2Page"/>
          <w:r>
            <w:t>27</w:t>
          </w:r>
          <w:bookmarkEnd w:id="37"/>
          <w:r>
            <w:fldChar w:fldCharType="end"/>
          </w:r>
        </w:p>
        <w:p>
          <w:pPr>
            <w:pStyle w:val="38"/>
            <w:tabs>
              <w:tab w:val="right" w:leader="dot" w:pos="8306"/>
            </w:tabs>
          </w:pPr>
          <w:r>
            <w:fldChar w:fldCharType="begin"/>
          </w:r>
          <w:r>
            <w:instrText xml:space="preserve"> HYPERLINK \l _Toc10999_WPSOffice_Level2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27e142f2-a078-48a3-b4a0-942bc474515d}"/>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七、一般公共预算财政拨款支出决算明细表</w:t>
              </w:r>
            </w:sdtContent>
          </w:sdt>
          <w:r>
            <w:tab/>
          </w:r>
          <w:bookmarkStart w:id="38" w:name="_Toc10999_WPSOffice_Level2Page"/>
          <w:r>
            <w:t>27</w:t>
          </w:r>
          <w:bookmarkEnd w:id="38"/>
          <w:r>
            <w:fldChar w:fldCharType="end"/>
          </w:r>
        </w:p>
        <w:p>
          <w:pPr>
            <w:pStyle w:val="38"/>
            <w:tabs>
              <w:tab w:val="right" w:leader="dot" w:pos="8306"/>
            </w:tabs>
          </w:pPr>
          <w:r>
            <w:fldChar w:fldCharType="begin"/>
          </w:r>
          <w:r>
            <w:instrText xml:space="preserve"> HYPERLINK \l _Toc24238_WPSOffice_Level2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324e32e2-42fe-4f56-a24b-8c90041109e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八、一般公共预算财政拨款基本支出决算表</w:t>
              </w:r>
            </w:sdtContent>
          </w:sdt>
          <w:r>
            <w:tab/>
          </w:r>
          <w:bookmarkStart w:id="39" w:name="_Toc24238_WPSOffice_Level2Page"/>
          <w:r>
            <w:t>27</w:t>
          </w:r>
          <w:bookmarkEnd w:id="39"/>
          <w:r>
            <w:fldChar w:fldCharType="end"/>
          </w:r>
        </w:p>
        <w:p>
          <w:pPr>
            <w:pStyle w:val="38"/>
            <w:tabs>
              <w:tab w:val="right" w:leader="dot" w:pos="8306"/>
            </w:tabs>
          </w:pPr>
          <w:r>
            <w:fldChar w:fldCharType="begin"/>
          </w:r>
          <w:r>
            <w:instrText xml:space="preserve"> HYPERLINK \l _Toc12597_WPSOffice_Level2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dd4c4ba6-0f78-42c2-a3b0-9349b8674004}"/>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九、一般公共预算财政拨款项目支出决算表</w:t>
              </w:r>
            </w:sdtContent>
          </w:sdt>
          <w:r>
            <w:tab/>
          </w:r>
          <w:bookmarkStart w:id="40" w:name="_Toc12597_WPSOffice_Level2Page"/>
          <w:r>
            <w:t>27</w:t>
          </w:r>
          <w:bookmarkEnd w:id="40"/>
          <w:r>
            <w:fldChar w:fldCharType="end"/>
          </w:r>
        </w:p>
        <w:p>
          <w:pPr>
            <w:pStyle w:val="38"/>
            <w:tabs>
              <w:tab w:val="right" w:leader="dot" w:pos="8306"/>
            </w:tabs>
          </w:pPr>
          <w:r>
            <w:fldChar w:fldCharType="begin"/>
          </w:r>
          <w:r>
            <w:instrText xml:space="preserve"> HYPERLINK \l _Toc26381_WPSOffice_Level2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6f8b6c84-36ff-4aec-bd2a-9645b2d53cd2}"/>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十、政府性基金预算财政拨款收入支出决算表</w:t>
              </w:r>
            </w:sdtContent>
          </w:sdt>
          <w:r>
            <w:tab/>
          </w:r>
          <w:bookmarkStart w:id="41" w:name="_Toc26381_WPSOffice_Level2Page"/>
          <w:r>
            <w:t>27</w:t>
          </w:r>
          <w:bookmarkEnd w:id="41"/>
          <w:r>
            <w:fldChar w:fldCharType="end"/>
          </w:r>
        </w:p>
        <w:p>
          <w:pPr>
            <w:pStyle w:val="38"/>
            <w:tabs>
              <w:tab w:val="right" w:leader="dot" w:pos="8306"/>
            </w:tabs>
          </w:pPr>
          <w:r>
            <w:fldChar w:fldCharType="begin"/>
          </w:r>
          <w:r>
            <w:instrText xml:space="preserve"> HYPERLINK \l _Toc6631_WPSOffice_Level2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6ad4ce64-ecd1-4cd1-a34f-ecd7eae76e3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十一、国有资本经营预算财政拨款收入支出决算表</w:t>
              </w:r>
            </w:sdtContent>
          </w:sdt>
          <w:r>
            <w:tab/>
          </w:r>
          <w:bookmarkStart w:id="42" w:name="_Toc6631_WPSOffice_Level2Page"/>
          <w:r>
            <w:t>27</w:t>
          </w:r>
          <w:bookmarkEnd w:id="42"/>
          <w:r>
            <w:fldChar w:fldCharType="end"/>
          </w:r>
        </w:p>
        <w:p>
          <w:pPr>
            <w:pStyle w:val="38"/>
            <w:tabs>
              <w:tab w:val="right" w:leader="dot" w:pos="8306"/>
            </w:tabs>
          </w:pPr>
          <w:r>
            <w:fldChar w:fldCharType="begin"/>
          </w:r>
          <w:r>
            <w:instrText xml:space="preserve"> HYPERLINK \l _Toc11812_WPSOffice_Level2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21bc0065-ce96-413d-b1d6-10c9ca9ec28c}"/>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十二、国有资本经营预算财政拨款支出决算表</w:t>
              </w:r>
            </w:sdtContent>
          </w:sdt>
          <w:r>
            <w:tab/>
          </w:r>
          <w:bookmarkStart w:id="43" w:name="_Toc11812_WPSOffice_Level2Page"/>
          <w:r>
            <w:t>27</w:t>
          </w:r>
          <w:bookmarkEnd w:id="43"/>
          <w:r>
            <w:fldChar w:fldCharType="end"/>
          </w:r>
        </w:p>
        <w:p>
          <w:pPr>
            <w:pStyle w:val="38"/>
            <w:tabs>
              <w:tab w:val="right" w:leader="dot" w:pos="8306"/>
            </w:tabs>
          </w:pPr>
          <w:r>
            <w:fldChar w:fldCharType="begin"/>
          </w:r>
          <w:r>
            <w:instrText xml:space="preserve"> HYPERLINK \l _Toc11583_WPSOffice_Level2 </w:instrText>
          </w:r>
          <w:r>
            <w:fldChar w:fldCharType="separate"/>
          </w:r>
          <w:sdt>
            <w:sdtPr>
              <w:rPr>
                <w:rFonts w:ascii="Times New Roman" w:hAnsi="Times New Roman" w:eastAsia="宋体" w:cs="Times New Roman"/>
                <w:kern w:val="2"/>
                <w:sz w:val="21"/>
                <w:szCs w:val="24"/>
                <w:lang w:val="en-US" w:eastAsia="zh-CN" w:bidi="ar-SA"/>
              </w:rPr>
              <w:id w:val="147480078"/>
              <w:placeholder>
                <w:docPart w:val="{06637df9-0363-4312-a96c-a3c21353583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十三、财政拨款“三公”经费支出决算表</w:t>
              </w:r>
            </w:sdtContent>
          </w:sdt>
          <w:r>
            <w:tab/>
          </w:r>
          <w:bookmarkStart w:id="44" w:name="_Toc11583_WPSOffice_Level2Page"/>
          <w:r>
            <w:t>27</w:t>
          </w:r>
          <w:bookmarkEnd w:id="44"/>
          <w:r>
            <w:fldChar w:fldCharType="end"/>
          </w:r>
          <w:bookmarkEnd w:id="8"/>
        </w:p>
      </w:sdtContent>
    </w:sdt>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41" w:name="_GoBack"/>
      <w:bookmarkEnd w:id="141"/>
      <w:r>
        <w:rPr>
          <w:rFonts w:hint="eastAsia" w:ascii="Times New Roman" w:hAnsi="Times New Roman" w:eastAsia="仿宋_GB2312" w:cs="仿宋_GB2312"/>
          <w:b/>
          <w:color w:val="auto"/>
          <w:sz w:val="32"/>
          <w:szCs w:val="32"/>
          <w:highlight w:val="none"/>
        </w:rPr>
        <w:br w:type="page"/>
      </w:r>
    </w:p>
    <w:p>
      <w:pPr>
        <w:pStyle w:val="3"/>
        <w:jc w:val="center"/>
        <w:rPr>
          <w:rStyle w:val="29"/>
          <w:rFonts w:hint="eastAsia" w:ascii="Times New Roman" w:hAnsi="Times New Roman" w:eastAsia="方正小标宋简体" w:cs="方正小标宋简体"/>
          <w:b/>
          <w:bCs w:val="0"/>
          <w:color w:val="auto"/>
          <w:highlight w:val="none"/>
        </w:rPr>
      </w:pPr>
      <w:bookmarkStart w:id="45" w:name="_Toc30513_WPSOffice_Level1"/>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bookmarkEnd w:id="45"/>
    </w:p>
    <w:p>
      <w:pPr>
        <w:widowControl/>
        <w:jc w:val="left"/>
        <w:rPr>
          <w:rFonts w:ascii="Times New Roman" w:hAnsi="Times New Roman" w:eastAsia="黑体"/>
          <w:color w:val="auto"/>
          <w:sz w:val="32"/>
          <w:szCs w:val="32"/>
          <w:highlight w:val="none"/>
        </w:rPr>
      </w:pPr>
    </w:p>
    <w:p>
      <w:pPr>
        <w:pStyle w:val="4"/>
        <w:numPr>
          <w:numId w:val="0"/>
        </w:numPr>
        <w:ind w:firstLine="640" w:firstLineChars="200"/>
        <w:rPr>
          <w:rFonts w:hint="eastAsia" w:ascii="Times New Roman" w:hAnsi="Times New Roman" w:eastAsia="黑体"/>
          <w:b w:val="0"/>
          <w:color w:val="auto"/>
          <w:highlight w:val="none"/>
          <w:lang w:eastAsia="zh-CN"/>
        </w:rPr>
      </w:pPr>
      <w:bookmarkStart w:id="46" w:name="_Toc7311_WPSOffice_Level2"/>
      <w:r>
        <w:rPr>
          <w:rFonts w:hint="eastAsia" w:ascii="Times New Roman" w:hAnsi="Times New Roman" w:eastAsia="黑体"/>
          <w:b w:val="0"/>
          <w:color w:val="auto"/>
          <w:highlight w:val="none"/>
          <w:lang w:val="en-US" w:eastAsia="zh-CN"/>
        </w:rPr>
        <w:t>一、</w:t>
      </w:r>
      <w:r>
        <w:rPr>
          <w:rFonts w:hint="eastAsia" w:ascii="Times New Roman" w:hAnsi="Times New Roman" w:eastAsia="黑体"/>
          <w:b w:val="0"/>
          <w:color w:val="auto"/>
          <w:highlight w:val="none"/>
          <w:lang w:eastAsia="zh-CN"/>
        </w:rPr>
        <w:t>部门职责</w:t>
      </w:r>
      <w:bookmarkEnd w:id="46"/>
    </w:p>
    <w:p>
      <w:pPr>
        <w:pStyle w:val="10"/>
        <w:pageBreakBefore w:val="0"/>
        <w:widowControl w:val="0"/>
        <w:kinsoku/>
        <w:wordWrap/>
        <w:overflowPunct/>
        <w:topLinePunct w:val="0"/>
        <w:bidi w:val="0"/>
        <w:adjustRightInd w:val="0"/>
        <w:snapToGrid w:val="0"/>
        <w:spacing w:before="93" w:line="576" w:lineRule="exact"/>
        <w:ind w:left="0" w:firstLine="668" w:firstLineChars="208"/>
        <w:outlineLvl w:val="2"/>
        <w:rPr>
          <w:rFonts w:ascii="Times New Roman" w:hAnsi="Times New Roman" w:eastAsia="楷体" w:cs="Times New Roman"/>
          <w:b/>
          <w:color w:val="000000"/>
          <w:kern w:val="0"/>
          <w:sz w:val="32"/>
          <w:szCs w:val="32"/>
          <w:shd w:val="clear" w:color="auto" w:fill="auto"/>
        </w:rPr>
      </w:pPr>
      <w:bookmarkStart w:id="47" w:name="_Toc15378445"/>
      <w:bookmarkStart w:id="48" w:name="_Toc15377198"/>
      <w:r>
        <w:rPr>
          <w:rFonts w:ascii="Times New Roman" w:hAnsi="Times New Roman" w:eastAsia="楷体" w:cs="Times New Roman"/>
          <w:b/>
          <w:color w:val="000000"/>
          <w:kern w:val="0"/>
          <w:sz w:val="32"/>
          <w:szCs w:val="32"/>
          <w:shd w:val="clear" w:color="auto" w:fill="auto"/>
        </w:rPr>
        <w:t>（一）主要职能。</w:t>
      </w:r>
      <w:bookmarkEnd w:id="47"/>
      <w:bookmarkEnd w:id="48"/>
    </w:p>
    <w:p>
      <w:pPr>
        <w:pageBreakBefore w:val="0"/>
        <w:widowControl w:val="0"/>
        <w:kinsoku/>
        <w:wordWrap/>
        <w:overflowPunct/>
        <w:topLinePunct w:val="0"/>
        <w:bidi w:val="0"/>
        <w:spacing w:line="576" w:lineRule="exact"/>
        <w:ind w:firstLine="640" w:firstLineChars="200"/>
        <w:rPr>
          <w:rFonts w:ascii="Times New Roman" w:hAnsi="Times New Roman" w:eastAsia="仿宋" w:cs="Times New Roman"/>
          <w:sz w:val="32"/>
          <w:szCs w:val="32"/>
          <w:lang w:val="en-US" w:eastAsia="zh-CN"/>
        </w:rPr>
      </w:pPr>
      <w:bookmarkStart w:id="49" w:name="_Toc15377199"/>
      <w:bookmarkStart w:id="50" w:name="_Toc15378446"/>
      <w:r>
        <w:rPr>
          <w:rFonts w:ascii="Times New Roman" w:hAnsi="Times New Roman" w:eastAsia="仿宋_GB2312" w:cs="Times New Roman"/>
          <w:bCs/>
          <w:sz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hAnsi="Times New Roman" w:eastAsia="仿宋_GB2312" w:cs="Times New Roman"/>
          <w:bCs/>
          <w:sz w:val="32"/>
          <w:lang w:val="zh-CN"/>
        </w:rPr>
        <w:t>以推动民族团结为重点，</w:t>
      </w:r>
      <w:r>
        <w:rPr>
          <w:rFonts w:ascii="Times New Roman" w:hAnsi="Times New Roman" w:eastAsia="仿宋_GB2312" w:cs="Times New Roman"/>
          <w:bCs/>
          <w:sz w:val="32"/>
        </w:rPr>
        <w:t>深入推进“一法两规一条例</w:t>
      </w:r>
      <w:r>
        <w:rPr>
          <w:rFonts w:ascii="Times New Roman" w:hAnsi="Times New Roman" w:eastAsia="仿宋_GB2312" w:cs="Times New Roman"/>
          <w:sz w:val="32"/>
          <w:szCs w:val="32"/>
        </w:rPr>
        <w:t>”和党的</w:t>
      </w:r>
      <w:r>
        <w:rPr>
          <w:rFonts w:hint="eastAsia" w:eastAsia="仿宋_GB2312" w:cs="Times New Roman"/>
          <w:sz w:val="32"/>
          <w:szCs w:val="32"/>
          <w:lang w:eastAsia="zh-CN"/>
        </w:rPr>
        <w:t>二十</w:t>
      </w:r>
      <w:r>
        <w:rPr>
          <w:rFonts w:ascii="Times New Roman" w:hAnsi="Times New Roman" w:eastAsia="仿宋_GB2312" w:cs="Times New Roman"/>
          <w:sz w:val="32"/>
          <w:szCs w:val="32"/>
        </w:rPr>
        <w:t>大精神的学习宣传和贯彻执行。</w:t>
      </w:r>
    </w:p>
    <w:p>
      <w:pPr>
        <w:pStyle w:val="10"/>
        <w:pageBreakBefore w:val="0"/>
        <w:widowControl w:val="0"/>
        <w:kinsoku/>
        <w:wordWrap/>
        <w:overflowPunct/>
        <w:topLinePunct w:val="0"/>
        <w:bidi w:val="0"/>
        <w:adjustRightInd w:val="0"/>
        <w:snapToGrid w:val="0"/>
        <w:spacing w:before="93" w:line="576" w:lineRule="exact"/>
        <w:ind w:left="0" w:firstLine="666" w:firstLineChars="208"/>
        <w:outlineLvl w:val="2"/>
        <w:rPr>
          <w:rFonts w:ascii="Times New Roman" w:hAnsi="Times New Roman" w:eastAsia="方正楷体_GBK" w:cs="Times New Roman"/>
          <w:b/>
          <w:bCs/>
          <w:color w:val="000000"/>
          <w:kern w:val="0"/>
          <w:sz w:val="32"/>
          <w:szCs w:val="32"/>
          <w:shd w:val="clear" w:color="auto" w:fill="auto"/>
        </w:rPr>
      </w:pPr>
      <w:r>
        <w:rPr>
          <w:rFonts w:ascii="Times New Roman" w:hAnsi="Times New Roman" w:eastAsia="方正楷体_GBK" w:cs="Times New Roman"/>
          <w:b/>
          <w:bCs/>
          <w:color w:val="000000"/>
          <w:kern w:val="0"/>
          <w:sz w:val="32"/>
          <w:szCs w:val="32"/>
          <w:shd w:val="clear" w:color="auto" w:fill="auto"/>
        </w:rPr>
        <w:t>（二）202</w:t>
      </w:r>
      <w:r>
        <w:rPr>
          <w:rFonts w:hint="eastAsia" w:eastAsia="方正楷体_GBK" w:cs="Times New Roman"/>
          <w:b/>
          <w:bCs/>
          <w:color w:val="000000"/>
          <w:kern w:val="0"/>
          <w:sz w:val="32"/>
          <w:szCs w:val="32"/>
          <w:shd w:val="clear" w:color="auto" w:fill="auto"/>
          <w:lang w:val="en-US" w:eastAsia="zh-CN"/>
        </w:rPr>
        <w:t>4</w:t>
      </w:r>
      <w:r>
        <w:rPr>
          <w:rFonts w:ascii="Times New Roman" w:hAnsi="Times New Roman" w:eastAsia="方正楷体_GBK" w:cs="Times New Roman"/>
          <w:b/>
          <w:bCs/>
          <w:color w:val="000000"/>
          <w:kern w:val="0"/>
          <w:sz w:val="32"/>
          <w:szCs w:val="32"/>
          <w:shd w:val="clear" w:color="auto" w:fill="auto"/>
        </w:rPr>
        <w:t>年重点工作完成情况。</w:t>
      </w:r>
      <w:bookmarkEnd w:id="49"/>
      <w:bookmarkEnd w:id="50"/>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lang w:val="en-US" w:eastAsia="zh-CN"/>
        </w:rPr>
      </w:pPr>
      <w:r>
        <w:rPr>
          <w:rFonts w:hint="default" w:ascii="Times New Roman" w:hAnsi="Times New Roman" w:eastAsia="仿宋_GB2312" w:cs="Times New Roman"/>
          <w:bCs/>
          <w:sz w:val="32"/>
          <w:lang w:val="en-US" w:eastAsia="zh-CN"/>
        </w:rPr>
        <w:t>1.</w:t>
      </w:r>
      <w:r>
        <w:rPr>
          <w:rFonts w:hint="eastAsia" w:ascii="Times New Roman" w:hAnsi="Times New Roman" w:eastAsia="仿宋_GB2312" w:cs="Times New Roman"/>
          <w:bCs/>
          <w:sz w:val="32"/>
          <w:lang w:val="en-US" w:eastAsia="zh-CN"/>
        </w:rPr>
        <w:t>深入</w:t>
      </w:r>
      <w:r>
        <w:rPr>
          <w:rFonts w:hint="default" w:ascii="Times New Roman" w:hAnsi="Times New Roman" w:eastAsia="仿宋_GB2312" w:cs="Times New Roman"/>
          <w:bCs/>
          <w:sz w:val="32"/>
          <w:lang w:val="en-US" w:eastAsia="zh-CN"/>
        </w:rPr>
        <w:t>学习</w:t>
      </w:r>
      <w:r>
        <w:rPr>
          <w:rFonts w:hint="eastAsia" w:ascii="Times New Roman" w:hAnsi="Times New Roman" w:eastAsia="仿宋_GB2312" w:cs="Times New Roman"/>
          <w:bCs/>
          <w:sz w:val="32"/>
          <w:lang w:val="en-US" w:eastAsia="zh-CN"/>
        </w:rPr>
        <w:t>贯彻</w:t>
      </w:r>
      <w:r>
        <w:rPr>
          <w:rFonts w:hint="default" w:ascii="Times New Roman" w:hAnsi="Times New Roman" w:eastAsia="仿宋_GB2312" w:cs="Times New Roman"/>
          <w:bCs/>
          <w:sz w:val="32"/>
          <w:lang w:val="en-US" w:eastAsia="zh-CN"/>
        </w:rPr>
        <w:t>党的二十大</w:t>
      </w:r>
      <w:r>
        <w:rPr>
          <w:rFonts w:hint="eastAsia" w:ascii="Times New Roman" w:hAnsi="Times New Roman" w:eastAsia="仿宋_GB2312" w:cs="Times New Roman"/>
          <w:bCs/>
          <w:sz w:val="32"/>
          <w:lang w:val="en-US" w:eastAsia="zh-CN"/>
        </w:rPr>
        <w:t>及二十届三中全会精神</w:t>
      </w:r>
      <w:r>
        <w:rPr>
          <w:rFonts w:hint="default" w:ascii="Times New Roman" w:hAnsi="Times New Roman" w:eastAsia="仿宋_GB2312" w:cs="Times New Roman"/>
          <w:bCs/>
          <w:sz w:val="32"/>
          <w:lang w:val="en-US" w:eastAsia="zh-CN"/>
        </w:rPr>
        <w:t>，坚定以习近平新时代中国特色社会主义思想、习近平总书记关于加强和改进民族工作的重要思</w:t>
      </w:r>
      <w:r>
        <w:rPr>
          <w:rFonts w:hint="eastAsia" w:ascii="Times New Roman" w:hAnsi="Times New Roman" w:eastAsia="仿宋_GB2312" w:cs="Times New Roman"/>
          <w:bCs/>
          <w:sz w:val="32"/>
          <w:lang w:val="en-US" w:eastAsia="zh-CN"/>
        </w:rPr>
        <w:t>想、</w:t>
      </w:r>
      <w:r>
        <w:rPr>
          <w:rFonts w:hint="default" w:ascii="Times New Roman" w:hAnsi="Times New Roman" w:eastAsia="仿宋_GB2312" w:cs="Times New Roman"/>
          <w:bCs/>
          <w:sz w:val="32"/>
          <w:lang w:val="en-US" w:eastAsia="zh-CN"/>
        </w:rPr>
        <w:t>关于宗教工作的重要论述武装头脑、指导实践、推动工作。自觉把党的二十</w:t>
      </w:r>
      <w:r>
        <w:rPr>
          <w:rFonts w:hint="eastAsia" w:ascii="Times New Roman" w:hAnsi="Times New Roman" w:eastAsia="仿宋_GB2312" w:cs="Times New Roman"/>
          <w:bCs/>
          <w:sz w:val="32"/>
          <w:lang w:val="en-US" w:eastAsia="zh-CN"/>
        </w:rPr>
        <w:t>届三中全会、省委十二届六次全会、州委十二届五次全会</w:t>
      </w:r>
      <w:r>
        <w:rPr>
          <w:rFonts w:hint="default" w:ascii="Times New Roman" w:hAnsi="Times New Roman" w:eastAsia="仿宋_GB2312" w:cs="Times New Roman"/>
          <w:bCs/>
          <w:sz w:val="32"/>
          <w:lang w:val="en-US" w:eastAsia="zh-CN"/>
        </w:rPr>
        <w:t>精神贯穿到新时代民族宗教工作全过程。</w:t>
      </w:r>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lang w:val="en-US" w:eastAsia="zh-CN"/>
        </w:rPr>
      </w:pPr>
      <w:r>
        <w:rPr>
          <w:rFonts w:hint="default" w:ascii="Times New Roman" w:hAnsi="Times New Roman" w:eastAsia="仿宋_GB2312" w:cs="Times New Roman"/>
          <w:bCs/>
          <w:sz w:val="32"/>
          <w:lang w:val="en-US" w:eastAsia="zh-CN"/>
        </w:rPr>
        <w:t>2.</w:t>
      </w:r>
      <w:r>
        <w:rPr>
          <w:rFonts w:hint="eastAsia" w:ascii="Times New Roman" w:hAnsi="Times New Roman" w:eastAsia="仿宋_GB2312" w:cs="Times New Roman"/>
          <w:bCs/>
          <w:sz w:val="32"/>
          <w:lang w:val="en-US" w:eastAsia="zh-CN"/>
        </w:rPr>
        <w:t>认真抓好</w:t>
      </w:r>
      <w:r>
        <w:rPr>
          <w:rFonts w:hint="default" w:ascii="Times New Roman" w:hAnsi="Times New Roman" w:eastAsia="仿宋_GB2312" w:cs="Times New Roman"/>
          <w:bCs/>
          <w:sz w:val="32"/>
          <w:lang w:val="en-US" w:eastAsia="zh-CN"/>
        </w:rPr>
        <w:t>县委第四轮巡察反馈问题</w:t>
      </w:r>
      <w:r>
        <w:rPr>
          <w:rFonts w:hint="eastAsia" w:ascii="Times New Roman" w:hAnsi="Times New Roman" w:eastAsia="仿宋_GB2312" w:cs="Times New Roman"/>
          <w:bCs/>
          <w:sz w:val="32"/>
          <w:lang w:val="en-US" w:eastAsia="zh-CN"/>
        </w:rPr>
        <w:t>整改，</w:t>
      </w:r>
      <w:r>
        <w:rPr>
          <w:rFonts w:hint="default" w:ascii="Times New Roman" w:hAnsi="Times New Roman" w:eastAsia="仿宋_GB2312" w:cs="Times New Roman"/>
          <w:bCs/>
          <w:sz w:val="32"/>
          <w:lang w:val="en-US" w:eastAsia="zh-CN"/>
        </w:rPr>
        <w:t>坚持问题导向，全面推进整改落实</w:t>
      </w:r>
      <w:r>
        <w:rPr>
          <w:rFonts w:hint="default" w:ascii="Times New Roman" w:hAnsi="Times New Roman" w:eastAsia="仿宋_GB2312" w:cs="Times New Roman"/>
          <w:bCs/>
          <w:sz w:val="32"/>
          <w:lang w:eastAsia="zh-CN"/>
        </w:rPr>
        <w:t>。</w:t>
      </w:r>
      <w:r>
        <w:rPr>
          <w:rFonts w:hint="default" w:ascii="Times New Roman" w:hAnsi="Times New Roman" w:eastAsia="仿宋_GB2312" w:cs="Times New Roman"/>
          <w:bCs/>
          <w:sz w:val="32"/>
          <w:lang w:val="en-US" w:eastAsia="zh-CN"/>
        </w:rPr>
        <w:t>根据十三届金川县委第四轮巡察第三巡察组向县民族宗教局（佛教协会）党组的巡察反馈意见</w:t>
      </w:r>
      <w:r>
        <w:rPr>
          <w:rFonts w:hint="eastAsia" w:ascii="Times New Roman" w:hAnsi="Times New Roman" w:eastAsia="仿宋_GB2312" w:cs="Times New Roman"/>
          <w:bCs/>
          <w:sz w:val="32"/>
          <w:lang w:val="en-US" w:eastAsia="zh-CN"/>
        </w:rPr>
        <w:t>，</w:t>
      </w:r>
      <w:r>
        <w:rPr>
          <w:rFonts w:hint="default" w:ascii="Times New Roman" w:hAnsi="Times New Roman" w:eastAsia="仿宋_GB2312" w:cs="Times New Roman"/>
          <w:bCs/>
          <w:sz w:val="32"/>
          <w:lang w:val="en-US" w:eastAsia="zh-CN"/>
        </w:rPr>
        <w:t>对标对表、强化合力、细化措施，对整改任务进行“挂号”，找准“症结”，坚持阶段整改和长期整改相结合，实时跟进。</w:t>
      </w:r>
      <w:r>
        <w:rPr>
          <w:rFonts w:hint="eastAsia" w:ascii="Times New Roman" w:hAnsi="Times New Roman" w:eastAsia="仿宋_GB2312" w:cs="Times New Roman"/>
          <w:bCs/>
          <w:sz w:val="32"/>
          <w:lang w:val="en-US" w:eastAsia="zh-CN"/>
        </w:rPr>
        <w:t>及时召开问题整改推进会，</w:t>
      </w:r>
      <w:r>
        <w:rPr>
          <w:rFonts w:hint="default" w:ascii="Times New Roman" w:hAnsi="Times New Roman" w:eastAsia="仿宋_GB2312" w:cs="Times New Roman"/>
          <w:bCs/>
          <w:sz w:val="32"/>
          <w:lang w:val="en-US" w:eastAsia="zh-CN"/>
        </w:rPr>
        <w:t>切实做到堵漏洞、补短板、抓提升，推动问题整改见底清零、见到实效。</w:t>
      </w:r>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rPr>
      </w:pPr>
      <w:r>
        <w:rPr>
          <w:rFonts w:hint="default" w:ascii="Times New Roman" w:hAnsi="Times New Roman" w:eastAsia="仿宋_GB2312" w:cs="Times New Roman"/>
          <w:bCs/>
          <w:sz w:val="32"/>
          <w:lang w:val="en-US" w:eastAsia="zh-CN"/>
        </w:rPr>
        <w:t>3.全面提升</w:t>
      </w:r>
      <w:r>
        <w:rPr>
          <w:rFonts w:hint="eastAsia" w:ascii="Times New Roman" w:hAnsi="Times New Roman" w:eastAsia="仿宋_GB2312" w:cs="Times New Roman"/>
          <w:bCs/>
          <w:sz w:val="32"/>
          <w:lang w:val="en-US" w:eastAsia="zh-CN"/>
        </w:rPr>
        <w:t>机关</w:t>
      </w:r>
      <w:r>
        <w:rPr>
          <w:rFonts w:hint="default" w:ascii="Times New Roman" w:hAnsi="Times New Roman" w:eastAsia="仿宋_GB2312" w:cs="Times New Roman"/>
          <w:bCs/>
          <w:sz w:val="32"/>
          <w:lang w:val="en-US" w:eastAsia="zh-CN"/>
        </w:rPr>
        <w:t>党建工作</w:t>
      </w:r>
      <w:r>
        <w:rPr>
          <w:rFonts w:hint="eastAsia" w:ascii="Times New Roman" w:hAnsi="Times New Roman" w:eastAsia="仿宋_GB2312" w:cs="Times New Roman"/>
          <w:bCs/>
          <w:sz w:val="32"/>
          <w:lang w:val="en-US" w:eastAsia="zh-CN"/>
        </w:rPr>
        <w:t>，</w:t>
      </w:r>
      <w:r>
        <w:rPr>
          <w:rFonts w:hint="default" w:ascii="Times New Roman" w:hAnsi="Times New Roman" w:eastAsia="仿宋_GB2312" w:cs="Times New Roman"/>
          <w:bCs/>
          <w:sz w:val="32"/>
          <w:lang w:val="en-US" w:eastAsia="zh-CN"/>
        </w:rPr>
        <w:t>强化政治建设。</w:t>
      </w:r>
      <w:r>
        <w:rPr>
          <w:rFonts w:hint="default" w:ascii="Times New Roman" w:hAnsi="Times New Roman" w:eastAsia="仿宋_GB2312" w:cs="Times New Roman"/>
          <w:bCs/>
          <w:sz w:val="32"/>
        </w:rPr>
        <w:t>以推进学习型党支部建设为抓手，</w:t>
      </w:r>
      <w:r>
        <w:rPr>
          <w:rFonts w:hint="default" w:ascii="Times New Roman" w:hAnsi="Times New Roman" w:eastAsia="仿宋_GB2312" w:cs="Times New Roman"/>
          <w:bCs/>
          <w:sz w:val="32"/>
          <w:lang w:val="en-US" w:eastAsia="zh-CN"/>
        </w:rPr>
        <w:t>通过</w:t>
      </w:r>
      <w:r>
        <w:rPr>
          <w:rFonts w:hint="default" w:ascii="Times New Roman" w:hAnsi="Times New Roman" w:eastAsia="仿宋_GB2312" w:cs="Times New Roman"/>
          <w:bCs/>
          <w:sz w:val="32"/>
        </w:rPr>
        <w:t>集中学习</w:t>
      </w:r>
      <w:r>
        <w:rPr>
          <w:rFonts w:hint="default" w:ascii="Times New Roman" w:hAnsi="Times New Roman" w:eastAsia="仿宋_GB2312" w:cs="Times New Roman"/>
          <w:bCs/>
          <w:sz w:val="32"/>
          <w:lang w:val="en-US" w:eastAsia="zh-CN"/>
        </w:rPr>
        <w:t>+</w:t>
      </w:r>
      <w:r>
        <w:rPr>
          <w:rFonts w:hint="default" w:ascii="Times New Roman" w:hAnsi="Times New Roman" w:eastAsia="仿宋_GB2312" w:cs="Times New Roman"/>
          <w:bCs/>
          <w:sz w:val="32"/>
        </w:rPr>
        <w:t>个人自学</w:t>
      </w:r>
      <w:r>
        <w:rPr>
          <w:rFonts w:hint="default" w:ascii="Times New Roman" w:hAnsi="Times New Roman" w:eastAsia="仿宋_GB2312" w:cs="Times New Roman"/>
          <w:bCs/>
          <w:sz w:val="32"/>
          <w:lang w:val="en-US" w:eastAsia="zh-CN"/>
        </w:rPr>
        <w:t>相</w:t>
      </w:r>
      <w:r>
        <w:rPr>
          <w:rFonts w:hint="default" w:ascii="Times New Roman" w:hAnsi="Times New Roman" w:eastAsia="仿宋_GB2312" w:cs="Times New Roman"/>
          <w:bCs/>
          <w:sz w:val="32"/>
        </w:rPr>
        <w:t>结合</w:t>
      </w:r>
      <w:r>
        <w:rPr>
          <w:rFonts w:hint="default" w:ascii="Times New Roman" w:hAnsi="Times New Roman" w:eastAsia="仿宋_GB2312" w:cs="Times New Roman"/>
          <w:bCs/>
          <w:sz w:val="32"/>
          <w:lang w:eastAsia="zh-CN"/>
        </w:rPr>
        <w:t>，</w:t>
      </w:r>
      <w:r>
        <w:rPr>
          <w:rFonts w:hint="default" w:ascii="Times New Roman" w:hAnsi="Times New Roman" w:eastAsia="仿宋_GB2312" w:cs="Times New Roman"/>
          <w:bCs/>
          <w:sz w:val="32"/>
        </w:rPr>
        <w:t>组织党员干部集中学习《党章》、</w:t>
      </w:r>
      <w:r>
        <w:rPr>
          <w:rFonts w:hint="default" w:ascii="Times New Roman" w:hAnsi="Times New Roman" w:eastAsia="仿宋_GB2312" w:cs="Times New Roman"/>
          <w:bCs/>
          <w:sz w:val="32"/>
          <w:lang w:eastAsia="zh-CN"/>
        </w:rPr>
        <w:t>《中国共产党纪律处分条例》</w:t>
      </w:r>
      <w:r>
        <w:rPr>
          <w:rFonts w:hint="default" w:ascii="Times New Roman" w:hAnsi="Times New Roman" w:eastAsia="仿宋_GB2312" w:cs="Times New Roman"/>
          <w:bCs/>
          <w:sz w:val="32"/>
        </w:rPr>
        <w:t>、《中国共产党党员领导干部廉洁从政若干准则》</w:t>
      </w:r>
      <w:r>
        <w:rPr>
          <w:rFonts w:hint="default" w:ascii="Times New Roman" w:hAnsi="Times New Roman" w:eastAsia="仿宋_GB2312" w:cs="Times New Roman"/>
          <w:bCs/>
          <w:sz w:val="32"/>
          <w:lang w:eastAsia="zh-CN"/>
        </w:rPr>
        <w:t>、</w:t>
      </w:r>
      <w:r>
        <w:rPr>
          <w:rFonts w:hint="eastAsia" w:ascii="Times New Roman" w:hAnsi="Times New Roman" w:eastAsia="仿宋_GB2312" w:cs="Times New Roman"/>
          <w:bCs/>
          <w:sz w:val="32"/>
          <w:lang w:val="en-US" w:eastAsia="zh-CN"/>
        </w:rPr>
        <w:t>党的</w:t>
      </w:r>
      <w:r>
        <w:rPr>
          <w:rFonts w:hint="default" w:ascii="Times New Roman" w:hAnsi="Times New Roman" w:eastAsia="仿宋_GB2312" w:cs="Times New Roman"/>
          <w:bCs/>
          <w:sz w:val="32"/>
          <w:lang w:eastAsia="zh-CN"/>
        </w:rPr>
        <w:t>二十大精神、中央、省、州、</w:t>
      </w:r>
      <w:r>
        <w:rPr>
          <w:rFonts w:hint="default" w:ascii="Times New Roman" w:hAnsi="Times New Roman" w:eastAsia="仿宋_GB2312" w:cs="Times New Roman"/>
          <w:bCs/>
          <w:sz w:val="32"/>
        </w:rPr>
        <w:t>县</w:t>
      </w:r>
      <w:r>
        <w:rPr>
          <w:rFonts w:hint="default" w:ascii="Times New Roman" w:hAnsi="Times New Roman" w:eastAsia="仿宋_GB2312" w:cs="Times New Roman"/>
          <w:bCs/>
          <w:sz w:val="32"/>
          <w:lang w:eastAsia="zh-CN"/>
        </w:rPr>
        <w:t>有关</w:t>
      </w:r>
      <w:r>
        <w:rPr>
          <w:rFonts w:hint="default" w:ascii="Times New Roman" w:hAnsi="Times New Roman" w:eastAsia="仿宋_GB2312" w:cs="Times New Roman"/>
          <w:bCs/>
          <w:sz w:val="32"/>
        </w:rPr>
        <w:t>会议精神等。</w:t>
      </w:r>
      <w:r>
        <w:rPr>
          <w:rFonts w:hint="eastAsia" w:ascii="Times New Roman" w:hAnsi="Times New Roman" w:eastAsia="仿宋_GB2312" w:cs="Times New Roman"/>
          <w:bCs/>
          <w:sz w:val="32"/>
        </w:rPr>
        <w:t>党组集中学习</w:t>
      </w:r>
      <w:r>
        <w:rPr>
          <w:rFonts w:hint="eastAsia" w:ascii="Times New Roman" w:hAnsi="Times New Roman" w:eastAsia="仿宋_GB2312" w:cs="Times New Roman"/>
          <w:bCs/>
          <w:sz w:val="32"/>
          <w:lang w:val="en-US" w:eastAsia="zh-CN"/>
        </w:rPr>
        <w:t>9</w:t>
      </w:r>
      <w:r>
        <w:rPr>
          <w:rFonts w:hint="eastAsia" w:ascii="Times New Roman" w:hAnsi="Times New Roman" w:eastAsia="仿宋_GB2312" w:cs="Times New Roman"/>
          <w:bCs/>
          <w:sz w:val="32"/>
        </w:rPr>
        <w:t>次，党员集中学习</w:t>
      </w:r>
      <w:r>
        <w:rPr>
          <w:rFonts w:hint="eastAsia" w:ascii="Times New Roman" w:hAnsi="Times New Roman" w:eastAsia="仿宋_GB2312" w:cs="Times New Roman"/>
          <w:bCs/>
          <w:sz w:val="32"/>
          <w:lang w:val="en-US" w:eastAsia="zh-CN"/>
        </w:rPr>
        <w:t>10</w:t>
      </w:r>
      <w:r>
        <w:rPr>
          <w:rFonts w:hint="eastAsia" w:ascii="Times New Roman" w:hAnsi="Times New Roman" w:eastAsia="仿宋_GB2312" w:cs="Times New Roman"/>
          <w:bCs/>
          <w:sz w:val="32"/>
        </w:rPr>
        <w:t>次，</w:t>
      </w:r>
      <w:r>
        <w:rPr>
          <w:rFonts w:hint="eastAsia" w:ascii="Times New Roman" w:hAnsi="Times New Roman" w:eastAsia="仿宋_GB2312" w:cs="Times New Roman"/>
          <w:bCs/>
          <w:sz w:val="32"/>
          <w:lang w:eastAsia="zh-CN"/>
        </w:rPr>
        <w:t>党课</w:t>
      </w:r>
      <w:r>
        <w:rPr>
          <w:rFonts w:hint="eastAsia" w:ascii="Times New Roman" w:hAnsi="Times New Roman" w:eastAsia="仿宋_GB2312" w:cs="Times New Roman"/>
          <w:bCs/>
          <w:sz w:val="32"/>
        </w:rPr>
        <w:t>讲座</w:t>
      </w:r>
      <w:r>
        <w:rPr>
          <w:rFonts w:hint="eastAsia" w:ascii="Times New Roman" w:hAnsi="Times New Roman" w:eastAsia="仿宋_GB2312" w:cs="Times New Roman"/>
          <w:bCs/>
          <w:sz w:val="32"/>
          <w:lang w:val="en-US" w:eastAsia="zh-CN"/>
        </w:rPr>
        <w:t>3</w:t>
      </w:r>
      <w:r>
        <w:rPr>
          <w:rFonts w:hint="eastAsia" w:ascii="Times New Roman" w:hAnsi="Times New Roman" w:eastAsia="仿宋_GB2312" w:cs="Times New Roman"/>
          <w:bCs/>
          <w:sz w:val="32"/>
        </w:rPr>
        <w:t>次</w:t>
      </w:r>
      <w:r>
        <w:rPr>
          <w:rFonts w:hint="default" w:ascii="Times New Roman" w:hAnsi="Times New Roman" w:eastAsia="仿宋_GB2312" w:cs="Times New Roman"/>
          <w:bCs/>
          <w:sz w:val="32"/>
        </w:rPr>
        <w:t>，党员的思想政治觉悟和政策理论水平得到全面提高。</w:t>
      </w:r>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lang w:val="en-US" w:eastAsia="zh-CN"/>
        </w:rPr>
      </w:pPr>
      <w:r>
        <w:rPr>
          <w:rFonts w:hint="eastAsia" w:ascii="Times New Roman" w:hAnsi="Times New Roman" w:eastAsia="仿宋_GB2312" w:cs="Times New Roman"/>
          <w:bCs/>
          <w:sz w:val="32"/>
          <w:lang w:val="en-US" w:eastAsia="zh-CN"/>
        </w:rPr>
        <w:t>4.</w:t>
      </w:r>
      <w:r>
        <w:rPr>
          <w:rFonts w:hint="default" w:ascii="Times New Roman" w:hAnsi="Times New Roman" w:eastAsia="仿宋_GB2312" w:cs="Times New Roman"/>
          <w:bCs/>
          <w:sz w:val="32"/>
          <w:lang w:val="en-US" w:eastAsia="zh-CN"/>
        </w:rPr>
        <w:t>加强法治建设，提升民族事务治理能力法治化水平。建立党组理论中心组学习习近平法治思想常态化机制，认真贯彻落实民族政策，加强少数民族流动人口服务与管理工作，保障少数民族流动人口的合法权益。以夯实民族事务为目标，努力提升服务水平，全年共办理民族成分更改</w:t>
      </w:r>
      <w:r>
        <w:rPr>
          <w:rFonts w:hint="eastAsia" w:ascii="Times New Roman" w:hAnsi="Times New Roman" w:eastAsia="仿宋_GB2312" w:cs="Times New Roman"/>
          <w:bCs/>
          <w:sz w:val="32"/>
          <w:lang w:val="en-US" w:eastAsia="zh-CN"/>
        </w:rPr>
        <w:t>7</w:t>
      </w:r>
      <w:r>
        <w:rPr>
          <w:rFonts w:hint="default" w:ascii="Times New Roman" w:hAnsi="Times New Roman" w:eastAsia="仿宋_GB2312" w:cs="Times New Roman"/>
          <w:bCs/>
          <w:sz w:val="32"/>
          <w:lang w:val="en-US" w:eastAsia="zh-CN"/>
        </w:rPr>
        <w:t>人，为</w:t>
      </w:r>
      <w:r>
        <w:rPr>
          <w:rFonts w:hint="eastAsia" w:ascii="Times New Roman" w:hAnsi="Times New Roman" w:eastAsia="仿宋_GB2312" w:cs="Times New Roman"/>
          <w:bCs/>
          <w:sz w:val="32"/>
          <w:lang w:val="en-US" w:eastAsia="zh-CN"/>
        </w:rPr>
        <w:t>383</w:t>
      </w:r>
      <w:r>
        <w:rPr>
          <w:rFonts w:hint="default" w:ascii="Times New Roman" w:hAnsi="Times New Roman" w:eastAsia="仿宋_GB2312" w:cs="Times New Roman"/>
          <w:bCs/>
          <w:sz w:val="32"/>
          <w:lang w:val="en-US" w:eastAsia="zh-CN"/>
        </w:rPr>
        <w:t>名高考考生提供民族成分确认。</w:t>
      </w:r>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lang w:val="en-US" w:eastAsia="zh-CN"/>
        </w:rPr>
      </w:pPr>
      <w:r>
        <w:rPr>
          <w:rFonts w:hint="eastAsia" w:ascii="Times New Roman" w:hAnsi="Times New Roman" w:eastAsia="仿宋_GB2312" w:cs="Times New Roman"/>
          <w:bCs/>
          <w:sz w:val="32"/>
          <w:lang w:val="en-US" w:eastAsia="zh-CN"/>
        </w:rPr>
        <w:t>5.</w:t>
      </w:r>
      <w:r>
        <w:rPr>
          <w:rFonts w:hint="default" w:ascii="Times New Roman" w:hAnsi="Times New Roman" w:eastAsia="仿宋_GB2312" w:cs="Times New Roman"/>
          <w:bCs/>
          <w:sz w:val="32"/>
          <w:lang w:val="en-US" w:eastAsia="zh-CN"/>
        </w:rPr>
        <w:t>以铸牢中华民族共同体意识为主线，全面推进民族团结进步示范创建工作。</w:t>
      </w:r>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lang w:val="en-US" w:eastAsia="zh-CN"/>
        </w:rPr>
      </w:pPr>
      <w:r>
        <w:rPr>
          <w:rFonts w:hint="default" w:ascii="Times New Roman" w:hAnsi="Times New Roman" w:eastAsia="仿宋_GB2312" w:cs="Times New Roman"/>
          <w:bCs/>
          <w:sz w:val="32"/>
          <w:lang w:val="en-US" w:eastAsia="zh-CN"/>
        </w:rPr>
        <w:t>明确政治方向，坚持党的领导。紧紧围绕阿坝州新一轮创建全国民族团结进步示范州和金川县创建全国民族团结进步示范县工作方案，对照目标任务，有力有序开展民族团结进步创建工作。</w:t>
      </w:r>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lang w:val="en-US" w:eastAsia="zh-CN"/>
        </w:rPr>
      </w:pPr>
      <w:r>
        <w:rPr>
          <w:rFonts w:hint="default" w:ascii="Times New Roman" w:hAnsi="Times New Roman" w:eastAsia="仿宋_GB2312" w:cs="Times New Roman"/>
          <w:bCs/>
          <w:sz w:val="32"/>
          <w:lang w:val="en-US" w:eastAsia="zh-CN"/>
        </w:rPr>
        <w:t>发挥示范引领，展示创建成效。一是切实将“铸牢中华民族共同体意识”纳入党校授课计划，在县委党校讲授“铸牢中华民族共同体意识”相关知识2场次</w:t>
      </w:r>
      <w:r>
        <w:rPr>
          <w:rFonts w:hint="eastAsia" w:ascii="Times New Roman" w:hAnsi="Times New Roman" w:eastAsia="仿宋_GB2312" w:cs="Times New Roman"/>
          <w:bCs/>
          <w:sz w:val="32"/>
          <w:lang w:val="en-US" w:eastAsia="zh-CN"/>
        </w:rPr>
        <w:t>。</w:t>
      </w:r>
      <w:r>
        <w:rPr>
          <w:rFonts w:hint="default" w:ascii="Times New Roman" w:hAnsi="Times New Roman" w:eastAsia="仿宋_GB2312" w:cs="Times New Roman"/>
          <w:bCs/>
          <w:sz w:val="32"/>
          <w:lang w:val="en-US" w:eastAsia="zh-CN"/>
        </w:rPr>
        <w:t>进一步完善新一轮创建全国民族团结进步示范州档案资料。7月2日，与西南财经大学在成都举行四川省铸牢中华民族共同体意识研究基地金川县工作站揭牌仪式；二是按照“十二有”标准，</w:t>
      </w:r>
      <w:r>
        <w:rPr>
          <w:rFonts w:hint="eastAsia" w:ascii="Times New Roman" w:hAnsi="Times New Roman" w:eastAsia="仿宋_GB2312" w:cs="Times New Roman"/>
          <w:bCs/>
          <w:sz w:val="32"/>
          <w:lang w:val="en-US" w:eastAsia="zh-CN"/>
        </w:rPr>
        <w:t>结合州</w:t>
      </w:r>
      <w:r>
        <w:rPr>
          <w:rFonts w:hint="default" w:ascii="Times New Roman" w:hAnsi="Times New Roman" w:eastAsia="仿宋_GB2312" w:cs="Times New Roman"/>
          <w:bCs/>
          <w:sz w:val="32"/>
          <w:lang w:val="en-US" w:eastAsia="zh-CN"/>
        </w:rPr>
        <w:t>调研检查</w:t>
      </w:r>
      <w:r>
        <w:rPr>
          <w:rFonts w:hint="eastAsia" w:ascii="Times New Roman" w:hAnsi="Times New Roman" w:eastAsia="仿宋_GB2312" w:cs="Times New Roman"/>
          <w:bCs/>
          <w:sz w:val="32"/>
          <w:lang w:val="en-US" w:eastAsia="zh-CN"/>
        </w:rPr>
        <w:t>组反馈问题，</w:t>
      </w:r>
      <w:r>
        <w:rPr>
          <w:rFonts w:hint="default" w:ascii="Times New Roman" w:hAnsi="Times New Roman" w:eastAsia="仿宋_GB2312" w:cs="Times New Roman"/>
          <w:bCs/>
          <w:sz w:val="32"/>
          <w:lang w:val="en-US" w:eastAsia="zh-CN"/>
        </w:rPr>
        <w:t>及时查缺补漏，推动我县民族团结进步创建工作有序开展。三是制</w:t>
      </w:r>
      <w:r>
        <w:rPr>
          <w:rFonts w:hint="eastAsia" w:ascii="Times New Roman" w:hAnsi="Times New Roman" w:eastAsia="仿宋_GB2312" w:cs="Times New Roman"/>
          <w:bCs/>
          <w:sz w:val="32"/>
          <w:lang w:val="en-US" w:eastAsia="zh-CN"/>
        </w:rPr>
        <w:t>作</w:t>
      </w:r>
      <w:r>
        <w:rPr>
          <w:rFonts w:hint="default" w:ascii="Times New Roman" w:hAnsi="Times New Roman" w:eastAsia="仿宋_GB2312" w:cs="Times New Roman"/>
          <w:bCs/>
          <w:sz w:val="32"/>
          <w:lang w:val="en-US" w:eastAsia="zh-CN"/>
        </w:rPr>
        <w:t>金川县民族团结进步宣传画册，制作宣传折页1000余份</w:t>
      </w:r>
      <w:r>
        <w:rPr>
          <w:rFonts w:hint="eastAsia" w:ascii="Times New Roman" w:hAnsi="Times New Roman" w:eastAsia="仿宋_GB2312" w:cs="Times New Roman"/>
          <w:bCs/>
          <w:sz w:val="32"/>
          <w:lang w:val="en-US" w:eastAsia="zh-CN"/>
        </w:rPr>
        <w:t>，编制《四川省民族团结进步创建工作经验交流集》，</w:t>
      </w:r>
      <w:r>
        <w:rPr>
          <w:rFonts w:hint="default" w:ascii="Times New Roman" w:hAnsi="Times New Roman" w:eastAsia="仿宋_GB2312" w:cs="Times New Roman"/>
          <w:bCs/>
          <w:sz w:val="32"/>
          <w:lang w:val="en-US" w:eastAsia="zh-CN"/>
        </w:rPr>
        <w:t>印发了《关于进一步加强铸牢中华民族共同体意识宣传教育工作的通知》《金川县关于阿坝州创建全国铸牢中华民族共同体意识示范州工作方案》《</w:t>
      </w:r>
      <w:r>
        <w:rPr>
          <w:rFonts w:hint="eastAsia" w:ascii="Times New Roman" w:hAnsi="Times New Roman" w:eastAsia="仿宋_GB2312" w:cs="Times New Roman"/>
          <w:bCs/>
          <w:sz w:val="32"/>
          <w:lang w:val="en-US" w:eastAsia="zh-CN"/>
        </w:rPr>
        <w:t>金川县关于</w:t>
      </w:r>
      <w:r>
        <w:rPr>
          <w:rFonts w:hint="default" w:ascii="Times New Roman" w:hAnsi="Times New Roman" w:eastAsia="仿宋_GB2312" w:cs="Times New Roman"/>
          <w:bCs/>
          <w:sz w:val="32"/>
          <w:lang w:val="en-US" w:eastAsia="zh-CN"/>
        </w:rPr>
        <w:t>阿坝州新一轮创建全国民族团结进步示范州工作方案》《2024年金川县"三项计划"工作方案》，进一步明确责任分工，推动我县民族工作有序开展。</w:t>
      </w:r>
    </w:p>
    <w:p>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bCs/>
          <w:sz w:val="32"/>
          <w:lang w:val="en-US" w:eastAsia="zh-CN"/>
        </w:rPr>
      </w:pPr>
      <w:r>
        <w:rPr>
          <w:rFonts w:hint="default" w:ascii="Times New Roman" w:hAnsi="Times New Roman" w:eastAsia="仿宋_GB2312" w:cs="Times New Roman"/>
          <w:bCs/>
          <w:sz w:val="32"/>
          <w:lang w:val="en-US" w:eastAsia="zh-CN"/>
        </w:rPr>
        <w:t>实施“三项计划”，促进民族“三交”。制定《2024年金川县"三项计划"工作方案》，多渠道开展各族青少年交流计划，积极推动各族群众互嵌式发展计划，争取</w:t>
      </w:r>
      <w:r>
        <w:rPr>
          <w:rFonts w:hint="eastAsia" w:ascii="Times New Roman" w:hAnsi="Times New Roman" w:eastAsia="仿宋_GB2312" w:cs="Times New Roman"/>
          <w:bCs/>
          <w:sz w:val="32"/>
          <w:lang w:val="en-US" w:eastAsia="zh-CN"/>
        </w:rPr>
        <w:t>浙江援助</w:t>
      </w:r>
      <w:r>
        <w:rPr>
          <w:rFonts w:hint="default" w:ascii="Times New Roman" w:hAnsi="Times New Roman" w:eastAsia="仿宋_GB2312" w:cs="Times New Roman"/>
          <w:bCs/>
          <w:sz w:val="32"/>
          <w:lang w:val="en-US" w:eastAsia="zh-CN"/>
        </w:rPr>
        <w:t>资金50万元，组织46名金川籍各族青少年</w:t>
      </w:r>
      <w:r>
        <w:rPr>
          <w:rFonts w:hint="eastAsia" w:ascii="Times New Roman" w:hAnsi="Times New Roman" w:eastAsia="仿宋_GB2312" w:cs="Times New Roman"/>
          <w:bCs/>
          <w:sz w:val="32"/>
          <w:lang w:val="en-US" w:eastAsia="zh-CN"/>
        </w:rPr>
        <w:t>赴</w:t>
      </w:r>
      <w:r>
        <w:rPr>
          <w:rFonts w:hint="default" w:ascii="Times New Roman" w:hAnsi="Times New Roman" w:eastAsia="仿宋_GB2312" w:cs="Times New Roman"/>
          <w:bCs/>
          <w:sz w:val="32"/>
          <w:lang w:val="en-US" w:eastAsia="zh-CN"/>
        </w:rPr>
        <w:t>浙江安吉等地开展为期9天的以“石榴籽一家亲”为主题研学的夏令营活动。</w:t>
      </w:r>
    </w:p>
    <w:p>
      <w:pPr>
        <w:numPr>
          <w:numId w:val="0"/>
        </w:numPr>
        <w:rPr>
          <w:rFonts w:hint="eastAsia"/>
          <w:lang w:eastAsia="zh-CN"/>
        </w:rPr>
      </w:pPr>
      <w:r>
        <w:rPr>
          <w:rFonts w:hint="eastAsia" w:ascii="Times New Roman" w:hAnsi="Times New Roman" w:eastAsia="仿宋_GB2312" w:cs="Times New Roman"/>
          <w:bCs/>
          <w:sz w:val="32"/>
          <w:lang w:val="en-US" w:eastAsia="zh-CN"/>
        </w:rPr>
        <w:t>6.</w:t>
      </w:r>
      <w:r>
        <w:rPr>
          <w:rFonts w:hint="eastAsia" w:ascii="Times New Roman" w:hAnsi="Times New Roman" w:eastAsia="仿宋_GB2312" w:cs="Times New Roman"/>
          <w:bCs/>
          <w:sz w:val="32"/>
          <w:lang w:eastAsia="zh-CN"/>
        </w:rPr>
        <w:t>以</w:t>
      </w:r>
      <w:r>
        <w:rPr>
          <w:rFonts w:hint="eastAsia" w:ascii="Times New Roman" w:hAnsi="Times New Roman" w:eastAsia="仿宋_GB2312" w:cs="Times New Roman"/>
          <w:bCs/>
          <w:sz w:val="32"/>
          <w:lang w:val="en-US" w:eastAsia="zh-CN"/>
        </w:rPr>
        <w:t>两资项目推进为重点，</w:t>
      </w:r>
      <w:r>
        <w:rPr>
          <w:rFonts w:hint="default" w:ascii="Times New Roman" w:hAnsi="Times New Roman" w:eastAsia="仿宋_GB2312" w:cs="Times New Roman"/>
          <w:bCs/>
          <w:sz w:val="32"/>
          <w:lang w:val="en-US" w:eastAsia="zh-CN"/>
        </w:rPr>
        <w:t>积极争取民族类资金，扎实推进</w:t>
      </w:r>
      <w:r>
        <w:rPr>
          <w:rFonts w:hint="eastAsia" w:ascii="Times New Roman" w:hAnsi="Times New Roman" w:eastAsia="仿宋_GB2312" w:cs="Times New Roman"/>
          <w:bCs/>
          <w:sz w:val="32"/>
          <w:lang w:val="en-US" w:eastAsia="zh-CN"/>
        </w:rPr>
        <w:t>四川民族村寨</w:t>
      </w:r>
      <w:r>
        <w:rPr>
          <w:rFonts w:hint="default" w:ascii="Times New Roman" w:hAnsi="Times New Roman" w:eastAsia="仿宋_GB2312" w:cs="Times New Roman"/>
          <w:bCs/>
          <w:sz w:val="32"/>
          <w:lang w:val="en-US" w:eastAsia="zh-CN"/>
        </w:rPr>
        <w:t>等</w:t>
      </w:r>
      <w:r>
        <w:rPr>
          <w:rFonts w:hint="default" w:ascii="Times New Roman" w:hAnsi="Times New Roman" w:eastAsia="仿宋_GB2312" w:cs="Times New Roman"/>
          <w:bCs/>
          <w:sz w:val="32"/>
          <w:lang w:eastAsia="zh-CN"/>
        </w:rPr>
        <w:t>项目</w:t>
      </w:r>
      <w:r>
        <w:rPr>
          <w:rFonts w:hint="default" w:ascii="Times New Roman" w:hAnsi="Times New Roman" w:eastAsia="仿宋_GB2312" w:cs="Times New Roman"/>
          <w:bCs/>
          <w:sz w:val="32"/>
          <w:lang w:val="en-US" w:eastAsia="zh-CN"/>
        </w:rPr>
        <w:t>建设。</w:t>
      </w:r>
      <w:r>
        <w:rPr>
          <w:rFonts w:hint="eastAsia" w:ascii="Times New Roman" w:hAnsi="Times New Roman" w:eastAsia="仿宋_GB2312" w:cs="Times New Roman"/>
          <w:bCs/>
          <w:sz w:val="32"/>
          <w:lang w:val="en-US" w:eastAsia="zh-CN"/>
        </w:rPr>
        <w:t>2024年共争取民族类资金1128万元，其中民族地区开发资金725万元，财政衔接乡村振兴补助资金（少数民族发展任务）403万元。向省州争取四川省民族团结进步示范村和四川省民族村寨项目。截止目前已争取2025年安宁镇八角碉村四川民族村寨项目资金500万元；抓好跨年项目推进工作，确保</w:t>
      </w:r>
      <w:r>
        <w:rPr>
          <w:rFonts w:hint="default" w:ascii="Times New Roman" w:hAnsi="Times New Roman" w:eastAsia="仿宋_GB2312" w:cs="Times New Roman"/>
          <w:bCs/>
          <w:sz w:val="32"/>
          <w:lang w:val="en-US" w:eastAsia="zh-CN"/>
        </w:rPr>
        <w:t>拉脚乡二普鲁村旅游基础设施项目</w:t>
      </w:r>
      <w:r>
        <w:rPr>
          <w:rFonts w:hint="eastAsia" w:ascii="Times New Roman" w:hAnsi="Times New Roman" w:eastAsia="仿宋_GB2312" w:cs="Times New Roman"/>
          <w:bCs/>
          <w:sz w:val="32"/>
          <w:lang w:val="en-US" w:eastAsia="zh-CN"/>
        </w:rPr>
        <w:t>按时完工验收，做好2024年民族开发资金前期工作。积极与财政、科农畜局等部</w:t>
      </w:r>
      <w:r>
        <w:rPr>
          <w:rFonts w:hint="default" w:ascii="Times New Roman" w:hAnsi="Times New Roman" w:eastAsia="仿宋_GB2312" w:cs="Times New Roman"/>
          <w:bCs/>
          <w:sz w:val="32"/>
          <w:lang w:val="en-US" w:eastAsia="zh-CN"/>
        </w:rPr>
        <w:t>沟通协调，</w:t>
      </w:r>
      <w:r>
        <w:rPr>
          <w:rFonts w:hint="eastAsia" w:ascii="Times New Roman" w:hAnsi="Times New Roman" w:eastAsia="仿宋_GB2312" w:cs="Times New Roman"/>
          <w:bCs/>
          <w:sz w:val="32"/>
          <w:lang w:val="en-US" w:eastAsia="zh-CN"/>
        </w:rPr>
        <w:t>尽快安排统筹整合使用部分资金，按计划推进非统筹整合项目的落地实施。</w:t>
      </w:r>
    </w:p>
    <w:p>
      <w:pPr>
        <w:pStyle w:val="4"/>
        <w:ind w:firstLine="640" w:firstLineChars="200"/>
        <w:rPr>
          <w:rStyle w:val="30"/>
          <w:rFonts w:ascii="Times New Roman" w:hAnsi="Times New Roman"/>
          <w:b w:val="0"/>
          <w:bCs w:val="0"/>
          <w:color w:val="auto"/>
          <w:highlight w:val="none"/>
        </w:rPr>
      </w:pPr>
      <w:bookmarkStart w:id="51" w:name="_Toc15377200"/>
      <w:bookmarkStart w:id="52" w:name="_Toc15396601"/>
      <w:bookmarkStart w:id="53" w:name="_Toc8819_WPSOffice_Level2"/>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51"/>
      <w:bookmarkEnd w:id="52"/>
      <w:bookmarkEnd w:id="53"/>
    </w:p>
    <w:p>
      <w:pPr>
        <w:pageBreakBefore w:val="0"/>
        <w:widowControl w:val="0"/>
        <w:kinsoku/>
        <w:wordWrap/>
        <w:overflowPunct/>
        <w:topLinePunct w:val="0"/>
        <w:bidi w:val="0"/>
        <w:spacing w:line="576" w:lineRule="exact"/>
        <w:ind w:firstLine="640" w:firstLineChars="200"/>
        <w:rPr>
          <w:rFonts w:ascii="Times New Roman" w:hAnsi="Times New Roman" w:eastAsia="仿宋" w:cs="Times New Roman"/>
          <w:sz w:val="32"/>
          <w:szCs w:val="32"/>
          <w:lang w:val="en-US" w:eastAsia="zh-CN"/>
        </w:rPr>
      </w:pPr>
      <w:r>
        <w:rPr>
          <w:rFonts w:ascii="仿宋_GB2312" w:eastAsia="仿宋_GB2312"/>
          <w:sz w:val="32"/>
          <w:szCs w:val="32"/>
        </w:rPr>
        <w:t>我</w:t>
      </w:r>
      <w:r>
        <w:rPr>
          <w:rFonts w:hint="eastAsia" w:ascii="仿宋_GB2312" w:eastAsia="仿宋_GB2312"/>
          <w:sz w:val="32"/>
          <w:szCs w:val="32"/>
        </w:rPr>
        <w:t>单位202</w:t>
      </w:r>
      <w:r>
        <w:rPr>
          <w:rFonts w:hint="eastAsia" w:ascii="仿宋_GB2312" w:eastAsia="仿宋_GB2312"/>
          <w:sz w:val="32"/>
          <w:szCs w:val="32"/>
          <w:lang w:val="en-US" w:eastAsia="zh-CN"/>
        </w:rPr>
        <w:t>4</w:t>
      </w:r>
      <w:r>
        <w:rPr>
          <w:rFonts w:ascii="仿宋_GB2312" w:eastAsia="仿宋_GB2312"/>
          <w:sz w:val="32"/>
          <w:szCs w:val="32"/>
        </w:rPr>
        <w:t>年有</w:t>
      </w:r>
      <w:r>
        <w:rPr>
          <w:rFonts w:hint="eastAsia" w:ascii="仿宋_GB2312" w:eastAsia="仿宋_GB2312"/>
          <w:sz w:val="32"/>
          <w:szCs w:val="32"/>
          <w:lang w:val="en-US" w:eastAsia="zh-CN"/>
        </w:rPr>
        <w:t>2</w:t>
      </w:r>
      <w:r>
        <w:rPr>
          <w:rFonts w:ascii="仿宋_GB2312" w:eastAsia="仿宋_GB2312"/>
          <w:sz w:val="32"/>
          <w:szCs w:val="32"/>
        </w:rPr>
        <w:t>个</w:t>
      </w:r>
      <w:r>
        <w:rPr>
          <w:rFonts w:hint="eastAsia" w:ascii="仿宋_GB2312" w:eastAsia="仿宋_GB2312"/>
          <w:sz w:val="32"/>
          <w:szCs w:val="32"/>
        </w:rPr>
        <w:t>独立核算</w:t>
      </w:r>
      <w:r>
        <w:rPr>
          <w:rFonts w:ascii="仿宋_GB2312" w:eastAsia="仿宋_GB2312"/>
          <w:sz w:val="32"/>
          <w:szCs w:val="32"/>
        </w:rPr>
        <w:t>机构，</w:t>
      </w:r>
      <w:r>
        <w:rPr>
          <w:rFonts w:hint="eastAsia" w:ascii="仿宋_GB2312" w:eastAsia="仿宋_GB2312"/>
          <w:sz w:val="32"/>
          <w:szCs w:val="32"/>
        </w:rPr>
        <w:t>与</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年比较</w:t>
      </w:r>
      <w:r>
        <w:rPr>
          <w:rFonts w:hint="eastAsia" w:ascii="仿宋_GB2312" w:eastAsia="仿宋_GB2312"/>
          <w:sz w:val="32"/>
          <w:szCs w:val="32"/>
          <w:lang w:val="en-US" w:eastAsia="zh-CN"/>
        </w:rPr>
        <w:t>减少1个</w:t>
      </w:r>
      <w:r>
        <w:rPr>
          <w:rFonts w:hint="eastAsia" w:ascii="仿宋_GB2312" w:eastAsia="仿宋_GB2312"/>
          <w:sz w:val="32"/>
          <w:szCs w:val="32"/>
        </w:rPr>
        <w:t>独立核算</w:t>
      </w:r>
      <w:r>
        <w:rPr>
          <w:rFonts w:ascii="仿宋_GB2312" w:eastAsia="仿宋_GB2312"/>
          <w:sz w:val="32"/>
          <w:szCs w:val="32"/>
        </w:rPr>
        <w:t>机构</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年独立核算机构为</w:t>
      </w:r>
      <w:r>
        <w:rPr>
          <w:rFonts w:hint="eastAsia" w:ascii="仿宋_GB2312" w:eastAsia="仿宋_GB2312"/>
          <w:sz w:val="32"/>
          <w:szCs w:val="32"/>
          <w:lang w:val="en-US" w:eastAsia="zh-CN"/>
        </w:rPr>
        <w:t>3</w:t>
      </w:r>
      <w:r>
        <w:rPr>
          <w:rFonts w:hint="eastAsia" w:ascii="仿宋_GB2312" w:eastAsia="仿宋_GB2312"/>
          <w:sz w:val="32"/>
          <w:szCs w:val="32"/>
        </w:rPr>
        <w:t>个，</w:t>
      </w:r>
      <w:r>
        <w:rPr>
          <w:rFonts w:hint="eastAsia" w:ascii="仿宋_GB2312" w:eastAsia="仿宋_GB2312"/>
          <w:sz w:val="32"/>
          <w:szCs w:val="32"/>
          <w:lang w:val="en-US" w:eastAsia="zh-CN"/>
        </w:rPr>
        <w:t>原因是2024年金川县佛教协会和金川县佛教教规教义培训中心财务分开独立减少，新增1个金川县民族团结服务中心</w:t>
      </w:r>
      <w:r>
        <w:rPr>
          <w:rFonts w:hint="eastAsia" w:ascii="仿宋_GB2312" w:eastAsia="仿宋_GB2312"/>
          <w:sz w:val="32"/>
          <w:szCs w:val="32"/>
        </w:rPr>
        <w:t>独立核算</w:t>
      </w:r>
      <w:r>
        <w:rPr>
          <w:rFonts w:ascii="仿宋_GB2312" w:eastAsia="仿宋_GB2312"/>
          <w:sz w:val="32"/>
          <w:szCs w:val="32"/>
        </w:rPr>
        <w:t>机构</w:t>
      </w:r>
      <w:r>
        <w:rPr>
          <w:rFonts w:hint="eastAsia" w:ascii="仿宋_GB2312" w:eastAsia="仿宋_GB2312"/>
          <w:sz w:val="32"/>
          <w:szCs w:val="32"/>
          <w:lang w:eastAsia="zh-CN"/>
        </w:rPr>
        <w:t>。</w:t>
      </w:r>
      <w:r>
        <w:rPr>
          <w:rFonts w:ascii="仿宋_GB2312" w:eastAsia="仿宋_GB2312"/>
          <w:sz w:val="32"/>
          <w:szCs w:val="32"/>
        </w:rPr>
        <w:t>本年由编办核定编制为</w:t>
      </w:r>
      <w:r>
        <w:rPr>
          <w:rFonts w:hint="eastAsia" w:ascii="仿宋_GB2312" w:eastAsia="仿宋_GB2312"/>
          <w:sz w:val="32"/>
          <w:szCs w:val="32"/>
          <w:lang w:val="en-US" w:eastAsia="zh-CN"/>
        </w:rPr>
        <w:t>15</w:t>
      </w:r>
      <w:r>
        <w:rPr>
          <w:rFonts w:ascii="仿宋_GB2312" w:eastAsia="仿宋_GB2312"/>
          <w:sz w:val="32"/>
          <w:szCs w:val="32"/>
        </w:rPr>
        <w:t>个</w:t>
      </w:r>
      <w:r>
        <w:rPr>
          <w:rFonts w:hint="eastAsia" w:ascii="仿宋_GB2312" w:eastAsia="仿宋_GB2312"/>
          <w:sz w:val="32"/>
          <w:szCs w:val="32"/>
        </w:rPr>
        <w:t>。</w:t>
      </w:r>
      <w:r>
        <w:rPr>
          <w:rFonts w:ascii="仿宋_GB2312" w:eastAsia="仿宋_GB2312"/>
          <w:sz w:val="32"/>
          <w:szCs w:val="32"/>
        </w:rPr>
        <w:t>年末实际在职</w:t>
      </w:r>
      <w:r>
        <w:rPr>
          <w:rFonts w:hint="eastAsia" w:ascii="仿宋_GB2312" w:eastAsia="仿宋_GB2312"/>
          <w:sz w:val="32"/>
          <w:szCs w:val="32"/>
        </w:rPr>
        <w:t>在岗人员</w:t>
      </w:r>
      <w:r>
        <w:rPr>
          <w:rFonts w:hint="eastAsia" w:ascii="仿宋_GB2312" w:eastAsia="仿宋_GB2312"/>
          <w:sz w:val="32"/>
          <w:szCs w:val="32"/>
          <w:lang w:val="en-US" w:eastAsia="zh-CN"/>
        </w:rPr>
        <w:t>14</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rPr>
        <w:t>与</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年比较</w:t>
      </w:r>
      <w:r>
        <w:rPr>
          <w:rFonts w:hint="eastAsia" w:ascii="仿宋_GB2312" w:eastAsia="仿宋_GB2312"/>
          <w:sz w:val="32"/>
          <w:szCs w:val="32"/>
          <w:lang w:val="en-US" w:eastAsia="zh-CN"/>
        </w:rPr>
        <w:t>减少6人</w:t>
      </w:r>
      <w:r>
        <w:rPr>
          <w:rFonts w:hint="eastAsia" w:ascii="仿宋_GB2312" w:eastAsia="仿宋_GB2312"/>
          <w:sz w:val="32"/>
          <w:szCs w:val="32"/>
        </w:rPr>
        <w:t>。</w:t>
      </w:r>
    </w:p>
    <w:p>
      <w:pPr>
        <w:widowControl/>
        <w:jc w:val="left"/>
        <w:rPr>
          <w:rFonts w:ascii="Times New Roman" w:hAnsi="Times New Roman" w:eastAsia="仿宋"/>
          <w:color w:val="auto"/>
          <w:kern w:val="0"/>
          <w:sz w:val="32"/>
          <w:szCs w:val="32"/>
          <w:highlight w:val="none"/>
        </w:rPr>
      </w:pPr>
      <w:r>
        <w:rPr>
          <w:rFonts w:hint="eastAsia" w:eastAsia="仿宋_GB2312" w:cs="Times New Roman"/>
          <w:bCs/>
          <w:kern w:val="0"/>
          <w:sz w:val="32"/>
          <w:szCs w:val="32"/>
          <w:shd w:val="clear" w:color="auto" w:fill="FFFFFF"/>
          <w:lang w:val="zh-CN"/>
        </w:rPr>
        <w:t>县</w:t>
      </w:r>
      <w:r>
        <w:rPr>
          <w:rFonts w:ascii="Times New Roman" w:hAnsi="Times New Roman" w:eastAsia="仿宋_GB2312" w:cs="Times New Roman"/>
          <w:bCs/>
          <w:kern w:val="0"/>
          <w:sz w:val="32"/>
          <w:szCs w:val="32"/>
          <w:shd w:val="clear" w:color="auto" w:fill="FFFFFF"/>
          <w:lang w:val="zh-CN" w:eastAsia="zh-CN"/>
        </w:rPr>
        <w:t>委编办</w:t>
      </w:r>
      <w:r>
        <w:rPr>
          <w:rFonts w:ascii="Times New Roman" w:hAnsi="Times New Roman" w:eastAsia="仿宋_GB2312" w:cs="Times New Roman"/>
          <w:bCs/>
          <w:kern w:val="0"/>
          <w:sz w:val="32"/>
          <w:szCs w:val="32"/>
          <w:shd w:val="clear" w:color="auto" w:fill="FFFFFF"/>
          <w:lang w:val="zh-CN"/>
        </w:rPr>
        <w:t>核定我</w:t>
      </w:r>
      <w:r>
        <w:rPr>
          <w:rFonts w:ascii="Times New Roman" w:hAnsi="Times New Roman" w:eastAsia="仿宋_GB2312" w:cs="Times New Roman"/>
          <w:bCs/>
          <w:kern w:val="0"/>
          <w:sz w:val="32"/>
          <w:szCs w:val="32"/>
          <w:shd w:val="clear" w:color="auto" w:fill="FFFFFF"/>
          <w:lang w:val="zh-CN" w:eastAsia="zh-CN"/>
        </w:rPr>
        <w:t>办</w:t>
      </w:r>
      <w:r>
        <w:rPr>
          <w:rFonts w:ascii="Times New Roman" w:hAnsi="Times New Roman" w:eastAsia="仿宋_GB2312" w:cs="Times New Roman"/>
          <w:bCs/>
          <w:kern w:val="0"/>
          <w:sz w:val="32"/>
          <w:szCs w:val="32"/>
          <w:shd w:val="clear" w:color="auto" w:fill="FFFFFF"/>
          <w:lang w:val="zh-CN"/>
        </w:rPr>
        <w:t>人员编制</w:t>
      </w:r>
      <w:r>
        <w:rPr>
          <w:rFonts w:hint="eastAsia" w:eastAsia="仿宋_GB2312" w:cs="Times New Roman"/>
          <w:bCs/>
          <w:kern w:val="0"/>
          <w:sz w:val="32"/>
          <w:szCs w:val="32"/>
          <w:shd w:val="clear" w:color="auto" w:fill="FFFFFF"/>
          <w:lang w:val="en-US" w:eastAsia="zh-CN"/>
        </w:rPr>
        <w:t>15</w:t>
      </w:r>
      <w:r>
        <w:rPr>
          <w:rFonts w:ascii="Times New Roman" w:hAnsi="Times New Roman" w:eastAsia="仿宋_GB2312" w:cs="Times New Roman"/>
          <w:bCs/>
          <w:kern w:val="0"/>
          <w:sz w:val="32"/>
          <w:szCs w:val="32"/>
          <w:shd w:val="clear" w:color="auto" w:fill="FFFFFF"/>
          <w:lang w:val="zh-CN"/>
        </w:rPr>
        <w:t>名，其中：公务员编制</w:t>
      </w:r>
      <w:r>
        <w:rPr>
          <w:rFonts w:hint="eastAsia" w:eastAsia="仿宋_GB2312" w:cs="Times New Roman"/>
          <w:bCs/>
          <w:kern w:val="0"/>
          <w:sz w:val="32"/>
          <w:szCs w:val="32"/>
          <w:shd w:val="clear" w:color="auto" w:fill="FFFFFF"/>
          <w:lang w:val="en-US" w:eastAsia="zh-CN"/>
        </w:rPr>
        <w:t>13</w:t>
      </w:r>
      <w:r>
        <w:rPr>
          <w:rFonts w:ascii="Times New Roman" w:hAnsi="Times New Roman" w:eastAsia="仿宋_GB2312" w:cs="Times New Roman"/>
          <w:bCs/>
          <w:kern w:val="0"/>
          <w:sz w:val="32"/>
          <w:szCs w:val="32"/>
          <w:shd w:val="clear" w:color="auto" w:fill="FFFFFF"/>
          <w:lang w:val="zh-CN"/>
        </w:rPr>
        <w:t>名，机关工勤编制</w:t>
      </w:r>
      <w:r>
        <w:rPr>
          <w:rFonts w:hint="eastAsia" w:ascii="Times New Roman" w:hAnsi="Times New Roman" w:eastAsia="仿宋_GB2312" w:cs="Times New Roman"/>
          <w:bCs/>
          <w:kern w:val="0"/>
          <w:sz w:val="32"/>
          <w:szCs w:val="32"/>
          <w:shd w:val="clear" w:color="auto" w:fill="FFFFFF"/>
          <w:lang w:val="en-US" w:eastAsia="zh-CN"/>
        </w:rPr>
        <w:t>1</w:t>
      </w:r>
      <w:r>
        <w:rPr>
          <w:rFonts w:ascii="Times New Roman" w:hAnsi="Times New Roman" w:eastAsia="仿宋_GB2312" w:cs="Times New Roman"/>
          <w:bCs/>
          <w:kern w:val="0"/>
          <w:sz w:val="32"/>
          <w:szCs w:val="32"/>
          <w:shd w:val="clear" w:color="auto" w:fill="FFFFFF"/>
          <w:lang w:val="zh-CN"/>
        </w:rPr>
        <w:t>名</w:t>
      </w:r>
      <w:r>
        <w:rPr>
          <w:rFonts w:ascii="Times New Roman" w:hAnsi="Times New Roman" w:eastAsia="仿宋_GB2312" w:cs="Times New Roman"/>
          <w:bCs/>
          <w:kern w:val="0"/>
          <w:sz w:val="32"/>
          <w:szCs w:val="32"/>
          <w:shd w:val="clear" w:color="auto" w:fill="FFFFFF"/>
          <w:lang w:val="zh-CN" w:eastAsia="zh-CN"/>
        </w:rPr>
        <w:t>，公益一类事业编制</w:t>
      </w:r>
      <w:r>
        <w:rPr>
          <w:rFonts w:hint="eastAsia" w:eastAsia="仿宋_GB2312" w:cs="Times New Roman"/>
          <w:bCs/>
          <w:kern w:val="0"/>
          <w:sz w:val="32"/>
          <w:szCs w:val="32"/>
          <w:shd w:val="clear" w:color="auto" w:fill="FFFFFF"/>
          <w:lang w:val="en-US" w:eastAsia="zh-CN"/>
        </w:rPr>
        <w:t>1</w:t>
      </w:r>
      <w:r>
        <w:rPr>
          <w:rFonts w:ascii="Times New Roman" w:hAnsi="Times New Roman" w:eastAsia="仿宋_GB2312" w:cs="Times New Roman"/>
          <w:bCs/>
          <w:kern w:val="0"/>
          <w:sz w:val="32"/>
          <w:szCs w:val="32"/>
          <w:shd w:val="clear" w:color="auto" w:fill="FFFFFF"/>
          <w:lang w:val="zh-CN" w:eastAsia="zh-CN"/>
        </w:rPr>
        <w:t>名。年末实有人数</w:t>
      </w:r>
      <w:r>
        <w:rPr>
          <w:rFonts w:hint="eastAsia" w:eastAsia="仿宋_GB2312" w:cs="Times New Roman"/>
          <w:bCs/>
          <w:kern w:val="0"/>
          <w:sz w:val="32"/>
          <w:szCs w:val="32"/>
          <w:shd w:val="clear" w:color="auto" w:fill="FFFFFF"/>
          <w:lang w:val="en-US" w:eastAsia="zh-CN"/>
        </w:rPr>
        <w:t>14</w:t>
      </w:r>
      <w:r>
        <w:rPr>
          <w:rFonts w:ascii="Times New Roman" w:hAnsi="Times New Roman" w:eastAsia="仿宋_GB2312" w:cs="Times New Roman"/>
          <w:bCs/>
          <w:kern w:val="0"/>
          <w:sz w:val="32"/>
          <w:szCs w:val="32"/>
          <w:shd w:val="clear" w:color="auto" w:fill="FFFFFF"/>
          <w:lang w:val="zh-CN" w:eastAsia="zh-CN"/>
        </w:rPr>
        <w:t>名，其中：行政公务员</w:t>
      </w:r>
      <w:r>
        <w:rPr>
          <w:rFonts w:hint="eastAsia" w:eastAsia="仿宋_GB2312" w:cs="Times New Roman"/>
          <w:bCs/>
          <w:kern w:val="0"/>
          <w:sz w:val="32"/>
          <w:szCs w:val="32"/>
          <w:shd w:val="clear" w:color="auto" w:fill="FFFFFF"/>
          <w:lang w:val="en-US" w:eastAsia="zh-CN"/>
        </w:rPr>
        <w:t>13</w:t>
      </w:r>
      <w:r>
        <w:rPr>
          <w:rFonts w:ascii="Times New Roman" w:hAnsi="Times New Roman" w:eastAsia="仿宋_GB2312" w:cs="Times New Roman"/>
          <w:bCs/>
          <w:kern w:val="0"/>
          <w:sz w:val="32"/>
          <w:szCs w:val="32"/>
          <w:shd w:val="clear" w:color="auto" w:fill="FFFFFF"/>
          <w:lang w:val="zh-CN" w:eastAsia="zh-CN"/>
        </w:rPr>
        <w:t>名，行政工勤</w:t>
      </w:r>
      <w:r>
        <w:rPr>
          <w:rFonts w:hint="eastAsia" w:ascii="Times New Roman" w:hAnsi="Times New Roman" w:eastAsia="仿宋_GB2312" w:cs="Times New Roman"/>
          <w:bCs/>
          <w:kern w:val="0"/>
          <w:sz w:val="32"/>
          <w:szCs w:val="32"/>
          <w:shd w:val="clear" w:color="auto" w:fill="FFFFFF"/>
          <w:lang w:val="en-US" w:eastAsia="zh-CN"/>
        </w:rPr>
        <w:t>0</w:t>
      </w:r>
      <w:r>
        <w:rPr>
          <w:rFonts w:ascii="Times New Roman" w:hAnsi="Times New Roman" w:eastAsia="仿宋_GB2312" w:cs="Times New Roman"/>
          <w:bCs/>
          <w:kern w:val="0"/>
          <w:sz w:val="32"/>
          <w:szCs w:val="32"/>
          <w:shd w:val="clear" w:color="auto" w:fill="FFFFFF"/>
          <w:lang w:val="zh-CN" w:eastAsia="zh-CN"/>
        </w:rPr>
        <w:t>名，事业人员</w:t>
      </w:r>
      <w:r>
        <w:rPr>
          <w:rFonts w:hint="eastAsia" w:eastAsia="仿宋_GB2312" w:cs="Times New Roman"/>
          <w:bCs/>
          <w:kern w:val="0"/>
          <w:sz w:val="32"/>
          <w:szCs w:val="32"/>
          <w:shd w:val="clear" w:color="auto" w:fill="FFFFFF"/>
          <w:lang w:val="en-US" w:eastAsia="zh-CN"/>
        </w:rPr>
        <w:t>1</w:t>
      </w:r>
      <w:r>
        <w:rPr>
          <w:rFonts w:ascii="Times New Roman" w:hAnsi="Times New Roman" w:eastAsia="仿宋_GB2312" w:cs="Times New Roman"/>
          <w:bCs/>
          <w:kern w:val="0"/>
          <w:sz w:val="32"/>
          <w:szCs w:val="32"/>
          <w:shd w:val="clear" w:color="auto" w:fill="FFFFFF"/>
          <w:lang w:val="zh-CN" w:eastAsia="zh-CN"/>
        </w:rPr>
        <w:t>名。</w:t>
      </w: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54" w:name="_Toc15396602"/>
      <w:bookmarkStart w:id="55" w:name="_Toc15377204"/>
      <w:bookmarkStart w:id="56" w:name="_Toc7311_WPSOffice_Level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54"/>
      <w:bookmarkEnd w:id="55"/>
      <w:bookmarkEnd w:id="56"/>
    </w:p>
    <w:p>
      <w:pPr>
        <w:rPr>
          <w:rFonts w:ascii="Times New Roman" w:hAnsi="Times New Roman"/>
          <w:color w:val="auto"/>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57" w:name="_Toc15396603"/>
      <w:bookmarkStart w:id="58" w:name="_Toc15377205"/>
      <w:bookmarkStart w:id="59" w:name="_Toc13504_WPSOffice_Level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57"/>
      <w:bookmarkEnd w:id="58"/>
      <w:bookmarkEnd w:id="59"/>
    </w:p>
    <w:p>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723.15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减少725.59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减少50.08</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的主要原因是本年项目资金</w:t>
      </w:r>
      <w:r>
        <w:rPr>
          <w:rFonts w:hint="eastAsia" w:ascii="仿宋_GB2312" w:eastAsia="仿宋_GB2312"/>
          <w:spacing w:val="-2"/>
          <w:sz w:val="32"/>
          <w:szCs w:val="32"/>
          <w:lang w:val="en-US" w:eastAsia="zh-CN"/>
        </w:rPr>
        <w:t>比往年减少</w:t>
      </w:r>
      <w:r>
        <w:rPr>
          <w:rFonts w:hint="eastAsia" w:ascii="仿宋_GB2312" w:eastAsia="仿宋_GB2312"/>
          <w:spacing w:val="-2"/>
          <w:sz w:val="32"/>
          <w:szCs w:val="32"/>
        </w:rPr>
        <w:t>，项目</w:t>
      </w:r>
      <w:r>
        <w:rPr>
          <w:rFonts w:hint="eastAsia" w:ascii="仿宋_GB2312" w:eastAsia="仿宋_GB2312"/>
          <w:spacing w:val="-2"/>
          <w:sz w:val="32"/>
          <w:szCs w:val="32"/>
          <w:lang w:val="en-US" w:eastAsia="zh-CN"/>
        </w:rPr>
        <w:t>收入减少，机构人员减少，人员经费、公用经费减少</w:t>
      </w:r>
      <w:r>
        <w:rPr>
          <w:rFonts w:hint="eastAsia" w:ascii="仿宋_GB2312" w:eastAsia="仿宋_GB2312"/>
          <w:spacing w:val="-2"/>
          <w:sz w:val="32"/>
          <w:szCs w:val="32"/>
        </w:rPr>
        <w:t>。</w:t>
      </w:r>
    </w:p>
    <w:p>
      <w:pPr>
        <w:spacing w:line="60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rPr>
        <w:drawing>
          <wp:anchor distT="0" distB="0" distL="114300" distR="114300" simplePos="0" relativeHeight="251659264" behindDoc="0" locked="0" layoutInCell="1" allowOverlap="1">
            <wp:simplePos x="0" y="0"/>
            <wp:positionH relativeFrom="column">
              <wp:posOffset>443865</wp:posOffset>
            </wp:positionH>
            <wp:positionV relativeFrom="paragraph">
              <wp:posOffset>1231265</wp:posOffset>
            </wp:positionV>
            <wp:extent cx="4179570" cy="2345055"/>
            <wp:effectExtent l="4445" t="4445" r="6985" b="12700"/>
            <wp:wrapSquare wrapText="bothSides"/>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723.15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减少725.59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减少50.08</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的主要原因是本年项目资金</w:t>
      </w:r>
      <w:r>
        <w:rPr>
          <w:rFonts w:hint="eastAsia" w:ascii="仿宋_GB2312" w:eastAsia="仿宋_GB2312"/>
          <w:spacing w:val="-2"/>
          <w:sz w:val="32"/>
          <w:szCs w:val="32"/>
          <w:lang w:val="en-US" w:eastAsia="zh-CN"/>
        </w:rPr>
        <w:t>比往年减少</w:t>
      </w:r>
      <w:r>
        <w:rPr>
          <w:rFonts w:hint="eastAsia" w:ascii="仿宋_GB2312" w:eastAsia="仿宋_GB2312"/>
          <w:spacing w:val="-2"/>
          <w:sz w:val="32"/>
          <w:szCs w:val="32"/>
        </w:rPr>
        <w:t>，项目</w:t>
      </w:r>
      <w:r>
        <w:rPr>
          <w:rFonts w:hint="eastAsia" w:ascii="仿宋_GB2312" w:eastAsia="仿宋_GB2312"/>
          <w:spacing w:val="-2"/>
          <w:sz w:val="32"/>
          <w:szCs w:val="32"/>
          <w:lang w:val="en-US" w:eastAsia="zh-CN"/>
        </w:rPr>
        <w:t>收入减少，机构人员减少，人员经费、公用经费减少</w:t>
      </w:r>
      <w:r>
        <w:rPr>
          <w:rFonts w:hint="eastAsia" w:ascii="仿宋_GB2312" w:eastAsia="仿宋_GB2312"/>
          <w:spacing w:val="-2"/>
          <w:sz w:val="32"/>
          <w:szCs w:val="32"/>
        </w:rPr>
        <w:t>。</w:t>
      </w:r>
    </w:p>
    <w:p>
      <w:pPr>
        <w:pStyle w:val="6"/>
        <w:pageBreakBefore w:val="0"/>
        <w:widowControl w:val="0"/>
        <w:kinsoku/>
        <w:wordWrap/>
        <w:overflowPunct/>
        <w:topLinePunct w:val="0"/>
        <w:bidi w:val="0"/>
        <w:spacing w:line="576" w:lineRule="exact"/>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60" w:name="_Toc15396604"/>
      <w:bookmarkStart w:id="61" w:name="_Toc15377206"/>
      <w:bookmarkStart w:id="62" w:name="_Toc9819_WPSOffice_Level2"/>
      <w:r>
        <w:rPr>
          <w:rFonts w:hint="eastAsia" w:ascii="Times New Roman" w:hAnsi="Times New Roman" w:eastAsia="黑体"/>
          <w:color w:val="auto"/>
          <w:sz w:val="32"/>
          <w:szCs w:val="32"/>
          <w:highlight w:val="none"/>
          <w:lang w:eastAsia="zh-CN"/>
        </w:rPr>
        <w:t>二、收入决算情况说明</w:t>
      </w:r>
      <w:bookmarkEnd w:id="60"/>
      <w:bookmarkEnd w:id="61"/>
      <w:bookmarkEnd w:id="62"/>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702.78万元，其中：一般公共预算财政拨款收入702.78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ind w:firstLine="525" w:firstLineChars="250"/>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1312" behindDoc="0" locked="0" layoutInCell="1" allowOverlap="1">
            <wp:simplePos x="0" y="0"/>
            <wp:positionH relativeFrom="column">
              <wp:posOffset>306070</wp:posOffset>
            </wp:positionH>
            <wp:positionV relativeFrom="paragraph">
              <wp:posOffset>105410</wp:posOffset>
            </wp:positionV>
            <wp:extent cx="4572635" cy="2746375"/>
            <wp:effectExtent l="4445" t="4445" r="13970" b="1143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63" w:name="_Toc15377207"/>
      <w:bookmarkStart w:id="64" w:name="_Toc15396605"/>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65" w:name="_Toc23222_WPSOffice_Level2"/>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63"/>
      <w:bookmarkEnd w:id="64"/>
      <w:bookmarkEnd w:id="65"/>
    </w:p>
    <w:p>
      <w:pPr>
        <w:spacing w:line="600" w:lineRule="exact"/>
        <w:ind w:firstLine="640"/>
        <w:rPr>
          <w:rFonts w:ascii="仿宋" w:eastAsia="仿宋"/>
          <w:color w:val="000000"/>
          <w:sz w:val="32"/>
          <w:szCs w:val="32"/>
        </w:rPr>
      </w:pPr>
      <w:bookmarkStart w:id="66" w:name="_Toc15377208"/>
      <w:bookmarkStart w:id="67" w:name="_Toc15396606"/>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723.15</w:t>
      </w:r>
      <w:r>
        <w:rPr>
          <w:rFonts w:hint="eastAsia" w:ascii="仿宋_GB2312" w:eastAsia="仿宋_GB2312"/>
          <w:spacing w:val="-2"/>
          <w:sz w:val="32"/>
          <w:szCs w:val="32"/>
        </w:rPr>
        <w:t>万元</w:t>
      </w:r>
      <w:r>
        <w:rPr>
          <w:rFonts w:hint="eastAsia" w:ascii="仿宋" w:eastAsia="仿宋"/>
          <w:color w:val="000000"/>
          <w:sz w:val="32"/>
          <w:szCs w:val="32"/>
        </w:rPr>
        <w:t>，其中：基本支出</w:t>
      </w:r>
      <w:r>
        <w:rPr>
          <w:rFonts w:hint="eastAsia" w:ascii="仿宋" w:eastAsia="仿宋"/>
          <w:color w:val="000000"/>
          <w:sz w:val="32"/>
          <w:szCs w:val="32"/>
          <w:lang w:val="en-US" w:eastAsia="zh-CN"/>
        </w:rPr>
        <w:t>323.47</w:t>
      </w:r>
      <w:r>
        <w:rPr>
          <w:rFonts w:hint="eastAsia" w:ascii="仿宋" w:eastAsia="仿宋"/>
          <w:color w:val="000000"/>
          <w:sz w:val="32"/>
          <w:szCs w:val="32"/>
        </w:rPr>
        <w:t>万元，占</w:t>
      </w:r>
      <w:r>
        <w:rPr>
          <w:rFonts w:hint="eastAsia" w:ascii="仿宋" w:eastAsia="仿宋"/>
          <w:color w:val="000000"/>
          <w:sz w:val="32"/>
          <w:szCs w:val="32"/>
          <w:lang w:val="en-US" w:eastAsia="zh-CN"/>
        </w:rPr>
        <w:t>44.73</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399.68</w:t>
      </w:r>
      <w:r>
        <w:rPr>
          <w:rFonts w:hint="eastAsia" w:ascii="仿宋" w:eastAsia="仿宋"/>
          <w:color w:val="000000"/>
          <w:sz w:val="32"/>
          <w:szCs w:val="32"/>
        </w:rPr>
        <w:t>万元，占</w:t>
      </w:r>
      <w:r>
        <w:rPr>
          <w:rFonts w:hint="eastAsia" w:ascii="仿宋" w:eastAsia="仿宋"/>
          <w:color w:val="000000"/>
          <w:sz w:val="32"/>
          <w:szCs w:val="32"/>
          <w:lang w:val="en-US" w:eastAsia="zh-CN"/>
        </w:rPr>
        <w:t>55.27</w:t>
      </w:r>
      <w:r>
        <w:rPr>
          <w:rFonts w:ascii="仿宋" w:eastAsia="仿宋"/>
          <w:color w:val="000000"/>
          <w:sz w:val="32"/>
          <w:szCs w:val="32"/>
        </w:rPr>
        <w:t>%</w:t>
      </w:r>
      <w:r>
        <w:rPr>
          <w:rFonts w:hint="eastAsia" w:ascii="仿宋" w:eastAsia="仿宋"/>
          <w:color w:val="000000"/>
          <w:sz w:val="32"/>
          <w:szCs w:val="32"/>
        </w:rPr>
        <w:t>；上缴上级支出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；经营支出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；对附属单位补助支出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w:t>
      </w:r>
    </w:p>
    <w:p>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shd w:val="pct10" w:color="auto" w:fill="FFFFFF"/>
        </w:rPr>
      </w:pPr>
      <w:r>
        <w:rPr>
          <w:rFonts w:hint="eastAsia" w:ascii="仿宋" w:eastAsia="仿宋"/>
          <w:color w:val="FF0000"/>
          <w:sz w:val="32"/>
          <w:szCs w:val="32"/>
          <w:lang w:eastAsia="zh-CN"/>
        </w:rPr>
        <w:drawing>
          <wp:anchor distT="0" distB="0" distL="114300" distR="114300" simplePos="0" relativeHeight="251663360" behindDoc="0" locked="0" layoutInCell="1" allowOverlap="1">
            <wp:simplePos x="0" y="0"/>
            <wp:positionH relativeFrom="column">
              <wp:posOffset>55245</wp:posOffset>
            </wp:positionH>
            <wp:positionV relativeFrom="paragraph">
              <wp:posOffset>115570</wp:posOffset>
            </wp:positionV>
            <wp:extent cx="4923790" cy="2207895"/>
            <wp:effectExtent l="4445" t="4445" r="5715" b="16510"/>
            <wp:wrapSquare wrapText="bothSides"/>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outlineLvl w:val="1"/>
        <w:rPr>
          <w:rStyle w:val="30"/>
          <w:rFonts w:ascii="Times New Roman" w:hAnsi="Times New Roman" w:eastAsia="黑体"/>
          <w:b w:val="0"/>
          <w:color w:val="auto"/>
          <w:highlight w:val="none"/>
        </w:rPr>
      </w:pPr>
      <w:bookmarkStart w:id="68" w:name="_Toc23055_WPSOffice_Level2"/>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66"/>
      <w:bookmarkEnd w:id="67"/>
      <w:bookmarkEnd w:id="68"/>
    </w:p>
    <w:p>
      <w:pPr>
        <w:snapToGrid w:val="0"/>
        <w:spacing w:line="520" w:lineRule="exact"/>
        <w:ind w:firstLine="632" w:firstLineChars="200"/>
        <w:rPr>
          <w:rFonts w:ascii="仿宋_GB2312" w:eastAsia="仿宋_GB2312"/>
          <w:spacing w:val="-2"/>
          <w:sz w:val="32"/>
          <w:szCs w:val="32"/>
        </w:rPr>
      </w:pPr>
      <w:bookmarkStart w:id="69" w:name="_Toc15377209"/>
      <w:bookmarkStart w:id="70" w:name="_Toc15396607"/>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723.15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1448.74</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减少725.59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减少50.08</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的主要原因是本年项目资金</w:t>
      </w:r>
      <w:r>
        <w:rPr>
          <w:rFonts w:hint="eastAsia" w:ascii="仿宋_GB2312" w:eastAsia="仿宋_GB2312"/>
          <w:spacing w:val="-2"/>
          <w:sz w:val="32"/>
          <w:szCs w:val="32"/>
          <w:lang w:val="en-US" w:eastAsia="zh-CN"/>
        </w:rPr>
        <w:t>比往年减少</w:t>
      </w:r>
      <w:r>
        <w:rPr>
          <w:rFonts w:hint="eastAsia" w:ascii="仿宋_GB2312" w:eastAsia="仿宋_GB2312"/>
          <w:spacing w:val="-2"/>
          <w:sz w:val="32"/>
          <w:szCs w:val="32"/>
        </w:rPr>
        <w:t>，项目</w:t>
      </w:r>
      <w:r>
        <w:rPr>
          <w:rFonts w:hint="eastAsia" w:ascii="仿宋_GB2312" w:eastAsia="仿宋_GB2312"/>
          <w:spacing w:val="-2"/>
          <w:sz w:val="32"/>
          <w:szCs w:val="32"/>
          <w:lang w:val="en-US" w:eastAsia="zh-CN"/>
        </w:rPr>
        <w:t>收入减少，机构人员减少，人员经费、公用经费减少</w:t>
      </w:r>
      <w:r>
        <w:rPr>
          <w:rFonts w:hint="eastAsia" w:ascii="仿宋_GB2312" w:eastAsia="仿宋_GB2312"/>
          <w:spacing w:val="-2"/>
          <w:sz w:val="32"/>
          <w:szCs w:val="32"/>
        </w:rPr>
        <w:t>。。</w:t>
      </w:r>
    </w:p>
    <w:p>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723.15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减少725.59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减少50.08</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的主要原因是本年项目资金</w:t>
      </w:r>
      <w:r>
        <w:rPr>
          <w:rFonts w:hint="eastAsia" w:ascii="仿宋_GB2312" w:eastAsia="仿宋_GB2312"/>
          <w:spacing w:val="-2"/>
          <w:sz w:val="32"/>
          <w:szCs w:val="32"/>
          <w:lang w:val="en-US" w:eastAsia="zh-CN"/>
        </w:rPr>
        <w:t>比往年减少</w:t>
      </w:r>
      <w:r>
        <w:rPr>
          <w:rFonts w:hint="eastAsia" w:ascii="仿宋_GB2312" w:eastAsia="仿宋_GB2312"/>
          <w:spacing w:val="-2"/>
          <w:sz w:val="32"/>
          <w:szCs w:val="32"/>
        </w:rPr>
        <w:t>，项目</w:t>
      </w:r>
      <w:r>
        <w:rPr>
          <w:rFonts w:hint="eastAsia" w:ascii="仿宋_GB2312" w:eastAsia="仿宋_GB2312"/>
          <w:spacing w:val="-2"/>
          <w:sz w:val="32"/>
          <w:szCs w:val="32"/>
          <w:lang w:val="en-US" w:eastAsia="zh-CN"/>
        </w:rPr>
        <w:t>收入减少，机构人员减少，人员经费、公用经费减少</w:t>
      </w:r>
      <w:r>
        <w:rPr>
          <w:rFonts w:hint="eastAsia" w:ascii="仿宋_GB2312" w:eastAsia="仿宋_GB2312"/>
          <w:spacing w:val="-2"/>
          <w:sz w:val="32"/>
          <w:szCs w:val="32"/>
        </w:rPr>
        <w:t>。</w:t>
      </w:r>
    </w:p>
    <w:p>
      <w:pPr>
        <w:spacing w:line="600" w:lineRule="exact"/>
        <w:ind w:firstLine="640" w:firstLineChars="200"/>
        <w:rPr>
          <w:rFonts w:hint="eastAsia" w:ascii="黑体" w:eastAsia="黑体"/>
          <w:color w:val="000000"/>
          <w:sz w:val="32"/>
          <w:szCs w:val="32"/>
        </w:rPr>
      </w:pPr>
    </w:p>
    <w:p>
      <w:pPr>
        <w:spacing w:line="600" w:lineRule="exact"/>
        <w:ind w:firstLine="632" w:firstLineChars="200"/>
        <w:rPr>
          <w:rFonts w:hint="eastAsia" w:ascii="黑体" w:eastAsia="黑体"/>
          <w:color w:val="000000"/>
          <w:sz w:val="32"/>
          <w:szCs w:val="32"/>
        </w:rPr>
      </w:pPr>
      <w:r>
        <w:rPr>
          <w:rFonts w:hint="eastAsia" w:ascii="仿宋_GB2312" w:eastAsia="仿宋_GB2312"/>
          <w:spacing w:val="-2"/>
          <w:sz w:val="32"/>
          <w:szCs w:val="32"/>
        </w:rPr>
        <w:drawing>
          <wp:anchor distT="0" distB="0" distL="114300" distR="114300" simplePos="0" relativeHeight="251665408" behindDoc="0" locked="0" layoutInCell="1" allowOverlap="1">
            <wp:simplePos x="0" y="0"/>
            <wp:positionH relativeFrom="column">
              <wp:posOffset>593725</wp:posOffset>
            </wp:positionH>
            <wp:positionV relativeFrom="paragraph">
              <wp:posOffset>20320</wp:posOffset>
            </wp:positionV>
            <wp:extent cx="4179570" cy="2345055"/>
            <wp:effectExtent l="4445" t="4445" r="6985" b="12700"/>
            <wp:wrapSquare wrapText="bothSides"/>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pageBreakBefore w:val="0"/>
        <w:widowControl w:val="0"/>
        <w:kinsoku/>
        <w:wordWrap/>
        <w:overflowPunct/>
        <w:topLinePunct w:val="0"/>
        <w:bidi w:val="0"/>
        <w:spacing w:line="576" w:lineRule="exact"/>
        <w:ind w:firstLine="640" w:firstLineChars="200"/>
        <w:rPr>
          <w:rFonts w:ascii="Times New Roman" w:hAnsi="Times New Roman" w:eastAsia="黑体" w:cs="Times New Roman"/>
          <w:sz w:val="32"/>
          <w:szCs w:val="32"/>
        </w:rPr>
      </w:pPr>
    </w:p>
    <w:p>
      <w:pPr>
        <w:spacing w:line="600" w:lineRule="exact"/>
        <w:ind w:firstLine="640" w:firstLineChars="200"/>
        <w:outlineLvl w:val="1"/>
        <w:rPr>
          <w:rStyle w:val="30"/>
          <w:rFonts w:ascii="Times New Roman" w:hAnsi="Times New Roman" w:eastAsia="黑体"/>
          <w:b w:val="0"/>
          <w:color w:val="auto"/>
          <w:highlight w:val="none"/>
        </w:rPr>
      </w:pPr>
      <w:bookmarkStart w:id="71" w:name="_Toc7931_WPSOffice_Level2"/>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69"/>
      <w:bookmarkEnd w:id="70"/>
      <w:bookmarkEnd w:id="71"/>
    </w:p>
    <w:p>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72" w:name="_Toc15377210"/>
      <w:r>
        <w:rPr>
          <w:rFonts w:ascii="Times New Roman" w:hAnsi="Times New Roman" w:eastAsia="仿宋" w:cs="Times New Roman"/>
          <w:b/>
          <w:sz w:val="32"/>
          <w:szCs w:val="32"/>
        </w:rPr>
        <w:t>（一）一般公共预算财政拨款支出决算总体情况</w:t>
      </w:r>
      <w:bookmarkEnd w:id="72"/>
    </w:p>
    <w:p>
      <w:pPr>
        <w:snapToGrid w:val="0"/>
        <w:spacing w:line="520" w:lineRule="exact"/>
        <w:ind w:firstLine="632" w:firstLineChars="200"/>
        <w:rPr>
          <w:rFonts w:ascii="Times New Roman" w:hAnsi="Times New Roman" w:eastAsia="仿宋" w:cs="Times New Roman"/>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723.15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减少725.59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减少50.08</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的主要原因是本年项目资金</w:t>
      </w:r>
      <w:r>
        <w:rPr>
          <w:rFonts w:hint="eastAsia" w:ascii="仿宋_GB2312" w:eastAsia="仿宋_GB2312"/>
          <w:spacing w:val="-2"/>
          <w:sz w:val="32"/>
          <w:szCs w:val="32"/>
          <w:lang w:val="en-US" w:eastAsia="zh-CN"/>
        </w:rPr>
        <w:t>比往年减少</w:t>
      </w:r>
      <w:r>
        <w:rPr>
          <w:rFonts w:hint="eastAsia" w:ascii="仿宋_GB2312" w:eastAsia="仿宋_GB2312"/>
          <w:spacing w:val="-2"/>
          <w:sz w:val="32"/>
          <w:szCs w:val="32"/>
        </w:rPr>
        <w:t>，项目</w:t>
      </w:r>
      <w:r>
        <w:rPr>
          <w:rFonts w:hint="eastAsia" w:ascii="仿宋_GB2312" w:eastAsia="仿宋_GB2312"/>
          <w:spacing w:val="-2"/>
          <w:sz w:val="32"/>
          <w:szCs w:val="32"/>
          <w:lang w:val="en-US" w:eastAsia="zh-CN"/>
        </w:rPr>
        <w:t>收入减少，机构人员减少，人员经费、公用经费减少</w:t>
      </w:r>
      <w:r>
        <w:rPr>
          <w:rFonts w:hint="eastAsia" w:ascii="仿宋_GB2312" w:eastAsia="仿宋_GB2312"/>
          <w:spacing w:val="-2"/>
          <w:sz w:val="32"/>
          <w:szCs w:val="32"/>
        </w:rPr>
        <w:t>。</w:t>
      </w:r>
    </w:p>
    <w:p>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73" w:name="_Toc15377211"/>
      <w:r>
        <w:rPr>
          <w:rFonts w:ascii="Times New Roman" w:hAnsi="Times New Roman" w:eastAsia="仿宋" w:cs="Times New Roman"/>
          <w:b/>
          <w:sz w:val="32"/>
          <w:szCs w:val="32"/>
        </w:rPr>
        <w:t>（二）一般公共预算财政拨款支出决算结构情况</w:t>
      </w:r>
      <w:bookmarkEnd w:id="73"/>
    </w:p>
    <w:p>
      <w:pPr>
        <w:spacing w:line="600" w:lineRule="exact"/>
        <w:ind w:firstLine="640"/>
        <w:rPr>
          <w:rFonts w:hint="default" w:ascii="仿宋_GB2312" w:eastAsia="仿宋_GB2312"/>
          <w:spacing w:val="-2"/>
          <w:sz w:val="32"/>
          <w:szCs w:val="32"/>
          <w:lang w:val="en-US" w:eastAsia="zh-CN"/>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年一般公共预算财政拨款支出</w:t>
      </w:r>
      <w:r>
        <w:rPr>
          <w:rFonts w:hint="eastAsia" w:ascii="仿宋_GB2312" w:eastAsia="仿宋_GB2312"/>
          <w:spacing w:val="-2"/>
          <w:sz w:val="32"/>
          <w:szCs w:val="32"/>
          <w:lang w:val="en-US" w:eastAsia="zh-CN"/>
        </w:rPr>
        <w:t>723.15</w:t>
      </w:r>
      <w:r>
        <w:rPr>
          <w:rFonts w:hint="eastAsia" w:ascii="仿宋_GB2312" w:eastAsia="仿宋_GB2312"/>
          <w:spacing w:val="-2"/>
          <w:sz w:val="32"/>
          <w:szCs w:val="32"/>
        </w:rPr>
        <w:t>万元，主要用于以下方面</w:t>
      </w:r>
      <w:r>
        <w:rPr>
          <w:rFonts w:ascii="仿宋_GB2312" w:eastAsia="仿宋_GB2312"/>
          <w:spacing w:val="-2"/>
          <w:sz w:val="32"/>
          <w:szCs w:val="32"/>
        </w:rPr>
        <w:t>:</w:t>
      </w:r>
      <w:r>
        <w:rPr>
          <w:rFonts w:hint="eastAsia" w:ascii="仿宋_GB2312" w:eastAsia="仿宋_GB2312"/>
          <w:spacing w:val="-2"/>
          <w:sz w:val="32"/>
          <w:szCs w:val="32"/>
        </w:rPr>
        <w:t>一般公共服务支出（类）支出</w:t>
      </w:r>
      <w:r>
        <w:rPr>
          <w:rFonts w:hint="eastAsia" w:ascii="仿宋_GB2312" w:eastAsia="仿宋_GB2312"/>
          <w:spacing w:val="-2"/>
          <w:sz w:val="32"/>
          <w:szCs w:val="32"/>
          <w:lang w:val="en-US" w:eastAsia="zh-CN"/>
        </w:rPr>
        <w:t>578.29</w:t>
      </w:r>
      <w:r>
        <w:rPr>
          <w:rFonts w:hint="eastAsia" w:ascii="仿宋_GB2312" w:eastAsia="仿宋_GB2312"/>
          <w:spacing w:val="-2"/>
          <w:sz w:val="32"/>
          <w:szCs w:val="32"/>
          <w:lang w:eastAsia="zh-CN"/>
        </w:rPr>
        <w:t>万元，占</w:t>
      </w:r>
      <w:r>
        <w:rPr>
          <w:rFonts w:hint="eastAsia" w:ascii="仿宋_GB2312" w:eastAsia="仿宋_GB2312"/>
          <w:spacing w:val="-2"/>
          <w:sz w:val="32"/>
          <w:szCs w:val="32"/>
          <w:lang w:val="en-US" w:eastAsia="zh-CN"/>
        </w:rPr>
        <w:t>79.97%；</w:t>
      </w:r>
      <w:r>
        <w:rPr>
          <w:rFonts w:hint="eastAsia" w:ascii="仿宋_GB2312" w:eastAsia="仿宋_GB2312"/>
          <w:spacing w:val="-2"/>
          <w:sz w:val="32"/>
          <w:szCs w:val="32"/>
        </w:rPr>
        <w:t>社会保障和就业（类）支出</w:t>
      </w:r>
      <w:r>
        <w:rPr>
          <w:rFonts w:hint="eastAsia" w:ascii="仿宋_GB2312" w:eastAsia="仿宋_GB2312"/>
          <w:spacing w:val="-2"/>
          <w:sz w:val="32"/>
          <w:szCs w:val="32"/>
          <w:lang w:val="en-US" w:eastAsia="zh-CN"/>
        </w:rPr>
        <w:t>45.04</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6.23</w:t>
      </w:r>
      <w:r>
        <w:rPr>
          <w:rFonts w:ascii="仿宋_GB2312" w:eastAsia="仿宋_GB2312"/>
          <w:spacing w:val="-2"/>
          <w:sz w:val="32"/>
          <w:szCs w:val="32"/>
        </w:rPr>
        <w:t>%</w:t>
      </w:r>
      <w:r>
        <w:rPr>
          <w:rFonts w:hint="eastAsia" w:ascii="仿宋_GB2312" w:eastAsia="仿宋_GB2312"/>
          <w:spacing w:val="-2"/>
          <w:sz w:val="32"/>
          <w:szCs w:val="32"/>
        </w:rPr>
        <w:t>；卫生健康支出</w:t>
      </w:r>
      <w:r>
        <w:rPr>
          <w:rFonts w:hint="eastAsia" w:ascii="仿宋_GB2312" w:eastAsia="仿宋_GB2312"/>
          <w:spacing w:val="-2"/>
          <w:sz w:val="32"/>
          <w:szCs w:val="32"/>
          <w:lang w:val="en-US" w:eastAsia="zh-CN"/>
        </w:rPr>
        <w:t>18.88</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2.61</w:t>
      </w:r>
      <w:r>
        <w:rPr>
          <w:rFonts w:ascii="仿宋_GB2312" w:eastAsia="仿宋_GB2312"/>
          <w:spacing w:val="-2"/>
          <w:sz w:val="32"/>
          <w:szCs w:val="32"/>
        </w:rPr>
        <w:t>%</w:t>
      </w:r>
      <w:r>
        <w:rPr>
          <w:rFonts w:hint="eastAsia" w:ascii="仿宋_GB2312" w:eastAsia="仿宋_GB2312"/>
          <w:spacing w:val="-2"/>
          <w:sz w:val="32"/>
          <w:szCs w:val="32"/>
        </w:rPr>
        <w:t>；农林水（类）支出</w:t>
      </w:r>
      <w:r>
        <w:rPr>
          <w:rFonts w:hint="eastAsia" w:ascii="仿宋_GB2312" w:eastAsia="仿宋_GB2312"/>
          <w:spacing w:val="-2"/>
          <w:sz w:val="32"/>
          <w:szCs w:val="32"/>
          <w:lang w:val="en-US" w:eastAsia="zh-CN"/>
        </w:rPr>
        <w:t>55.68</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7.70</w:t>
      </w:r>
      <w:r>
        <w:rPr>
          <w:rFonts w:ascii="仿宋_GB2312" w:eastAsia="仿宋_GB2312"/>
          <w:spacing w:val="-2"/>
          <w:sz w:val="32"/>
          <w:szCs w:val="32"/>
        </w:rPr>
        <w:t>%</w:t>
      </w:r>
      <w:r>
        <w:rPr>
          <w:rFonts w:hint="eastAsia" w:ascii="仿宋_GB2312" w:eastAsia="仿宋_GB2312"/>
          <w:spacing w:val="-2"/>
          <w:sz w:val="32"/>
          <w:szCs w:val="32"/>
        </w:rPr>
        <w:t>；住房保障支出</w:t>
      </w:r>
      <w:r>
        <w:rPr>
          <w:rFonts w:hint="eastAsia" w:ascii="仿宋_GB2312" w:eastAsia="仿宋_GB2312"/>
          <w:spacing w:val="-2"/>
          <w:sz w:val="32"/>
          <w:szCs w:val="32"/>
          <w:lang w:val="en-US" w:eastAsia="zh-CN"/>
        </w:rPr>
        <w:t>25.26</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3.49</w:t>
      </w:r>
      <w:r>
        <w:rPr>
          <w:rFonts w:ascii="仿宋_GB2312" w:eastAsia="仿宋_GB2312"/>
          <w:spacing w:val="-2"/>
          <w:sz w:val="32"/>
          <w:szCs w:val="32"/>
        </w:rPr>
        <w:t>%</w:t>
      </w:r>
      <w:r>
        <w:rPr>
          <w:rFonts w:hint="eastAsia" w:ascii="仿宋_GB2312" w:eastAsia="仿宋_GB2312"/>
          <w:spacing w:val="-2"/>
          <w:sz w:val="32"/>
          <w:szCs w:val="32"/>
          <w:lang w:val="en-US" w:eastAsia="zh-CN"/>
        </w:rPr>
        <w:t>。</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drawing>
          <wp:anchor distT="0" distB="0" distL="114300" distR="114300" simplePos="0" relativeHeight="251667456" behindDoc="0" locked="0" layoutInCell="1" allowOverlap="1">
            <wp:simplePos x="0" y="0"/>
            <wp:positionH relativeFrom="column">
              <wp:posOffset>194310</wp:posOffset>
            </wp:positionH>
            <wp:positionV relativeFrom="paragraph">
              <wp:posOffset>8255</wp:posOffset>
            </wp:positionV>
            <wp:extent cx="4586605" cy="2986405"/>
            <wp:effectExtent l="4445" t="4445" r="19050" b="19050"/>
            <wp:wrapSquare wrapText="bothSides"/>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_GB2312" w:eastAsia="仿宋_GB2312"/>
          <w:color w:val="000000"/>
          <w:sz w:val="32"/>
          <w:szCs w:val="32"/>
        </w:rPr>
      </w:pPr>
    </w:p>
    <w:p>
      <w:pPr>
        <w:spacing w:line="600" w:lineRule="exact"/>
        <w:ind w:firstLine="640"/>
        <w:rPr>
          <w:rFonts w:hint="eastAsia" w:ascii="仿宋_GB2312" w:eastAsia="仿宋_GB2312"/>
          <w:color w:val="000000"/>
          <w:sz w:val="32"/>
          <w:szCs w:val="32"/>
        </w:rPr>
      </w:pPr>
    </w:p>
    <w:p>
      <w:pPr>
        <w:spacing w:line="600" w:lineRule="exact"/>
        <w:ind w:firstLine="640"/>
        <w:rPr>
          <w:rFonts w:hint="eastAsia" w:ascii="仿宋_GB2312" w:eastAsia="仿宋_GB2312"/>
          <w:color w:val="000000"/>
          <w:sz w:val="32"/>
          <w:szCs w:val="32"/>
          <w:lang w:eastAsia="zh-CN"/>
        </w:rPr>
      </w:pPr>
    </w:p>
    <w:p>
      <w:pPr>
        <w:spacing w:line="600" w:lineRule="exact"/>
        <w:ind w:firstLine="640"/>
        <w:rPr>
          <w:rFonts w:hint="eastAsia" w:ascii="仿宋_GB2312" w:eastAsia="仿宋_GB2312"/>
          <w:color w:val="000000"/>
          <w:sz w:val="32"/>
          <w:szCs w:val="32"/>
        </w:rPr>
      </w:pPr>
    </w:p>
    <w:p>
      <w:pPr>
        <w:spacing w:line="600" w:lineRule="exact"/>
        <w:ind w:firstLine="640"/>
        <w:rPr>
          <w:rFonts w:hint="eastAsia" w:ascii="仿宋_GB2312" w:eastAsia="仿宋_GB2312"/>
          <w:color w:val="000000"/>
          <w:sz w:val="32"/>
          <w:szCs w:val="32"/>
        </w:rPr>
      </w:pPr>
    </w:p>
    <w:p>
      <w:pPr>
        <w:spacing w:line="600" w:lineRule="exact"/>
        <w:ind w:firstLine="640"/>
        <w:rPr>
          <w:rFonts w:hint="eastAsia" w:ascii="仿宋_GB2312" w:eastAsia="仿宋_GB2312"/>
          <w:color w:val="000000"/>
          <w:sz w:val="32"/>
          <w:szCs w:val="32"/>
        </w:rPr>
      </w:pPr>
    </w:p>
    <w:p>
      <w:pPr>
        <w:spacing w:line="600" w:lineRule="exact"/>
        <w:ind w:firstLine="640"/>
        <w:rPr>
          <w:rFonts w:ascii="仿宋" w:eastAsia="仿宋"/>
          <w:b/>
          <w:color w:val="000000"/>
          <w:sz w:val="32"/>
          <w:szCs w:val="32"/>
        </w:rPr>
      </w:pPr>
    </w:p>
    <w:p>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74" w:name="_Toc15377212"/>
      <w:r>
        <w:rPr>
          <w:rFonts w:ascii="Times New Roman" w:hAnsi="Times New Roman" w:eastAsia="仿宋" w:cs="Times New Roman"/>
          <w:b/>
          <w:sz w:val="32"/>
          <w:szCs w:val="32"/>
        </w:rPr>
        <w:t>（三）一般公共预算财政拨款支出决算具体情况</w:t>
      </w:r>
      <w:bookmarkEnd w:id="74"/>
    </w:p>
    <w:p>
      <w:pPr>
        <w:spacing w:line="600" w:lineRule="exact"/>
        <w:ind w:firstLine="640" w:firstLineChars="200"/>
        <w:outlineLvl w:val="2"/>
        <w:rPr>
          <w:rFonts w:hint="eastAsia" w:ascii="仿宋" w:eastAsia="仿宋" w:cs="Times New Roman"/>
          <w:bCs/>
          <w:color w:val="000000"/>
          <w:sz w:val="32"/>
          <w:szCs w:val="32"/>
        </w:rPr>
      </w:pPr>
      <w:bookmarkStart w:id="75" w:name="_Toc15377214"/>
      <w:bookmarkStart w:id="76" w:name="_Toc15396608"/>
      <w:bookmarkStart w:id="77" w:name="_Toc26843617"/>
      <w:r>
        <w:rPr>
          <w:rFonts w:ascii="仿宋" w:eastAsia="仿宋"/>
          <w:bCs/>
          <w:color w:val="000000"/>
          <w:sz w:val="32"/>
          <w:szCs w:val="32"/>
        </w:rPr>
        <w:t>202</w:t>
      </w:r>
      <w:r>
        <w:rPr>
          <w:rFonts w:hint="eastAsia" w:ascii="仿宋" w:eastAsia="仿宋" w:cs="Times New Roman"/>
          <w:bCs/>
          <w:color w:val="000000"/>
          <w:sz w:val="32"/>
          <w:szCs w:val="32"/>
          <w:lang w:val="en-US" w:eastAsia="zh-CN"/>
        </w:rPr>
        <w:t>4</w:t>
      </w:r>
      <w:r>
        <w:rPr>
          <w:rFonts w:hint="eastAsia" w:ascii="仿宋" w:eastAsia="仿宋" w:cs="Times New Roman"/>
          <w:bCs/>
          <w:color w:val="000000"/>
          <w:sz w:val="32"/>
          <w:szCs w:val="32"/>
        </w:rPr>
        <w:t>年一般公共预算数为</w:t>
      </w:r>
      <w:r>
        <w:rPr>
          <w:rFonts w:hint="eastAsia" w:ascii="仿宋_GB2312" w:eastAsia="仿宋_GB2312"/>
          <w:spacing w:val="-2"/>
          <w:sz w:val="32"/>
          <w:szCs w:val="32"/>
          <w:lang w:val="en-US" w:eastAsia="zh-CN"/>
        </w:rPr>
        <w:t>723.15</w:t>
      </w:r>
      <w:r>
        <w:rPr>
          <w:rFonts w:hint="eastAsia" w:ascii="仿宋" w:eastAsia="仿宋" w:cs="Times New Roman"/>
          <w:bCs/>
          <w:color w:val="000000"/>
          <w:sz w:val="32"/>
          <w:szCs w:val="32"/>
        </w:rPr>
        <w:t>万元，支出决算数为</w:t>
      </w:r>
      <w:r>
        <w:rPr>
          <w:rFonts w:hint="eastAsia" w:ascii="仿宋_GB2312" w:eastAsia="仿宋_GB2312"/>
          <w:spacing w:val="-2"/>
          <w:sz w:val="32"/>
          <w:szCs w:val="32"/>
          <w:lang w:val="en-US" w:eastAsia="zh-CN"/>
        </w:rPr>
        <w:t>723.15</w:t>
      </w:r>
      <w:r>
        <w:rPr>
          <w:rFonts w:hint="eastAsia" w:ascii="仿宋" w:eastAsia="仿宋" w:cs="Times New Roman"/>
          <w:bCs/>
          <w:color w:val="000000"/>
          <w:sz w:val="32"/>
          <w:szCs w:val="32"/>
        </w:rPr>
        <w:t>万元，完成预算100%。其中：</w:t>
      </w:r>
    </w:p>
    <w:p>
      <w:pPr>
        <w:spacing w:line="600" w:lineRule="exact"/>
        <w:ind w:firstLine="640" w:firstLineChars="200"/>
        <w:outlineLvl w:val="2"/>
        <w:rPr>
          <w:rFonts w:hint="eastAsia" w:ascii="仿宋" w:eastAsia="仿宋" w:cs="Times New Roman"/>
          <w:bCs/>
          <w:color w:val="000000"/>
          <w:sz w:val="32"/>
          <w:szCs w:val="32"/>
          <w:lang w:val="en-US" w:eastAsia="zh-CN"/>
        </w:rPr>
      </w:pPr>
      <w:r>
        <w:rPr>
          <w:rFonts w:hint="eastAsia" w:ascii="仿宋" w:eastAsia="仿宋" w:cs="Times New Roman"/>
          <w:bCs/>
          <w:color w:val="000000"/>
          <w:sz w:val="32"/>
          <w:szCs w:val="32"/>
          <w:lang w:val="en-US" w:eastAsia="zh-CN"/>
        </w:rPr>
        <w:t>1.</w:t>
      </w:r>
      <w:r>
        <w:rPr>
          <w:rFonts w:hint="eastAsia" w:ascii="仿宋" w:eastAsia="仿宋" w:cs="Times New Roman"/>
          <w:bCs/>
          <w:color w:val="000000"/>
          <w:sz w:val="32"/>
          <w:szCs w:val="32"/>
        </w:rPr>
        <w:t>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行政运行</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219.60</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eastAsia="zh-CN"/>
        </w:rPr>
        <w:t>。</w:t>
      </w:r>
    </w:p>
    <w:p>
      <w:pPr>
        <w:spacing w:line="600" w:lineRule="exact"/>
        <w:ind w:firstLine="640" w:firstLineChars="200"/>
        <w:outlineLvl w:val="2"/>
        <w:rPr>
          <w:rFonts w:hint="eastAsia" w:ascii="仿宋" w:eastAsia="仿宋" w:cs="Times New Roman"/>
          <w:bCs/>
          <w:color w:val="000000"/>
          <w:sz w:val="32"/>
          <w:szCs w:val="32"/>
          <w:lang w:eastAsia="zh-CN"/>
        </w:rPr>
      </w:pPr>
      <w:r>
        <w:rPr>
          <w:rFonts w:hint="eastAsia" w:ascii="仿宋" w:eastAsia="仿宋" w:cs="Times New Roman"/>
          <w:bCs/>
          <w:color w:val="000000"/>
          <w:sz w:val="32"/>
          <w:szCs w:val="32"/>
        </w:rPr>
        <w:t>2.一般公共服务（类）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一般行政管理事务</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86.32</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eastAsia="zh-CN"/>
        </w:rPr>
        <w:t>。</w:t>
      </w:r>
    </w:p>
    <w:p>
      <w:pPr>
        <w:pStyle w:val="2"/>
        <w:ind w:left="0" w:leftChars="0" w:firstLine="640" w:firstLineChars="200"/>
        <w:rPr>
          <w:rFonts w:hint="eastAsia"/>
          <w:lang w:eastAsia="zh-CN"/>
        </w:rPr>
      </w:pPr>
      <w:r>
        <w:rPr>
          <w:rFonts w:hint="eastAsia" w:ascii="仿宋" w:eastAsia="仿宋" w:cs="Times New Roman"/>
          <w:bCs/>
          <w:color w:val="000000"/>
          <w:sz w:val="32"/>
          <w:szCs w:val="32"/>
          <w:lang w:val="en-US" w:eastAsia="zh-CN"/>
        </w:rPr>
        <w:t>3.</w:t>
      </w:r>
      <w:r>
        <w:rPr>
          <w:rFonts w:hint="eastAsia" w:ascii="仿宋" w:eastAsia="仿宋" w:cs="Times New Roman"/>
          <w:bCs/>
          <w:color w:val="000000"/>
          <w:sz w:val="32"/>
          <w:szCs w:val="32"/>
        </w:rPr>
        <w:t>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事业运行</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14.69</w:t>
      </w:r>
      <w:r>
        <w:rPr>
          <w:rFonts w:hint="eastAsia" w:ascii="仿宋" w:eastAsia="仿宋" w:cs="Times New Roman"/>
          <w:bCs/>
          <w:color w:val="000000"/>
          <w:sz w:val="32"/>
          <w:szCs w:val="32"/>
        </w:rPr>
        <w:t>元</w:t>
      </w:r>
      <w:r>
        <w:rPr>
          <w:rFonts w:hint="eastAsia" w:ascii="仿宋" w:eastAsia="仿宋" w:cs="Times New Roman"/>
          <w:bCs/>
          <w:color w:val="000000"/>
          <w:sz w:val="32"/>
          <w:szCs w:val="32"/>
          <w:lang w:eastAsia="zh-CN"/>
        </w:rPr>
        <w:t>。</w:t>
      </w:r>
    </w:p>
    <w:p>
      <w:pPr>
        <w:spacing w:line="600" w:lineRule="exact"/>
        <w:ind w:firstLine="640" w:firstLineChars="200"/>
        <w:outlineLvl w:val="2"/>
        <w:rPr>
          <w:rFonts w:hint="eastAsia" w:ascii="仿宋" w:eastAsia="仿宋" w:cs="Times New Roman"/>
          <w:bCs/>
          <w:color w:val="000000"/>
          <w:sz w:val="32"/>
          <w:szCs w:val="32"/>
          <w:lang w:eastAsia="zh-CN"/>
        </w:rPr>
      </w:pPr>
      <w:r>
        <w:rPr>
          <w:rFonts w:hint="eastAsia" w:ascii="仿宋" w:eastAsia="仿宋" w:cs="Times New Roman"/>
          <w:bCs/>
          <w:color w:val="000000"/>
          <w:sz w:val="32"/>
          <w:szCs w:val="32"/>
          <w:lang w:val="en-US" w:eastAsia="zh-CN"/>
        </w:rPr>
        <w:t>4.</w:t>
      </w:r>
      <w:r>
        <w:rPr>
          <w:rFonts w:hint="eastAsia" w:ascii="仿宋" w:eastAsia="仿宋" w:cs="Times New Roman"/>
          <w:bCs/>
          <w:color w:val="000000"/>
          <w:sz w:val="32"/>
          <w:szCs w:val="32"/>
        </w:rPr>
        <w:t>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其他民族事务支出</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257.68</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eastAsia="zh-CN"/>
        </w:rPr>
        <w:t>。</w:t>
      </w:r>
    </w:p>
    <w:p>
      <w:pPr>
        <w:spacing w:line="600" w:lineRule="exact"/>
        <w:ind w:firstLine="640" w:firstLineChars="200"/>
        <w:outlineLvl w:val="2"/>
        <w:rPr>
          <w:rFonts w:hint="eastAsia" w:ascii="仿宋" w:eastAsia="仿宋" w:cs="Times New Roman"/>
          <w:bCs/>
          <w:color w:val="000000"/>
          <w:sz w:val="32"/>
          <w:szCs w:val="32"/>
          <w:lang w:eastAsia="zh-CN"/>
        </w:rPr>
      </w:pPr>
      <w:r>
        <w:rPr>
          <w:rFonts w:hint="eastAsia" w:ascii="仿宋" w:eastAsia="仿宋" w:cs="Times New Roman"/>
          <w:bCs/>
          <w:color w:val="000000"/>
          <w:sz w:val="32"/>
          <w:szCs w:val="32"/>
          <w:lang w:val="en-US" w:eastAsia="zh-CN"/>
        </w:rPr>
        <w:t>5.</w:t>
      </w:r>
      <w:r>
        <w:rPr>
          <w:rFonts w:hint="eastAsia" w:ascii="仿宋" w:eastAsia="仿宋" w:cs="Times New Roman"/>
          <w:bCs/>
          <w:color w:val="000000"/>
          <w:sz w:val="32"/>
          <w:szCs w:val="32"/>
        </w:rPr>
        <w:t>社会保障和就业（类）行政事业单位养老支出（款）机关事业单位基本养老保险缴费支出（项）: 支出决算为</w:t>
      </w:r>
      <w:r>
        <w:rPr>
          <w:rFonts w:hint="eastAsia" w:ascii="仿宋" w:eastAsia="仿宋" w:cs="Times New Roman"/>
          <w:bCs/>
          <w:color w:val="000000"/>
          <w:sz w:val="32"/>
          <w:szCs w:val="32"/>
          <w:lang w:val="en-US" w:eastAsia="zh-CN"/>
        </w:rPr>
        <w:t>30.05</w:t>
      </w:r>
      <w:r>
        <w:rPr>
          <w:rFonts w:hint="eastAsia" w:ascii="仿宋" w:eastAsia="仿宋" w:cs="Times New Roman"/>
          <w:bCs/>
          <w:color w:val="000000"/>
          <w:sz w:val="32"/>
          <w:szCs w:val="32"/>
        </w:rPr>
        <w:t>万元。</w:t>
      </w:r>
    </w:p>
    <w:p>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6</w:t>
      </w:r>
      <w:r>
        <w:rPr>
          <w:rFonts w:hint="eastAsia" w:ascii="仿宋" w:eastAsia="仿宋" w:cs="Times New Roman"/>
          <w:bCs/>
          <w:color w:val="000000"/>
          <w:sz w:val="32"/>
          <w:szCs w:val="32"/>
        </w:rPr>
        <w:t>. 社会保障和就业（类）行政事业单位养老支出（款）机关事业单位职业年金缴费支出（项）: 支出决算为</w:t>
      </w:r>
      <w:r>
        <w:rPr>
          <w:rFonts w:hint="eastAsia" w:ascii="仿宋" w:eastAsia="仿宋" w:cs="Times New Roman"/>
          <w:bCs/>
          <w:color w:val="000000"/>
          <w:sz w:val="32"/>
          <w:szCs w:val="32"/>
          <w:lang w:val="en-US" w:eastAsia="zh-CN"/>
        </w:rPr>
        <w:t>14.99</w:t>
      </w:r>
      <w:r>
        <w:rPr>
          <w:rFonts w:hint="eastAsia" w:ascii="仿宋" w:eastAsia="仿宋" w:cs="Times New Roman"/>
          <w:bCs/>
          <w:color w:val="000000"/>
          <w:sz w:val="32"/>
          <w:szCs w:val="32"/>
        </w:rPr>
        <w:t>万元。</w:t>
      </w:r>
    </w:p>
    <w:p>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7</w:t>
      </w:r>
      <w:r>
        <w:rPr>
          <w:rFonts w:hint="eastAsia" w:ascii="仿宋" w:eastAsia="仿宋" w:cs="Times New Roman"/>
          <w:bCs/>
          <w:color w:val="000000"/>
          <w:sz w:val="32"/>
          <w:szCs w:val="32"/>
        </w:rPr>
        <w:t>.卫生健康支出（类）行政事业单位医疗（款）行政单位医疗（项）:支出决算为</w:t>
      </w:r>
      <w:r>
        <w:rPr>
          <w:rFonts w:hint="eastAsia" w:ascii="仿宋" w:eastAsia="仿宋" w:cs="Times New Roman"/>
          <w:bCs/>
          <w:color w:val="000000"/>
          <w:sz w:val="32"/>
          <w:szCs w:val="32"/>
          <w:lang w:val="en-US" w:eastAsia="zh-CN"/>
        </w:rPr>
        <w:t>13.54</w:t>
      </w:r>
      <w:r>
        <w:rPr>
          <w:rFonts w:hint="eastAsia" w:ascii="仿宋" w:eastAsia="仿宋" w:cs="Times New Roman"/>
          <w:bCs/>
          <w:color w:val="000000"/>
          <w:sz w:val="32"/>
          <w:szCs w:val="32"/>
        </w:rPr>
        <w:t>万元。</w:t>
      </w:r>
    </w:p>
    <w:p>
      <w:pPr>
        <w:pStyle w:val="2"/>
        <w:ind w:left="0" w:leftChars="0" w:firstLine="640" w:firstLineChars="200"/>
        <w:rPr>
          <w:rFonts w:hint="eastAsia"/>
        </w:rPr>
      </w:pPr>
      <w:r>
        <w:rPr>
          <w:rFonts w:hint="eastAsia" w:ascii="仿宋" w:eastAsia="仿宋" w:cs="Times New Roman"/>
          <w:bCs/>
          <w:color w:val="000000"/>
          <w:sz w:val="32"/>
          <w:szCs w:val="32"/>
          <w:lang w:val="en-US" w:eastAsia="zh-CN"/>
        </w:rPr>
        <w:t>8.</w:t>
      </w:r>
      <w:r>
        <w:rPr>
          <w:rFonts w:hint="eastAsia" w:ascii="仿宋" w:eastAsia="仿宋" w:cs="Times New Roman"/>
          <w:bCs/>
          <w:color w:val="000000"/>
          <w:sz w:val="32"/>
          <w:szCs w:val="32"/>
        </w:rPr>
        <w:t>卫生健康支出（类）行政事业单位医疗（款）</w:t>
      </w:r>
      <w:r>
        <w:rPr>
          <w:rFonts w:hint="eastAsia" w:ascii="仿宋" w:eastAsia="仿宋" w:cs="Times New Roman"/>
          <w:bCs/>
          <w:color w:val="000000"/>
          <w:sz w:val="32"/>
          <w:szCs w:val="32"/>
          <w:lang w:val="en-US" w:eastAsia="zh-CN"/>
        </w:rPr>
        <w:t>事业</w:t>
      </w:r>
      <w:r>
        <w:rPr>
          <w:rFonts w:hint="eastAsia" w:ascii="仿宋" w:eastAsia="仿宋" w:cs="Times New Roman"/>
          <w:bCs/>
          <w:color w:val="000000"/>
          <w:sz w:val="32"/>
          <w:szCs w:val="32"/>
        </w:rPr>
        <w:t>单位医疗（项）:支出决算为</w:t>
      </w:r>
      <w:r>
        <w:rPr>
          <w:rFonts w:hint="eastAsia" w:ascii="仿宋" w:eastAsia="仿宋" w:cs="Times New Roman"/>
          <w:bCs/>
          <w:color w:val="000000"/>
          <w:sz w:val="32"/>
          <w:szCs w:val="32"/>
          <w:lang w:val="en-US" w:eastAsia="zh-CN"/>
        </w:rPr>
        <w:t>0.97</w:t>
      </w:r>
      <w:r>
        <w:rPr>
          <w:rFonts w:hint="eastAsia" w:ascii="仿宋" w:eastAsia="仿宋" w:cs="Times New Roman"/>
          <w:bCs/>
          <w:color w:val="000000"/>
          <w:sz w:val="32"/>
          <w:szCs w:val="32"/>
        </w:rPr>
        <w:t>万元。</w:t>
      </w:r>
    </w:p>
    <w:p>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9</w:t>
      </w:r>
      <w:r>
        <w:rPr>
          <w:rFonts w:hint="eastAsia" w:ascii="仿宋" w:eastAsia="仿宋" w:cs="Times New Roman"/>
          <w:bCs/>
          <w:color w:val="000000"/>
          <w:sz w:val="32"/>
          <w:szCs w:val="32"/>
        </w:rPr>
        <w:t>.卫生健康支出（类）行政事业单位医疗（款）公务员医疗补助（项）:支出决算为</w:t>
      </w:r>
      <w:r>
        <w:rPr>
          <w:rFonts w:hint="eastAsia" w:ascii="仿宋" w:eastAsia="仿宋" w:cs="Times New Roman"/>
          <w:bCs/>
          <w:color w:val="000000"/>
          <w:sz w:val="32"/>
          <w:szCs w:val="32"/>
          <w:lang w:val="en-US" w:eastAsia="zh-CN"/>
        </w:rPr>
        <w:t>4.15</w:t>
      </w:r>
      <w:r>
        <w:rPr>
          <w:rFonts w:hint="eastAsia" w:ascii="仿宋" w:eastAsia="仿宋" w:cs="Times New Roman"/>
          <w:bCs/>
          <w:color w:val="000000"/>
          <w:sz w:val="32"/>
          <w:szCs w:val="32"/>
        </w:rPr>
        <w:t>万元。</w:t>
      </w:r>
    </w:p>
    <w:p>
      <w:pPr>
        <w:pStyle w:val="2"/>
        <w:ind w:left="0" w:leftChars="0" w:firstLine="640" w:firstLineChars="200"/>
        <w:rPr>
          <w:rFonts w:hint="eastAsia"/>
        </w:rPr>
      </w:pPr>
      <w:r>
        <w:rPr>
          <w:rFonts w:hint="eastAsia" w:ascii="仿宋" w:eastAsia="仿宋" w:cs="Times New Roman"/>
          <w:bCs/>
          <w:color w:val="000000"/>
          <w:sz w:val="32"/>
          <w:szCs w:val="32"/>
          <w:lang w:val="en-US" w:eastAsia="zh-CN"/>
        </w:rPr>
        <w:t>10.</w:t>
      </w:r>
      <w:r>
        <w:rPr>
          <w:rFonts w:hint="eastAsia" w:ascii="仿宋" w:eastAsia="仿宋" w:cs="Times New Roman"/>
          <w:bCs/>
          <w:color w:val="000000"/>
          <w:sz w:val="32"/>
          <w:szCs w:val="32"/>
        </w:rPr>
        <w:t>卫生健康支出（类）行政事业单位医疗（款）其他行政事业单位医疗支出（项）:支出决算为</w:t>
      </w:r>
      <w:r>
        <w:rPr>
          <w:rFonts w:hint="eastAsia" w:ascii="仿宋" w:eastAsia="仿宋" w:cs="Times New Roman"/>
          <w:bCs/>
          <w:color w:val="000000"/>
          <w:sz w:val="32"/>
          <w:szCs w:val="32"/>
          <w:lang w:val="en-US" w:eastAsia="zh-CN"/>
        </w:rPr>
        <w:t>0.22</w:t>
      </w:r>
      <w:r>
        <w:rPr>
          <w:rFonts w:hint="eastAsia" w:ascii="仿宋" w:eastAsia="仿宋" w:cs="Times New Roman"/>
          <w:bCs/>
          <w:color w:val="000000"/>
          <w:sz w:val="32"/>
          <w:szCs w:val="32"/>
        </w:rPr>
        <w:t>万元。</w:t>
      </w:r>
    </w:p>
    <w:p>
      <w:pPr>
        <w:pStyle w:val="2"/>
        <w:ind w:left="0" w:leftChars="0" w:firstLine="640" w:firstLineChars="200"/>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11.</w:t>
      </w:r>
      <w:r>
        <w:rPr>
          <w:rFonts w:hint="eastAsia" w:ascii="仿宋" w:eastAsia="仿宋" w:cs="Times New Roman"/>
          <w:bCs/>
          <w:color w:val="000000"/>
          <w:sz w:val="32"/>
          <w:szCs w:val="32"/>
        </w:rPr>
        <w:t>农林水支出（类）巩固脱贫衔接乡村振兴（款）</w:t>
      </w:r>
      <w:r>
        <w:rPr>
          <w:rFonts w:hint="eastAsia" w:ascii="仿宋" w:hAnsi="Times New Roman" w:eastAsia="仿宋" w:cs="Times New Roman"/>
          <w:bCs/>
          <w:color w:val="000000"/>
          <w:sz w:val="32"/>
          <w:szCs w:val="32"/>
        </w:rPr>
        <w:t>其他巩固脱贫攻坚成果衔接乡村</w:t>
      </w:r>
      <w:r>
        <w:rPr>
          <w:rFonts w:hint="eastAsia" w:ascii="仿宋" w:hAnsi="Times New Roman" w:eastAsia="仿宋" w:cs="Times New Roman"/>
          <w:bCs/>
          <w:color w:val="000000"/>
          <w:sz w:val="32"/>
          <w:szCs w:val="32"/>
          <w:lang w:val="en-US" w:eastAsia="zh-CN"/>
        </w:rPr>
        <w:t>振兴支出</w:t>
      </w:r>
      <w:r>
        <w:rPr>
          <w:rFonts w:hint="eastAsia" w:ascii="仿宋" w:eastAsia="仿宋" w:cs="Times New Roman"/>
          <w:bCs/>
          <w:color w:val="000000"/>
          <w:sz w:val="32"/>
          <w:szCs w:val="32"/>
        </w:rPr>
        <w:t>（项）：支出决算为</w:t>
      </w:r>
      <w:r>
        <w:rPr>
          <w:rFonts w:hint="eastAsia" w:ascii="仿宋" w:eastAsia="仿宋" w:cs="Times New Roman"/>
          <w:bCs/>
          <w:color w:val="000000"/>
          <w:sz w:val="32"/>
          <w:szCs w:val="32"/>
          <w:lang w:val="en-US" w:eastAsia="zh-CN"/>
        </w:rPr>
        <w:t>55.68</w:t>
      </w:r>
      <w:r>
        <w:rPr>
          <w:rFonts w:hint="eastAsia" w:ascii="仿宋" w:eastAsia="仿宋" w:cs="Times New Roman"/>
          <w:bCs/>
          <w:color w:val="000000"/>
          <w:sz w:val="32"/>
          <w:szCs w:val="32"/>
        </w:rPr>
        <w:t>万元。</w:t>
      </w:r>
    </w:p>
    <w:p>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12</w:t>
      </w:r>
      <w:r>
        <w:rPr>
          <w:rFonts w:hint="eastAsia" w:ascii="仿宋" w:eastAsia="仿宋" w:cs="Times New Roman"/>
          <w:bCs/>
          <w:color w:val="000000"/>
          <w:sz w:val="32"/>
          <w:szCs w:val="32"/>
        </w:rPr>
        <w:t>.住房保障（类）住房改革支出（款）住房公积金（项）：支出决算为</w:t>
      </w:r>
      <w:r>
        <w:rPr>
          <w:rFonts w:hint="eastAsia" w:ascii="仿宋" w:eastAsia="仿宋" w:cs="Times New Roman"/>
          <w:bCs/>
          <w:color w:val="000000"/>
          <w:sz w:val="32"/>
          <w:szCs w:val="32"/>
          <w:lang w:val="en-US" w:eastAsia="zh-CN"/>
        </w:rPr>
        <w:t>24.26</w:t>
      </w:r>
      <w:r>
        <w:rPr>
          <w:rFonts w:hint="eastAsia" w:ascii="仿宋" w:eastAsia="仿宋" w:cs="Times New Roman"/>
          <w:bCs/>
          <w:color w:val="000000"/>
          <w:sz w:val="32"/>
          <w:szCs w:val="32"/>
        </w:rPr>
        <w:t>万元。</w:t>
      </w:r>
    </w:p>
    <w:p>
      <w:pPr>
        <w:pStyle w:val="2"/>
        <w:ind w:left="0" w:leftChars="0" w:firstLine="640" w:firstLineChars="200"/>
        <w:rPr>
          <w:rFonts w:hint="default" w:eastAsia="仿宋"/>
          <w:lang w:val="en-US" w:eastAsia="zh-CN"/>
        </w:rPr>
      </w:pPr>
      <w:r>
        <w:rPr>
          <w:rFonts w:hint="eastAsia" w:ascii="仿宋" w:eastAsia="仿宋" w:cs="Times New Roman"/>
          <w:bCs/>
          <w:color w:val="000000"/>
          <w:sz w:val="32"/>
          <w:szCs w:val="32"/>
          <w:lang w:val="en-US" w:eastAsia="zh-CN"/>
        </w:rPr>
        <w:t>13.</w:t>
      </w:r>
      <w:r>
        <w:rPr>
          <w:rFonts w:hint="eastAsia" w:ascii="仿宋" w:eastAsia="仿宋" w:cs="Times New Roman"/>
          <w:bCs/>
          <w:color w:val="000000"/>
          <w:sz w:val="32"/>
          <w:szCs w:val="32"/>
        </w:rPr>
        <w:t>住房保障（类）住房改革支出（款）</w:t>
      </w:r>
      <w:r>
        <w:rPr>
          <w:rFonts w:hint="eastAsia" w:ascii="仿宋" w:eastAsia="仿宋" w:cs="Times New Roman"/>
          <w:bCs/>
          <w:color w:val="000000"/>
          <w:sz w:val="32"/>
          <w:szCs w:val="32"/>
          <w:lang w:val="en-US" w:eastAsia="zh-CN"/>
        </w:rPr>
        <w:t>购房补贴</w:t>
      </w:r>
      <w:r>
        <w:rPr>
          <w:rFonts w:hint="eastAsia" w:ascii="仿宋" w:eastAsia="仿宋" w:cs="Times New Roman"/>
          <w:bCs/>
          <w:color w:val="000000"/>
          <w:sz w:val="32"/>
          <w:szCs w:val="32"/>
        </w:rPr>
        <w:t>（项）：支出决算为</w:t>
      </w:r>
      <w:r>
        <w:rPr>
          <w:rFonts w:hint="eastAsia" w:ascii="仿宋" w:eastAsia="仿宋" w:cs="Times New Roman"/>
          <w:bCs/>
          <w:color w:val="000000"/>
          <w:sz w:val="32"/>
          <w:szCs w:val="32"/>
          <w:lang w:val="en-US" w:eastAsia="zh-CN"/>
        </w:rPr>
        <w:t>1</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val="en-US" w:eastAsia="zh-CN"/>
        </w:rPr>
        <w:t>。</w:t>
      </w:r>
    </w:p>
    <w:p>
      <w:pPr>
        <w:spacing w:line="600" w:lineRule="exact"/>
        <w:ind w:firstLine="640" w:firstLineChars="200"/>
        <w:outlineLvl w:val="2"/>
        <w:rPr>
          <w:rStyle w:val="36"/>
          <w:rFonts w:ascii="Times New Roman" w:hAnsi="Times New Roman" w:cs="Times New Roman"/>
        </w:rPr>
      </w:pPr>
      <w:bookmarkStart w:id="78" w:name="_Toc32447_WPSOffice_Level2"/>
      <w:r>
        <w:rPr>
          <w:rFonts w:ascii="Times New Roman" w:hAnsi="Times New Roman" w:eastAsia="黑体" w:cs="Times New Roman"/>
          <w:sz w:val="32"/>
          <w:szCs w:val="32"/>
        </w:rPr>
        <w:t>六</w:t>
      </w:r>
      <w:r>
        <w:rPr>
          <w:rFonts w:ascii="Times New Roman" w:hAnsi="Times New Roman" w:eastAsia="黑体" w:cs="Times New Roman"/>
          <w:b/>
          <w:sz w:val="32"/>
          <w:szCs w:val="32"/>
        </w:rPr>
        <w:t>、一</w:t>
      </w:r>
      <w:r>
        <w:rPr>
          <w:rStyle w:val="36"/>
          <w:rFonts w:ascii="Times New Roman" w:hAnsi="Times New Roman" w:eastAsia="黑体" w:cs="Times New Roman"/>
          <w:b w:val="0"/>
        </w:rPr>
        <w:t>般公共预算财政拨款基本支出决算情况说明</w:t>
      </w:r>
      <w:bookmarkEnd w:id="75"/>
      <w:bookmarkEnd w:id="76"/>
      <w:bookmarkEnd w:id="78"/>
      <w:r>
        <w:rPr>
          <w:rStyle w:val="36"/>
          <w:rFonts w:ascii="Times New Roman" w:hAnsi="Times New Roman" w:eastAsia="黑体" w:cs="Times New Roman"/>
          <w:b w:val="0"/>
        </w:rPr>
        <w:tab/>
      </w:r>
      <w:bookmarkEnd w:id="77"/>
    </w:p>
    <w:p>
      <w:pPr>
        <w:spacing w:line="600" w:lineRule="exact"/>
        <w:ind w:firstLine="645"/>
        <w:rPr>
          <w:rFonts w:ascii="仿宋" w:eastAsia="仿宋"/>
          <w:color w:val="000000"/>
          <w:sz w:val="32"/>
          <w:szCs w:val="32"/>
        </w:rPr>
      </w:pPr>
      <w:bookmarkStart w:id="79" w:name="_Toc26843618"/>
      <w:bookmarkStart w:id="80" w:name="_Toc15377215"/>
      <w:bookmarkStart w:id="81" w:name="_Toc15396609"/>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年一般公共预算财政拨款基本支出</w:t>
      </w:r>
      <w:r>
        <w:rPr>
          <w:rFonts w:hint="eastAsia" w:ascii="仿宋_GB2312" w:eastAsia="仿宋_GB2312"/>
          <w:spacing w:val="-2"/>
          <w:sz w:val="32"/>
          <w:szCs w:val="32"/>
          <w:lang w:val="en-US" w:eastAsia="zh-CN"/>
        </w:rPr>
        <w:t>323.47</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309.91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61.28</w:t>
      </w:r>
      <w:r>
        <w:rPr>
          <w:rFonts w:hint="eastAsia" w:ascii="仿宋" w:eastAsia="仿宋"/>
          <w:color w:val="000000"/>
          <w:sz w:val="32"/>
          <w:szCs w:val="32"/>
        </w:rPr>
        <w:t>万元、津贴补贴</w:t>
      </w:r>
      <w:r>
        <w:rPr>
          <w:rFonts w:hint="eastAsia" w:ascii="仿宋" w:eastAsia="仿宋"/>
          <w:color w:val="000000"/>
          <w:sz w:val="32"/>
          <w:szCs w:val="32"/>
          <w:lang w:val="en-US" w:eastAsia="zh-CN"/>
        </w:rPr>
        <w:t>75.56</w:t>
      </w:r>
      <w:r>
        <w:rPr>
          <w:rFonts w:hint="eastAsia" w:ascii="仿宋" w:eastAsia="仿宋"/>
          <w:color w:val="000000"/>
          <w:sz w:val="32"/>
          <w:szCs w:val="32"/>
        </w:rPr>
        <w:t>万元、奖金</w:t>
      </w:r>
      <w:r>
        <w:rPr>
          <w:rFonts w:hint="eastAsia" w:ascii="仿宋" w:eastAsia="仿宋"/>
          <w:color w:val="000000"/>
          <w:sz w:val="32"/>
          <w:szCs w:val="32"/>
          <w:lang w:val="en-US" w:eastAsia="zh-CN"/>
        </w:rPr>
        <w:t>72.06</w:t>
      </w:r>
      <w:r>
        <w:rPr>
          <w:rFonts w:hint="eastAsia" w:ascii="仿宋" w:eastAsia="仿宋"/>
          <w:color w:val="000000"/>
          <w:sz w:val="32"/>
          <w:szCs w:val="32"/>
        </w:rPr>
        <w:t>万元、</w:t>
      </w:r>
      <w:r>
        <w:rPr>
          <w:rFonts w:hint="eastAsia" w:ascii="仿宋" w:eastAsia="仿宋"/>
          <w:color w:val="000000"/>
          <w:sz w:val="32"/>
          <w:szCs w:val="32"/>
          <w:lang w:val="en-US" w:eastAsia="zh-CN"/>
        </w:rPr>
        <w:t>绩效工资3.56万元、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30.05</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14.99</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14.51</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4.15</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3.29</w:t>
      </w:r>
      <w:r>
        <w:rPr>
          <w:rFonts w:hint="eastAsia" w:ascii="仿宋" w:eastAsia="仿宋"/>
          <w:color w:val="000000"/>
          <w:sz w:val="32"/>
          <w:szCs w:val="32"/>
        </w:rPr>
        <w:t>万元、住房公积金</w:t>
      </w:r>
      <w:r>
        <w:rPr>
          <w:rFonts w:hint="eastAsia" w:ascii="仿宋" w:eastAsia="仿宋"/>
          <w:color w:val="000000"/>
          <w:sz w:val="32"/>
          <w:szCs w:val="32"/>
          <w:lang w:val="en-US" w:eastAsia="zh-CN"/>
        </w:rPr>
        <w:t>24.26</w:t>
      </w:r>
      <w:r>
        <w:rPr>
          <w:rFonts w:hint="eastAsia" w:ascii="仿宋" w:eastAsia="仿宋"/>
          <w:color w:val="000000"/>
          <w:sz w:val="32"/>
          <w:szCs w:val="32"/>
        </w:rPr>
        <w:t>万元、生活补助</w:t>
      </w:r>
      <w:r>
        <w:rPr>
          <w:rFonts w:hint="eastAsia" w:ascii="仿宋" w:eastAsia="仿宋"/>
          <w:color w:val="000000"/>
          <w:sz w:val="32"/>
          <w:szCs w:val="32"/>
          <w:lang w:val="en-US" w:eastAsia="zh-CN"/>
        </w:rPr>
        <w:t>6.18</w:t>
      </w:r>
      <w:r>
        <w:rPr>
          <w:rFonts w:hint="eastAsia" w:ascii="仿宋" w:eastAsia="仿宋"/>
          <w:color w:val="000000"/>
          <w:sz w:val="32"/>
          <w:szCs w:val="32"/>
        </w:rPr>
        <w:t>万元、奖励金</w:t>
      </w:r>
      <w:r>
        <w:rPr>
          <w:rFonts w:hint="eastAsia" w:ascii="仿宋" w:eastAsia="仿宋"/>
          <w:color w:val="000000"/>
          <w:sz w:val="32"/>
          <w:szCs w:val="32"/>
          <w:lang w:val="en-US" w:eastAsia="zh-CN"/>
        </w:rPr>
        <w:t>0.01</w:t>
      </w:r>
      <w:r>
        <w:rPr>
          <w:rFonts w:hint="eastAsia" w:ascii="仿宋" w:eastAsia="仿宋"/>
          <w:color w:val="000000"/>
          <w:sz w:val="32"/>
          <w:szCs w:val="32"/>
        </w:rPr>
        <w:t>万元等。</w:t>
      </w:r>
    </w:p>
    <w:p>
      <w:pPr>
        <w:pageBreakBefore w:val="0"/>
        <w:widowControl w:val="0"/>
        <w:kinsoku/>
        <w:wordWrap/>
        <w:overflowPunct/>
        <w:topLinePunct w:val="0"/>
        <w:bidi w:val="0"/>
        <w:spacing w:line="576" w:lineRule="exact"/>
        <w:ind w:firstLine="640"/>
        <w:outlineLvl w:val="1"/>
        <w:rPr>
          <w:rFonts w:hint="eastAsia"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13.56</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1.86</w:t>
      </w:r>
      <w:r>
        <w:rPr>
          <w:rFonts w:hint="eastAsia" w:ascii="仿宋" w:eastAsia="仿宋"/>
          <w:color w:val="000000"/>
          <w:sz w:val="32"/>
          <w:szCs w:val="32"/>
        </w:rPr>
        <w:t>万元、</w:t>
      </w:r>
      <w:r>
        <w:rPr>
          <w:rFonts w:hint="eastAsia" w:ascii="仿宋" w:eastAsia="仿宋"/>
          <w:color w:val="000000"/>
          <w:sz w:val="32"/>
          <w:szCs w:val="32"/>
          <w:lang w:val="en-US" w:eastAsia="zh-CN"/>
        </w:rPr>
        <w:t>水费0.24万元、邮电费1.26万元、</w:t>
      </w:r>
      <w:r>
        <w:rPr>
          <w:rFonts w:hint="eastAsia" w:ascii="仿宋" w:eastAsia="仿宋"/>
          <w:color w:val="000000"/>
          <w:sz w:val="32"/>
          <w:szCs w:val="32"/>
        </w:rPr>
        <w:t>差旅费</w:t>
      </w:r>
      <w:r>
        <w:rPr>
          <w:rFonts w:hint="eastAsia" w:ascii="仿宋" w:eastAsia="仿宋"/>
          <w:color w:val="000000"/>
          <w:sz w:val="32"/>
          <w:szCs w:val="32"/>
          <w:lang w:val="en-US" w:eastAsia="zh-CN"/>
        </w:rPr>
        <w:t>1.96</w:t>
      </w:r>
      <w:r>
        <w:rPr>
          <w:rFonts w:hint="eastAsia" w:ascii="仿宋" w:eastAsia="仿宋"/>
          <w:color w:val="000000"/>
          <w:sz w:val="32"/>
          <w:szCs w:val="32"/>
        </w:rPr>
        <w:t>万元、公务接待费</w:t>
      </w:r>
      <w:r>
        <w:rPr>
          <w:rFonts w:hint="eastAsia" w:ascii="仿宋" w:eastAsia="仿宋"/>
          <w:color w:val="000000"/>
          <w:sz w:val="32"/>
          <w:szCs w:val="32"/>
          <w:lang w:val="en-US" w:eastAsia="zh-CN"/>
        </w:rPr>
        <w:t>0.3</w:t>
      </w:r>
      <w:r>
        <w:rPr>
          <w:rFonts w:hint="eastAsia" w:ascii="仿宋" w:eastAsia="仿宋"/>
          <w:color w:val="000000"/>
          <w:sz w:val="32"/>
          <w:szCs w:val="32"/>
        </w:rPr>
        <w:t>万元、</w:t>
      </w:r>
      <w:r>
        <w:rPr>
          <w:rFonts w:hint="eastAsia" w:ascii="仿宋" w:eastAsia="仿宋"/>
          <w:color w:val="000000"/>
          <w:sz w:val="32"/>
          <w:szCs w:val="32"/>
          <w:lang w:eastAsia="zh-CN"/>
        </w:rPr>
        <w:t>劳务</w:t>
      </w:r>
      <w:r>
        <w:rPr>
          <w:rFonts w:hint="eastAsia" w:ascii="仿宋" w:eastAsia="仿宋"/>
          <w:color w:val="000000"/>
          <w:sz w:val="32"/>
          <w:szCs w:val="32"/>
        </w:rPr>
        <w:t>费</w:t>
      </w:r>
      <w:r>
        <w:rPr>
          <w:rFonts w:hint="eastAsia" w:ascii="仿宋" w:eastAsia="仿宋"/>
          <w:color w:val="000000"/>
          <w:sz w:val="32"/>
          <w:szCs w:val="32"/>
          <w:lang w:val="en-US" w:eastAsia="zh-CN"/>
        </w:rPr>
        <w:t>4.95</w:t>
      </w:r>
      <w:r>
        <w:rPr>
          <w:rFonts w:hint="eastAsia" w:ascii="仿宋" w:eastAsia="仿宋"/>
          <w:color w:val="000000"/>
          <w:sz w:val="32"/>
          <w:szCs w:val="32"/>
        </w:rPr>
        <w:t>万元、</w:t>
      </w:r>
      <w:r>
        <w:rPr>
          <w:rFonts w:hint="eastAsia" w:ascii="仿宋" w:eastAsia="仿宋"/>
          <w:color w:val="000000"/>
          <w:sz w:val="32"/>
          <w:szCs w:val="32"/>
          <w:lang w:val="en-US" w:eastAsia="zh-CN"/>
        </w:rPr>
        <w:t>公务用车运行维护费3</w:t>
      </w:r>
      <w:r>
        <w:rPr>
          <w:rFonts w:hint="eastAsia" w:ascii="仿宋" w:eastAsia="仿宋"/>
          <w:color w:val="000000"/>
          <w:sz w:val="32"/>
          <w:szCs w:val="32"/>
        </w:rPr>
        <w:t>万元。</w:t>
      </w:r>
    </w:p>
    <w:p>
      <w:pPr>
        <w:pageBreakBefore w:val="0"/>
        <w:widowControl w:val="0"/>
        <w:kinsoku/>
        <w:wordWrap/>
        <w:overflowPunct/>
        <w:topLinePunct w:val="0"/>
        <w:bidi w:val="0"/>
        <w:spacing w:line="576" w:lineRule="exact"/>
        <w:ind w:firstLine="640"/>
        <w:outlineLvl w:val="1"/>
        <w:rPr>
          <w:rStyle w:val="36"/>
          <w:rFonts w:ascii="Times New Roman" w:hAnsi="Times New Roman" w:eastAsia="黑体" w:cs="Times New Roman"/>
          <w:b w:val="0"/>
        </w:rPr>
      </w:pPr>
      <w:bookmarkStart w:id="82" w:name="_Toc11652_WPSOffice_Level2"/>
      <w:r>
        <w:rPr>
          <w:rFonts w:ascii="Times New Roman" w:hAnsi="Times New Roman" w:eastAsia="黑体" w:cs="Times New Roman"/>
          <w:sz w:val="32"/>
          <w:szCs w:val="32"/>
        </w:rPr>
        <w:t>七、</w:t>
      </w:r>
      <w:r>
        <w:rPr>
          <w:rStyle w:val="36"/>
          <w:rFonts w:ascii="Times New Roman" w:hAnsi="Times New Roman" w:eastAsia="黑体" w:cs="Times New Roman"/>
        </w:rPr>
        <w:t>“</w:t>
      </w:r>
      <w:r>
        <w:rPr>
          <w:rStyle w:val="36"/>
          <w:rFonts w:ascii="Times New Roman" w:hAnsi="Times New Roman" w:eastAsia="黑体" w:cs="Times New Roman"/>
          <w:b w:val="0"/>
        </w:rPr>
        <w:t>三公”经费财政拨款支出决算情况说明</w:t>
      </w:r>
      <w:bookmarkEnd w:id="79"/>
      <w:bookmarkEnd w:id="80"/>
      <w:bookmarkEnd w:id="81"/>
      <w:bookmarkEnd w:id="82"/>
    </w:p>
    <w:p>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bookmarkStart w:id="83" w:name="_Toc15377216"/>
      <w:r>
        <w:rPr>
          <w:rFonts w:ascii="Times New Roman" w:hAnsi="Times New Roman" w:eastAsia="仿宋" w:cs="Times New Roman"/>
          <w:b/>
          <w:sz w:val="32"/>
          <w:szCs w:val="32"/>
        </w:rPr>
        <w:t>（一）“三公”经费财政拨款支出决算总体情况说明</w:t>
      </w:r>
      <w:bookmarkEnd w:id="83"/>
    </w:p>
    <w:p>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3.3</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bookmarkStart w:id="84" w:name="_Toc15377217"/>
      <w:r>
        <w:rPr>
          <w:rFonts w:ascii="Times New Roman" w:hAnsi="Times New Roman" w:eastAsia="仿宋" w:cs="Times New Roman"/>
          <w:b/>
          <w:sz w:val="32"/>
          <w:szCs w:val="32"/>
        </w:rPr>
        <w:t>（二）“三公”经费财政拨款支出决算具体情况说明</w:t>
      </w:r>
      <w:bookmarkEnd w:id="84"/>
    </w:p>
    <w:p>
      <w:pPr>
        <w:spacing w:line="600" w:lineRule="exact"/>
        <w:ind w:firstLine="640"/>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3.3</w:t>
      </w:r>
      <w:r>
        <w:rPr>
          <w:rFonts w:hint="eastAsia" w:ascii="仿宋" w:eastAsia="仿宋"/>
          <w:sz w:val="32"/>
          <w:szCs w:val="32"/>
        </w:rPr>
        <w:t>万元</w:t>
      </w:r>
      <w:r>
        <w:rPr>
          <w:rFonts w:hint="eastAsia" w:ascii="仿宋" w:eastAsia="仿宋"/>
          <w:color w:val="000000"/>
          <w:sz w:val="32"/>
          <w:szCs w:val="32"/>
        </w:rPr>
        <w:t>，其中：因公出国（境）费支出决算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3</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；公务接待费支出决算0.</w:t>
      </w:r>
      <w:r>
        <w:rPr>
          <w:rFonts w:hint="eastAsia" w:ascii="仿宋" w:eastAsia="仿宋"/>
          <w:color w:val="000000"/>
          <w:sz w:val="32"/>
          <w:szCs w:val="32"/>
          <w:lang w:val="en-US" w:eastAsia="zh-CN"/>
        </w:rPr>
        <w:t>3</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pStyle w:val="2"/>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67456" behindDoc="1" locked="0" layoutInCell="1" allowOverlap="1">
            <wp:simplePos x="0" y="0"/>
            <wp:positionH relativeFrom="column">
              <wp:posOffset>425450</wp:posOffset>
            </wp:positionH>
            <wp:positionV relativeFrom="paragraph">
              <wp:posOffset>6350</wp:posOffset>
            </wp:positionV>
            <wp:extent cx="4138295" cy="1816100"/>
            <wp:effectExtent l="4445" t="4445" r="10160" b="8255"/>
            <wp:wrapNone/>
            <wp:docPr id="6"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rPr>
          <w:rFonts w:hint="eastAsia" w:ascii="仿宋" w:eastAsia="仿宋"/>
          <w:color w:val="000000"/>
          <w:sz w:val="32"/>
          <w:szCs w:val="32"/>
        </w:rPr>
      </w:pPr>
    </w:p>
    <w:p>
      <w:pPr>
        <w:pStyle w:val="2"/>
        <w:rPr>
          <w:rFonts w:hint="eastAsia" w:ascii="仿宋" w:eastAsia="仿宋"/>
          <w:color w:val="000000"/>
          <w:sz w:val="32"/>
          <w:szCs w:val="32"/>
        </w:rPr>
      </w:pPr>
    </w:p>
    <w:p>
      <w:pPr>
        <w:rPr>
          <w:rFonts w:hint="eastAsia"/>
        </w:rPr>
      </w:pPr>
    </w:p>
    <w:p>
      <w:pPr>
        <w:spacing w:line="600" w:lineRule="exact"/>
        <w:ind w:firstLine="640"/>
        <w:rPr>
          <w:rFonts w:hint="eastAsia" w:ascii="仿宋_GB2312" w:eastAsia="仿宋_GB2312"/>
          <w:b/>
          <w:color w:val="000000"/>
          <w:sz w:val="32"/>
          <w:szCs w:val="32"/>
        </w:rPr>
      </w:pPr>
    </w:p>
    <w:p>
      <w:pPr>
        <w:spacing w:line="600" w:lineRule="exact"/>
        <w:ind w:firstLine="640"/>
        <w:rPr>
          <w:rFonts w:ascii="仿宋_GB2312" w:eastAsia="仿宋_GB2312"/>
          <w:color w:val="000000"/>
          <w:sz w:val="32"/>
          <w:szCs w:val="32"/>
        </w:rPr>
      </w:pPr>
      <w:bookmarkStart w:id="85" w:name="_Toc26843619"/>
      <w:bookmarkStart w:id="86" w:name="_Toc15377218"/>
      <w:bookmarkStart w:id="87" w:name="_Toc15396610"/>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7"/>
          <w:rFonts w:hint="eastAsia" w:ascii="仿宋" w:eastAsia="仿宋"/>
          <w:bCs/>
          <w:color w:val="000000"/>
          <w:sz w:val="32"/>
          <w:szCs w:val="32"/>
        </w:rPr>
        <w:t>完成预算</w:t>
      </w:r>
      <w:r>
        <w:rPr>
          <w:rStyle w:val="17"/>
          <w:rFonts w:ascii="仿宋" w:eastAsia="仿宋"/>
          <w:bCs/>
          <w:color w:val="000000"/>
          <w:sz w:val="32"/>
          <w:szCs w:val="32"/>
        </w:rPr>
        <w:t>0%</w:t>
      </w:r>
      <w:r>
        <w:rPr>
          <w:rStyle w:val="17"/>
          <w:rFonts w:hint="eastAsia" w:ascii="仿宋" w:eastAsia="仿宋"/>
          <w:bCs/>
          <w:color w:val="000000"/>
          <w:sz w:val="32"/>
          <w:szCs w:val="32"/>
        </w:rPr>
        <w:t>。</w:t>
      </w:r>
      <w:r>
        <w:rPr>
          <w:rFonts w:hint="eastAsia" w:ascii="仿宋_GB2312" w:eastAsia="仿宋_GB2312"/>
          <w:sz w:val="32"/>
          <w:szCs w:val="32"/>
        </w:rPr>
        <w:t>全年安排因公出国（境）团组</w:t>
      </w:r>
      <w:r>
        <w:rPr>
          <w:rFonts w:ascii="仿宋_GB2312" w:eastAsia="仿宋_GB2312"/>
          <w:sz w:val="32"/>
          <w:szCs w:val="32"/>
        </w:rPr>
        <w:t>0</w:t>
      </w:r>
      <w:r>
        <w:rPr>
          <w:rFonts w:hint="eastAsia" w:ascii="仿宋_GB2312" w:eastAsia="仿宋_GB2312"/>
          <w:sz w:val="32"/>
          <w:szCs w:val="32"/>
        </w:rPr>
        <w:t>次，出国（境）</w:t>
      </w:r>
      <w:r>
        <w:rPr>
          <w:rFonts w:ascii="仿宋_GB2312" w:eastAsia="仿宋_GB2312"/>
          <w:sz w:val="32"/>
          <w:szCs w:val="32"/>
        </w:rPr>
        <w:t>0</w:t>
      </w:r>
      <w:r>
        <w:rPr>
          <w:rFonts w:hint="eastAsia" w:ascii="仿宋_GB2312" w:eastAsia="仿宋_GB2312"/>
          <w:sz w:val="32"/>
          <w:szCs w:val="32"/>
        </w:rPr>
        <w:t>人。因</w:t>
      </w:r>
      <w:r>
        <w:rPr>
          <w:rFonts w:hint="eastAsia" w:ascii="仿宋_GB2312" w:eastAsia="仿宋_GB2312"/>
          <w:color w:val="000000"/>
          <w:sz w:val="32"/>
          <w:szCs w:val="32"/>
        </w:rPr>
        <w:t>公出国（境）支出决算比202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s="仿宋"/>
          <w:color w:val="000000"/>
          <w:sz w:val="32"/>
          <w:szCs w:val="32"/>
        </w:rPr>
        <w:t>增加</w:t>
      </w:r>
      <w:r>
        <w:rPr>
          <w:rFonts w:ascii="仿宋_GB2312" w:eastAsia="仿宋_GB2312" w:cs="仿宋"/>
          <w:color w:val="000000"/>
          <w:sz w:val="32"/>
          <w:szCs w:val="32"/>
        </w:rPr>
        <w:t>0</w:t>
      </w:r>
      <w:r>
        <w:rPr>
          <w:rFonts w:hint="eastAsia" w:ascii="仿宋_GB2312" w:eastAsia="仿宋_GB2312" w:cs="仿宋"/>
          <w:color w:val="000000"/>
          <w:sz w:val="32"/>
          <w:szCs w:val="32"/>
        </w:rPr>
        <w:t>万元。</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7"/>
          <w:rFonts w:hint="eastAsia" w:ascii="仿宋" w:eastAsia="仿宋"/>
          <w:bCs/>
          <w:color w:val="000000"/>
          <w:sz w:val="32"/>
          <w:szCs w:val="32"/>
        </w:rPr>
        <w:t>完成预算</w:t>
      </w:r>
      <w:r>
        <w:rPr>
          <w:rStyle w:val="17"/>
          <w:rFonts w:hint="eastAsia" w:ascii="仿宋" w:eastAsia="仿宋"/>
          <w:bCs/>
          <w:color w:val="000000"/>
          <w:sz w:val="32"/>
          <w:szCs w:val="32"/>
          <w:lang w:val="en-US" w:eastAsia="zh-CN"/>
        </w:rPr>
        <w:t>0</w:t>
      </w:r>
      <w:r>
        <w:rPr>
          <w:rStyle w:val="17"/>
          <w:rFonts w:ascii="仿宋" w:eastAsia="仿宋"/>
          <w:bCs/>
          <w:color w:val="000000"/>
          <w:sz w:val="32"/>
          <w:szCs w:val="32"/>
        </w:rPr>
        <w:t>%</w:t>
      </w:r>
      <w:r>
        <w:rPr>
          <w:rStyle w:val="17"/>
          <w:rFonts w:hint="eastAsia" w:ascii="仿宋" w:eastAsia="仿宋"/>
          <w:bCs/>
          <w:color w:val="000000"/>
          <w:sz w:val="32"/>
          <w:szCs w:val="32"/>
        </w:rPr>
        <w:t>。</w:t>
      </w:r>
      <w:r>
        <w:rPr>
          <w:rFonts w:hint="eastAsia" w:ascii="仿宋_GB2312" w:eastAsia="仿宋_GB2312"/>
          <w:color w:val="000000"/>
          <w:sz w:val="32"/>
          <w:szCs w:val="32"/>
        </w:rPr>
        <w:t>公务用车购置及运行维护费支出决算比202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r>
        <w:rPr>
          <w:rFonts w:hint="eastAsia" w:ascii="仿宋" w:eastAsia="仿宋"/>
          <w:color w:val="000000"/>
          <w:sz w:val="32"/>
          <w:szCs w:val="32"/>
          <w:lang w:val="en-US" w:eastAsia="zh-CN"/>
        </w:rPr>
        <w:t>42.88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原因为</w:t>
      </w:r>
      <w:r>
        <w:rPr>
          <w:rFonts w:hint="eastAsia" w:ascii="仿宋_GB2312" w:eastAsia="仿宋_GB2312"/>
          <w:color w:val="000000"/>
          <w:sz w:val="32"/>
          <w:szCs w:val="32"/>
          <w:lang w:val="en-US" w:eastAsia="zh-CN"/>
        </w:rPr>
        <w:t>今年没有购置</w:t>
      </w:r>
      <w:r>
        <w:rPr>
          <w:rFonts w:hint="eastAsia" w:ascii="仿宋" w:eastAsia="仿宋"/>
          <w:color w:val="000000"/>
          <w:sz w:val="32"/>
          <w:szCs w:val="32"/>
          <w:lang w:eastAsia="zh-CN"/>
        </w:rPr>
        <w:t>公务用车</w:t>
      </w:r>
      <w:r>
        <w:rPr>
          <w:rFonts w:hint="eastAsia" w:ascii="仿宋_GB2312" w:eastAsia="仿宋_GB2312"/>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今年购置公务用车0辆</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辆、应急保障用车辆、执法执勤用车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3</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1"/>
        </w:numPr>
        <w:spacing w:line="600" w:lineRule="exact"/>
        <w:ind w:left="0"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w:t>
      </w:r>
      <w:r>
        <w:rPr>
          <w:rStyle w:val="17"/>
          <w:rFonts w:hint="eastAsia" w:ascii="仿宋" w:eastAsia="仿宋"/>
          <w:bCs/>
          <w:color w:val="000000"/>
          <w:sz w:val="32"/>
          <w:szCs w:val="32"/>
        </w:rPr>
        <w:t>完成预算</w:t>
      </w:r>
      <w:r>
        <w:rPr>
          <w:rStyle w:val="17"/>
          <w:rFonts w:ascii="仿宋" w:eastAsia="仿宋"/>
          <w:bCs/>
          <w:color w:val="000000"/>
          <w:sz w:val="32"/>
          <w:szCs w:val="32"/>
        </w:rPr>
        <w:t>100%</w:t>
      </w:r>
      <w:r>
        <w:rPr>
          <w:rStyle w:val="17"/>
          <w:rFonts w:hint="eastAsia" w:ascii="仿宋" w:eastAsia="仿宋"/>
          <w:bCs/>
          <w:color w:val="000000"/>
          <w:sz w:val="32"/>
          <w:szCs w:val="32"/>
        </w:rPr>
        <w:t>。</w:t>
      </w:r>
      <w:r>
        <w:rPr>
          <w:rFonts w:hint="eastAsia" w:ascii="仿宋_GB2312" w:eastAsia="仿宋_GB2312" w:cs="仿宋"/>
          <w:color w:val="000000"/>
          <w:sz w:val="32"/>
          <w:szCs w:val="32"/>
        </w:rPr>
        <w:t>公务接待费</w:t>
      </w:r>
      <w:r>
        <w:rPr>
          <w:rFonts w:ascii="仿宋_GB2312" w:eastAsia="仿宋_GB2312" w:cs="仿宋"/>
          <w:color w:val="000000"/>
          <w:sz w:val="32"/>
          <w:szCs w:val="32"/>
        </w:rPr>
        <w:t>0.</w:t>
      </w:r>
      <w:r>
        <w:rPr>
          <w:rFonts w:hint="eastAsia" w:ascii="仿宋_GB2312" w:eastAsia="仿宋_GB2312" w:cs="仿宋"/>
          <w:color w:val="000000"/>
          <w:sz w:val="32"/>
          <w:szCs w:val="32"/>
          <w:lang w:val="en-US" w:eastAsia="zh-CN"/>
        </w:rPr>
        <w:t>3</w:t>
      </w:r>
      <w:r>
        <w:rPr>
          <w:rFonts w:hint="eastAsia" w:ascii="仿宋_GB2312" w:eastAsia="仿宋_GB2312" w:cs="仿宋"/>
          <w:color w:val="000000"/>
          <w:sz w:val="32"/>
          <w:szCs w:val="32"/>
        </w:rPr>
        <w:t>万元，较上年减少</w:t>
      </w:r>
      <w:r>
        <w:rPr>
          <w:rFonts w:ascii="仿宋_GB2312" w:eastAsia="仿宋_GB2312" w:cs="仿宋"/>
          <w:color w:val="000000"/>
          <w:sz w:val="32"/>
          <w:szCs w:val="32"/>
        </w:rPr>
        <w:t>0.</w:t>
      </w:r>
      <w:r>
        <w:rPr>
          <w:rFonts w:hint="eastAsia" w:ascii="仿宋_GB2312" w:eastAsia="仿宋_GB2312" w:cs="仿宋"/>
          <w:color w:val="000000"/>
          <w:sz w:val="32"/>
          <w:szCs w:val="32"/>
          <w:lang w:val="en-US" w:eastAsia="zh-CN"/>
        </w:rPr>
        <w:t>01</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val="en-US" w:eastAsia="zh-CN"/>
        </w:rPr>
        <w:t>增加3.57</w:t>
      </w:r>
      <w:r>
        <w:rPr>
          <w:rFonts w:ascii="仿宋_GB2312" w:eastAsia="仿宋_GB2312" w:cs="仿宋"/>
          <w:color w:val="000000"/>
          <w:sz w:val="32"/>
          <w:szCs w:val="32"/>
        </w:rPr>
        <w:t>%</w:t>
      </w:r>
      <w:r>
        <w:rPr>
          <w:rFonts w:hint="eastAsia" w:ascii="仿宋_GB2312" w:eastAsia="仿宋_GB2312" w:cs="仿宋"/>
          <w:color w:val="000000"/>
          <w:sz w:val="32"/>
          <w:szCs w:val="32"/>
        </w:rPr>
        <w:t>，</w:t>
      </w:r>
      <w:r>
        <w:rPr>
          <w:rFonts w:hint="eastAsia" w:ascii="仿宋_GB2312" w:eastAsia="仿宋_GB2312" w:cs="仿宋"/>
          <w:color w:val="000000"/>
          <w:sz w:val="32"/>
          <w:szCs w:val="32"/>
          <w:lang w:val="en-US" w:eastAsia="zh-CN"/>
        </w:rPr>
        <w:t>增加</w:t>
      </w:r>
      <w:r>
        <w:rPr>
          <w:rFonts w:hint="eastAsia" w:ascii="仿宋_GB2312" w:eastAsia="仿宋_GB2312" w:cs="仿宋"/>
          <w:color w:val="000000"/>
          <w:sz w:val="32"/>
          <w:szCs w:val="32"/>
        </w:rPr>
        <w:t>原因</w:t>
      </w:r>
      <w:r>
        <w:rPr>
          <w:rFonts w:hint="eastAsia" w:ascii="仿宋_GB2312" w:eastAsia="仿宋_GB2312" w:cs="仿宋"/>
          <w:color w:val="000000"/>
          <w:sz w:val="32"/>
          <w:szCs w:val="32"/>
          <w:lang w:val="en-US" w:eastAsia="zh-CN"/>
        </w:rPr>
        <w:t>今年接待人数增加</w:t>
      </w:r>
      <w:r>
        <w:rPr>
          <w:rFonts w:hint="eastAsia" w:ascii="仿宋_GB2312" w:eastAsia="仿宋_GB2312" w:cs="仿宋"/>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w:t>
      </w:r>
    </w:p>
    <w:p>
      <w:pPr>
        <w:pageBreakBefore w:val="0"/>
        <w:widowControl w:val="0"/>
        <w:kinsoku/>
        <w:wordWrap/>
        <w:overflowPunct/>
        <w:topLinePunct w:val="0"/>
        <w:bidi w:val="0"/>
        <w:spacing w:line="576"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76" w:lineRule="exact"/>
        <w:ind w:firstLine="640"/>
        <w:outlineLvl w:val="1"/>
        <w:rPr>
          <w:rStyle w:val="36"/>
          <w:rFonts w:ascii="Times New Roman" w:hAnsi="Times New Roman" w:eastAsia="黑体" w:cs="Times New Roman"/>
        </w:rPr>
      </w:pPr>
      <w:bookmarkStart w:id="88" w:name="_Toc27127_WPSOffice_Level2"/>
      <w:r>
        <w:rPr>
          <w:rFonts w:ascii="Times New Roman" w:hAnsi="Times New Roman" w:eastAsia="黑体" w:cs="Times New Roman"/>
          <w:sz w:val="32"/>
          <w:szCs w:val="32"/>
        </w:rPr>
        <w:t>八、</w:t>
      </w:r>
      <w:r>
        <w:rPr>
          <w:rStyle w:val="36"/>
          <w:rFonts w:ascii="Times New Roman" w:hAnsi="Times New Roman" w:eastAsia="黑体" w:cs="Times New Roman"/>
          <w:b w:val="0"/>
        </w:rPr>
        <w:t>政府性基金预算支出决算情况说明</w:t>
      </w:r>
      <w:bookmarkEnd w:id="85"/>
      <w:bookmarkEnd w:id="86"/>
      <w:bookmarkEnd w:id="87"/>
      <w:bookmarkEnd w:id="88"/>
    </w:p>
    <w:p>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年政府性基金预算财政拨款支出0万元。</w:t>
      </w:r>
    </w:p>
    <w:p>
      <w:pPr>
        <w:pageBreakBefore w:val="0"/>
        <w:widowControl w:val="0"/>
        <w:numPr>
          <w:ilvl w:val="0"/>
          <w:numId w:val="2"/>
        </w:numPr>
        <w:kinsoku/>
        <w:wordWrap/>
        <w:overflowPunct/>
        <w:topLinePunct w:val="0"/>
        <w:bidi w:val="0"/>
        <w:spacing w:line="576" w:lineRule="exact"/>
        <w:ind w:left="0" w:firstLine="640"/>
        <w:outlineLvl w:val="1"/>
        <w:rPr>
          <w:rStyle w:val="36"/>
          <w:rFonts w:ascii="Times New Roman" w:hAnsi="Times New Roman" w:eastAsia="黑体" w:cs="Times New Roman"/>
          <w:b w:val="0"/>
        </w:rPr>
      </w:pPr>
      <w:bookmarkStart w:id="89" w:name="_Toc15377219"/>
      <w:bookmarkStart w:id="90" w:name="_Toc15396611"/>
      <w:bookmarkStart w:id="91" w:name="_Toc26843620"/>
      <w:bookmarkStart w:id="92" w:name="_Toc397_WPSOffice_Level2"/>
      <w:r>
        <w:rPr>
          <w:rStyle w:val="36"/>
          <w:rFonts w:ascii="Times New Roman" w:hAnsi="Times New Roman" w:eastAsia="黑体" w:cs="Times New Roman"/>
          <w:b w:val="0"/>
        </w:rPr>
        <w:t>国有资本经营预算支出决算情况说明</w:t>
      </w:r>
      <w:bookmarkEnd w:id="89"/>
      <w:bookmarkEnd w:id="90"/>
      <w:bookmarkEnd w:id="91"/>
      <w:bookmarkEnd w:id="92"/>
    </w:p>
    <w:p>
      <w:pPr>
        <w:pageBreakBefore w:val="0"/>
        <w:widowControl w:val="0"/>
        <w:kinsoku/>
        <w:wordWrap/>
        <w:overflowPunct/>
        <w:topLinePunct w:val="0"/>
        <w:bidi w:val="0"/>
        <w:spacing w:line="576" w:lineRule="exact"/>
        <w:ind w:firstLine="640"/>
        <w:rPr>
          <w:rFonts w:ascii="Times New Roman" w:hAnsi="Times New Roman" w:eastAsia="方正小标宋简体" w:cs="Times New Roman"/>
          <w:sz w:val="44"/>
          <w:szCs w:val="44"/>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年国有资本经营预算财政拨款支出0万元。</w:t>
      </w:r>
    </w:p>
    <w:p>
      <w:pPr>
        <w:pageBreakBefore w:val="0"/>
        <w:widowControl w:val="0"/>
        <w:numPr>
          <w:ilvl w:val="0"/>
          <w:numId w:val="2"/>
        </w:numPr>
        <w:kinsoku/>
        <w:wordWrap/>
        <w:overflowPunct/>
        <w:topLinePunct w:val="0"/>
        <w:bidi w:val="0"/>
        <w:spacing w:line="576" w:lineRule="exact"/>
        <w:ind w:left="0" w:firstLine="640"/>
        <w:outlineLvl w:val="1"/>
        <w:rPr>
          <w:rStyle w:val="36"/>
          <w:rFonts w:ascii="Times New Roman" w:hAnsi="Times New Roman" w:eastAsia="黑体" w:cs="Times New Roman"/>
          <w:b w:val="0"/>
        </w:rPr>
      </w:pPr>
      <w:bookmarkStart w:id="93" w:name="_Toc15396612"/>
      <w:bookmarkStart w:id="94" w:name="_Toc15377221"/>
      <w:bookmarkStart w:id="95" w:name="_Toc26843621"/>
      <w:bookmarkStart w:id="96" w:name="_Toc7788_WPSOffice_Level2"/>
      <w:r>
        <w:rPr>
          <w:rStyle w:val="36"/>
          <w:rFonts w:ascii="Times New Roman" w:hAnsi="Times New Roman" w:eastAsia="黑体" w:cs="Times New Roman"/>
          <w:b w:val="0"/>
        </w:rPr>
        <w:t>其他重要事项的情况说明</w:t>
      </w:r>
      <w:bookmarkEnd w:id="93"/>
      <w:bookmarkEnd w:id="94"/>
      <w:bookmarkEnd w:id="95"/>
      <w:bookmarkEnd w:id="96"/>
    </w:p>
    <w:p>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sz w:val="32"/>
          <w:szCs w:val="32"/>
        </w:rPr>
      </w:pPr>
      <w:bookmarkStart w:id="97" w:name="_Toc15377222"/>
      <w:r>
        <w:rPr>
          <w:rFonts w:ascii="Times New Roman" w:hAnsi="Times New Roman" w:eastAsia="仿宋" w:cs="Times New Roman"/>
          <w:b/>
          <w:sz w:val="32"/>
          <w:szCs w:val="32"/>
        </w:rPr>
        <w:t>（一）机关运行经费支出情况</w:t>
      </w:r>
      <w:bookmarkEnd w:id="97"/>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年，我局运行经费支出</w:t>
      </w:r>
      <w:r>
        <w:rPr>
          <w:rFonts w:hint="eastAsia" w:ascii="仿宋_GB2312" w:eastAsia="仿宋_GB2312"/>
          <w:color w:val="000000"/>
          <w:sz w:val="32"/>
          <w:szCs w:val="32"/>
          <w:lang w:val="en-US" w:eastAsia="zh-CN"/>
        </w:rPr>
        <w:t>13.06</w:t>
      </w:r>
      <w:r>
        <w:rPr>
          <w:rFonts w:hint="eastAsia" w:ascii="仿宋_GB2312" w:eastAsia="仿宋_GB2312"/>
          <w:color w:val="000000"/>
          <w:sz w:val="32"/>
          <w:szCs w:val="32"/>
        </w:rPr>
        <w:t>万元，比202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增加0.91</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增加7.49%</w:t>
      </w:r>
      <w:r>
        <w:rPr>
          <w:rFonts w:hint="eastAsia" w:ascii="仿宋_GB2312" w:eastAsia="仿宋_GB2312"/>
          <w:sz w:val="32"/>
          <w:szCs w:val="32"/>
        </w:rPr>
        <w:t>主要原因为</w:t>
      </w:r>
      <w:r>
        <w:rPr>
          <w:rFonts w:hint="eastAsia" w:ascii="仿宋_GB2312" w:eastAsia="仿宋_GB2312"/>
          <w:sz w:val="32"/>
          <w:szCs w:val="32"/>
          <w:lang w:val="en-US" w:eastAsia="zh-CN"/>
        </w:rPr>
        <w:t>人员增加，公用经费增加</w:t>
      </w:r>
      <w:r>
        <w:rPr>
          <w:rFonts w:hint="eastAsia" w:ascii="仿宋_GB2312" w:eastAsia="仿宋_GB2312"/>
          <w:sz w:val="32"/>
          <w:szCs w:val="32"/>
        </w:rPr>
        <w:t>。</w:t>
      </w:r>
    </w:p>
    <w:p>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bookmarkStart w:id="98" w:name="_Toc15377223"/>
      <w:r>
        <w:rPr>
          <w:rFonts w:ascii="Times New Roman" w:hAnsi="Times New Roman" w:eastAsia="仿宋" w:cs="Times New Roman"/>
          <w:b/>
          <w:sz w:val="32"/>
          <w:szCs w:val="32"/>
        </w:rPr>
        <w:t>（二）政府采购支出情况</w:t>
      </w:r>
      <w:bookmarkEnd w:id="98"/>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341.33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1.33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政府采购工程支出260万元、政府采购服务支出80万元</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bookmarkStart w:id="99" w:name="_Toc15377224"/>
      <w:r>
        <w:rPr>
          <w:rFonts w:ascii="Times New Roman" w:hAnsi="Times New Roman" w:eastAsia="仿宋" w:cs="Times New Roman"/>
          <w:b/>
          <w:sz w:val="32"/>
          <w:szCs w:val="32"/>
        </w:rPr>
        <w:t>（三）国有资产占有使用情况</w:t>
      </w:r>
      <w:bookmarkEnd w:id="9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了金川县民族宗教局</w:t>
      </w:r>
      <w:r>
        <w:rPr>
          <w:rFonts w:hint="eastAsia" w:ascii="Times New Roman" w:hAnsi="Times New Roman" w:eastAsia="仿宋_GB2312" w:cs="仿宋_GB2312"/>
          <w:color w:val="auto"/>
          <w:kern w:val="2"/>
          <w:sz w:val="32"/>
          <w:szCs w:val="32"/>
          <w:highlight w:val="none"/>
          <w:lang w:val="en-US" w:eastAsia="zh-CN" w:bidi="ar-SA"/>
        </w:rPr>
        <w:t>部门整体绩效自评报告，部门整体（含部门预算项目）绩效自评得分为</w:t>
      </w:r>
      <w:r>
        <w:rPr>
          <w:rFonts w:hint="eastAsia" w:eastAsia="仿宋_GB2312" w:cs="仿宋_GB2312"/>
          <w:color w:val="auto"/>
          <w:kern w:val="2"/>
          <w:sz w:val="32"/>
          <w:szCs w:val="32"/>
          <w:highlight w:val="none"/>
          <w:lang w:val="en-US" w:eastAsia="zh-CN" w:bidi="ar-SA"/>
        </w:rPr>
        <w:t>94</w:t>
      </w:r>
      <w:r>
        <w:rPr>
          <w:rFonts w:hint="eastAsia" w:ascii="Times New Roman" w:hAnsi="Times New Roman" w:eastAsia="仿宋_GB2312" w:cs="仿宋_GB2312"/>
          <w:color w:val="auto"/>
          <w:kern w:val="2"/>
          <w:sz w:val="32"/>
          <w:szCs w:val="32"/>
          <w:highlight w:val="none"/>
          <w:lang w:val="en-US" w:eastAsia="zh-CN" w:bidi="ar-SA"/>
        </w:rPr>
        <w:t>分。绩效自评报告详见附件。</w:t>
      </w: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100" w:name="_Toc15377225"/>
      <w:bookmarkStart w:id="101" w:name="_Toc15396613"/>
      <w:bookmarkStart w:id="102" w:name="_Toc8819_WPSOffice_Level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100"/>
      <w:bookmarkEnd w:id="101"/>
      <w:bookmarkEnd w:id="102"/>
    </w:p>
    <w:p>
      <w:pPr>
        <w:spacing w:line="600" w:lineRule="exact"/>
        <w:jc w:val="left"/>
        <w:rPr>
          <w:rFonts w:ascii="Times New Roman" w:hAnsi="Times New Roman"/>
          <w:b/>
          <w:color w:val="auto"/>
          <w:sz w:val="44"/>
          <w:szCs w:val="44"/>
          <w:highlight w:val="none"/>
        </w:rPr>
      </w:pP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bookmarkStart w:id="103" w:name="_Toc15377226"/>
      <w:r>
        <w:rPr>
          <w:rFonts w:ascii="Times New Roman" w:hAnsi="Times New Roman" w:eastAsia="仿宋_GB2312" w:cs="Times New Roman"/>
          <w:color w:val="auto"/>
          <w:sz w:val="32"/>
          <w:szCs w:val="32"/>
        </w:rPr>
        <w:t>1.财政拨款收入：指单位从同级财政部门取得的财政预算资金。</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both"/>
        <w:outlineLvl w:val="0"/>
      </w:pPr>
    </w:p>
    <w:p>
      <w:pPr>
        <w:spacing w:line="600" w:lineRule="exact"/>
        <w:jc w:val="center"/>
        <w:rPr>
          <w:rStyle w:val="29"/>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104" w:name="_Toc15396614"/>
      <w:bookmarkStart w:id="105" w:name="_Toc13504_WPSOffice_Level1"/>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04"/>
      <w:bookmarkEnd w:id="105"/>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pageBreakBefore w:val="0"/>
        <w:widowControl/>
        <w:kinsoku/>
        <w:wordWrap/>
        <w:overflowPunct/>
        <w:topLinePunct w:val="0"/>
        <w:autoSpaceDE/>
        <w:autoSpaceDN/>
        <w:bidi w:val="0"/>
        <w:spacing w:line="560" w:lineRule="exact"/>
        <w:contextualSpacing/>
        <w:jc w:val="center"/>
        <w:textAlignment w:val="auto"/>
        <w:rPr>
          <w:rFonts w:eastAsia="方正小标宋简体"/>
          <w:bCs/>
          <w:sz w:val="44"/>
          <w:szCs w:val="44"/>
          <w:shd w:val="clear" w:color="auto" w:fill="FFFFFF"/>
        </w:rPr>
      </w:pPr>
      <w:bookmarkStart w:id="106" w:name="_Toc32157_WPSOffice_Level2"/>
      <w:bookmarkStart w:id="107" w:name="_Hlk110546638"/>
      <w:r>
        <w:rPr>
          <w:rFonts w:hint="eastAsia" w:eastAsia="方正小标宋简体"/>
          <w:bCs/>
          <w:sz w:val="44"/>
          <w:szCs w:val="44"/>
          <w:shd w:val="clear" w:color="auto" w:fill="FFFFFF"/>
        </w:rPr>
        <w:t>金川县民族宗教局</w:t>
      </w:r>
      <w:bookmarkEnd w:id="106"/>
    </w:p>
    <w:p>
      <w:pPr>
        <w:pageBreakBefore w:val="0"/>
        <w:widowControl/>
        <w:kinsoku/>
        <w:wordWrap/>
        <w:overflowPunct/>
        <w:topLinePunct w:val="0"/>
        <w:autoSpaceDE/>
        <w:autoSpaceDN/>
        <w:bidi w:val="0"/>
        <w:spacing w:line="560" w:lineRule="exact"/>
        <w:contextualSpacing/>
        <w:jc w:val="center"/>
        <w:textAlignment w:val="auto"/>
        <w:rPr>
          <w:rFonts w:eastAsia="方正小标宋简体"/>
          <w:bCs/>
          <w:sz w:val="44"/>
          <w:szCs w:val="44"/>
          <w:shd w:val="clear" w:color="auto" w:fill="FFFFFF"/>
        </w:rPr>
      </w:pPr>
      <w:bookmarkStart w:id="108" w:name="_Toc23694_WPSOffice_Level2"/>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bookmarkEnd w:id="108"/>
    </w:p>
    <w:p>
      <w:pPr>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eastAsia="黑体"/>
          <w:color w:val="000000"/>
          <w:kern w:val="0"/>
          <w:sz w:val="24"/>
          <w:szCs w:val="32"/>
          <w:shd w:val="clear" w:color="auto" w:fill="FFFFFF"/>
        </w:rPr>
      </w:pP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bookmarkStart w:id="109" w:name="_Toc12383_WPSOffice_Level2"/>
      <w:r>
        <w:rPr>
          <w:rFonts w:hint="eastAsia" w:ascii="Times New Roman" w:hAnsi="Times New Roman" w:eastAsia="仿宋_GB2312" w:cs="Times New Roman"/>
          <w:color w:val="auto"/>
          <w:kern w:val="0"/>
          <w:sz w:val="32"/>
          <w:szCs w:val="32"/>
          <w:lang w:val="zh-CN" w:eastAsia="zh-CN" w:bidi="ar-SA"/>
        </w:rPr>
        <w:t>一、</w:t>
      </w:r>
      <w:r>
        <w:rPr>
          <w:rFonts w:ascii="Times New Roman" w:hAnsi="Times New Roman" w:eastAsia="仿宋_GB2312" w:cs="Times New Roman"/>
          <w:color w:val="auto"/>
          <w:kern w:val="0"/>
          <w:sz w:val="32"/>
          <w:szCs w:val="32"/>
          <w:lang w:val="zh-CN" w:eastAsia="zh-CN" w:bidi="ar-SA"/>
        </w:rPr>
        <w:t>部门（单位）基本情况</w:t>
      </w:r>
      <w:bookmarkEnd w:id="109"/>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zh-CN" w:eastAsia="zh-CN" w:bidi="ar-SA"/>
        </w:rPr>
        <w:t>（一）</w:t>
      </w:r>
      <w:r>
        <w:rPr>
          <w:rFonts w:ascii="Times New Roman" w:hAnsi="Times New Roman" w:eastAsia="仿宋_GB2312" w:cs="Times New Roman"/>
          <w:color w:val="auto"/>
          <w:kern w:val="0"/>
          <w:sz w:val="32"/>
          <w:szCs w:val="32"/>
          <w:lang w:val="zh-CN" w:eastAsia="zh-CN" w:bidi="ar-SA"/>
        </w:rPr>
        <w:t>机构组成</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金川县民族宗教局是县级政府的政府组成部门。2024年单位机构数为2个，其中行政单位1个（金川县民族宗教局），股所级事业单位1个（金川县民族团结服务中心）。</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（二）机构职能</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以推动民族团结为重点，深入推进“一法两规一条例”和党的二十大精神的学习宣传和贯彻执行。</w:t>
      </w:r>
    </w:p>
    <w:p>
      <w:pPr>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w:t>
      </w:r>
      <w:r>
        <w:rPr>
          <w:rFonts w:hint="eastAsia" w:ascii="Times New Roman" w:hAnsi="Times New Roman" w:eastAsia="仿宋_GB2312" w:cs="Times New Roman"/>
          <w:color w:val="auto"/>
          <w:kern w:val="0"/>
          <w:sz w:val="32"/>
          <w:szCs w:val="32"/>
          <w:lang w:val="zh-CN" w:eastAsia="zh-CN" w:bidi="ar-SA"/>
        </w:rPr>
        <w:t>三</w:t>
      </w:r>
      <w:r>
        <w:rPr>
          <w:rFonts w:ascii="Times New Roman" w:hAnsi="Times New Roman" w:eastAsia="仿宋_GB2312" w:cs="Times New Roman"/>
          <w:color w:val="auto"/>
          <w:kern w:val="0"/>
          <w:sz w:val="32"/>
          <w:szCs w:val="32"/>
          <w:lang w:val="zh-CN" w:eastAsia="zh-CN" w:bidi="ar-SA"/>
        </w:rPr>
        <w:t>）人员概况</w:t>
      </w:r>
    </w:p>
    <w:p>
      <w:pPr>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color w:val="auto"/>
          <w:kern w:val="0"/>
          <w:sz w:val="32"/>
          <w:szCs w:val="32"/>
          <w:lang w:val="en-US" w:eastAsia="zh-CN" w:bidi="ar-SA"/>
        </w:rPr>
        <w:t>截至202</w:t>
      </w:r>
      <w:r>
        <w:rPr>
          <w:rFonts w:hint="eastAsia" w:ascii="Times New Roman" w:hAnsi="Times New Roman" w:eastAsia="仿宋_GB2312" w:cs="Times New Roman"/>
          <w:color w:val="auto"/>
          <w:kern w:val="0"/>
          <w:sz w:val="32"/>
          <w:szCs w:val="32"/>
          <w:lang w:val="en-US" w:eastAsia="zh-CN" w:bidi="ar-SA"/>
        </w:rPr>
        <w:t>4</w:t>
      </w:r>
      <w:r>
        <w:rPr>
          <w:rFonts w:ascii="Times New Roman" w:hAnsi="Times New Roman" w:eastAsia="仿宋_GB2312" w:cs="Times New Roman"/>
          <w:color w:val="auto"/>
          <w:kern w:val="0"/>
          <w:sz w:val="32"/>
          <w:szCs w:val="32"/>
          <w:lang w:val="en-US" w:eastAsia="zh-CN" w:bidi="ar-SA"/>
        </w:rPr>
        <w:t>年末，</w:t>
      </w:r>
      <w:r>
        <w:rPr>
          <w:rFonts w:hint="eastAsia" w:ascii="Times New Roman" w:hAnsi="Times New Roman" w:eastAsia="仿宋_GB2312" w:cs="Times New Roman"/>
          <w:color w:val="auto"/>
          <w:kern w:val="0"/>
          <w:sz w:val="32"/>
          <w:szCs w:val="32"/>
          <w:lang w:val="en-US" w:eastAsia="zh-CN" w:bidi="ar-SA"/>
        </w:rPr>
        <w:t>县民宗局部门</w:t>
      </w:r>
      <w:r>
        <w:rPr>
          <w:rFonts w:ascii="Times New Roman" w:hAnsi="Times New Roman" w:eastAsia="仿宋_GB2312" w:cs="Times New Roman"/>
          <w:color w:val="auto"/>
          <w:kern w:val="0"/>
          <w:sz w:val="32"/>
          <w:szCs w:val="32"/>
          <w:lang w:val="en-US" w:eastAsia="zh-CN" w:bidi="ar-SA"/>
        </w:rPr>
        <w:t>及下属单位编制</w:t>
      </w:r>
      <w:r>
        <w:rPr>
          <w:rFonts w:hint="eastAsia" w:ascii="Times New Roman" w:hAnsi="Times New Roman" w:eastAsia="仿宋_GB2312" w:cs="Times New Roman"/>
          <w:color w:val="auto"/>
          <w:kern w:val="0"/>
          <w:sz w:val="32"/>
          <w:szCs w:val="32"/>
          <w:lang w:val="en-US" w:eastAsia="zh-CN" w:bidi="ar-SA"/>
        </w:rPr>
        <w:t>数15人，其中：公务员编制13人，机关工勤编制1人，公益一类事业编制1人；</w:t>
      </w:r>
      <w:r>
        <w:rPr>
          <w:rFonts w:ascii="Times New Roman" w:hAnsi="Times New Roman" w:eastAsia="仿宋_GB2312" w:cs="Times New Roman"/>
          <w:color w:val="auto"/>
          <w:kern w:val="0"/>
          <w:sz w:val="32"/>
          <w:szCs w:val="32"/>
          <w:lang w:val="en-US" w:eastAsia="zh-CN" w:bidi="ar-SA"/>
        </w:rPr>
        <w:t>年末实有人数</w:t>
      </w:r>
      <w:r>
        <w:rPr>
          <w:rFonts w:hint="eastAsia" w:ascii="Times New Roman" w:hAnsi="Times New Roman" w:eastAsia="仿宋_GB2312" w:cs="Times New Roman"/>
          <w:color w:val="auto"/>
          <w:kern w:val="0"/>
          <w:sz w:val="32"/>
          <w:szCs w:val="32"/>
          <w:lang w:val="en-US" w:eastAsia="zh-CN" w:bidi="ar-SA"/>
        </w:rPr>
        <w:t>14人，其中：行政人员13人，事业人员1人。</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bookmarkStart w:id="110" w:name="_Toc28783_WPSOffice_Level2"/>
      <w:r>
        <w:rPr>
          <w:rFonts w:ascii="Times New Roman" w:hAnsi="Times New Roman" w:eastAsia="仿宋_GB2312" w:cs="Times New Roman"/>
          <w:color w:val="auto"/>
          <w:kern w:val="0"/>
          <w:sz w:val="32"/>
          <w:szCs w:val="32"/>
          <w:lang w:val="en-US" w:eastAsia="zh-CN" w:bidi="ar-SA"/>
        </w:rPr>
        <w:t>二、部门资金收支情况</w:t>
      </w:r>
      <w:bookmarkEnd w:id="110"/>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（一）</w:t>
      </w:r>
      <w:r>
        <w:rPr>
          <w:rFonts w:hint="eastAsia" w:ascii="Times New Roman" w:hAnsi="Times New Roman" w:eastAsia="仿宋_GB2312" w:cs="Times New Roman"/>
          <w:color w:val="auto"/>
          <w:kern w:val="0"/>
          <w:sz w:val="32"/>
          <w:szCs w:val="32"/>
          <w:lang w:val="zh-CN" w:eastAsia="zh-CN" w:bidi="ar-SA"/>
        </w:rPr>
        <w:t>收入情况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县民宗局部门2024年年初预算收入批复数为310.34万元，均为一般公共预算财政拨款收入；决算报表收入总计723.15万元，均为一般公共预算财政拨款收入。</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w:t>
      </w:r>
      <w:r>
        <w:rPr>
          <w:rFonts w:hint="eastAsia" w:ascii="Times New Roman" w:hAnsi="Times New Roman" w:eastAsia="仿宋_GB2312" w:cs="Times New Roman"/>
          <w:color w:val="auto"/>
          <w:kern w:val="0"/>
          <w:sz w:val="32"/>
          <w:szCs w:val="32"/>
          <w:lang w:val="zh-CN" w:eastAsia="zh-CN" w:bidi="ar-SA"/>
        </w:rPr>
        <w:t>二</w:t>
      </w:r>
      <w:r>
        <w:rPr>
          <w:rFonts w:ascii="Times New Roman" w:hAnsi="Times New Roman" w:eastAsia="仿宋_GB2312" w:cs="Times New Roman"/>
          <w:color w:val="auto"/>
          <w:kern w:val="0"/>
          <w:sz w:val="32"/>
          <w:szCs w:val="32"/>
          <w:lang w:val="zh-CN" w:eastAsia="zh-CN" w:bidi="ar-SA"/>
        </w:rPr>
        <w:t>）</w:t>
      </w:r>
      <w:r>
        <w:rPr>
          <w:rFonts w:hint="eastAsia" w:ascii="Times New Roman" w:hAnsi="Times New Roman" w:eastAsia="仿宋_GB2312" w:cs="Times New Roman"/>
          <w:color w:val="auto"/>
          <w:kern w:val="0"/>
          <w:sz w:val="32"/>
          <w:szCs w:val="32"/>
          <w:lang w:val="zh-CN" w:eastAsia="zh-CN" w:bidi="ar-SA"/>
        </w:rPr>
        <w:t>支出情况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县民宗局部门2024年年初预算支出为310.34万元，其中：基本支出265.37万元，项目支出44.96万元；决算报表本年支出合计723.15万元，其中：基本支出323.47万元，项目支出399.68万元。</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color w:val="auto"/>
          <w:kern w:val="0"/>
          <w:sz w:val="32"/>
          <w:szCs w:val="32"/>
          <w:lang w:val="zh-CN" w:eastAsia="zh-CN" w:bidi="ar-SA"/>
        </w:rPr>
        <w:t>（</w:t>
      </w:r>
      <w:r>
        <w:rPr>
          <w:rFonts w:hint="eastAsia" w:ascii="Times New Roman" w:hAnsi="Times New Roman" w:eastAsia="仿宋_GB2312" w:cs="Times New Roman"/>
          <w:color w:val="auto"/>
          <w:kern w:val="0"/>
          <w:sz w:val="32"/>
          <w:szCs w:val="32"/>
          <w:lang w:val="zh-CN" w:eastAsia="zh-CN" w:bidi="ar-SA"/>
        </w:rPr>
        <w:t>三</w:t>
      </w:r>
      <w:r>
        <w:rPr>
          <w:rFonts w:ascii="Times New Roman" w:hAnsi="Times New Roman" w:eastAsia="仿宋_GB2312" w:cs="Times New Roman"/>
          <w:color w:val="auto"/>
          <w:kern w:val="0"/>
          <w:sz w:val="32"/>
          <w:szCs w:val="32"/>
          <w:lang w:val="zh-CN" w:eastAsia="zh-CN" w:bidi="ar-SA"/>
        </w:rPr>
        <w:t>）</w:t>
      </w:r>
      <w:r>
        <w:rPr>
          <w:rFonts w:ascii="Times New Roman" w:hAnsi="Times New Roman" w:eastAsia="仿宋_GB2312" w:cs="Times New Roman"/>
          <w:color w:val="auto"/>
          <w:kern w:val="0"/>
          <w:sz w:val="32"/>
          <w:szCs w:val="32"/>
          <w:lang w:val="en-US" w:eastAsia="zh-CN" w:bidi="ar-SA"/>
        </w:rPr>
        <w:t>结余分配和结转结余情况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县民宗局部门2024年决算报表无</w:t>
      </w:r>
      <w:r>
        <w:rPr>
          <w:rFonts w:ascii="Times New Roman" w:hAnsi="Times New Roman" w:eastAsia="仿宋_GB2312" w:cs="Times New Roman"/>
          <w:color w:val="auto"/>
          <w:kern w:val="0"/>
          <w:sz w:val="32"/>
          <w:szCs w:val="32"/>
          <w:lang w:val="en-US" w:eastAsia="zh-CN" w:bidi="ar-SA"/>
        </w:rPr>
        <w:t>结转结余</w:t>
      </w:r>
      <w:r>
        <w:rPr>
          <w:rFonts w:hint="eastAsia" w:ascii="Times New Roman" w:hAnsi="Times New Roman" w:eastAsia="仿宋_GB2312" w:cs="Times New Roman"/>
          <w:color w:val="auto"/>
          <w:kern w:val="0"/>
          <w:sz w:val="32"/>
          <w:szCs w:val="32"/>
          <w:lang w:val="en-US" w:eastAsia="zh-CN" w:bidi="ar-SA"/>
        </w:rPr>
        <w:t>资金</w:t>
      </w:r>
      <w:r>
        <w:rPr>
          <w:rFonts w:ascii="Times New Roman" w:hAnsi="Times New Roman" w:eastAsia="仿宋_GB2312" w:cs="Times New Roman"/>
          <w:color w:val="auto"/>
          <w:kern w:val="0"/>
          <w:sz w:val="32"/>
          <w:szCs w:val="32"/>
          <w:lang w:val="en-US" w:eastAsia="zh-CN" w:bidi="ar-SA"/>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bookmarkStart w:id="111" w:name="_Toc5481_WPSOffice_Level2"/>
      <w:r>
        <w:rPr>
          <w:rFonts w:ascii="Times New Roman" w:hAnsi="Times New Roman" w:eastAsia="仿宋_GB2312" w:cs="Times New Roman"/>
          <w:color w:val="auto"/>
          <w:kern w:val="0"/>
          <w:sz w:val="32"/>
          <w:szCs w:val="32"/>
          <w:lang w:val="en-US" w:eastAsia="zh-CN" w:bidi="ar-SA"/>
        </w:rPr>
        <w:t>三、部门预算绩效分析</w:t>
      </w:r>
      <w:bookmarkEnd w:id="111"/>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（一）</w:t>
      </w:r>
      <w:r>
        <w:rPr>
          <w:rFonts w:hint="eastAsia" w:ascii="Times New Roman" w:hAnsi="Times New Roman" w:eastAsia="仿宋_GB2312" w:cs="Times New Roman"/>
          <w:color w:val="auto"/>
          <w:kern w:val="0"/>
          <w:sz w:val="32"/>
          <w:szCs w:val="32"/>
          <w:lang w:val="zh-CN" w:eastAsia="zh-CN" w:bidi="ar-SA"/>
        </w:rPr>
        <w:t>部门预算</w:t>
      </w:r>
      <w:r>
        <w:rPr>
          <w:rFonts w:ascii="Times New Roman" w:hAnsi="Times New Roman" w:eastAsia="仿宋_GB2312" w:cs="Times New Roman"/>
          <w:color w:val="auto"/>
          <w:kern w:val="0"/>
          <w:sz w:val="32"/>
          <w:szCs w:val="32"/>
          <w:lang w:val="zh-CN" w:eastAsia="zh-CN" w:bidi="ar-SA"/>
        </w:rPr>
        <w:t>总体绩效分析</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1.</w:t>
      </w:r>
      <w:r>
        <w:rPr>
          <w:rFonts w:hint="eastAsia" w:ascii="Times New Roman" w:hAnsi="Times New Roman" w:eastAsia="仿宋_GB2312" w:cs="Times New Roman"/>
          <w:color w:val="auto"/>
          <w:kern w:val="0"/>
          <w:sz w:val="32"/>
          <w:szCs w:val="32"/>
          <w:lang w:val="zh-CN" w:eastAsia="zh-CN" w:bidi="ar-SA"/>
        </w:rPr>
        <w:t>履职效能</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（1）两项资金管理工作履职效果。</w:t>
      </w:r>
      <w:r>
        <w:rPr>
          <w:rFonts w:hint="eastAsia" w:ascii="Times New Roman" w:hAnsi="Times New Roman" w:eastAsia="仿宋_GB2312" w:cs="Times New Roman"/>
          <w:color w:val="auto"/>
          <w:kern w:val="0"/>
          <w:sz w:val="32"/>
          <w:szCs w:val="32"/>
          <w:lang w:val="en-US" w:eastAsia="zh-CN" w:bidi="ar-SA"/>
        </w:rPr>
        <w:t>2024年共争取民族类资金1128万元，其中民族地区开发资金725万元，财政衔接乡村振兴补助资金（少数民族发展任务）403万元。向省州争取四川省民族团结进步示范村和四川省民族村寨项目。截止目前已争取2025年安宁镇八角碉村四川民族村寨项目资金500万元；抓好跨年项目推进工作，确保</w:t>
      </w:r>
      <w:r>
        <w:rPr>
          <w:rFonts w:hint="default" w:ascii="Times New Roman" w:hAnsi="Times New Roman" w:eastAsia="仿宋_GB2312" w:cs="Times New Roman"/>
          <w:color w:val="auto"/>
          <w:kern w:val="0"/>
          <w:sz w:val="32"/>
          <w:szCs w:val="32"/>
          <w:lang w:val="en-US" w:eastAsia="zh-CN" w:bidi="ar-SA"/>
        </w:rPr>
        <w:t>拉脚乡二普鲁村旅游基础设施项目</w:t>
      </w:r>
      <w:r>
        <w:rPr>
          <w:rFonts w:hint="eastAsia" w:ascii="Times New Roman" w:hAnsi="Times New Roman" w:eastAsia="仿宋_GB2312" w:cs="Times New Roman"/>
          <w:color w:val="auto"/>
          <w:kern w:val="0"/>
          <w:sz w:val="32"/>
          <w:szCs w:val="32"/>
          <w:lang w:val="en-US" w:eastAsia="zh-CN" w:bidi="ar-SA"/>
        </w:rPr>
        <w:t>按时完工验收，做好2024年民族开发资金前期工作。积极与财政、科农畜局等部</w:t>
      </w:r>
      <w:r>
        <w:rPr>
          <w:rFonts w:hint="default" w:ascii="Times New Roman" w:hAnsi="Times New Roman" w:eastAsia="仿宋_GB2312" w:cs="Times New Roman"/>
          <w:color w:val="auto"/>
          <w:kern w:val="0"/>
          <w:sz w:val="32"/>
          <w:szCs w:val="32"/>
          <w:lang w:val="en-US" w:eastAsia="zh-CN" w:bidi="ar-SA"/>
        </w:rPr>
        <w:t>沟通协调，</w:t>
      </w:r>
      <w:r>
        <w:rPr>
          <w:rFonts w:hint="eastAsia" w:ascii="Times New Roman" w:hAnsi="Times New Roman" w:eastAsia="仿宋_GB2312" w:cs="Times New Roman"/>
          <w:color w:val="auto"/>
          <w:kern w:val="0"/>
          <w:sz w:val="32"/>
          <w:szCs w:val="32"/>
          <w:lang w:val="en-US" w:eastAsia="zh-CN" w:bidi="ar-SA"/>
        </w:rPr>
        <w:t>尽快安排统筹整合使用部分资金，按计划推进非统筹整合项目的落地实施。</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（2）民族工作履职效果。</w:t>
      </w:r>
      <w:r>
        <w:rPr>
          <w:rFonts w:hint="default" w:ascii="Times New Roman" w:hAnsi="Times New Roman" w:eastAsia="仿宋_GB2312" w:cs="Times New Roman"/>
          <w:color w:val="auto"/>
          <w:kern w:val="0"/>
          <w:sz w:val="32"/>
          <w:szCs w:val="32"/>
          <w:lang w:val="en-US" w:eastAsia="zh-CN" w:bidi="ar-SA"/>
        </w:rPr>
        <w:t>发挥示范引领，展示创建成效。一是切实将“铸牢中华民族共同体意识”纳入党校授课计划，在县委党校讲授“铸牢中华民族共同体意识”相关知识2场次</w:t>
      </w:r>
      <w:r>
        <w:rPr>
          <w:rFonts w:hint="eastAsia"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进一步完善新一轮创建全国民族团结进步示范州档案资料。7月2日，与西南财经大学在成都举行四川省铸牢中华民族共同体意识研究基地金川县工作站揭牌仪式；二是按照“十二有”标准，</w:t>
      </w:r>
      <w:r>
        <w:rPr>
          <w:rFonts w:hint="eastAsia" w:ascii="Times New Roman" w:hAnsi="Times New Roman" w:eastAsia="仿宋_GB2312" w:cs="Times New Roman"/>
          <w:color w:val="auto"/>
          <w:kern w:val="0"/>
          <w:sz w:val="32"/>
          <w:szCs w:val="32"/>
          <w:lang w:val="en-US" w:eastAsia="zh-CN" w:bidi="ar-SA"/>
        </w:rPr>
        <w:t>结合州</w:t>
      </w:r>
      <w:r>
        <w:rPr>
          <w:rFonts w:hint="default" w:ascii="Times New Roman" w:hAnsi="Times New Roman" w:eastAsia="仿宋_GB2312" w:cs="Times New Roman"/>
          <w:color w:val="auto"/>
          <w:kern w:val="0"/>
          <w:sz w:val="32"/>
          <w:szCs w:val="32"/>
          <w:lang w:val="en-US" w:eastAsia="zh-CN" w:bidi="ar-SA"/>
        </w:rPr>
        <w:t>调研检查</w:t>
      </w:r>
      <w:r>
        <w:rPr>
          <w:rFonts w:hint="eastAsia" w:ascii="Times New Roman" w:hAnsi="Times New Roman" w:eastAsia="仿宋_GB2312" w:cs="Times New Roman"/>
          <w:color w:val="auto"/>
          <w:kern w:val="0"/>
          <w:sz w:val="32"/>
          <w:szCs w:val="32"/>
          <w:lang w:val="en-US" w:eastAsia="zh-CN" w:bidi="ar-SA"/>
        </w:rPr>
        <w:t>组反馈问题，</w:t>
      </w:r>
      <w:r>
        <w:rPr>
          <w:rFonts w:hint="default" w:ascii="Times New Roman" w:hAnsi="Times New Roman" w:eastAsia="仿宋_GB2312" w:cs="Times New Roman"/>
          <w:color w:val="auto"/>
          <w:kern w:val="0"/>
          <w:sz w:val="32"/>
          <w:szCs w:val="32"/>
          <w:lang w:val="en-US" w:eastAsia="zh-CN" w:bidi="ar-SA"/>
        </w:rPr>
        <w:t>及时查缺补漏，推动我县民族团结进步创建工作有序开展。三是制</w:t>
      </w:r>
      <w:r>
        <w:rPr>
          <w:rFonts w:hint="eastAsia" w:ascii="Times New Roman" w:hAnsi="Times New Roman" w:eastAsia="仿宋_GB2312" w:cs="Times New Roman"/>
          <w:color w:val="auto"/>
          <w:kern w:val="0"/>
          <w:sz w:val="32"/>
          <w:szCs w:val="32"/>
          <w:lang w:val="en-US" w:eastAsia="zh-CN" w:bidi="ar-SA"/>
        </w:rPr>
        <w:t>作</w:t>
      </w:r>
      <w:r>
        <w:rPr>
          <w:rFonts w:hint="default" w:ascii="Times New Roman" w:hAnsi="Times New Roman" w:eastAsia="仿宋_GB2312" w:cs="Times New Roman"/>
          <w:color w:val="auto"/>
          <w:kern w:val="0"/>
          <w:sz w:val="32"/>
          <w:szCs w:val="32"/>
          <w:lang w:val="en-US" w:eastAsia="zh-CN" w:bidi="ar-SA"/>
        </w:rPr>
        <w:t>金川县民族团结进步宣传画册，制作宣传折页1000余份</w:t>
      </w:r>
      <w:r>
        <w:rPr>
          <w:rFonts w:hint="eastAsia" w:ascii="Times New Roman" w:hAnsi="Times New Roman" w:eastAsia="仿宋_GB2312" w:cs="Times New Roman"/>
          <w:color w:val="auto"/>
          <w:kern w:val="0"/>
          <w:sz w:val="32"/>
          <w:szCs w:val="32"/>
          <w:lang w:val="en-US" w:eastAsia="zh-CN" w:bidi="ar-SA"/>
        </w:rPr>
        <w:t>，编制《四川省民族团结进步创建工作经验交流集》，</w:t>
      </w:r>
      <w:r>
        <w:rPr>
          <w:rFonts w:hint="default" w:ascii="Times New Roman" w:hAnsi="Times New Roman" w:eastAsia="仿宋_GB2312" w:cs="Times New Roman"/>
          <w:color w:val="auto"/>
          <w:kern w:val="0"/>
          <w:sz w:val="32"/>
          <w:szCs w:val="32"/>
          <w:lang w:val="en-US" w:eastAsia="zh-CN" w:bidi="ar-SA"/>
        </w:rPr>
        <w:t>印发了《关于进一步加强铸牢中华民族共同体意识宣传教育工作的通知》《金川县关于阿坝州创建全国铸牢中华民族共同体意识示范州工作方案》《</w:t>
      </w:r>
      <w:r>
        <w:rPr>
          <w:rFonts w:hint="eastAsia" w:ascii="Times New Roman" w:hAnsi="Times New Roman" w:eastAsia="仿宋_GB2312" w:cs="Times New Roman"/>
          <w:color w:val="auto"/>
          <w:kern w:val="0"/>
          <w:sz w:val="32"/>
          <w:szCs w:val="32"/>
          <w:lang w:val="en-US" w:eastAsia="zh-CN" w:bidi="ar-SA"/>
        </w:rPr>
        <w:t>金川县关于</w:t>
      </w:r>
      <w:r>
        <w:rPr>
          <w:rFonts w:hint="default" w:ascii="Times New Roman" w:hAnsi="Times New Roman" w:eastAsia="仿宋_GB2312" w:cs="Times New Roman"/>
          <w:color w:val="auto"/>
          <w:kern w:val="0"/>
          <w:sz w:val="32"/>
          <w:szCs w:val="32"/>
          <w:lang w:val="en-US" w:eastAsia="zh-CN" w:bidi="ar-SA"/>
        </w:rPr>
        <w:t>阿坝州新一轮创建全国民族团结进步示范州工作方案》《2024年金川县"三项计划"工作方案》，进一步明确责任分工，推动我县民族工作有序开展。</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（3）宗教工作履职效果。</w:t>
      </w:r>
      <w:r>
        <w:rPr>
          <w:rFonts w:hint="default" w:ascii="Times New Roman" w:hAnsi="Times New Roman" w:eastAsia="仿宋_GB2312" w:cs="Times New Roman"/>
          <w:color w:val="auto"/>
          <w:kern w:val="0"/>
          <w:sz w:val="32"/>
          <w:szCs w:val="32"/>
          <w:lang w:val="en-US" w:eastAsia="zh-CN" w:bidi="ar-SA"/>
        </w:rPr>
        <w:t>深入开展“法律政策进寺庙”活动，全覆盖开展入寺宣传教育</w:t>
      </w:r>
      <w:r>
        <w:rPr>
          <w:rFonts w:hint="eastAsia"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zh-CN" w:eastAsia="zh-CN" w:bidi="ar-SA"/>
        </w:rPr>
        <w:t>充分运用各种宣传平台和媒介，</w:t>
      </w:r>
      <w:r>
        <w:rPr>
          <w:rFonts w:hint="default" w:ascii="Times New Roman" w:hAnsi="Times New Roman" w:eastAsia="仿宋_GB2312" w:cs="Times New Roman"/>
          <w:color w:val="auto"/>
          <w:kern w:val="0"/>
          <w:sz w:val="32"/>
          <w:szCs w:val="32"/>
          <w:lang w:val="en-US" w:eastAsia="zh-CN" w:bidi="ar-SA"/>
        </w:rPr>
        <w:t>讲理论、讲政策、讲法律、讲科技、讲健康、讲文明，常态化开展入寺宣传教育活动，推进法宣阵地进寺庙，</w:t>
      </w:r>
      <w:r>
        <w:rPr>
          <w:rFonts w:hint="eastAsia" w:ascii="Times New Roman" w:hAnsi="Times New Roman" w:eastAsia="仿宋_GB2312" w:cs="Times New Roman"/>
          <w:color w:val="auto"/>
          <w:kern w:val="0"/>
          <w:sz w:val="32"/>
          <w:szCs w:val="32"/>
          <w:lang w:val="en-US" w:eastAsia="zh-CN" w:bidi="ar-SA"/>
        </w:rPr>
        <w:t>开展宣传宣讲</w:t>
      </w:r>
      <w:r>
        <w:rPr>
          <w:rFonts w:hint="default" w:ascii="Times New Roman" w:hAnsi="Times New Roman" w:eastAsia="仿宋_GB2312" w:cs="Times New Roman"/>
          <w:color w:val="auto"/>
          <w:kern w:val="0"/>
          <w:sz w:val="32"/>
          <w:szCs w:val="32"/>
          <w:lang w:val="en-US" w:eastAsia="zh-CN" w:bidi="ar-SA"/>
        </w:rPr>
        <w:t>40余场次，涉及僧尼500余人。发放藏汉双语结合的</w:t>
      </w:r>
      <w:r>
        <w:rPr>
          <w:rFonts w:hint="eastAsia" w:ascii="Times New Roman" w:hAnsi="Times New Roman" w:eastAsia="仿宋_GB2312" w:cs="Times New Roman"/>
          <w:color w:val="auto"/>
          <w:kern w:val="0"/>
          <w:sz w:val="32"/>
          <w:szCs w:val="32"/>
          <w:lang w:val="en-US" w:eastAsia="zh-CN" w:bidi="ar-SA"/>
        </w:rPr>
        <w:t>《习近平谈治国理政 第四卷》《宗教事务条例》等相关</w:t>
      </w:r>
      <w:r>
        <w:rPr>
          <w:rFonts w:hint="default" w:ascii="Times New Roman" w:hAnsi="Times New Roman" w:eastAsia="仿宋_GB2312" w:cs="Times New Roman"/>
          <w:color w:val="auto"/>
          <w:kern w:val="0"/>
          <w:sz w:val="32"/>
          <w:szCs w:val="32"/>
          <w:lang w:val="en-US" w:eastAsia="zh-CN" w:bidi="ar-SA"/>
        </w:rPr>
        <w:t>法律法规、惠民政策</w:t>
      </w:r>
      <w:r>
        <w:rPr>
          <w:rFonts w:hint="eastAsia"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防灾、防疫、防事故等知识宣传册</w:t>
      </w:r>
      <w:r>
        <w:rPr>
          <w:rFonts w:hint="eastAsia" w:ascii="Times New Roman" w:hAnsi="Times New Roman" w:eastAsia="仿宋_GB2312" w:cs="Times New Roman"/>
          <w:color w:val="auto"/>
          <w:kern w:val="0"/>
          <w:sz w:val="32"/>
          <w:szCs w:val="32"/>
          <w:lang w:val="en-US" w:eastAsia="zh-CN" w:bidi="ar-SA"/>
        </w:rPr>
        <w:t>2</w:t>
      </w:r>
      <w:r>
        <w:rPr>
          <w:rFonts w:hint="default" w:ascii="Times New Roman" w:hAnsi="Times New Roman" w:eastAsia="仿宋_GB2312" w:cs="Times New Roman"/>
          <w:color w:val="auto"/>
          <w:kern w:val="0"/>
          <w:sz w:val="32"/>
          <w:szCs w:val="32"/>
          <w:lang w:val="en-US" w:eastAsia="zh-CN" w:bidi="ar-SA"/>
        </w:rPr>
        <w:t>000余册，培养寺庙法律明白人32名。5</w:t>
      </w:r>
      <w:r>
        <w:rPr>
          <w:rFonts w:hint="eastAsia" w:ascii="Times New Roman" w:hAnsi="Times New Roman" w:eastAsia="仿宋_GB2312" w:cs="Times New Roman"/>
          <w:color w:val="auto"/>
          <w:kern w:val="0"/>
          <w:sz w:val="32"/>
          <w:szCs w:val="32"/>
          <w:lang w:val="en-US" w:eastAsia="zh-CN" w:bidi="ar-SA"/>
        </w:rPr>
        <w:t>月</w:t>
      </w:r>
      <w:r>
        <w:rPr>
          <w:rFonts w:hint="default" w:ascii="Times New Roman" w:hAnsi="Times New Roman" w:eastAsia="仿宋_GB2312" w:cs="Times New Roman"/>
          <w:color w:val="auto"/>
          <w:kern w:val="0"/>
          <w:sz w:val="32"/>
          <w:szCs w:val="32"/>
          <w:lang w:val="en-US" w:eastAsia="zh-CN" w:bidi="ar-SA"/>
        </w:rPr>
        <w:t>组织24座藏传佛教寺庙民管会主任和6名省佛学院在读僧人，在省佛学院开展“爱国主义教育、民管会能力提升建设、以案促改，从严治教、教风教貌提升”为主题的集中授课、实地教学与研讨交流相结合的系列活动。8月深入观音寺、夏周达尔基寺</w:t>
      </w:r>
      <w:r>
        <w:rPr>
          <w:rFonts w:hint="eastAsia" w:ascii="Times New Roman" w:hAnsi="Times New Roman" w:eastAsia="仿宋_GB2312" w:cs="Times New Roman"/>
          <w:color w:val="auto"/>
          <w:kern w:val="0"/>
          <w:sz w:val="32"/>
          <w:szCs w:val="32"/>
          <w:lang w:val="en-US" w:eastAsia="zh-CN" w:bidi="ar-SA"/>
        </w:rPr>
        <w:t>等</w:t>
      </w:r>
      <w:r>
        <w:rPr>
          <w:rFonts w:hint="default" w:ascii="Times New Roman" w:hAnsi="Times New Roman" w:eastAsia="仿宋_GB2312" w:cs="Times New Roman"/>
          <w:color w:val="auto"/>
          <w:kern w:val="0"/>
          <w:sz w:val="32"/>
          <w:szCs w:val="32"/>
          <w:lang w:val="en-US" w:eastAsia="zh-CN" w:bidi="ar-SA"/>
        </w:rPr>
        <w:t>集中开展铸牢中华民族共同体意识暨《民法典》等法律法规宣讲活动。</w:t>
      </w:r>
      <w:r>
        <w:rPr>
          <w:rFonts w:hint="eastAsia" w:ascii="Times New Roman" w:hAnsi="Times New Roman" w:eastAsia="仿宋_GB2312" w:cs="Times New Roman"/>
          <w:color w:val="auto"/>
          <w:kern w:val="0"/>
          <w:sz w:val="32"/>
          <w:szCs w:val="32"/>
          <w:lang w:val="en-US" w:eastAsia="zh-CN" w:bidi="ar-SA"/>
        </w:rPr>
        <w:t>9月</w:t>
      </w:r>
      <w:r>
        <w:rPr>
          <w:rFonts w:hint="default" w:ascii="Times New Roman" w:hAnsi="Times New Roman" w:eastAsia="仿宋_GB2312" w:cs="Times New Roman"/>
          <w:color w:val="auto"/>
          <w:kern w:val="0"/>
          <w:sz w:val="32"/>
          <w:szCs w:val="32"/>
          <w:lang w:val="en-US" w:eastAsia="zh-CN" w:bidi="ar-SA"/>
        </w:rPr>
        <w:t>深入金川县观音片区</w:t>
      </w:r>
      <w:r>
        <w:rPr>
          <w:rFonts w:hint="eastAsia" w:ascii="Times New Roman" w:hAnsi="Times New Roman" w:eastAsia="仿宋_GB2312" w:cs="Times New Roman"/>
          <w:color w:val="auto"/>
          <w:kern w:val="0"/>
          <w:sz w:val="32"/>
          <w:szCs w:val="32"/>
          <w:lang w:val="en-US" w:eastAsia="zh-CN" w:bidi="ar-SA"/>
        </w:rPr>
        <w:t>及寺庙</w:t>
      </w:r>
      <w:r>
        <w:rPr>
          <w:rFonts w:hint="default" w:ascii="Times New Roman" w:hAnsi="Times New Roman" w:eastAsia="仿宋_GB2312" w:cs="Times New Roman"/>
          <w:color w:val="auto"/>
          <w:kern w:val="0"/>
          <w:sz w:val="32"/>
          <w:szCs w:val="32"/>
          <w:lang w:val="en-US" w:eastAsia="zh-CN" w:bidi="ar-SA"/>
        </w:rPr>
        <w:t>开展学习贯彻党的二十届三中全会精神宣讲</w:t>
      </w:r>
      <w:r>
        <w:rPr>
          <w:rFonts w:hint="eastAsia" w:ascii="Times New Roman" w:hAnsi="Times New Roman" w:eastAsia="仿宋_GB2312" w:cs="Times New Roman"/>
          <w:color w:val="auto"/>
          <w:kern w:val="0"/>
          <w:sz w:val="32"/>
          <w:szCs w:val="32"/>
          <w:lang w:val="en-US" w:eastAsia="zh-CN" w:bidi="ar-SA"/>
        </w:rPr>
        <w:t>，全力配合县政协开展《金川县寺庙基础设施建设情况的专题调研》，摸清我县寺庙基础设施建设情况，为下一步推动寺庙基础设施建设及发挥功能提供有力数据支撑。</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2.</w:t>
      </w:r>
      <w:r>
        <w:rPr>
          <w:rFonts w:ascii="Times New Roman" w:hAnsi="Times New Roman" w:eastAsia="仿宋_GB2312" w:cs="Times New Roman"/>
          <w:color w:val="auto"/>
          <w:kern w:val="0"/>
          <w:sz w:val="32"/>
          <w:szCs w:val="32"/>
          <w:lang w:val="zh-CN" w:eastAsia="zh-CN" w:bidi="ar-SA"/>
        </w:rPr>
        <w:t>预算管理</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本部门根据《中华人民共和国预算法》及实施条例，严格按照县财政有关要求编制部门预算，并根据批复的部门预算和绩效目标严格执行。</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本部门202</w:t>
      </w:r>
      <w:r>
        <w:rPr>
          <w:rFonts w:hint="eastAsia" w:ascii="Times New Roman" w:hAnsi="Times New Roman" w:eastAsia="仿宋_GB2312" w:cs="Times New Roman"/>
          <w:color w:val="auto"/>
          <w:kern w:val="0"/>
          <w:sz w:val="32"/>
          <w:szCs w:val="32"/>
          <w:lang w:val="en-US" w:eastAsia="zh-CN" w:bidi="ar-SA"/>
        </w:rPr>
        <w:t>4</w:t>
      </w:r>
      <w:r>
        <w:rPr>
          <w:rFonts w:hint="eastAsia" w:ascii="Times New Roman" w:hAnsi="Times New Roman" w:eastAsia="仿宋_GB2312" w:cs="Times New Roman"/>
          <w:color w:val="auto"/>
          <w:kern w:val="0"/>
          <w:sz w:val="32"/>
          <w:szCs w:val="32"/>
          <w:lang w:val="zh-CN" w:eastAsia="zh-CN" w:bidi="ar-SA"/>
        </w:rPr>
        <w:t>年度财政拨款年初预算数</w:t>
      </w:r>
      <w:r>
        <w:rPr>
          <w:rFonts w:hint="eastAsia" w:ascii="Times New Roman" w:hAnsi="Times New Roman" w:eastAsia="仿宋_GB2312" w:cs="Times New Roman"/>
          <w:color w:val="auto"/>
          <w:kern w:val="0"/>
          <w:sz w:val="32"/>
          <w:szCs w:val="32"/>
          <w:lang w:val="en-US" w:eastAsia="zh-CN" w:bidi="ar-SA"/>
        </w:rPr>
        <w:t>310.34</w:t>
      </w:r>
      <w:r>
        <w:rPr>
          <w:rFonts w:hint="eastAsia" w:ascii="Times New Roman" w:hAnsi="Times New Roman" w:eastAsia="仿宋_GB2312" w:cs="Times New Roman"/>
          <w:color w:val="auto"/>
          <w:kern w:val="0"/>
          <w:sz w:val="32"/>
          <w:szCs w:val="32"/>
          <w:lang w:val="zh-CN" w:eastAsia="zh-CN" w:bidi="ar-SA"/>
        </w:rPr>
        <w:t>万元，但由于存在预算调整和调剂，决算报表预算执行数</w:t>
      </w:r>
      <w:r>
        <w:rPr>
          <w:rFonts w:hint="eastAsia" w:ascii="Times New Roman" w:hAnsi="Times New Roman" w:eastAsia="仿宋_GB2312" w:cs="Times New Roman"/>
          <w:color w:val="auto"/>
          <w:kern w:val="0"/>
          <w:sz w:val="32"/>
          <w:szCs w:val="32"/>
          <w:lang w:val="en-US" w:eastAsia="zh-CN" w:bidi="ar-SA"/>
        </w:rPr>
        <w:t>723.15</w:t>
      </w:r>
      <w:r>
        <w:rPr>
          <w:rFonts w:hint="eastAsia" w:ascii="Times New Roman" w:hAnsi="Times New Roman" w:eastAsia="仿宋_GB2312" w:cs="Times New Roman"/>
          <w:color w:val="auto"/>
          <w:kern w:val="0"/>
          <w:sz w:val="32"/>
          <w:szCs w:val="32"/>
          <w:lang w:val="zh-CN" w:eastAsia="zh-CN" w:bidi="ar-SA"/>
        </w:rPr>
        <w:t>万元，预算编制质量不高。</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3.</w:t>
      </w:r>
      <w:r>
        <w:rPr>
          <w:rFonts w:ascii="Times New Roman" w:hAnsi="Times New Roman" w:eastAsia="仿宋_GB2312" w:cs="Times New Roman"/>
          <w:color w:val="auto"/>
          <w:kern w:val="0"/>
          <w:sz w:val="32"/>
          <w:szCs w:val="32"/>
          <w:lang w:val="zh-CN" w:eastAsia="zh-CN" w:bidi="ar-SA"/>
        </w:rPr>
        <w:t>财务管理</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制定了财务管理相关制度，各项经济业务活动严格按照制度规定执行；根据不相容岗位分离原则，设置了财务工作相关岗位，并明确职责权限；本年度资金使用规范，未发现不符合相关财务管理制度规定的情况。</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4.</w:t>
      </w:r>
      <w:r>
        <w:rPr>
          <w:rFonts w:ascii="Times New Roman" w:hAnsi="Times New Roman" w:eastAsia="仿宋_GB2312" w:cs="Times New Roman"/>
          <w:color w:val="auto"/>
          <w:kern w:val="0"/>
          <w:sz w:val="32"/>
          <w:szCs w:val="32"/>
          <w:lang w:val="zh-CN" w:eastAsia="zh-CN" w:bidi="ar-SA"/>
        </w:rPr>
        <w:t>资产管理</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本部门严格按照资产管理规定，对资产配置、处置、报废按照有关程序执行，无超标准配置、违规处置的情况。</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5.</w:t>
      </w:r>
      <w:r>
        <w:rPr>
          <w:rFonts w:ascii="Times New Roman" w:hAnsi="Times New Roman" w:eastAsia="仿宋_GB2312" w:cs="Times New Roman"/>
          <w:color w:val="auto"/>
          <w:kern w:val="0"/>
          <w:sz w:val="32"/>
          <w:szCs w:val="32"/>
          <w:lang w:val="zh-CN" w:eastAsia="zh-CN" w:bidi="ar-SA"/>
        </w:rPr>
        <w:t>采购管理</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本部门202</w:t>
      </w:r>
      <w:r>
        <w:rPr>
          <w:rFonts w:hint="eastAsia" w:ascii="Times New Roman" w:hAnsi="Times New Roman" w:eastAsia="仿宋_GB2312" w:cs="Times New Roman"/>
          <w:color w:val="auto"/>
          <w:kern w:val="0"/>
          <w:sz w:val="32"/>
          <w:szCs w:val="32"/>
          <w:lang w:val="en-US" w:eastAsia="zh-CN" w:bidi="ar-SA"/>
        </w:rPr>
        <w:t>4</w:t>
      </w:r>
      <w:r>
        <w:rPr>
          <w:rFonts w:hint="eastAsia" w:ascii="Times New Roman" w:hAnsi="Times New Roman" w:eastAsia="仿宋_GB2312" w:cs="Times New Roman"/>
          <w:color w:val="auto"/>
          <w:kern w:val="0"/>
          <w:sz w:val="32"/>
          <w:szCs w:val="32"/>
          <w:lang w:val="zh-CN" w:eastAsia="zh-CN" w:bidi="ar-SA"/>
        </w:rPr>
        <w:t>年度政府采购支出</w:t>
      </w:r>
      <w:r>
        <w:rPr>
          <w:rFonts w:hint="eastAsia" w:ascii="Times New Roman" w:hAnsi="Times New Roman" w:eastAsia="仿宋_GB2312" w:cs="Times New Roman"/>
          <w:color w:val="auto"/>
          <w:kern w:val="0"/>
          <w:sz w:val="32"/>
          <w:szCs w:val="32"/>
          <w:lang w:val="en-US" w:eastAsia="zh-CN" w:bidi="ar-SA"/>
        </w:rPr>
        <w:t>341.33</w:t>
      </w:r>
      <w:r>
        <w:rPr>
          <w:rFonts w:hint="eastAsia" w:ascii="Times New Roman" w:hAnsi="Times New Roman" w:eastAsia="仿宋_GB2312" w:cs="Times New Roman"/>
          <w:color w:val="auto"/>
          <w:kern w:val="0"/>
          <w:sz w:val="32"/>
          <w:szCs w:val="32"/>
          <w:lang w:val="zh-CN" w:eastAsia="zh-CN" w:bidi="ar-SA"/>
        </w:rPr>
        <w:t>万元，采购项目均按照政府采购法及实施条例执行。</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（二）部门预算项目绩效分析</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en-US" w:eastAsia="zh-CN" w:bidi="ar-SA"/>
        </w:rPr>
        <w:t>常年项目绩效分析。</w:t>
      </w:r>
      <w:r>
        <w:rPr>
          <w:rFonts w:ascii="Times New Roman" w:hAnsi="Times New Roman" w:eastAsia="仿宋_GB2312" w:cs="Times New Roman"/>
          <w:color w:val="auto"/>
          <w:kern w:val="0"/>
          <w:sz w:val="32"/>
          <w:szCs w:val="32"/>
          <w:lang w:val="zh-CN" w:eastAsia="zh-CN" w:bidi="ar-SA"/>
        </w:rPr>
        <w:t>该类项目总数</w:t>
      </w:r>
      <w:r>
        <w:rPr>
          <w:rFonts w:hint="eastAsia" w:ascii="Times New Roman" w:hAnsi="Times New Roman" w:eastAsia="仿宋_GB2312" w:cs="Times New Roman"/>
          <w:color w:val="auto"/>
          <w:kern w:val="0"/>
          <w:sz w:val="32"/>
          <w:szCs w:val="32"/>
          <w:lang w:val="en-US" w:eastAsia="zh-CN" w:bidi="ar-SA"/>
        </w:rPr>
        <w:t>40</w:t>
      </w:r>
      <w:r>
        <w:rPr>
          <w:rFonts w:ascii="Times New Roman" w:hAnsi="Times New Roman" w:eastAsia="仿宋_GB2312" w:cs="Times New Roman"/>
          <w:color w:val="auto"/>
          <w:kern w:val="0"/>
          <w:sz w:val="32"/>
          <w:szCs w:val="32"/>
          <w:lang w:val="zh-CN" w:eastAsia="zh-CN" w:bidi="ar-SA"/>
        </w:rPr>
        <w:t>个，涉及预算总金额</w:t>
      </w:r>
      <w:r>
        <w:rPr>
          <w:rFonts w:hint="eastAsia" w:ascii="Times New Roman" w:hAnsi="Times New Roman" w:eastAsia="仿宋_GB2312" w:cs="Times New Roman"/>
          <w:color w:val="auto"/>
          <w:kern w:val="0"/>
          <w:sz w:val="32"/>
          <w:szCs w:val="32"/>
          <w:lang w:val="en-US" w:eastAsia="zh-CN" w:bidi="ar-SA"/>
        </w:rPr>
        <w:t>323.47</w:t>
      </w:r>
      <w:r>
        <w:rPr>
          <w:rFonts w:ascii="Times New Roman" w:hAnsi="Times New Roman" w:eastAsia="仿宋_GB2312" w:cs="Times New Roman"/>
          <w:color w:val="auto"/>
          <w:kern w:val="0"/>
          <w:sz w:val="32"/>
          <w:szCs w:val="32"/>
          <w:lang w:val="zh-CN" w:eastAsia="zh-CN" w:bidi="ar-SA"/>
        </w:rPr>
        <w:t>万元，1</w:t>
      </w:r>
      <w:r>
        <w:rPr>
          <w:rFonts w:hint="eastAsia" w:ascii="Times New Roman" w:hAnsi="Times New Roman" w:eastAsia="仿宋_GB2312" w:cs="Times New Roman"/>
          <w:color w:val="auto"/>
          <w:kern w:val="0"/>
          <w:sz w:val="32"/>
          <w:szCs w:val="32"/>
          <w:lang w:val="zh-CN" w:eastAsia="zh-CN" w:bidi="ar-SA"/>
        </w:rPr>
        <w:t>—</w:t>
      </w:r>
      <w:r>
        <w:rPr>
          <w:rFonts w:ascii="Times New Roman" w:hAnsi="Times New Roman" w:eastAsia="仿宋_GB2312" w:cs="Times New Roman"/>
          <w:color w:val="auto"/>
          <w:kern w:val="0"/>
          <w:sz w:val="32"/>
          <w:szCs w:val="32"/>
          <w:lang w:val="zh-CN" w:eastAsia="zh-CN" w:bidi="ar-SA"/>
        </w:rPr>
        <w:t>1</w:t>
      </w:r>
      <w:r>
        <w:rPr>
          <w:rFonts w:ascii="Times New Roman" w:hAnsi="Times New Roman" w:eastAsia="仿宋_GB2312" w:cs="Times New Roman"/>
          <w:color w:val="auto"/>
          <w:kern w:val="0"/>
          <w:sz w:val="32"/>
          <w:szCs w:val="32"/>
          <w:lang w:val="en-US" w:eastAsia="zh-CN" w:bidi="ar-SA"/>
        </w:rPr>
        <w:t>2</w:t>
      </w:r>
      <w:r>
        <w:rPr>
          <w:rFonts w:ascii="Times New Roman" w:hAnsi="Times New Roman" w:eastAsia="仿宋_GB2312" w:cs="Times New Roman"/>
          <w:color w:val="auto"/>
          <w:kern w:val="0"/>
          <w:sz w:val="32"/>
          <w:szCs w:val="32"/>
          <w:lang w:val="zh-CN" w:eastAsia="zh-CN" w:bidi="ar-SA"/>
        </w:rPr>
        <w:t>月预算执行总体进度为</w:t>
      </w:r>
      <w:r>
        <w:rPr>
          <w:rFonts w:hint="eastAsia" w:ascii="Times New Roman" w:hAnsi="Times New Roman" w:eastAsia="仿宋_GB2312" w:cs="Times New Roman"/>
          <w:color w:val="auto"/>
          <w:kern w:val="0"/>
          <w:sz w:val="32"/>
          <w:szCs w:val="32"/>
          <w:lang w:val="en-US" w:eastAsia="zh-CN" w:bidi="ar-SA"/>
        </w:rPr>
        <w:t>100</w:t>
      </w:r>
      <w:r>
        <w:rPr>
          <w:rFonts w:ascii="Times New Roman" w:hAnsi="Times New Roman" w:eastAsia="仿宋_GB2312" w:cs="Times New Roman"/>
          <w:color w:val="auto"/>
          <w:kern w:val="0"/>
          <w:sz w:val="32"/>
          <w:szCs w:val="32"/>
          <w:lang w:val="zh-CN" w:eastAsia="zh-CN" w:bidi="ar-SA"/>
        </w:rPr>
        <w:t>%，其中：预算结余率大于</w:t>
      </w:r>
      <w:r>
        <w:rPr>
          <w:rFonts w:ascii="Times New Roman" w:hAnsi="Times New Roman" w:eastAsia="仿宋_GB2312" w:cs="Times New Roman"/>
          <w:color w:val="auto"/>
          <w:kern w:val="0"/>
          <w:sz w:val="32"/>
          <w:szCs w:val="32"/>
          <w:lang w:val="en-US" w:eastAsia="zh-CN" w:bidi="ar-SA"/>
        </w:rPr>
        <w:t>10%</w:t>
      </w:r>
      <w:r>
        <w:rPr>
          <w:rFonts w:ascii="Times New Roman" w:hAnsi="Times New Roman" w:eastAsia="仿宋_GB2312" w:cs="Times New Roman"/>
          <w:color w:val="auto"/>
          <w:kern w:val="0"/>
          <w:sz w:val="32"/>
          <w:szCs w:val="32"/>
          <w:lang w:val="zh-CN" w:eastAsia="zh-CN" w:bidi="ar-SA"/>
        </w:rPr>
        <w:t>的项目共计</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zh-CN" w:eastAsia="zh-CN" w:bidi="ar-SA"/>
        </w:rPr>
        <w:t>个。</w:t>
      </w:r>
    </w:p>
    <w:p>
      <w:pPr>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en-US" w:eastAsia="zh-CN" w:bidi="ar-SA"/>
        </w:rPr>
        <w:t>阶段</w:t>
      </w:r>
      <w:r>
        <w:rPr>
          <w:rFonts w:hint="eastAsia" w:ascii="Times New Roman" w:hAnsi="Times New Roman" w:eastAsia="仿宋_GB2312" w:cs="Times New Roman"/>
          <w:color w:val="auto"/>
          <w:kern w:val="0"/>
          <w:sz w:val="32"/>
          <w:szCs w:val="32"/>
          <w:lang w:val="en-US" w:eastAsia="zh-CN" w:bidi="ar-SA"/>
        </w:rPr>
        <w:t>（</w:t>
      </w:r>
      <w:r>
        <w:rPr>
          <w:rFonts w:ascii="Times New Roman" w:hAnsi="Times New Roman" w:eastAsia="仿宋_GB2312" w:cs="Times New Roman"/>
          <w:color w:val="auto"/>
          <w:kern w:val="0"/>
          <w:sz w:val="32"/>
          <w:szCs w:val="32"/>
          <w:lang w:val="en-US" w:eastAsia="zh-CN" w:bidi="ar-SA"/>
        </w:rPr>
        <w:t>一次性</w:t>
      </w:r>
      <w:r>
        <w:rPr>
          <w:rFonts w:hint="eastAsia" w:ascii="Times New Roman" w:hAnsi="Times New Roman" w:eastAsia="仿宋_GB2312" w:cs="Times New Roman"/>
          <w:color w:val="auto"/>
          <w:kern w:val="0"/>
          <w:sz w:val="32"/>
          <w:szCs w:val="32"/>
          <w:lang w:val="en-US" w:eastAsia="zh-CN" w:bidi="ar-SA"/>
        </w:rPr>
        <w:t>）</w:t>
      </w:r>
      <w:r>
        <w:rPr>
          <w:rFonts w:ascii="Times New Roman" w:hAnsi="Times New Roman" w:eastAsia="仿宋_GB2312" w:cs="Times New Roman"/>
          <w:color w:val="auto"/>
          <w:kern w:val="0"/>
          <w:sz w:val="32"/>
          <w:szCs w:val="32"/>
          <w:lang w:val="en-US" w:eastAsia="zh-CN" w:bidi="ar-SA"/>
        </w:rPr>
        <w:t>项目绩效分析。</w:t>
      </w:r>
      <w:r>
        <w:rPr>
          <w:rFonts w:ascii="Times New Roman" w:hAnsi="Times New Roman" w:eastAsia="仿宋_GB2312" w:cs="Times New Roman"/>
          <w:color w:val="auto"/>
          <w:kern w:val="0"/>
          <w:sz w:val="32"/>
          <w:szCs w:val="32"/>
          <w:lang w:val="zh-CN" w:eastAsia="zh-CN" w:bidi="ar-SA"/>
        </w:rPr>
        <w:t>该类项目总数</w:t>
      </w:r>
      <w:r>
        <w:rPr>
          <w:rFonts w:hint="eastAsia" w:ascii="Times New Roman" w:hAnsi="Times New Roman" w:eastAsia="仿宋_GB2312" w:cs="Times New Roman"/>
          <w:color w:val="auto"/>
          <w:kern w:val="0"/>
          <w:sz w:val="32"/>
          <w:szCs w:val="32"/>
          <w:lang w:val="en-US" w:eastAsia="zh-CN" w:bidi="ar-SA"/>
        </w:rPr>
        <w:t>13</w:t>
      </w:r>
      <w:r>
        <w:rPr>
          <w:rFonts w:ascii="Times New Roman" w:hAnsi="Times New Roman" w:eastAsia="仿宋_GB2312" w:cs="Times New Roman"/>
          <w:color w:val="auto"/>
          <w:kern w:val="0"/>
          <w:sz w:val="32"/>
          <w:szCs w:val="32"/>
          <w:lang w:val="zh-CN" w:eastAsia="zh-CN" w:bidi="ar-SA"/>
        </w:rPr>
        <w:t>个，涉及预算总金额</w:t>
      </w:r>
      <w:r>
        <w:rPr>
          <w:rFonts w:hint="eastAsia" w:ascii="Times New Roman" w:hAnsi="Times New Roman" w:eastAsia="仿宋_GB2312" w:cs="Times New Roman"/>
          <w:color w:val="auto"/>
          <w:kern w:val="0"/>
          <w:sz w:val="32"/>
          <w:szCs w:val="32"/>
          <w:lang w:val="en-US" w:eastAsia="zh-CN" w:bidi="ar-SA"/>
        </w:rPr>
        <w:t>399.68</w:t>
      </w:r>
      <w:r>
        <w:rPr>
          <w:rFonts w:ascii="Times New Roman" w:hAnsi="Times New Roman" w:eastAsia="仿宋_GB2312" w:cs="Times New Roman"/>
          <w:color w:val="auto"/>
          <w:kern w:val="0"/>
          <w:sz w:val="32"/>
          <w:szCs w:val="32"/>
          <w:lang w:val="zh-CN" w:eastAsia="zh-CN" w:bidi="ar-SA"/>
        </w:rPr>
        <w:t>万元，1</w:t>
      </w:r>
      <w:r>
        <w:rPr>
          <w:rFonts w:hint="eastAsia" w:ascii="Times New Roman" w:hAnsi="Times New Roman" w:eastAsia="仿宋_GB2312" w:cs="Times New Roman"/>
          <w:color w:val="auto"/>
          <w:kern w:val="0"/>
          <w:sz w:val="32"/>
          <w:szCs w:val="32"/>
          <w:lang w:val="zh-CN" w:eastAsia="zh-CN" w:bidi="ar-SA"/>
        </w:rPr>
        <w:t>—</w:t>
      </w:r>
      <w:r>
        <w:rPr>
          <w:rFonts w:ascii="Times New Roman" w:hAnsi="Times New Roman" w:eastAsia="仿宋_GB2312" w:cs="Times New Roman"/>
          <w:color w:val="auto"/>
          <w:kern w:val="0"/>
          <w:sz w:val="32"/>
          <w:szCs w:val="32"/>
          <w:lang w:val="zh-CN" w:eastAsia="zh-CN" w:bidi="ar-SA"/>
        </w:rPr>
        <w:t>1</w:t>
      </w:r>
      <w:r>
        <w:rPr>
          <w:rFonts w:ascii="Times New Roman" w:hAnsi="Times New Roman" w:eastAsia="仿宋_GB2312" w:cs="Times New Roman"/>
          <w:color w:val="auto"/>
          <w:kern w:val="0"/>
          <w:sz w:val="32"/>
          <w:szCs w:val="32"/>
          <w:lang w:val="en-US" w:eastAsia="zh-CN" w:bidi="ar-SA"/>
        </w:rPr>
        <w:t>2</w:t>
      </w:r>
      <w:r>
        <w:rPr>
          <w:rFonts w:ascii="Times New Roman" w:hAnsi="Times New Roman" w:eastAsia="仿宋_GB2312" w:cs="Times New Roman"/>
          <w:color w:val="auto"/>
          <w:kern w:val="0"/>
          <w:sz w:val="32"/>
          <w:szCs w:val="32"/>
          <w:lang w:val="zh-CN" w:eastAsia="zh-CN" w:bidi="ar-SA"/>
        </w:rPr>
        <w:t>月预算执行总体进度为</w:t>
      </w:r>
      <w:r>
        <w:rPr>
          <w:rFonts w:hint="eastAsia" w:ascii="Times New Roman" w:hAnsi="Times New Roman" w:eastAsia="仿宋_GB2312" w:cs="Times New Roman"/>
          <w:color w:val="auto"/>
          <w:kern w:val="0"/>
          <w:sz w:val="32"/>
          <w:szCs w:val="32"/>
          <w:lang w:val="en-US" w:eastAsia="zh-CN" w:bidi="ar-SA"/>
        </w:rPr>
        <w:t>100</w:t>
      </w:r>
      <w:r>
        <w:rPr>
          <w:rFonts w:ascii="Times New Roman" w:hAnsi="Times New Roman" w:eastAsia="仿宋_GB2312" w:cs="Times New Roman"/>
          <w:color w:val="auto"/>
          <w:kern w:val="0"/>
          <w:sz w:val="32"/>
          <w:szCs w:val="32"/>
          <w:lang w:val="zh-CN" w:eastAsia="zh-CN" w:bidi="ar-SA"/>
        </w:rPr>
        <w:t>%，其中：预算结余率大于</w:t>
      </w:r>
      <w:r>
        <w:rPr>
          <w:rFonts w:ascii="Times New Roman" w:hAnsi="Times New Roman" w:eastAsia="仿宋_GB2312" w:cs="Times New Roman"/>
          <w:color w:val="auto"/>
          <w:kern w:val="0"/>
          <w:sz w:val="32"/>
          <w:szCs w:val="32"/>
          <w:lang w:val="en-US" w:eastAsia="zh-CN" w:bidi="ar-SA"/>
        </w:rPr>
        <w:t>10%</w:t>
      </w:r>
      <w:r>
        <w:rPr>
          <w:rFonts w:ascii="Times New Roman" w:hAnsi="Times New Roman" w:eastAsia="仿宋_GB2312" w:cs="Times New Roman"/>
          <w:color w:val="auto"/>
          <w:kern w:val="0"/>
          <w:sz w:val="32"/>
          <w:szCs w:val="32"/>
          <w:lang w:val="zh-CN" w:eastAsia="zh-CN" w:bidi="ar-SA"/>
        </w:rPr>
        <w:t>的项目共计</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zh-CN" w:eastAsia="zh-CN" w:bidi="ar-SA"/>
        </w:rPr>
        <w:t>个。</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1.</w:t>
      </w:r>
      <w:r>
        <w:rPr>
          <w:rFonts w:hint="eastAsia" w:ascii="Times New Roman" w:hAnsi="Times New Roman" w:eastAsia="仿宋_GB2312" w:cs="Times New Roman"/>
          <w:color w:val="auto"/>
          <w:kern w:val="0"/>
          <w:sz w:val="32"/>
          <w:szCs w:val="32"/>
          <w:lang w:val="zh-CN" w:eastAsia="zh-CN" w:bidi="ar-SA"/>
        </w:rPr>
        <w:t>项目决策</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预算项目设立履行了评估论证程序，并按照项目入库管理流程进行申报审核，均在规定时间完成项目入库。部门预算项目切实按照财政要求和年度重点任务制定了绩效目标，编制要素科学合理、规范完整，绩效指标细化量化，与预算安排相匹配。</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2.项目执行</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本部门围绕年度重点工作任务，认真履职，部门整体支出、项目支出绩效目标均实现较好。通过扎实开展整体支出预算绩效和项目绩效运行监控分析，根据分析结果及时对相关经费进行了预算收回或科目调整。</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en-US" w:eastAsia="zh-CN" w:bidi="ar-SA"/>
        </w:rPr>
        <w:t>3.</w:t>
      </w:r>
      <w:r>
        <w:rPr>
          <w:rFonts w:hint="eastAsia" w:ascii="Times New Roman" w:hAnsi="Times New Roman" w:eastAsia="仿宋_GB2312" w:cs="Times New Roman"/>
          <w:color w:val="auto"/>
          <w:kern w:val="0"/>
          <w:sz w:val="32"/>
          <w:szCs w:val="32"/>
          <w:lang w:val="zh-CN" w:eastAsia="zh-CN" w:bidi="ar-SA"/>
        </w:rPr>
        <w:t>目标实现</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围绕各项绩效目标认真履职，预算项目绩效目标数量指标基本完成，项目整体目标基本实现，未发现预算项目绩效目标数量指标实现程度与预期目标的偏离情况的情况，项目按计划实施，其各项效益指标、满意度指标均达到绩效目标预期效果。</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w:t>
      </w:r>
      <w:r>
        <w:rPr>
          <w:rFonts w:hint="eastAsia" w:ascii="Times New Roman" w:hAnsi="Times New Roman" w:eastAsia="仿宋_GB2312" w:cs="Times New Roman"/>
          <w:color w:val="auto"/>
          <w:kern w:val="0"/>
          <w:sz w:val="32"/>
          <w:szCs w:val="32"/>
          <w:lang w:val="zh-CN" w:eastAsia="zh-CN" w:bidi="ar-SA"/>
        </w:rPr>
        <w:t>三</w:t>
      </w:r>
      <w:r>
        <w:rPr>
          <w:rFonts w:ascii="Times New Roman" w:hAnsi="Times New Roman" w:eastAsia="仿宋_GB2312" w:cs="Times New Roman"/>
          <w:color w:val="auto"/>
          <w:kern w:val="0"/>
          <w:sz w:val="32"/>
          <w:szCs w:val="32"/>
          <w:lang w:val="zh-CN" w:eastAsia="zh-CN" w:bidi="ar-SA"/>
        </w:rPr>
        <w:t>）重点领域绩效分析</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本部门2024年度不涉及国有资本、债券资金、政府采购和政府购买服务等重点领域。本部门行政事业性国有资产管理未开展绩效评价。</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（四）绩效结果应用情况</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1.内部应用情况</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本部门将绩效自评纳入考核体系，建立了预算与绩效挂钩机制。</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2.信息公开情况</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本部门按照县财政局相关要求，在金川县人民政府门户网站上将部门整体支出绩效目标、部门预算项目绩效目标和自评情况等绩效信息随同预决算向社会公开。</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3.整改反馈情况</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本部门202</w:t>
      </w:r>
      <w:r>
        <w:rPr>
          <w:rFonts w:hint="eastAsia" w:ascii="Times New Roman" w:hAnsi="Times New Roman" w:eastAsia="仿宋_GB2312" w:cs="Times New Roman"/>
          <w:color w:val="auto"/>
          <w:kern w:val="0"/>
          <w:sz w:val="32"/>
          <w:szCs w:val="32"/>
          <w:lang w:val="en-US" w:eastAsia="zh-CN" w:bidi="ar-SA"/>
        </w:rPr>
        <w:t>4</w:t>
      </w:r>
      <w:r>
        <w:rPr>
          <w:rFonts w:hint="eastAsia" w:ascii="Times New Roman" w:hAnsi="Times New Roman" w:eastAsia="仿宋_GB2312" w:cs="Times New Roman"/>
          <w:color w:val="auto"/>
          <w:kern w:val="0"/>
          <w:sz w:val="32"/>
          <w:szCs w:val="32"/>
          <w:lang w:val="zh-CN" w:eastAsia="zh-CN" w:bidi="ar-SA"/>
        </w:rPr>
        <w:t>年度未收到人大监督、巡视巡察、审计监督、财会监督等反馈的有关预算绩效存在的问题。</w:t>
      </w:r>
    </w:p>
    <w:p>
      <w:pPr>
        <w:pageBreakBefore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zh-CN" w:eastAsia="zh-CN" w:bidi="ar-SA"/>
        </w:rPr>
        <w:t>本部门根据职责分工，开展部门整体支出和部门预算项目支出绩效自评，对预算执行率不高、绩效目标未完成的项目，认真分析原因，逗硬绩效评价结果应用，将评价结果作为以后年度预算编制的重要依据。</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bookmarkStart w:id="112" w:name="_Toc28655_WPSOffice_Level2"/>
      <w:r>
        <w:rPr>
          <w:rFonts w:ascii="Times New Roman" w:hAnsi="Times New Roman" w:eastAsia="仿宋_GB2312" w:cs="Times New Roman"/>
          <w:color w:val="auto"/>
          <w:kern w:val="0"/>
          <w:sz w:val="32"/>
          <w:szCs w:val="32"/>
          <w:lang w:val="en-US" w:eastAsia="zh-CN" w:bidi="ar-SA"/>
        </w:rPr>
        <w:t>四、评价结论及建议</w:t>
      </w:r>
      <w:bookmarkEnd w:id="112"/>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（一）评价结论</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本部门按照《金川县财政局关于2024年县级部门绩效自评工作的通知》（金财监绩〔2025〕35号）文件要求，从履职效能、预算管理、财务管理、资产管理、采购管理、项目决策、项目执行、目标实现等方面进行自评，总体上看，本部门履职效果明显、预算管理较完善、项目绩效目标按计划完成，根据《部门预算绩效评价指标体系》进行评价，自评得94分。</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（二）存在问题</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我局在年初部门预算时编制的经费支出，无法保障本部门所需经费，存在预算调整和调剂，预算编制不够准确。</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color w:val="auto"/>
          <w:kern w:val="0"/>
          <w:sz w:val="32"/>
          <w:szCs w:val="32"/>
          <w:lang w:val="zh-CN" w:eastAsia="zh-CN" w:bidi="ar-SA"/>
        </w:rPr>
      </w:pPr>
      <w:r>
        <w:rPr>
          <w:rFonts w:ascii="Times New Roman" w:hAnsi="Times New Roman" w:eastAsia="仿宋_GB2312" w:cs="Times New Roman"/>
          <w:color w:val="auto"/>
          <w:kern w:val="0"/>
          <w:sz w:val="32"/>
          <w:szCs w:val="32"/>
          <w:lang w:val="zh-CN" w:eastAsia="zh-CN" w:bidi="ar-SA"/>
        </w:rPr>
        <w:t>（三）改进建议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auto"/>
          <w:kern w:val="0"/>
          <w:sz w:val="32"/>
          <w:szCs w:val="32"/>
          <w:lang w:val="en" w:eastAsia="zh-CN" w:bidi="ar-SA"/>
        </w:rPr>
      </w:pPr>
      <w:r>
        <w:rPr>
          <w:rFonts w:hint="eastAsia" w:ascii="Times New Roman" w:hAnsi="Times New Roman" w:eastAsia="仿宋_GB2312" w:cs="Times New Roman"/>
          <w:color w:val="auto"/>
          <w:kern w:val="0"/>
          <w:sz w:val="32"/>
          <w:szCs w:val="32"/>
          <w:lang w:val="en-US" w:eastAsia="zh-CN" w:bidi="ar-SA"/>
        </w:rPr>
        <w:t>本部门将加强预算管理，根据年度工作任务，合理预测、准确编制预算，提高预算编制质量。</w:t>
      </w:r>
    </w:p>
    <w:bookmarkEnd w:id="107"/>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spacing w:line="578" w:lineRule="exact"/>
      </w:pPr>
      <w:r>
        <w:rPr>
          <w:rFonts w:hint="eastAsia" w:ascii="黑体" w:hAnsi="黑体" w:eastAsia="黑体" w:cs="黑体"/>
        </w:rPr>
        <w:t>附表</w:t>
      </w:r>
    </w:p>
    <w:tbl>
      <w:tblPr>
        <w:tblStyle w:val="19"/>
        <w:tblW w:w="8875" w:type="dxa"/>
        <w:jc w:val="center"/>
        <w:tblInd w:w="0" w:type="dxa"/>
        <w:tblLayout w:type="fixed"/>
        <w:tblCellMar>
          <w:top w:w="15" w:type="dxa"/>
          <w:left w:w="15" w:type="dxa"/>
          <w:bottom w:w="15" w:type="dxa"/>
          <w:right w:w="15" w:type="dxa"/>
        </w:tblCellMar>
      </w:tblPr>
      <w:tblGrid>
        <w:gridCol w:w="988"/>
        <w:gridCol w:w="1245"/>
        <w:gridCol w:w="1245"/>
        <w:gridCol w:w="1909"/>
        <w:gridCol w:w="996"/>
        <w:gridCol w:w="1162"/>
        <w:gridCol w:w="748"/>
        <w:gridCol w:w="582"/>
      </w:tblGrid>
      <w:tr>
        <w:tblPrEx>
          <w:tblLayout w:type="fixed"/>
          <w:tblCellMar>
            <w:top w:w="15" w:type="dxa"/>
            <w:left w:w="15" w:type="dxa"/>
            <w:bottom w:w="15" w:type="dxa"/>
            <w:right w:w="15" w:type="dxa"/>
          </w:tblCellMar>
        </w:tblPrEx>
        <w:trPr>
          <w:trHeight w:val="762" w:hRule="exact"/>
          <w:jc w:val="center"/>
        </w:trPr>
        <w:tc>
          <w:tcPr>
            <w:tcW w:w="8875" w:type="dxa"/>
            <w:gridSpan w:val="8"/>
            <w:vAlign w:val="center"/>
          </w:tcPr>
          <w:p>
            <w:pPr>
              <w:keepNext w:val="0"/>
              <w:keepLines w:val="0"/>
              <w:widowControl/>
              <w:suppressLineNumbers w:val="0"/>
              <w:jc w:val="center"/>
              <w:textAlignment w:val="center"/>
              <w:rPr>
                <w:rFonts w:eastAsia="黑体"/>
                <w:color w:val="000000"/>
                <w:sz w:val="28"/>
                <w:szCs w:val="28"/>
              </w:rPr>
            </w:pPr>
            <w:r>
              <w:rPr>
                <w:rFonts w:hint="default" w:ascii="黑体" w:hAnsi="宋体" w:eastAsia="黑体" w:cs="黑体"/>
                <w:i w:val="0"/>
                <w:iCs w:val="0"/>
                <w:color w:val="000000"/>
                <w:kern w:val="0"/>
                <w:sz w:val="30"/>
                <w:szCs w:val="30"/>
                <w:u w:val="none"/>
                <w:lang w:val="en-US" w:eastAsia="zh-CN" w:bidi="ar"/>
              </w:rPr>
              <w:t>部门整体支出绩效目标表</w:t>
            </w:r>
          </w:p>
        </w:tc>
      </w:tr>
      <w:tr>
        <w:tblPrEx>
          <w:tblLayout w:type="fixed"/>
          <w:tblCellMar>
            <w:top w:w="15" w:type="dxa"/>
            <w:left w:w="15" w:type="dxa"/>
            <w:bottom w:w="15" w:type="dxa"/>
            <w:right w:w="15" w:type="dxa"/>
          </w:tblCellMar>
        </w:tblPrEx>
        <w:trPr>
          <w:trHeight w:val="23" w:hRule="atLeast"/>
          <w:jc w:val="center"/>
        </w:trPr>
        <w:tc>
          <w:tcPr>
            <w:tcW w:w="8875" w:type="dxa"/>
            <w:gridSpan w:val="8"/>
            <w:vAlign w:val="center"/>
          </w:tcPr>
          <w:p>
            <w:pPr>
              <w:keepNext w:val="0"/>
              <w:keepLines w:val="0"/>
              <w:widowControl/>
              <w:suppressLineNumbers w:val="0"/>
              <w:jc w:val="center"/>
              <w:textAlignment w:val="center"/>
              <w:rPr>
                <w:rFonts w:eastAsia="宋体"/>
                <w:color w:val="000000"/>
                <w:sz w:val="28"/>
                <w:szCs w:val="28"/>
              </w:rPr>
            </w:pPr>
            <w:r>
              <w:rPr>
                <w:rFonts w:ascii="宋体" w:hAnsi="宋体" w:eastAsia="宋体" w:cs="宋体"/>
                <w:i w:val="0"/>
                <w:iCs w:val="0"/>
                <w:color w:val="000000"/>
                <w:kern w:val="0"/>
                <w:sz w:val="18"/>
                <w:szCs w:val="18"/>
                <w:u w:val="none"/>
                <w:lang w:val="en-US" w:eastAsia="zh-CN" w:bidi="ar"/>
              </w:rPr>
              <w:t>（2024年度）</w:t>
            </w:r>
          </w:p>
        </w:tc>
      </w:tr>
      <w:tr>
        <w:tblPrEx>
          <w:tblLayout w:type="fixed"/>
          <w:tblCellMar>
            <w:top w:w="15" w:type="dxa"/>
            <w:left w:w="15" w:type="dxa"/>
            <w:bottom w:w="15" w:type="dxa"/>
            <w:right w:w="15" w:type="dxa"/>
          </w:tblCellMar>
        </w:tblPrEx>
        <w:trPr>
          <w:trHeight w:val="23" w:hRule="atLeast"/>
          <w:jc w:val="center"/>
        </w:trPr>
        <w:tc>
          <w:tcPr>
            <w:tcW w:w="8875" w:type="dxa"/>
            <w:gridSpan w:val="8"/>
            <w:tcBorders>
              <w:bottom w:val="single" w:color="000000" w:sz="4" w:space="0"/>
            </w:tcBorders>
            <w:vAlign w:val="center"/>
          </w:tcPr>
          <w:p>
            <w:pPr>
              <w:keepNext w:val="0"/>
              <w:keepLines w:val="0"/>
              <w:widowControl/>
              <w:suppressLineNumbers w:val="0"/>
              <w:jc w:val="righ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金额单位：万元</w:t>
            </w:r>
          </w:p>
        </w:tc>
      </w:tr>
      <w:tr>
        <w:tblPrEx>
          <w:tblLayout w:type="fixed"/>
          <w:tblCellMar>
            <w:top w:w="15" w:type="dxa"/>
            <w:left w:w="15" w:type="dxa"/>
            <w:bottom w:w="15" w:type="dxa"/>
            <w:right w:w="15" w:type="dxa"/>
          </w:tblCellMar>
        </w:tblPrEx>
        <w:trPr>
          <w:trHeight w:val="23" w:hRule="atLeast"/>
          <w:jc w:val="center"/>
        </w:trPr>
        <w:tc>
          <w:tcPr>
            <w:tcW w:w="347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部门名称</w:t>
            </w:r>
          </w:p>
        </w:tc>
        <w:tc>
          <w:tcPr>
            <w:tcW w:w="5397"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金川县民族宗教局本级</w:t>
            </w:r>
          </w:p>
        </w:tc>
      </w:tr>
      <w:tr>
        <w:tblPrEx>
          <w:tblLayout w:type="fixed"/>
          <w:tblCellMar>
            <w:top w:w="15" w:type="dxa"/>
            <w:left w:w="15" w:type="dxa"/>
            <w:bottom w:w="15" w:type="dxa"/>
            <w:right w:w="15" w:type="dxa"/>
          </w:tblCellMar>
        </w:tblPrEx>
        <w:trPr>
          <w:trHeight w:val="23" w:hRule="atLeast"/>
          <w:jc w:val="center"/>
        </w:trPr>
        <w:tc>
          <w:tcPr>
            <w:tcW w:w="98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年度部门整体支出预算</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资金总额</w:t>
            </w:r>
          </w:p>
        </w:tc>
        <w:tc>
          <w:tcPr>
            <w:tcW w:w="29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财政拨款</w:t>
            </w: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其他资金</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310.34</w:t>
            </w:r>
          </w:p>
        </w:tc>
        <w:tc>
          <w:tcPr>
            <w:tcW w:w="29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eastAsia="宋体"/>
                <w:color w:val="000000"/>
                <w:sz w:val="24"/>
              </w:rPr>
            </w:pPr>
            <w:r>
              <w:rPr>
                <w:rFonts w:ascii="宋体" w:hAnsi="宋体" w:eastAsia="宋体" w:cs="宋体"/>
                <w:i w:val="0"/>
                <w:iCs w:val="0"/>
                <w:color w:val="000000"/>
                <w:kern w:val="0"/>
                <w:sz w:val="18"/>
                <w:szCs w:val="18"/>
                <w:u w:val="none"/>
                <w:lang w:val="en-US" w:eastAsia="zh-CN" w:bidi="ar"/>
              </w:rPr>
              <w:t>310.34</w:t>
            </w: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pPr>
              <w:jc w:val="right"/>
              <w:rPr>
                <w:rFonts w:eastAsia="宋体"/>
                <w:color w:val="000000"/>
                <w:sz w:val="24"/>
              </w:rPr>
            </w:pPr>
          </w:p>
        </w:tc>
      </w:tr>
      <w:tr>
        <w:tblPrEx>
          <w:tblLayout w:type="fixed"/>
          <w:tblCellMar>
            <w:top w:w="15" w:type="dxa"/>
            <w:left w:w="15" w:type="dxa"/>
            <w:bottom w:w="15" w:type="dxa"/>
            <w:right w:w="15" w:type="dxa"/>
          </w:tblCellMar>
        </w:tblPrEx>
        <w:trPr>
          <w:trHeight w:val="23" w:hRule="atLeast"/>
          <w:jc w:val="center"/>
        </w:trPr>
        <w:tc>
          <w:tcPr>
            <w:tcW w:w="9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年度总体目标</w:t>
            </w:r>
          </w:p>
        </w:tc>
        <w:tc>
          <w:tcPr>
            <w:tcW w:w="7887"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 xml:space="preserve">1、负责协调推动有关部门履行民族、宗教工作相关职责，对全县民族、宗教工作实施管理、指导，促进民族、宗教政策在经济发展和社会事业等相关领域的实施、衔接。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渗透活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3、负责管理全县少数民族语言文字工作，指导少数民族语言文字的翻译、出版和少数民族古籍的收集、整理、出版工作，会同有关部门对少数民族题材文化作品（产品）进行审查。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p>
        </w:tc>
      </w:tr>
      <w:tr>
        <w:tblPrEx>
          <w:tblLayout w:type="fixed"/>
          <w:tblCellMar>
            <w:top w:w="15" w:type="dxa"/>
            <w:left w:w="15" w:type="dxa"/>
            <w:bottom w:w="15" w:type="dxa"/>
            <w:right w:w="15" w:type="dxa"/>
          </w:tblCellMar>
        </w:tblPrEx>
        <w:trPr>
          <w:trHeight w:val="23" w:hRule="atLeast"/>
          <w:jc w:val="center"/>
        </w:trPr>
        <w:tc>
          <w:tcPr>
            <w:tcW w:w="98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年度主要任务</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任务名称</w:t>
            </w:r>
          </w:p>
        </w:tc>
        <w:tc>
          <w:tcPr>
            <w:tcW w:w="5397"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主要内容</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两项资金管理工作</w:t>
            </w:r>
          </w:p>
        </w:tc>
        <w:tc>
          <w:tcPr>
            <w:tcW w:w="5397"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负责研究并提出两项资金投入结构重大调整的方案及其相应的政策措施。负责两项资金的使用和项目实施情况、项目资金财务统计的填报工作。编制全县两项资金项目的规划与年度计划；组织两项资金项目的筛选、评估论证、报批及计划、资金的下达工作。对两项资金投资项目的审查、报批、实施、验收等全过程进行管理和监督。承担局领导交办的其他事项。</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民族工作</w:t>
            </w:r>
          </w:p>
        </w:tc>
        <w:tc>
          <w:tcPr>
            <w:tcW w:w="5397"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协调、指导民族法律法规、民族政策的贯彻执行并负责督促检查；拟订涉及少数民族的重大突发事件的预警、应急机制，提出构建和谐民族关系的工作建议，承担有关协调处理工作。承办民族识别、民族成份管理、民族风俗习惯和民族团结进步表彰有关工作。承担民族法律法规、民族政策、民族知识的宣传教育工作。参与全县维护稳定、反分裂斗争以及维护少数民族合法权益相关事项的协调处理工作。负责全县少数民族发展资金项目的申报和监管；参与全县农村基础设施建设、农牧业产业结构优化和农牧业科技推广应用工作。会同有关部门处理民族题材文化作品（产品）审查、民族传统文化保护、“双语”教育和科普推广等具体事宜；推动民族文化交流合作，参与承办全县的重大民族文化、体育活动。组织协调民族语言文字规范化、标准化和信息化工作；指导少数民族语言文字翻译、出版工作。提出涉及全县民族古籍工作的建议和意见；组织、联络、协调、指导、规划全县少数民族古籍的收集、整理、抢救、保护和研究工作，逐步实施少数民族古籍的开发与利用。</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宗教工作</w:t>
            </w:r>
          </w:p>
        </w:tc>
        <w:tc>
          <w:tcPr>
            <w:tcW w:w="5397"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贯彻执行党中央、国务院和各级党委、政府关于宗教工作的方针政策和国家的宗教工作法律、法规。调查研究我县宗教现状、掌握动态，对存在问题及时提出解决的意见和建议，当好县委、县政府在宗教工作方面的参谋助手。依法保护公民宗教信仰自由，保护宗教团结和宗教活动场所的合法权益，保护宗教教职人员履行正常的教务活动，保护信教群众正常的宗教活动，促进宗教关系和谐。指导宗教团体依法依章开展活动，支持宗教团体加强自身建设，帮助宗教团体办好宗教院校，推动宗教团体在宗教界开展爱国主义、社会主义、拥护祖国统一和民族团体的自我教育，办理宗教团体需由政府解决或协调的有关事务。指导宗教场所及寺院民主管理组织在宪法、法律和政策允许的范围内按照自身特点独立开展工作，加强自身建设；帮助宗教场所培养教育宗教教职人员，办好宗教培训班；审批有关宗教事务，审查涉及宗教问题的文章、书刊、音像制品和出版物，办理宗教场所需由政府协助或协调的事务。负责组织宗教人士培训学习工作。承担局领导交办的其他事项。</w:t>
            </w:r>
          </w:p>
        </w:tc>
      </w:tr>
      <w:tr>
        <w:tblPrEx>
          <w:tblLayout w:type="fixed"/>
          <w:tblCellMar>
            <w:top w:w="15" w:type="dxa"/>
            <w:left w:w="15" w:type="dxa"/>
            <w:bottom w:w="15" w:type="dxa"/>
            <w:right w:w="15" w:type="dxa"/>
          </w:tblCellMar>
        </w:tblPrEx>
        <w:trPr>
          <w:trHeight w:val="23" w:hRule="atLeast"/>
          <w:jc w:val="center"/>
        </w:trPr>
        <w:tc>
          <w:tcPr>
            <w:tcW w:w="98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年度绩效指标</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一级指标</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二级指标</w:t>
            </w: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三级指标</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绩效指标性质</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绩效指标值</w:t>
            </w:r>
          </w:p>
        </w:tc>
        <w:tc>
          <w:tcPr>
            <w:tcW w:w="748"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绩效度量单位</w:t>
            </w:r>
          </w:p>
        </w:tc>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权重</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124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产出指标</w:t>
            </w:r>
          </w:p>
        </w:tc>
        <w:tc>
          <w:tcPr>
            <w:tcW w:w="124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数量指标</w:t>
            </w: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科目调整次数</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5</w:t>
            </w:r>
          </w:p>
        </w:tc>
        <w:tc>
          <w:tcPr>
            <w:tcW w:w="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次</w:t>
            </w:r>
          </w:p>
        </w:tc>
        <w:tc>
          <w:tcPr>
            <w:tcW w:w="582" w:type="dxa"/>
            <w:tcBorders>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124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eastAsia="宋体"/>
                <w:color w:val="000000"/>
                <w:sz w:val="24"/>
              </w:rPr>
            </w:pPr>
          </w:p>
        </w:tc>
        <w:tc>
          <w:tcPr>
            <w:tcW w:w="124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eastAsia="宋体"/>
                <w:color w:val="000000"/>
                <w:sz w:val="24"/>
              </w:rPr>
            </w:pP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人员经费足额保障率</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100</w:t>
            </w:r>
          </w:p>
        </w:tc>
        <w:tc>
          <w:tcPr>
            <w:tcW w:w="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15</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124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eastAsia="宋体"/>
                <w:color w:val="000000"/>
                <w:sz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质量指标</w:t>
            </w: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预算编制准确率</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100</w:t>
            </w:r>
          </w:p>
        </w:tc>
        <w:tc>
          <w:tcPr>
            <w:tcW w:w="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15</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124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eastAsia="宋体"/>
                <w:color w:val="000000"/>
                <w:sz w:val="24"/>
              </w:rPr>
            </w:pP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时效指标</w:t>
            </w: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按时发放率</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100</w:t>
            </w:r>
          </w:p>
        </w:tc>
        <w:tc>
          <w:tcPr>
            <w:tcW w:w="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124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效益指标</w:t>
            </w:r>
          </w:p>
        </w:tc>
        <w:tc>
          <w:tcPr>
            <w:tcW w:w="1245"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kern w:val="0"/>
                <w:sz w:val="24"/>
                <w:lang w:bidi="ar"/>
              </w:rPr>
            </w:pPr>
            <w:r>
              <w:rPr>
                <w:rFonts w:ascii="宋体" w:hAnsi="宋体" w:eastAsia="宋体" w:cs="宋体"/>
                <w:i w:val="0"/>
                <w:iCs w:val="0"/>
                <w:color w:val="000000"/>
                <w:kern w:val="0"/>
                <w:sz w:val="18"/>
                <w:szCs w:val="18"/>
                <w:u w:val="none"/>
                <w:lang w:val="en-US" w:eastAsia="zh-CN" w:bidi="ar"/>
              </w:rPr>
              <w:t>经济效益指标</w:t>
            </w: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三公经费控制率</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100</w:t>
            </w:r>
          </w:p>
        </w:tc>
        <w:tc>
          <w:tcPr>
            <w:tcW w:w="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15</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124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eastAsia="宋体"/>
                <w:color w:val="000000"/>
                <w:sz w:val="24"/>
              </w:rPr>
            </w:pPr>
          </w:p>
        </w:tc>
        <w:tc>
          <w:tcPr>
            <w:tcW w:w="1245" w:type="dxa"/>
            <w:vMerge w:val="continue"/>
            <w:tcBorders>
              <w:left w:val="single" w:color="000000" w:sz="4" w:space="0"/>
              <w:right w:val="single" w:color="000000" w:sz="4" w:space="0"/>
            </w:tcBorders>
            <w:vAlign w:val="center"/>
          </w:tcPr>
          <w:p>
            <w:pPr>
              <w:jc w:val="left"/>
              <w:rPr>
                <w:rFonts w:eastAsia="宋体"/>
                <w:color w:val="000000"/>
                <w:sz w:val="24"/>
              </w:rPr>
            </w:pP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预算结余率</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5</w:t>
            </w:r>
          </w:p>
        </w:tc>
        <w:tc>
          <w:tcPr>
            <w:tcW w:w="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15</w:t>
            </w:r>
          </w:p>
        </w:tc>
      </w:tr>
      <w:tr>
        <w:tblPrEx>
          <w:tblLayout w:type="fixed"/>
          <w:tblCellMar>
            <w:top w:w="15" w:type="dxa"/>
            <w:left w:w="15" w:type="dxa"/>
            <w:bottom w:w="15" w:type="dxa"/>
            <w:right w:w="15" w:type="dxa"/>
          </w:tblCellMar>
        </w:tblPrEx>
        <w:trPr>
          <w:trHeight w:val="23" w:hRule="atLeast"/>
          <w:jc w:val="center"/>
        </w:trPr>
        <w:tc>
          <w:tcPr>
            <w:tcW w:w="9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 w:val="24"/>
              </w:rPr>
            </w:pPr>
          </w:p>
        </w:tc>
        <w:tc>
          <w:tcPr>
            <w:tcW w:w="124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eastAsia="宋体"/>
                <w:color w:val="000000"/>
                <w:sz w:val="24"/>
              </w:rPr>
            </w:pPr>
          </w:p>
        </w:tc>
        <w:tc>
          <w:tcPr>
            <w:tcW w:w="1245" w:type="dxa"/>
            <w:vMerge w:val="continue"/>
            <w:tcBorders>
              <w:left w:val="single" w:color="000000" w:sz="4" w:space="0"/>
              <w:bottom w:val="single" w:color="000000" w:sz="4" w:space="0"/>
              <w:right w:val="single" w:color="000000" w:sz="4" w:space="0"/>
            </w:tcBorders>
            <w:vAlign w:val="center"/>
          </w:tcPr>
          <w:p>
            <w:pPr>
              <w:jc w:val="left"/>
              <w:rPr>
                <w:rFonts w:eastAsia="宋体"/>
                <w:color w:val="000000"/>
                <w:sz w:val="24"/>
              </w:rPr>
            </w:pPr>
          </w:p>
        </w:tc>
        <w:tc>
          <w:tcPr>
            <w:tcW w:w="19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运转保障率</w:t>
            </w:r>
          </w:p>
        </w:tc>
        <w:tc>
          <w:tcPr>
            <w:tcW w:w="9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100</w:t>
            </w:r>
          </w:p>
        </w:tc>
        <w:tc>
          <w:tcPr>
            <w:tcW w:w="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w:t>
            </w:r>
          </w:p>
        </w:tc>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eastAsia="宋体"/>
                <w:color w:val="000000"/>
                <w:sz w:val="21"/>
                <w:szCs w:val="21"/>
              </w:rPr>
            </w:pPr>
            <w:r>
              <w:rPr>
                <w:rFonts w:ascii="宋体" w:hAnsi="宋体" w:eastAsia="宋体" w:cs="宋体"/>
                <w:i w:val="0"/>
                <w:iCs w:val="0"/>
                <w:color w:val="000000"/>
                <w:kern w:val="0"/>
                <w:sz w:val="18"/>
                <w:szCs w:val="18"/>
                <w:u w:val="none"/>
                <w:lang w:val="en-US" w:eastAsia="zh-CN" w:bidi="ar"/>
              </w:rPr>
              <w:t>10</w:t>
            </w:r>
          </w:p>
        </w:tc>
      </w:tr>
    </w:tbl>
    <w:p>
      <w:pPr>
        <w:pStyle w:val="8"/>
        <w:ind w:left="0" w:leftChars="0" w:firstLine="0" w:firstLineChars="0"/>
        <w:rPr>
          <w:rFonts w:ascii="Times New Roman" w:eastAsia="黑体"/>
          <w:sz w:val="24"/>
          <w:szCs w:val="24"/>
        </w:rPr>
      </w:pPr>
    </w:p>
    <w:p/>
    <w:p>
      <w:pPr>
        <w:pStyle w:val="6"/>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黑体" w:cs="黑体"/>
          <w:color w:val="auto"/>
          <w:kern w:val="0"/>
          <w:sz w:val="32"/>
          <w:szCs w:val="32"/>
          <w:highlight w:val="none"/>
          <w:shd w:val="clear" w:color="auto" w:fill="FFFFFF"/>
          <w:lang w:val="zh-CN"/>
        </w:rPr>
        <w:br w:type="page"/>
      </w:r>
    </w:p>
    <w:p>
      <w:pPr>
        <w:widowControl/>
        <w:jc w:val="center"/>
        <w:rPr>
          <w:rFonts w:hint="eastAsia" w:ascii="Times New Roman" w:hAnsi="Times New Roman" w:eastAsia="仿宋"/>
          <w:b w:val="0"/>
          <w:color w:val="auto"/>
          <w:highlight w:val="none"/>
        </w:rPr>
      </w:pPr>
      <w:bookmarkStart w:id="113" w:name="_Toc15396618"/>
      <w:bookmarkStart w:id="114" w:name="_Toc9819_WPSOffice_Level1"/>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103"/>
      <w:bookmarkEnd w:id="113"/>
      <w:bookmarkEnd w:id="114"/>
      <w:bookmarkStart w:id="115"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6" w:name="_Toc22834_WPSOffice_Level2"/>
      <w:r>
        <w:rPr>
          <w:rFonts w:hint="eastAsia" w:ascii="Times New Roman" w:hAnsi="Times New Roman" w:eastAsia="仿宋_GB2312" w:cs="仿宋_GB2312"/>
          <w:color w:val="auto"/>
          <w:sz w:val="32"/>
          <w:szCs w:val="32"/>
          <w:highlight w:val="none"/>
        </w:rPr>
        <w:t>一、收入支出决算总表</w:t>
      </w:r>
      <w:bookmarkEnd w:id="115"/>
      <w:bookmarkEnd w:id="11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7" w:name="_Toc15396620"/>
      <w:bookmarkStart w:id="118" w:name="_Toc29529_WPSOffice_Level2"/>
      <w:r>
        <w:rPr>
          <w:rFonts w:hint="eastAsia" w:ascii="Times New Roman" w:hAnsi="Times New Roman" w:eastAsia="仿宋_GB2312" w:cs="仿宋_GB2312"/>
          <w:color w:val="auto"/>
          <w:sz w:val="32"/>
          <w:szCs w:val="32"/>
          <w:highlight w:val="none"/>
        </w:rPr>
        <w:t>二、收入决算表</w:t>
      </w:r>
      <w:bookmarkEnd w:id="117"/>
      <w:bookmarkEnd w:id="11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9" w:name="_Toc15396621"/>
      <w:bookmarkStart w:id="120" w:name="_Toc8644_WPSOffice_Level2"/>
      <w:r>
        <w:rPr>
          <w:rFonts w:hint="eastAsia" w:ascii="Times New Roman" w:hAnsi="Times New Roman" w:eastAsia="仿宋_GB2312" w:cs="仿宋_GB2312"/>
          <w:color w:val="auto"/>
          <w:sz w:val="32"/>
          <w:szCs w:val="32"/>
          <w:highlight w:val="none"/>
        </w:rPr>
        <w:t>三、支出决算表</w:t>
      </w:r>
      <w:bookmarkEnd w:id="119"/>
      <w:bookmarkEnd w:id="12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1" w:name="_Toc15396622"/>
      <w:bookmarkStart w:id="122" w:name="_Toc25553_WPSOffice_Level2"/>
      <w:r>
        <w:rPr>
          <w:rFonts w:hint="eastAsia" w:ascii="Times New Roman" w:hAnsi="Times New Roman" w:eastAsia="仿宋_GB2312" w:cs="仿宋_GB2312"/>
          <w:color w:val="auto"/>
          <w:sz w:val="32"/>
          <w:szCs w:val="32"/>
          <w:highlight w:val="none"/>
        </w:rPr>
        <w:t>四、财政拨款收入支出决算总表</w:t>
      </w:r>
      <w:bookmarkEnd w:id="121"/>
      <w:bookmarkEnd w:id="12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3" w:name="_Toc15396623"/>
      <w:bookmarkStart w:id="124" w:name="_Toc10733_WPSOffice_Level2"/>
      <w:r>
        <w:rPr>
          <w:rFonts w:hint="eastAsia" w:ascii="Times New Roman" w:hAnsi="Times New Roman" w:eastAsia="仿宋_GB2312" w:cs="仿宋_GB2312"/>
          <w:color w:val="auto"/>
          <w:sz w:val="32"/>
          <w:szCs w:val="32"/>
          <w:highlight w:val="none"/>
        </w:rPr>
        <w:t>五、财政拨款支出决算明细表</w:t>
      </w:r>
      <w:bookmarkEnd w:id="123"/>
      <w:bookmarkEnd w:id="124"/>
      <w:bookmarkStart w:id="125"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6" w:name="_Toc5698_WPSOffice_Level2"/>
      <w:r>
        <w:rPr>
          <w:rFonts w:hint="eastAsia" w:ascii="Times New Roman" w:hAnsi="Times New Roman" w:eastAsia="仿宋_GB2312" w:cs="仿宋_GB2312"/>
          <w:color w:val="auto"/>
          <w:sz w:val="32"/>
          <w:szCs w:val="32"/>
          <w:highlight w:val="none"/>
        </w:rPr>
        <w:t>六、一般公共预算财政拨款支出决算表</w:t>
      </w:r>
      <w:bookmarkEnd w:id="125"/>
      <w:bookmarkEnd w:id="12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7" w:name="_Toc15396625"/>
      <w:bookmarkStart w:id="128" w:name="_Toc10999_WPSOffice_Level2"/>
      <w:r>
        <w:rPr>
          <w:rFonts w:hint="eastAsia" w:ascii="Times New Roman" w:hAnsi="Times New Roman" w:eastAsia="仿宋_GB2312" w:cs="仿宋_GB2312"/>
          <w:color w:val="auto"/>
          <w:sz w:val="32"/>
          <w:szCs w:val="32"/>
          <w:highlight w:val="none"/>
        </w:rPr>
        <w:t>七、一般公共预算财政拨款支出决算明细表</w:t>
      </w:r>
      <w:bookmarkEnd w:id="127"/>
      <w:bookmarkEnd w:id="12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9" w:name="_Toc15396626"/>
      <w:bookmarkStart w:id="130" w:name="_Toc24238_WPSOffice_Level2"/>
      <w:r>
        <w:rPr>
          <w:rFonts w:hint="eastAsia" w:ascii="Times New Roman" w:hAnsi="Times New Roman" w:eastAsia="仿宋_GB2312" w:cs="仿宋_GB2312"/>
          <w:color w:val="auto"/>
          <w:sz w:val="32"/>
          <w:szCs w:val="32"/>
          <w:highlight w:val="none"/>
        </w:rPr>
        <w:t>八、一般公共预算财政拨款基本支出决算表</w:t>
      </w:r>
      <w:bookmarkEnd w:id="129"/>
      <w:bookmarkEnd w:id="13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1" w:name="_Toc15396627"/>
      <w:bookmarkStart w:id="132" w:name="_Toc12597_WPSOffice_Level2"/>
      <w:r>
        <w:rPr>
          <w:rFonts w:hint="eastAsia" w:ascii="Times New Roman" w:hAnsi="Times New Roman" w:eastAsia="仿宋_GB2312" w:cs="仿宋_GB2312"/>
          <w:color w:val="auto"/>
          <w:sz w:val="32"/>
          <w:szCs w:val="32"/>
          <w:highlight w:val="none"/>
        </w:rPr>
        <w:t>九、一般公共预算财政拨款项目支出决算表</w:t>
      </w:r>
      <w:bookmarkEnd w:id="131"/>
      <w:bookmarkEnd w:id="13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3" w:name="_Toc15396628"/>
      <w:bookmarkStart w:id="134" w:name="_Toc26381_WPSOffice_Level2"/>
      <w:r>
        <w:rPr>
          <w:rFonts w:hint="eastAsia" w:ascii="Times New Roman" w:hAnsi="Times New Roman" w:eastAsia="仿宋_GB2312" w:cs="仿宋_GB2312"/>
          <w:color w:val="auto"/>
          <w:sz w:val="32"/>
          <w:szCs w:val="32"/>
          <w:highlight w:val="none"/>
        </w:rPr>
        <w:t>十、</w:t>
      </w:r>
      <w:bookmarkEnd w:id="133"/>
      <w:r>
        <w:rPr>
          <w:rFonts w:hint="eastAsia" w:ascii="Times New Roman" w:hAnsi="Times New Roman" w:eastAsia="仿宋_GB2312" w:cs="仿宋_GB2312"/>
          <w:color w:val="auto"/>
          <w:sz w:val="32"/>
          <w:szCs w:val="32"/>
          <w:highlight w:val="none"/>
        </w:rPr>
        <w:t>政府性基金预算财政拨款收入支出决算表</w:t>
      </w:r>
      <w:bookmarkEnd w:id="13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5" w:name="_Toc15396629"/>
      <w:bookmarkStart w:id="136" w:name="_Toc6631_WPSOffice_Level2"/>
      <w:r>
        <w:rPr>
          <w:rFonts w:hint="eastAsia" w:ascii="Times New Roman" w:hAnsi="Times New Roman" w:eastAsia="仿宋_GB2312" w:cs="仿宋_GB2312"/>
          <w:color w:val="auto"/>
          <w:sz w:val="32"/>
          <w:szCs w:val="32"/>
          <w:highlight w:val="none"/>
        </w:rPr>
        <w:t>十一、</w:t>
      </w:r>
      <w:bookmarkEnd w:id="13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13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7" w:name="_Toc15396630"/>
      <w:bookmarkStart w:id="138" w:name="_Toc11812_WPSOffice_Level2"/>
      <w:r>
        <w:rPr>
          <w:rFonts w:hint="eastAsia" w:ascii="Times New Roman" w:hAnsi="Times New Roman" w:eastAsia="仿宋_GB2312" w:cs="仿宋_GB2312"/>
          <w:color w:val="auto"/>
          <w:sz w:val="32"/>
          <w:szCs w:val="32"/>
          <w:highlight w:val="none"/>
        </w:rPr>
        <w:t>十二、</w:t>
      </w:r>
      <w:bookmarkEnd w:id="137"/>
      <w:r>
        <w:rPr>
          <w:rFonts w:hint="eastAsia" w:ascii="Times New Roman" w:hAnsi="Times New Roman" w:eastAsia="仿宋_GB2312" w:cs="仿宋_GB2312"/>
          <w:color w:val="auto"/>
          <w:sz w:val="32"/>
          <w:szCs w:val="32"/>
          <w:highlight w:val="none"/>
          <w:lang w:eastAsia="zh-CN"/>
        </w:rPr>
        <w:t>国有资本经营预算财政拨款支出决算表</w:t>
      </w:r>
      <w:bookmarkEnd w:id="13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139" w:name="_Toc15396631"/>
      <w:bookmarkStart w:id="140" w:name="_Toc11583_WPSOffice_Level2"/>
      <w:r>
        <w:rPr>
          <w:rFonts w:hint="eastAsia" w:ascii="Times New Roman" w:hAnsi="Times New Roman" w:eastAsia="仿宋_GB2312" w:cs="仿宋_GB2312"/>
          <w:color w:val="auto"/>
          <w:sz w:val="32"/>
          <w:szCs w:val="32"/>
          <w:highlight w:val="none"/>
        </w:rPr>
        <w:t>十三、</w:t>
      </w:r>
      <w:bookmarkEnd w:id="139"/>
      <w:r>
        <w:rPr>
          <w:rFonts w:hint="eastAsia" w:ascii="Times New Roman" w:hAnsi="Times New Roman" w:eastAsia="仿宋_GB2312" w:cs="仿宋_GB2312"/>
          <w:color w:val="auto"/>
          <w:sz w:val="32"/>
          <w:szCs w:val="32"/>
          <w:highlight w:val="none"/>
          <w:lang w:eastAsia="zh-CN"/>
        </w:rPr>
        <w:t>财政拨款“三公”经费支出决算表</w:t>
      </w:r>
      <w:bookmarkEnd w:id="140"/>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楷体_GBK">
    <w:altName w:val="微软雅黑"/>
    <w:panose1 w:val="03000509000000000000"/>
    <w:charset w:val="86"/>
    <w:family w:val="auto"/>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方正仿宋_GBK">
    <w:altName w:val="微软雅黑"/>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78D72DD4"/>
    <w:multiLevelType w:val="singleLevel"/>
    <w:tmpl w:val="78D72DD4"/>
    <w:lvl w:ilvl="0" w:tentative="0">
      <w:start w:val="3"/>
      <w:numFmt w:val="decimal"/>
      <w:lvlText w:val="%1."/>
      <w:lvlJc w:val="left"/>
      <w:pPr>
        <w:tabs>
          <w:tab w:val="left" w:pos="0"/>
        </w:tabs>
        <w:ind w:left="0" w:firstLine="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5BD2548"/>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2161031"/>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D76015"/>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9F4244E"/>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162FED"/>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6"/>
    <w:link w:val="3"/>
    <w:qFormat/>
    <w:uiPriority w:val="9"/>
    <w:rPr>
      <w:rFonts w:ascii="Times New Roman" w:hAnsi="Times New Roman"/>
      <w:b/>
      <w:bCs/>
      <w:kern w:val="44"/>
      <w:sz w:val="44"/>
      <w:szCs w:val="44"/>
    </w:rPr>
  </w:style>
  <w:style w:type="character" w:customStyle="1" w:styleId="30">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6"/>
    <w:link w:val="10"/>
    <w:semiHidden/>
    <w:qFormat/>
    <w:uiPriority w:val="99"/>
    <w:rPr>
      <w:rFonts w:ascii="Times New Roman" w:hAnsi="Times New Roman"/>
      <w:kern w:val="2"/>
      <w:sz w:val="18"/>
      <w:szCs w:val="18"/>
    </w:rPr>
  </w:style>
  <w:style w:type="character" w:customStyle="1" w:styleId="33">
    <w:name w:val="标题 3 Char"/>
    <w:basedOn w:val="16"/>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6">
    <w:name w:val="heading 2 Char"/>
    <w:basedOn w:val="16"/>
    <w:link w:val="4"/>
    <w:qFormat/>
    <w:uiPriority w:val="0"/>
    <w:rPr>
      <w:rFonts w:ascii="Cambria" w:hAnsi="Cambria"/>
      <w:b/>
      <w:bCs/>
      <w:sz w:val="32"/>
      <w:szCs w:val="32"/>
    </w:rPr>
  </w:style>
  <w:style w:type="paragraph" w:customStyle="1" w:styleId="37">
    <w:name w:val="WPSOffice手动目录 1"/>
    <w:uiPriority w:val="0"/>
    <w:pPr>
      <w:ind w:leftChars="0"/>
    </w:pPr>
    <w:rPr>
      <w:sz w:val="20"/>
      <w:szCs w:val="20"/>
    </w:rPr>
  </w:style>
  <w:style w:type="paragraph" w:customStyle="1" w:styleId="38">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图表标题</a:t>
            </a:r>
            <a:endParaRPr lang="zh-CN"/>
          </a:p>
        </c:rich>
      </c:tx>
      <c:layout>
        <c:manualLayout>
          <c:xMode val="edge"/>
          <c:yMode val="edge"/>
          <c:x val="0.42707384"/>
          <c:y val="0.043595992"/>
        </c:manualLayout>
      </c:layout>
      <c:overlay val="0"/>
      <c:spPr>
        <a:noFill/>
        <a:ln>
          <a:noFill/>
        </a:ln>
      </c:spPr>
    </c:title>
    <c:autoTitleDeleted val="0"/>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Sheet1!$B$1</c:f>
              <c:strCache>
                <c:ptCount val="1"/>
                <c:pt idx="0">
                  <c:v>2024年</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723.15</c:v>
                </c:pt>
                <c:pt idx="1">
                  <c:v>723.15</c:v>
                </c:pt>
              </c:numCache>
            </c:numRef>
          </c:val>
        </c:ser>
        <c:ser>
          <c:idx val="1"/>
          <c:order val="1"/>
          <c:tx>
            <c:strRef>
              <c:f>Sheet1!$C$1</c:f>
              <c:strCache>
                <c:ptCount val="1"/>
                <c:pt idx="0">
                  <c:v>2023年</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1448.74</c:v>
                </c:pt>
                <c:pt idx="1">
                  <c:v>1448.74</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61116511595612"/>
          <c:y val="0.0758612716763006"/>
          <c:w val="0.474767393417581"/>
          <c:h val="0.790473988439306"/>
        </c:manualLayout>
      </c:layout>
      <c:pieChart>
        <c:varyColors val="1"/>
        <c:ser>
          <c:idx val="0"/>
          <c:order val="0"/>
          <c:spPr>
            <a:solidFill>
              <a:srgbClr val="4F81BD"/>
            </a:solidFill>
            <a:ln>
              <a:noFill/>
            </a:ln>
          </c:spPr>
          <c:explosion val="0"/>
          <c:dPt>
            <c:idx val="0"/>
            <c:bubble3D val="0"/>
            <c:spPr>
              <a:solidFill>
                <a:srgbClr val="4F81BD"/>
              </a:solidFill>
            </c:spPr>
          </c:dPt>
          <c:dPt>
            <c:idx val="1"/>
            <c:bubble3D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r>
                      <a:rPr lang="zh-CN" sz="1000" b="0" i="0" u="none" strike="noStrike" baseline="0">
                        <a:solidFill>
                          <a:srgbClr val="000000"/>
                        </a:solidFill>
                        <a:latin typeface="AR PL UKai CN"/>
                        <a:ea typeface="AR PL UKai CN"/>
                        <a:cs typeface="Arial" panose="020B0604020202020204" pitchFamily="2"/>
                      </a:rPr>
                      <a:t>202</a:t>
                    </a:r>
                    <a:r>
                      <a:rPr lang="en-US" altLang="zh-CN" sz="1000" b="0" i="0" u="none" strike="noStrike" baseline="0">
                        <a:solidFill>
                          <a:srgbClr val="000000"/>
                        </a:solidFill>
                        <a:latin typeface="AR PL UKai CN"/>
                        <a:ea typeface="AR PL UKai CN"/>
                        <a:cs typeface="Arial" panose="020B0604020202020204" pitchFamily="2"/>
                      </a:rPr>
                      <a:t>4</a:t>
                    </a:r>
                    <a:r>
                      <a:rPr lang="zh-CN" sz="1000" b="0" i="0" u="none" strike="noStrike" baseline="0">
                        <a:solidFill>
                          <a:srgbClr val="000000"/>
                        </a:solidFill>
                        <a:latin typeface="AR PL UKai CN"/>
                        <a:ea typeface="AR PL UKai CN"/>
                        <a:cs typeface="Arial" panose="020B0604020202020204" pitchFamily="2"/>
                      </a:rPr>
                      <a:t>年, 一般公共预算财政收入,</a:t>
                    </a:r>
                    <a:r>
                      <a:rPr lang="en-US" altLang="zh-CN" sz="1000" b="0" i="0" u="none" strike="noStrike" baseline="0">
                        <a:solidFill>
                          <a:srgbClr val="000000"/>
                        </a:solidFill>
                        <a:latin typeface="AR PL UKai CN"/>
                        <a:ea typeface="AR PL UKai CN"/>
                        <a:cs typeface="Arial" panose="020B0604020202020204" pitchFamily="2"/>
                      </a:rPr>
                      <a:t>723.15</a:t>
                    </a:r>
                    <a:r>
                      <a:rPr altLang="en-US" sz="1000" b="0" i="0" u="none" strike="noStrike" baseline="0">
                        <a:solidFill>
                          <a:srgbClr val="000000"/>
                        </a:solidFill>
                        <a:latin typeface="AR PL UKai CN"/>
                        <a:ea typeface="AR PL UKai CN"/>
                        <a:cs typeface="Arial" panose="020B0604020202020204" pitchFamily="2"/>
                      </a:rPr>
                      <a:t>万元</a:t>
                    </a:r>
                    <a:r>
                      <a:rPr lang="zh-CN" sz="1000" b="0" i="0" u="none" strike="noStrike" baseline="0">
                        <a:solidFill>
                          <a:srgbClr val="000000"/>
                        </a:solidFill>
                        <a:latin typeface="AR PL UKai CN"/>
                        <a:ea typeface="AR PL UKai CN"/>
                        <a:cs typeface="Arial" panose="020B0604020202020204" pitchFamily="2"/>
                      </a:rPr>
                      <a:t>, 100%</a:t>
                    </a:r>
                    <a:endParaRPr lang="zh-CN" sz="1000" b="0" i="0" u="none" strike="noStrike" baseline="0">
                      <a:solidFill>
                        <a:srgbClr val="000000"/>
                      </a:solidFill>
                      <a:latin typeface="AR PL UKai CN"/>
                      <a:ea typeface="AR PL UKai CN"/>
                      <a:cs typeface="Arial" panose="020B0604020202020204" pitchFamily="2"/>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bestFit"/>
              <c:showLegendKey val="1"/>
              <c:showVal val="1"/>
              <c:showCatName val="1"/>
              <c:showSerName val="1"/>
              <c:showPercent val="1"/>
              <c:showBubbleSize val="1"/>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{"一般公共预算财政收入","其他收入"}</c:f>
              <c:strCache>
                <c:ptCount val="2"/>
                <c:pt idx="0">
                  <c:v>一般公共预算财政收入</c:v>
                </c:pt>
                <c:pt idx="1">
                  <c:v>其他收入</c:v>
                </c:pt>
              </c:strCache>
            </c:strRef>
          </c:cat>
          <c:val>
            <c:numRef>
              <c:f>{7732.42,0}</c:f>
              <c:numCache>
                <c:formatCode>General</c:formatCode>
                <c:ptCount val="2"/>
                <c:pt idx="0">
                  <c:v>7732.42</c:v>
                </c:pt>
                <c:pt idx="1">
                  <c:v>0</c:v>
                </c:pt>
              </c:numCache>
            </c:numRef>
          </c:val>
        </c:ser>
        <c:dLbls>
          <c:showLegendKey val="1"/>
          <c:showVal val="1"/>
          <c:showCatName val="1"/>
          <c:showSerName val="1"/>
          <c:showPercent val="1"/>
          <c:showBubbleSize val="1"/>
          <c:showLeaderLines val="1"/>
        </c:dLbls>
        <c:firstSliceAng val="0"/>
      </c:pieChart>
      <c:spPr>
        <a:noFill/>
      </c:spPr>
    </c:plotArea>
    <c:legend>
      <c:legendPos val="r"/>
      <c:layout>
        <c:manualLayout>
          <c:xMode val="edge"/>
          <c:yMode val="edge"/>
          <c:x val="0.66004723"/>
          <c:y val="0.4753757"/>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支出决算情况</a:t>
            </a:r>
            <a:endParaRPr lang="zh-CN"/>
          </a:p>
        </c:rich>
      </c:tx>
      <c:layout/>
      <c:overlay val="0"/>
      <c:spPr>
        <a:noFill/>
        <a:ln>
          <a:noFill/>
        </a:ln>
      </c:spPr>
    </c:title>
    <c:autoTitleDeleted val="0"/>
    <c:plotArea>
      <c:layout/>
      <c:pieChart>
        <c:varyColors val="1"/>
        <c:ser>
          <c:idx val="0"/>
          <c:order val="0"/>
          <c:tx>
            <c:strRef>
              <c:f>'Sheet1 (2)'!$B$1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基本支出</c:v>
                </c:pt>
                <c:pt idx="1">
                  <c:v>项目支出</c:v>
                </c:pt>
              </c:strCache>
            </c:strRef>
          </c:cat>
          <c:val>
            <c:numRef>
              <c:f>'Sheet1 (2)'!$B$2:$B$3</c:f>
              <c:numCache>
                <c:formatCode>General</c:formatCode>
                <c:ptCount val="2"/>
                <c:pt idx="0">
                  <c:v>323.47</c:v>
                </c:pt>
                <c:pt idx="1">
                  <c:v>399.68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图表标题</a:t>
            </a:r>
            <a:endParaRPr lang="zh-CN"/>
          </a:p>
        </c:rich>
      </c:tx>
      <c:layout>
        <c:manualLayout>
          <c:xMode val="edge"/>
          <c:yMode val="edge"/>
          <c:x val="0.42707384"/>
          <c:y val="0.043595992"/>
        </c:manualLayout>
      </c:layout>
      <c:overlay val="0"/>
      <c:spPr>
        <a:noFill/>
        <a:ln>
          <a:noFill/>
        </a:ln>
      </c:spPr>
    </c:title>
    <c:autoTitleDeleted val="0"/>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 (3)'!$B$1</c:f>
              <c:strCache>
                <c:ptCount val="1"/>
                <c:pt idx="0">
                  <c:v>2024年</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(3)'!$B$2:$B$3</c:f>
              <c:numCache>
                <c:formatCode>General</c:formatCode>
                <c:ptCount val="2"/>
                <c:pt idx="0">
                  <c:v>723.15</c:v>
                </c:pt>
                <c:pt idx="1">
                  <c:v>723.15</c:v>
                </c:pt>
              </c:numCache>
            </c:numRef>
          </c:val>
        </c:ser>
        <c:ser>
          <c:idx val="1"/>
          <c:order val="1"/>
          <c:tx>
            <c:strRef>
              <c:f>'Sheet1 (3)'!$C$1</c:f>
              <c:strCache>
                <c:ptCount val="1"/>
                <c:pt idx="0">
                  <c:v>2023年</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(3)'!$C$2:$C$3</c:f>
              <c:numCache>
                <c:formatCode>General</c:formatCode>
                <c:ptCount val="2"/>
                <c:pt idx="0">
                  <c:v>1448.74</c:v>
                </c:pt>
                <c:pt idx="1">
                  <c:v>1448.74</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0"/>
        <c:crossesAt val="1"/>
        <c:crossBetween val="between"/>
      </c:valAx>
      <c:spPr>
        <a:noFill/>
        <a:ln>
          <a:noFill/>
        </a:ln>
      </c:spPr>
    </c:plotArea>
    <c:legend>
      <c:legendPos val="b"/>
      <c:layout>
        <c:manualLayout>
          <c:xMode val="edge"/>
          <c:yMode val="edge"/>
          <c:x val="0.36979643"/>
          <c:y val="0.88275117"/>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(4)'!$B$1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(4)'!$A$2:$A$6</c:f>
              <c:strCache>
                <c:ptCount val="5"/>
                <c:pt idx="0">
                  <c:v>一般公共服务支出</c:v>
                </c:pt>
                <c:pt idx="1">
                  <c:v>社会保障和就业</c:v>
                </c:pt>
                <c:pt idx="2">
                  <c:v>卫生健康支出</c:v>
                </c:pt>
                <c:pt idx="3">
                  <c:v>农林水</c:v>
                </c:pt>
                <c:pt idx="4">
                  <c:v>住房保障支出</c:v>
                </c:pt>
              </c:strCache>
            </c:strRef>
          </c:cat>
          <c:val>
            <c:numRef>
              <c:f>'Sheet1 (4)'!$B$2:$B$6</c:f>
              <c:numCache>
                <c:formatCode>General</c:formatCode>
                <c:ptCount val="5"/>
                <c:pt idx="0">
                  <c:v>578.29</c:v>
                </c:pt>
                <c:pt idx="1">
                  <c:v>45.04</c:v>
                </c:pt>
                <c:pt idx="2">
                  <c:v>18.88</c:v>
                </c:pt>
                <c:pt idx="3">
                  <c:v>55.68</c:v>
                </c:pt>
                <c:pt idx="4">
                  <c:v>25.26</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076699436"/>
          <c:y val="0.8292579"/>
          <c:w val="0.915686"/>
          <c:h val="0.1537316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000000"/>
                </a:solidFill>
                <a:latin typeface="AR PL UKai CN"/>
                <a:ea typeface="AR PL UKai CN"/>
                <a:cs typeface="Arial" panose="020B0604020202020204" pitchFamily="2"/>
              </a:defRPr>
            </a:pPr>
            <a:r>
              <a:rPr lang="zh-CN" sz="1400" b="0" i="0" u="none" strike="noStrike" baseline="0">
                <a:solidFill>
                  <a:srgbClr val="595959"/>
                </a:solidFill>
                <a:latin typeface="AR PL UKai CN"/>
                <a:ea typeface="AR PL UKai CN"/>
                <a:cs typeface="Arial" panose="020B0604020202020204" pitchFamily="2"/>
              </a:rPr>
              <a:t>“三公”经费支出决算情况</a:t>
            </a:r>
            <a:endParaRPr lang="zh-CN" sz="1400" b="0" i="0" u="none" strike="noStrike" baseline="0">
              <a:solidFill>
                <a:srgbClr val="595959"/>
              </a:solidFill>
              <a:latin typeface="AR PL UKai CN"/>
              <a:ea typeface="AR PL UKai CN"/>
              <a:cs typeface="Arial" panose="020B0604020202020204" pitchFamily="2"/>
            </a:endParaRPr>
          </a:p>
        </c:rich>
      </c:tx>
      <c:layout/>
      <c:overlay val="0"/>
      <c:spPr>
        <a:noFill/>
        <a:ln>
          <a:noFill/>
        </a:ln>
      </c:spPr>
    </c:title>
    <c:autoTitleDeleted val="0"/>
    <c:plotArea>
      <c:layout/>
      <c:pieChart>
        <c:varyColors val="1"/>
        <c:ser>
          <c:idx val="0"/>
          <c:order val="0"/>
          <c:tx>
            <c:strRef>
              <c:f>'Sheet1 (5)'!$B$1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4F81BD"/>
              </a:solidFill>
              <a:ln>
                <a:noFill/>
              </a:ln>
            </c:spPr>
          </c:dPt>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(5)'!$A$2:$A$5</c:f>
              <c:strCache>
                <c:ptCount val="4"/>
                <c:pt idx="0">
                  <c:v>因公出国（境）费支出</c:v>
                </c:pt>
                <c:pt idx="1">
                  <c:v>公务用车购置及运行维护费支出</c:v>
                </c:pt>
                <c:pt idx="2">
                  <c:v>公务用车运行维护费</c:v>
                </c:pt>
                <c:pt idx="3">
                  <c:v>公务接待费支出</c:v>
                </c:pt>
              </c:strCache>
            </c:strRef>
          </c:cat>
          <c:val>
            <c:numRef>
              <c:f>'Sheet1 (5)'!$B$2:$B$5</c:f>
              <c:numCache>
                <c:formatCode>General</c:formatCode>
                <c:ptCount val="4"/>
                <c:pt idx="0">
                  <c:v>0</c:v>
                </c:pt>
                <c:pt idx="1">
                  <c:v>0</c:v>
                </c:pt>
                <c:pt idx="2">
                  <c:v>3</c:v>
                </c:pt>
                <c:pt idx="3">
                  <c:v>0.3</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4086236"/>
          <c:y val="0.7769230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3b4e3de-2a47-41f9-a628-509a17189e11}"/>
        <w:style w:val=""/>
        <w:category>
          <w:name w:val="常规"/>
          <w:gallery w:val="placeholder"/>
        </w:category>
        <w:types>
          <w:type w:val="bbPlcHdr"/>
        </w:types>
        <w:behaviors>
          <w:behavior w:val="content"/>
        </w:behaviors>
        <w:description w:val=""/>
        <w:guid w:val="{c3b4e3de-2a47-41f9-a628-509a17189e11}"/>
      </w:docPartPr>
      <w:docPartBody>
        <w:p>
          <w:r>
            <w:rPr>
              <w:color w:val="808080"/>
            </w:rPr>
            <w:t>单击此处输入文字。</w:t>
          </w:r>
        </w:p>
      </w:docPartBody>
    </w:docPart>
    <w:docPart>
      <w:docPartPr>
        <w:name w:val="{21a20e09-5688-4263-ad14-e422e3962092}"/>
        <w:style w:val=""/>
        <w:category>
          <w:name w:val="常规"/>
          <w:gallery w:val="placeholder"/>
        </w:category>
        <w:types>
          <w:type w:val="bbPlcHdr"/>
        </w:types>
        <w:behaviors>
          <w:behavior w:val="content"/>
        </w:behaviors>
        <w:description w:val=""/>
        <w:guid w:val="{21a20e09-5688-4263-ad14-e422e3962092}"/>
      </w:docPartPr>
      <w:docPartBody>
        <w:p>
          <w:r>
            <w:rPr>
              <w:color w:val="808080"/>
            </w:rPr>
            <w:t>单击此处输入文字。</w:t>
          </w:r>
        </w:p>
      </w:docPartBody>
    </w:docPart>
    <w:docPart>
      <w:docPartPr>
        <w:name w:val="{84369254-7618-447c-9449-b013a22e7eff}"/>
        <w:style w:val=""/>
        <w:category>
          <w:name w:val="常规"/>
          <w:gallery w:val="placeholder"/>
        </w:category>
        <w:types>
          <w:type w:val="bbPlcHdr"/>
        </w:types>
        <w:behaviors>
          <w:behavior w:val="content"/>
        </w:behaviors>
        <w:description w:val=""/>
        <w:guid w:val="{84369254-7618-447c-9449-b013a22e7eff}"/>
      </w:docPartPr>
      <w:docPartBody>
        <w:p>
          <w:r>
            <w:rPr>
              <w:color w:val="808080"/>
            </w:rPr>
            <w:t>单击此处输入文字。</w:t>
          </w:r>
        </w:p>
      </w:docPartBody>
    </w:docPart>
    <w:docPart>
      <w:docPartPr>
        <w:name w:val="{37cc960e-6ed3-4389-a80b-ec4ebb9e6f26}"/>
        <w:style w:val=""/>
        <w:category>
          <w:name w:val="常规"/>
          <w:gallery w:val="placeholder"/>
        </w:category>
        <w:types>
          <w:type w:val="bbPlcHdr"/>
        </w:types>
        <w:behaviors>
          <w:behavior w:val="content"/>
        </w:behaviors>
        <w:description w:val=""/>
        <w:guid w:val="{37cc960e-6ed3-4389-a80b-ec4ebb9e6f26}"/>
      </w:docPartPr>
      <w:docPartBody>
        <w:p>
          <w:r>
            <w:rPr>
              <w:color w:val="808080"/>
            </w:rPr>
            <w:t>单击此处输入文字。</w:t>
          </w:r>
        </w:p>
      </w:docPartBody>
    </w:docPart>
    <w:docPart>
      <w:docPartPr>
        <w:name w:val="{e208c576-04b8-438c-9d50-2e5b6f9f6bda}"/>
        <w:style w:val=""/>
        <w:category>
          <w:name w:val="常规"/>
          <w:gallery w:val="placeholder"/>
        </w:category>
        <w:types>
          <w:type w:val="bbPlcHdr"/>
        </w:types>
        <w:behaviors>
          <w:behavior w:val="content"/>
        </w:behaviors>
        <w:description w:val=""/>
        <w:guid w:val="{e208c576-04b8-438c-9d50-2e5b6f9f6bda}"/>
      </w:docPartPr>
      <w:docPartBody>
        <w:p>
          <w:r>
            <w:rPr>
              <w:color w:val="808080"/>
            </w:rPr>
            <w:t>单击此处输入文字。</w:t>
          </w:r>
        </w:p>
      </w:docPartBody>
    </w:docPart>
    <w:docPart>
      <w:docPartPr>
        <w:name w:val="{491dd3e2-764f-47e5-98d0-30b150ffc338}"/>
        <w:style w:val=""/>
        <w:category>
          <w:name w:val="常规"/>
          <w:gallery w:val="placeholder"/>
        </w:category>
        <w:types>
          <w:type w:val="bbPlcHdr"/>
        </w:types>
        <w:behaviors>
          <w:behavior w:val="content"/>
        </w:behaviors>
        <w:description w:val=""/>
        <w:guid w:val="{491dd3e2-764f-47e5-98d0-30b150ffc338}"/>
      </w:docPartPr>
      <w:docPartBody>
        <w:p>
          <w:r>
            <w:rPr>
              <w:color w:val="808080"/>
            </w:rPr>
            <w:t>单击此处输入文字。</w:t>
          </w:r>
        </w:p>
      </w:docPartBody>
    </w:docPart>
    <w:docPart>
      <w:docPartPr>
        <w:name w:val="{0f0f205d-b7de-4a2b-9f68-889645b31066}"/>
        <w:style w:val=""/>
        <w:category>
          <w:name w:val="常规"/>
          <w:gallery w:val="placeholder"/>
        </w:category>
        <w:types>
          <w:type w:val="bbPlcHdr"/>
        </w:types>
        <w:behaviors>
          <w:behavior w:val="content"/>
        </w:behaviors>
        <w:description w:val=""/>
        <w:guid w:val="{0f0f205d-b7de-4a2b-9f68-889645b31066}"/>
      </w:docPartPr>
      <w:docPartBody>
        <w:p>
          <w:r>
            <w:rPr>
              <w:color w:val="808080"/>
            </w:rPr>
            <w:t>单击此处输入文字。</w:t>
          </w:r>
        </w:p>
      </w:docPartBody>
    </w:docPart>
    <w:docPart>
      <w:docPartPr>
        <w:name w:val="{13274f2f-e135-4ee3-93e2-cbdedc1c5551}"/>
        <w:style w:val=""/>
        <w:category>
          <w:name w:val="常规"/>
          <w:gallery w:val="placeholder"/>
        </w:category>
        <w:types>
          <w:type w:val="bbPlcHdr"/>
        </w:types>
        <w:behaviors>
          <w:behavior w:val="content"/>
        </w:behaviors>
        <w:description w:val=""/>
        <w:guid w:val="{13274f2f-e135-4ee3-93e2-cbdedc1c5551}"/>
      </w:docPartPr>
      <w:docPartBody>
        <w:p>
          <w:r>
            <w:rPr>
              <w:color w:val="808080"/>
            </w:rPr>
            <w:t>单击此处输入文字。</w:t>
          </w:r>
        </w:p>
      </w:docPartBody>
    </w:docPart>
    <w:docPart>
      <w:docPartPr>
        <w:name w:val="{cfbbdbd5-9dfb-49bf-bdc7-c1869f9a79cf}"/>
        <w:style w:val=""/>
        <w:category>
          <w:name w:val="常规"/>
          <w:gallery w:val="placeholder"/>
        </w:category>
        <w:types>
          <w:type w:val="bbPlcHdr"/>
        </w:types>
        <w:behaviors>
          <w:behavior w:val="content"/>
        </w:behaviors>
        <w:description w:val=""/>
        <w:guid w:val="{cfbbdbd5-9dfb-49bf-bdc7-c1869f9a79cf}"/>
      </w:docPartPr>
      <w:docPartBody>
        <w:p>
          <w:r>
            <w:rPr>
              <w:color w:val="808080"/>
            </w:rPr>
            <w:t>单击此处输入文字。</w:t>
          </w:r>
        </w:p>
      </w:docPartBody>
    </w:docPart>
    <w:docPart>
      <w:docPartPr>
        <w:name w:val="{4b34b4bd-ba35-4cd9-baf5-88f17bc69e2c}"/>
        <w:style w:val=""/>
        <w:category>
          <w:name w:val="常规"/>
          <w:gallery w:val="placeholder"/>
        </w:category>
        <w:types>
          <w:type w:val="bbPlcHdr"/>
        </w:types>
        <w:behaviors>
          <w:behavior w:val="content"/>
        </w:behaviors>
        <w:description w:val=""/>
        <w:guid w:val="{4b34b4bd-ba35-4cd9-baf5-88f17bc69e2c}"/>
      </w:docPartPr>
      <w:docPartBody>
        <w:p>
          <w:r>
            <w:rPr>
              <w:color w:val="808080"/>
            </w:rPr>
            <w:t>单击此处输入文字。</w:t>
          </w:r>
        </w:p>
      </w:docPartBody>
    </w:docPart>
    <w:docPart>
      <w:docPartPr>
        <w:name w:val="{d3208334-13ab-4e5e-a774-2d3dfdeb58b1}"/>
        <w:style w:val=""/>
        <w:category>
          <w:name w:val="常规"/>
          <w:gallery w:val="placeholder"/>
        </w:category>
        <w:types>
          <w:type w:val="bbPlcHdr"/>
        </w:types>
        <w:behaviors>
          <w:behavior w:val="content"/>
        </w:behaviors>
        <w:description w:val=""/>
        <w:guid w:val="{d3208334-13ab-4e5e-a774-2d3dfdeb58b1}"/>
      </w:docPartPr>
      <w:docPartBody>
        <w:p>
          <w:r>
            <w:rPr>
              <w:color w:val="808080"/>
            </w:rPr>
            <w:t>单击此处输入文字。</w:t>
          </w:r>
        </w:p>
      </w:docPartBody>
    </w:docPart>
    <w:docPart>
      <w:docPartPr>
        <w:name w:val="{4d1183bb-139c-46e4-adda-1f1a9315fdbc}"/>
        <w:style w:val=""/>
        <w:category>
          <w:name w:val="常规"/>
          <w:gallery w:val="placeholder"/>
        </w:category>
        <w:types>
          <w:type w:val="bbPlcHdr"/>
        </w:types>
        <w:behaviors>
          <w:behavior w:val="content"/>
        </w:behaviors>
        <w:description w:val=""/>
        <w:guid w:val="{4d1183bb-139c-46e4-adda-1f1a9315fdbc}"/>
      </w:docPartPr>
      <w:docPartBody>
        <w:p>
          <w:r>
            <w:rPr>
              <w:color w:val="808080"/>
            </w:rPr>
            <w:t>单击此处输入文字。</w:t>
          </w:r>
        </w:p>
      </w:docPartBody>
    </w:docPart>
    <w:docPart>
      <w:docPartPr>
        <w:name w:val="{6acd806d-1f16-4263-9c73-6bc1a7bf51ef}"/>
        <w:style w:val=""/>
        <w:category>
          <w:name w:val="常规"/>
          <w:gallery w:val="placeholder"/>
        </w:category>
        <w:types>
          <w:type w:val="bbPlcHdr"/>
        </w:types>
        <w:behaviors>
          <w:behavior w:val="content"/>
        </w:behaviors>
        <w:description w:val=""/>
        <w:guid w:val="{6acd806d-1f16-4263-9c73-6bc1a7bf51ef}"/>
      </w:docPartPr>
      <w:docPartBody>
        <w:p>
          <w:r>
            <w:rPr>
              <w:color w:val="808080"/>
            </w:rPr>
            <w:t>单击此处输入文字。</w:t>
          </w:r>
        </w:p>
      </w:docPartBody>
    </w:docPart>
    <w:docPart>
      <w:docPartPr>
        <w:name w:val="{8fff7595-a589-4813-a02c-43740171c78f}"/>
        <w:style w:val=""/>
        <w:category>
          <w:name w:val="常规"/>
          <w:gallery w:val="placeholder"/>
        </w:category>
        <w:types>
          <w:type w:val="bbPlcHdr"/>
        </w:types>
        <w:behaviors>
          <w:behavior w:val="content"/>
        </w:behaviors>
        <w:description w:val=""/>
        <w:guid w:val="{8fff7595-a589-4813-a02c-43740171c78f}"/>
      </w:docPartPr>
      <w:docPartBody>
        <w:p>
          <w:r>
            <w:rPr>
              <w:color w:val="808080"/>
            </w:rPr>
            <w:t>单击此处输入文字。</w:t>
          </w:r>
        </w:p>
      </w:docPartBody>
    </w:docPart>
    <w:docPart>
      <w:docPartPr>
        <w:name w:val="{a17fefef-462f-4657-9166-5d39a3bfac9a}"/>
        <w:style w:val=""/>
        <w:category>
          <w:name w:val="常规"/>
          <w:gallery w:val="placeholder"/>
        </w:category>
        <w:types>
          <w:type w:val="bbPlcHdr"/>
        </w:types>
        <w:behaviors>
          <w:behavior w:val="content"/>
        </w:behaviors>
        <w:description w:val=""/>
        <w:guid w:val="{a17fefef-462f-4657-9166-5d39a3bfac9a}"/>
      </w:docPartPr>
      <w:docPartBody>
        <w:p>
          <w:r>
            <w:rPr>
              <w:color w:val="808080"/>
            </w:rPr>
            <w:t>单击此处输入文字。</w:t>
          </w:r>
        </w:p>
      </w:docPartBody>
    </w:docPart>
    <w:docPart>
      <w:docPartPr>
        <w:name w:val="{0e53c6be-a675-4673-974e-25cdbaecaba2}"/>
        <w:style w:val=""/>
        <w:category>
          <w:name w:val="常规"/>
          <w:gallery w:val="placeholder"/>
        </w:category>
        <w:types>
          <w:type w:val="bbPlcHdr"/>
        </w:types>
        <w:behaviors>
          <w:behavior w:val="content"/>
        </w:behaviors>
        <w:description w:val=""/>
        <w:guid w:val="{0e53c6be-a675-4673-974e-25cdbaecaba2}"/>
      </w:docPartPr>
      <w:docPartBody>
        <w:p>
          <w:r>
            <w:rPr>
              <w:color w:val="808080"/>
            </w:rPr>
            <w:t>单击此处输入文字。</w:t>
          </w:r>
        </w:p>
      </w:docPartBody>
    </w:docPart>
    <w:docPart>
      <w:docPartPr>
        <w:name w:val="{dc79dfaf-f501-4aaa-abc1-89363ce24b7f}"/>
        <w:style w:val=""/>
        <w:category>
          <w:name w:val="常规"/>
          <w:gallery w:val="placeholder"/>
        </w:category>
        <w:types>
          <w:type w:val="bbPlcHdr"/>
        </w:types>
        <w:behaviors>
          <w:behavior w:val="content"/>
        </w:behaviors>
        <w:description w:val=""/>
        <w:guid w:val="{dc79dfaf-f501-4aaa-abc1-89363ce24b7f}"/>
      </w:docPartPr>
      <w:docPartBody>
        <w:p>
          <w:r>
            <w:rPr>
              <w:color w:val="808080"/>
            </w:rPr>
            <w:t>单击此处输入文字。</w:t>
          </w:r>
        </w:p>
      </w:docPartBody>
    </w:docPart>
    <w:docPart>
      <w:docPartPr>
        <w:name w:val="{06b89984-7f4d-4a78-9eb2-09ab9c48c4d6}"/>
        <w:style w:val=""/>
        <w:category>
          <w:name w:val="常规"/>
          <w:gallery w:val="placeholder"/>
        </w:category>
        <w:types>
          <w:type w:val="bbPlcHdr"/>
        </w:types>
        <w:behaviors>
          <w:behavior w:val="content"/>
        </w:behaviors>
        <w:description w:val=""/>
        <w:guid w:val="{06b89984-7f4d-4a78-9eb2-09ab9c48c4d6}"/>
      </w:docPartPr>
      <w:docPartBody>
        <w:p>
          <w:r>
            <w:rPr>
              <w:color w:val="808080"/>
            </w:rPr>
            <w:t>单击此处输入文字。</w:t>
          </w:r>
        </w:p>
      </w:docPartBody>
    </w:docPart>
    <w:docPart>
      <w:docPartPr>
        <w:name w:val="{6a493728-fc56-40df-aa95-a0f8c0c15e58}"/>
        <w:style w:val=""/>
        <w:category>
          <w:name w:val="常规"/>
          <w:gallery w:val="placeholder"/>
        </w:category>
        <w:types>
          <w:type w:val="bbPlcHdr"/>
        </w:types>
        <w:behaviors>
          <w:behavior w:val="content"/>
        </w:behaviors>
        <w:description w:val=""/>
        <w:guid w:val="{6a493728-fc56-40df-aa95-a0f8c0c15e58}"/>
      </w:docPartPr>
      <w:docPartBody>
        <w:p>
          <w:r>
            <w:rPr>
              <w:color w:val="808080"/>
            </w:rPr>
            <w:t>单击此处输入文字。</w:t>
          </w:r>
        </w:p>
      </w:docPartBody>
    </w:docPart>
    <w:docPart>
      <w:docPartPr>
        <w:name w:val="{d025aad1-1eae-4d12-9bf3-e7ee95bb6008}"/>
        <w:style w:val=""/>
        <w:category>
          <w:name w:val="常规"/>
          <w:gallery w:val="placeholder"/>
        </w:category>
        <w:types>
          <w:type w:val="bbPlcHdr"/>
        </w:types>
        <w:behaviors>
          <w:behavior w:val="content"/>
        </w:behaviors>
        <w:description w:val=""/>
        <w:guid w:val="{d025aad1-1eae-4d12-9bf3-e7ee95bb6008}"/>
      </w:docPartPr>
      <w:docPartBody>
        <w:p>
          <w:r>
            <w:rPr>
              <w:color w:val="808080"/>
            </w:rPr>
            <w:t>单击此处输入文字。</w:t>
          </w:r>
        </w:p>
      </w:docPartBody>
    </w:docPart>
    <w:docPart>
      <w:docPartPr>
        <w:name w:val="{f69b37d4-5d57-4da8-a004-208a46e6a516}"/>
        <w:style w:val=""/>
        <w:category>
          <w:name w:val="常规"/>
          <w:gallery w:val="placeholder"/>
        </w:category>
        <w:types>
          <w:type w:val="bbPlcHdr"/>
        </w:types>
        <w:behaviors>
          <w:behavior w:val="content"/>
        </w:behaviors>
        <w:description w:val=""/>
        <w:guid w:val="{f69b37d4-5d57-4da8-a004-208a46e6a516}"/>
      </w:docPartPr>
      <w:docPartBody>
        <w:p>
          <w:r>
            <w:rPr>
              <w:color w:val="808080"/>
            </w:rPr>
            <w:t>单击此处输入文字。</w:t>
          </w:r>
        </w:p>
      </w:docPartBody>
    </w:docPart>
    <w:docPart>
      <w:docPartPr>
        <w:name w:val="{7572b8bb-b682-4aae-ad44-886b9e233c75}"/>
        <w:style w:val=""/>
        <w:category>
          <w:name w:val="常规"/>
          <w:gallery w:val="placeholder"/>
        </w:category>
        <w:types>
          <w:type w:val="bbPlcHdr"/>
        </w:types>
        <w:behaviors>
          <w:behavior w:val="content"/>
        </w:behaviors>
        <w:description w:val=""/>
        <w:guid w:val="{7572b8bb-b682-4aae-ad44-886b9e233c75}"/>
      </w:docPartPr>
      <w:docPartBody>
        <w:p>
          <w:r>
            <w:rPr>
              <w:color w:val="808080"/>
            </w:rPr>
            <w:t>单击此处输入文字。</w:t>
          </w:r>
        </w:p>
      </w:docPartBody>
    </w:docPart>
    <w:docPart>
      <w:docPartPr>
        <w:name w:val="{3fa1be41-bf7d-4ce4-87fa-72f2fa43f968}"/>
        <w:style w:val=""/>
        <w:category>
          <w:name w:val="常规"/>
          <w:gallery w:val="placeholder"/>
        </w:category>
        <w:types>
          <w:type w:val="bbPlcHdr"/>
        </w:types>
        <w:behaviors>
          <w:behavior w:val="content"/>
        </w:behaviors>
        <w:description w:val=""/>
        <w:guid w:val="{3fa1be41-bf7d-4ce4-87fa-72f2fa43f968}"/>
      </w:docPartPr>
      <w:docPartBody>
        <w:p>
          <w:r>
            <w:rPr>
              <w:color w:val="808080"/>
            </w:rPr>
            <w:t>单击此处输入文字。</w:t>
          </w:r>
        </w:p>
      </w:docPartBody>
    </w:docPart>
    <w:docPart>
      <w:docPartPr>
        <w:name w:val="{29dfc0f9-a7ee-4509-aeb5-804a3b5df43a}"/>
        <w:style w:val=""/>
        <w:category>
          <w:name w:val="常规"/>
          <w:gallery w:val="placeholder"/>
        </w:category>
        <w:types>
          <w:type w:val="bbPlcHdr"/>
        </w:types>
        <w:behaviors>
          <w:behavior w:val="content"/>
        </w:behaviors>
        <w:description w:val=""/>
        <w:guid w:val="{29dfc0f9-a7ee-4509-aeb5-804a3b5df43a}"/>
      </w:docPartPr>
      <w:docPartBody>
        <w:p>
          <w:r>
            <w:rPr>
              <w:color w:val="808080"/>
            </w:rPr>
            <w:t>单击此处输入文字。</w:t>
          </w:r>
        </w:p>
      </w:docPartBody>
    </w:docPart>
    <w:docPart>
      <w:docPartPr>
        <w:name w:val="{53aac25d-de77-4f53-bb66-6f21fc947893}"/>
        <w:style w:val=""/>
        <w:category>
          <w:name w:val="常规"/>
          <w:gallery w:val="placeholder"/>
        </w:category>
        <w:types>
          <w:type w:val="bbPlcHdr"/>
        </w:types>
        <w:behaviors>
          <w:behavior w:val="content"/>
        </w:behaviors>
        <w:description w:val=""/>
        <w:guid w:val="{53aac25d-de77-4f53-bb66-6f21fc947893}"/>
      </w:docPartPr>
      <w:docPartBody>
        <w:p>
          <w:r>
            <w:rPr>
              <w:color w:val="808080"/>
            </w:rPr>
            <w:t>单击此处输入文字。</w:t>
          </w:r>
        </w:p>
      </w:docPartBody>
    </w:docPart>
    <w:docPart>
      <w:docPartPr>
        <w:name w:val="{f1883ada-bcac-47e9-a952-c3f673de4101}"/>
        <w:style w:val=""/>
        <w:category>
          <w:name w:val="常规"/>
          <w:gallery w:val="placeholder"/>
        </w:category>
        <w:types>
          <w:type w:val="bbPlcHdr"/>
        </w:types>
        <w:behaviors>
          <w:behavior w:val="content"/>
        </w:behaviors>
        <w:description w:val=""/>
        <w:guid w:val="{f1883ada-bcac-47e9-a952-c3f673de4101}"/>
      </w:docPartPr>
      <w:docPartBody>
        <w:p>
          <w:r>
            <w:rPr>
              <w:color w:val="808080"/>
            </w:rPr>
            <w:t>单击此处输入文字。</w:t>
          </w:r>
        </w:p>
      </w:docPartBody>
    </w:docPart>
    <w:docPart>
      <w:docPartPr>
        <w:name w:val="{5d029838-ce70-40bd-bedb-67a4d7bca992}"/>
        <w:style w:val=""/>
        <w:category>
          <w:name w:val="常规"/>
          <w:gallery w:val="placeholder"/>
        </w:category>
        <w:types>
          <w:type w:val="bbPlcHdr"/>
        </w:types>
        <w:behaviors>
          <w:behavior w:val="content"/>
        </w:behaviors>
        <w:description w:val=""/>
        <w:guid w:val="{5d029838-ce70-40bd-bedb-67a4d7bca992}"/>
      </w:docPartPr>
      <w:docPartBody>
        <w:p>
          <w:r>
            <w:rPr>
              <w:color w:val="808080"/>
            </w:rPr>
            <w:t>单击此处输入文字。</w:t>
          </w:r>
        </w:p>
      </w:docPartBody>
    </w:docPart>
    <w:docPart>
      <w:docPartPr>
        <w:name w:val="{6ca648c7-b10f-41bd-b829-63bdab4437ee}"/>
        <w:style w:val=""/>
        <w:category>
          <w:name w:val="常规"/>
          <w:gallery w:val="placeholder"/>
        </w:category>
        <w:types>
          <w:type w:val="bbPlcHdr"/>
        </w:types>
        <w:behaviors>
          <w:behavior w:val="content"/>
        </w:behaviors>
        <w:description w:val=""/>
        <w:guid w:val="{6ca648c7-b10f-41bd-b829-63bdab4437ee}"/>
      </w:docPartPr>
      <w:docPartBody>
        <w:p>
          <w:r>
            <w:rPr>
              <w:color w:val="808080"/>
            </w:rPr>
            <w:t>单击此处输入文字。</w:t>
          </w:r>
        </w:p>
      </w:docPartBody>
    </w:docPart>
    <w:docPart>
      <w:docPartPr>
        <w:name w:val="{90124e00-dc2e-470e-bb07-8665d0c56f4d}"/>
        <w:style w:val=""/>
        <w:category>
          <w:name w:val="常规"/>
          <w:gallery w:val="placeholder"/>
        </w:category>
        <w:types>
          <w:type w:val="bbPlcHdr"/>
        </w:types>
        <w:behaviors>
          <w:behavior w:val="content"/>
        </w:behaviors>
        <w:description w:val=""/>
        <w:guid w:val="{90124e00-dc2e-470e-bb07-8665d0c56f4d}"/>
      </w:docPartPr>
      <w:docPartBody>
        <w:p>
          <w:r>
            <w:rPr>
              <w:color w:val="808080"/>
            </w:rPr>
            <w:t>单击此处输入文字。</w:t>
          </w:r>
        </w:p>
      </w:docPartBody>
    </w:docPart>
    <w:docPart>
      <w:docPartPr>
        <w:name w:val="{27e142f2-a078-48a3-b4a0-942bc474515d}"/>
        <w:style w:val=""/>
        <w:category>
          <w:name w:val="常规"/>
          <w:gallery w:val="placeholder"/>
        </w:category>
        <w:types>
          <w:type w:val="bbPlcHdr"/>
        </w:types>
        <w:behaviors>
          <w:behavior w:val="content"/>
        </w:behaviors>
        <w:description w:val=""/>
        <w:guid w:val="{27e142f2-a078-48a3-b4a0-942bc474515d}"/>
      </w:docPartPr>
      <w:docPartBody>
        <w:p>
          <w:r>
            <w:rPr>
              <w:color w:val="808080"/>
            </w:rPr>
            <w:t>单击此处输入文字。</w:t>
          </w:r>
        </w:p>
      </w:docPartBody>
    </w:docPart>
    <w:docPart>
      <w:docPartPr>
        <w:name w:val="{324e32e2-42fe-4f56-a24b-8c90041109ea}"/>
        <w:style w:val=""/>
        <w:category>
          <w:name w:val="常规"/>
          <w:gallery w:val="placeholder"/>
        </w:category>
        <w:types>
          <w:type w:val="bbPlcHdr"/>
        </w:types>
        <w:behaviors>
          <w:behavior w:val="content"/>
        </w:behaviors>
        <w:description w:val=""/>
        <w:guid w:val="{324e32e2-42fe-4f56-a24b-8c90041109ea}"/>
      </w:docPartPr>
      <w:docPartBody>
        <w:p>
          <w:r>
            <w:rPr>
              <w:color w:val="808080"/>
            </w:rPr>
            <w:t>单击此处输入文字。</w:t>
          </w:r>
        </w:p>
      </w:docPartBody>
    </w:docPart>
    <w:docPart>
      <w:docPartPr>
        <w:name w:val="{dd4c4ba6-0f78-42c2-a3b0-9349b8674004}"/>
        <w:style w:val=""/>
        <w:category>
          <w:name w:val="常规"/>
          <w:gallery w:val="placeholder"/>
        </w:category>
        <w:types>
          <w:type w:val="bbPlcHdr"/>
        </w:types>
        <w:behaviors>
          <w:behavior w:val="content"/>
        </w:behaviors>
        <w:description w:val=""/>
        <w:guid w:val="{dd4c4ba6-0f78-42c2-a3b0-9349b8674004}"/>
      </w:docPartPr>
      <w:docPartBody>
        <w:p>
          <w:r>
            <w:rPr>
              <w:color w:val="808080"/>
            </w:rPr>
            <w:t>单击此处输入文字。</w:t>
          </w:r>
        </w:p>
      </w:docPartBody>
    </w:docPart>
    <w:docPart>
      <w:docPartPr>
        <w:name w:val="{6f8b6c84-36ff-4aec-bd2a-9645b2d53cd2}"/>
        <w:style w:val=""/>
        <w:category>
          <w:name w:val="常规"/>
          <w:gallery w:val="placeholder"/>
        </w:category>
        <w:types>
          <w:type w:val="bbPlcHdr"/>
        </w:types>
        <w:behaviors>
          <w:behavior w:val="content"/>
        </w:behaviors>
        <w:description w:val=""/>
        <w:guid w:val="{6f8b6c84-36ff-4aec-bd2a-9645b2d53cd2}"/>
      </w:docPartPr>
      <w:docPartBody>
        <w:p>
          <w:r>
            <w:rPr>
              <w:color w:val="808080"/>
            </w:rPr>
            <w:t>单击此处输入文字。</w:t>
          </w:r>
        </w:p>
      </w:docPartBody>
    </w:docPart>
    <w:docPart>
      <w:docPartPr>
        <w:name w:val="{6ad4ce64-ecd1-4cd1-a34f-ecd7eae76e35}"/>
        <w:style w:val=""/>
        <w:category>
          <w:name w:val="常规"/>
          <w:gallery w:val="placeholder"/>
        </w:category>
        <w:types>
          <w:type w:val="bbPlcHdr"/>
        </w:types>
        <w:behaviors>
          <w:behavior w:val="content"/>
        </w:behaviors>
        <w:description w:val=""/>
        <w:guid w:val="{6ad4ce64-ecd1-4cd1-a34f-ecd7eae76e35}"/>
      </w:docPartPr>
      <w:docPartBody>
        <w:p>
          <w:r>
            <w:rPr>
              <w:color w:val="808080"/>
            </w:rPr>
            <w:t>单击此处输入文字。</w:t>
          </w:r>
        </w:p>
      </w:docPartBody>
    </w:docPart>
    <w:docPart>
      <w:docPartPr>
        <w:name w:val="{21bc0065-ce96-413d-b1d6-10c9ca9ec28c}"/>
        <w:style w:val=""/>
        <w:category>
          <w:name w:val="常规"/>
          <w:gallery w:val="placeholder"/>
        </w:category>
        <w:types>
          <w:type w:val="bbPlcHdr"/>
        </w:types>
        <w:behaviors>
          <w:behavior w:val="content"/>
        </w:behaviors>
        <w:description w:val=""/>
        <w:guid w:val="{21bc0065-ce96-413d-b1d6-10c9ca9ec28c}"/>
      </w:docPartPr>
      <w:docPartBody>
        <w:p>
          <w:r>
            <w:rPr>
              <w:color w:val="808080"/>
            </w:rPr>
            <w:t>单击此处输入文字。</w:t>
          </w:r>
        </w:p>
      </w:docPartBody>
    </w:docPart>
    <w:docPart>
      <w:docPartPr>
        <w:name w:val="{06637df9-0363-4312-a96c-a3c213535835}"/>
        <w:style w:val=""/>
        <w:category>
          <w:name w:val="常规"/>
          <w:gallery w:val="placeholder"/>
        </w:category>
        <w:types>
          <w:type w:val="bbPlcHdr"/>
        </w:types>
        <w:behaviors>
          <w:behavior w:val="content"/>
        </w:behaviors>
        <w:description w:val=""/>
        <w:guid w:val="{06637df9-0363-4312-a96c-a3c21353583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22</TotalTime>
  <ScaleCrop>false</ScaleCrop>
  <LinksUpToDate>false</LinksUpToDate>
  <CharactersWithSpaces>8692</CharactersWithSpaces>
  <Application>WPS Office_11.1.0.7832_F1E327BC-269C-435d-A152-05C5408002CA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财务室</cp:lastModifiedBy>
  <cp:lastPrinted>2025-08-06T17:34:00Z</cp:lastPrinted>
  <dcterms:modified xsi:type="dcterms:W3CDTF">2025-08-27T08:59:17Z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y fmtid="{D5CDD505-2E9C-101B-9397-08002B2CF9AE}" pid="3" name="ICV">
    <vt:lpwstr>04787F2533EB45DC91BCDE4AB213247F</vt:lpwstr>
  </property>
</Properties>
</file>