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body>
    <w:p>
      <w:pPr>
        <w:spacing w:line="560" w:lineRule="exact"/>
        <w:jc w:val="center"/>
        <w:rPr>
          <w:rFonts w:ascii="方正小标宋_GBK" w:eastAsia="方正小标宋_GBK" w:cs="方正小标宋_GBK"/>
          <w:sz w:val="44"/>
          <w:szCs w:val="44"/>
          <w:lang w:eastAsia="zh-CN"/>
        </w:rPr>
      </w:pPr>
      <w:r>
        <w:rPr>
          <w:rFonts w:ascii="方正小标宋_GBK" w:eastAsia="方正小标宋_GBK" w:cs="方正小标宋_GBK"/>
          <w:sz w:val="44"/>
          <w:szCs w:val="44"/>
          <w:lang w:val="en-US" w:eastAsia="zh-CN"/>
        </w:rPr>
        <w:t>金川县</w:t>
      </w:r>
      <w:r>
        <w:rPr>
          <w:rFonts w:ascii="方正小标宋_GBK" w:eastAsia="方正小标宋_GBK" w:cs="方正小标宋_GBK" w:hint="eastAsia"/>
          <w:sz w:val="44"/>
          <w:szCs w:val="44"/>
          <w:lang w:val="en-US" w:eastAsia="zh-CN"/>
        </w:rPr>
        <w:t>民族宗教局2024年部门</w:t>
      </w:r>
      <w:r>
        <w:rPr>
          <w:rFonts w:ascii="方正小标宋_GBK" w:eastAsia="方正小标宋_GBK" w:cs="方正小标宋_GBK" w:hint="eastAsia"/>
          <w:sz w:val="44"/>
          <w:szCs w:val="44"/>
        </w:rPr>
        <w:t>预算绩效目标情况说明</w:t>
      </w:r>
    </w:p>
    <w:p>
      <w:pPr>
        <w:pStyle w:val="15"/>
        <w:tabs>
          <w:tab w:val="center" w:pos="4153"/>
          <w:tab w:val="right" w:pos="8306"/>
        </w:tabs>
        <w:jc w:val="left"/>
      </w:pP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2024年，我单位部门预算310.34万元 ，均严格按绩效管理要求实现项目绩效目标管理，其中重点项目预算1个，现将情况说明如下：</w:t>
      </w:r>
    </w:p>
    <w:p>
      <w:pPr>
        <w:spacing w:line="560" w:lineRule="exact"/>
        <w:ind w:firstLineChars="200" w:firstLine="640"/>
        <w:rPr>
          <w:rFonts w:ascii="黑体" w:eastAsia="黑体" w:cs="黑体" w:hint="eastAsia"/>
          <w:sz w:val="32"/>
          <w:szCs w:val="32"/>
          <w:lang w:val="en-US" w:eastAsia="zh-CN"/>
        </w:rPr>
      </w:pPr>
      <w:r>
        <w:rPr>
          <w:rFonts w:ascii="黑体" w:eastAsia="黑体" w:cs="黑体" w:hint="eastAsia"/>
          <w:sz w:val="32"/>
          <w:szCs w:val="32"/>
          <w:lang w:val="en-US" w:eastAsia="zh-CN"/>
        </w:rPr>
        <w:t>一、单位预算绩效管理工作开展情况。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 xml:space="preserve"> 完成了2024年本级部门预算整体绩效目标申报和1个项目预算绩效目标申报，并编报1个项目预算事前绩效评估报告。</w:t>
      </w:r>
    </w:p>
    <w:p>
      <w:pPr>
        <w:numPr>
          <w:ilvl w:val="0"/>
          <w:numId w:val="1"/>
        </w:numPr>
        <w:spacing w:line="560" w:lineRule="exact"/>
        <w:ind w:left="0" w:firstLineChars="200" w:firstLine="640"/>
        <w:rPr>
          <w:rFonts w:ascii="黑体" w:eastAsia="黑体" w:cs="黑体" w:hint="eastAsia"/>
          <w:sz w:val="32"/>
          <w:szCs w:val="32"/>
          <w:lang w:val="en-US" w:eastAsia="zh-CN"/>
        </w:rPr>
      </w:pPr>
      <w:r>
        <w:rPr>
          <w:rFonts w:ascii="黑体" w:eastAsia="黑体" w:cs="黑体" w:hint="eastAsia"/>
          <w:sz w:val="32"/>
          <w:szCs w:val="32"/>
          <w:lang w:val="en-US" w:eastAsia="zh-CN"/>
        </w:rPr>
        <w:t>单位整体绩效目标。</w:t>
      </w:r>
    </w:p>
    <w:p>
      <w:pPr>
        <w:ind w:firstLineChars="200" w:firstLine="640"/>
        <w:rPr>
          <w:rFonts w:ascii="仿宋_GB2312" w:eastAsia="仿宋_GB2312" w:cs="仿宋_GB2312" w:hint="eastAsia"/>
          <w:sz w:val="32"/>
          <w:szCs w:val="32"/>
        </w:rPr>
      </w:pPr>
      <w:r>
        <w:rPr>
          <w:rFonts w:ascii="仿宋_GB2312" w:eastAsia="仿宋_GB2312" w:cs="仿宋_GB2312" w:hint="eastAsia"/>
          <w:sz w:val="32"/>
          <w:szCs w:val="32"/>
        </w:rPr>
        <w:t xml:space="preserve">1、负责协调推动有关部门履行民族、宗教工作相关职责，对全县民族、宗教工作实施管理、指导，促进民族、宗教政策在经济发展和社会事业等相关领域的实施、衔接。            </w:t>
      </w:r>
    </w:p>
    <w:p>
      <w:pPr>
        <w:ind w:firstLineChars="200" w:firstLine="640"/>
        <w:rPr>
          <w:rFonts w:ascii="仿宋_GB2312" w:eastAsia="仿宋_GB2312" w:cs="仿宋_GB2312" w:hint="eastAsia"/>
          <w:sz w:val="32"/>
          <w:szCs w:val="32"/>
        </w:rPr>
      </w:pPr>
      <w:r>
        <w:rPr>
          <w:rFonts w:ascii="仿宋_GB2312" w:eastAsia="仿宋_GB2312" w:cs="仿宋_GB2312" w:hint="eastAsia"/>
          <w:sz w:val="32"/>
          <w:szCs w:val="32"/>
        </w:rPr>
        <w:t>2、指导、督查、协调“一法两规定一条例”等民族法律法规的贯彻落实，保障少数民族的合法权益。指导宗教团体依法依</w:t>
      </w:r>
      <w:r>
        <w:rPr>
          <w:rFonts w:ascii="仿宋_GB2312" w:eastAsia="仿宋_GB2312" w:cs="仿宋_GB2312"/>
          <w:sz w:val="32"/>
          <w:szCs w:val="32"/>
        </w:rPr>
        <w:t>规</w:t>
      </w:r>
      <w:bookmarkStart w:id="0" w:name="_GoBack"/>
      <w:bookmarkEnd w:id="0"/>
      <w:r>
        <w:rPr>
          <w:rFonts w:ascii="仿宋_GB2312" w:eastAsia="仿宋_GB2312" w:cs="仿宋_GB2312" w:hint="eastAsia"/>
          <w:sz w:val="32"/>
          <w:szCs w:val="32"/>
        </w:rPr>
        <w:t>开展活动，支持宗教团体加强自身建设，办理宗教团体需由政府解决或协调的有关事务。指导各寺院依法履行管理职能、处理宗教事务的重大事件，防范利用宗教进行的非法、违法活动，抵御境外利用宗教进行的渗透活动。</w:t>
      </w:r>
    </w:p>
    <w:p>
      <w:pPr>
        <w:ind w:firstLineChars="200" w:firstLine="640"/>
        <w:rPr>
          <w:rFonts w:ascii="仿宋_GB2312" w:eastAsia="仿宋_GB2312" w:cs="仿宋_GB2312" w:hint="eastAsia"/>
          <w:sz w:val="32"/>
          <w:szCs w:val="32"/>
        </w:rPr>
      </w:pPr>
      <w:r>
        <w:rPr>
          <w:rFonts w:ascii="仿宋_GB2312" w:eastAsia="仿宋_GB2312" w:cs="仿宋_GB2312" w:hint="eastAsia"/>
          <w:sz w:val="32"/>
          <w:szCs w:val="32"/>
        </w:rPr>
        <w:t>3、负责管理全县少数民族语言文字工作，指导少数民族语言文字的翻译、出版和少数民族古籍的收集、整理、出版工作，会同有关部门对少数民族题材文化作品（产品）进行审查。</w:t>
      </w:r>
    </w:p>
    <w:p>
      <w:pPr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</w:rPr>
        <w:t>4、贯彻执行国家、省、州有关两项资金管理工作的政策和规定，依法管理两项资金投资的项目和资金，制定实施全县两项资金管理工作的具体办法和意见；对两项资金投资项目的审查、报批、实施、验收等全过程进行管理和监督</w:t>
      </w:r>
      <w:r>
        <w:rPr>
          <w:rFonts w:ascii="仿宋_GB2312" w:eastAsia="仿宋_GB2312" w:cs="仿宋_GB2312" w:hint="eastAsia"/>
          <w:sz w:val="32"/>
          <w:szCs w:val="32"/>
          <w:lang w:eastAsia="zh-CN"/>
        </w:rPr>
        <w:t>。</w:t>
      </w:r>
    </w:p>
    <w:p>
      <w:pPr>
        <w:spacing w:line="560" w:lineRule="exact"/>
        <w:ind w:left="0" w:firstLineChars="200" w:firstLine="640"/>
        <w:rPr>
          <w:rFonts w:ascii="黑体" w:eastAsia="黑体" w:cs="黑体" w:hint="eastAsia"/>
          <w:sz w:val="32"/>
          <w:szCs w:val="32"/>
          <w:lang w:val="en-US" w:eastAsia="zh-CN"/>
        </w:rPr>
      </w:pPr>
      <w:r>
        <w:rPr>
          <w:rFonts w:ascii="黑体" w:eastAsia="黑体" w:cs="黑体" w:hint="eastAsia"/>
          <w:sz w:val="32"/>
          <w:szCs w:val="32"/>
          <w:lang w:val="en-US" w:eastAsia="zh-CN"/>
        </w:rPr>
        <w:t>三、重点项目绩效目标。</w:t>
      </w:r>
    </w:p>
    <w:p>
      <w:pPr>
        <w:ind w:firstLineChars="200" w:firstLine="640"/>
        <w:rPr>
          <w:rFonts w:ascii="仿宋_GB2312" w:eastAsia="仿宋_GB2312" w:cs="仿宋_GB2312" w:hint="eastAsia"/>
          <w:sz w:val="32"/>
          <w:szCs w:val="32"/>
        </w:rPr>
      </w:pPr>
      <w:r>
        <w:rPr>
          <w:rFonts w:ascii="仿宋_GB2312" w:eastAsia="仿宋_GB2312" w:cs="仿宋_GB2312" w:hint="eastAsia"/>
          <w:sz w:val="32"/>
          <w:szCs w:val="32"/>
        </w:rPr>
        <w:t>重点项目：寺管会人员生活补助</w:t>
      </w:r>
    </w:p>
    <w:p>
      <w:pPr>
        <w:ind w:firstLineChars="200" w:firstLine="640"/>
        <w:rPr>
          <w:rFonts w:ascii="仿宋_GB2312" w:eastAsia="仿宋_GB2312" w:cs="仿宋_GB2312"/>
          <w:sz w:val="32"/>
          <w:szCs w:val="32"/>
        </w:rPr>
      </w:pPr>
      <w:r>
        <w:rPr>
          <w:rFonts w:ascii="仿宋_GB2312" w:eastAsia="仿宋_GB2312" w:cs="仿宋_GB2312" w:hint="eastAsia"/>
          <w:sz w:val="32"/>
          <w:szCs w:val="32"/>
        </w:rPr>
        <w:t>项目年度绩效目标：推进社会主义核心价值观建设项目化、具体化、特色化，倡导爱国、敬业、诚信、友善。为全面建成小康社会提供强大精神动力、价值引领和道德支撑。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</w:rPr>
        <w:t>绩效指标设置情况：细化指标</w:t>
      </w: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7</w:t>
      </w:r>
      <w:r>
        <w:rPr>
          <w:rFonts w:ascii="仿宋_GB2312" w:eastAsia="仿宋_GB2312" w:cs="仿宋_GB2312" w:hint="eastAsia"/>
          <w:sz w:val="32"/>
          <w:szCs w:val="32"/>
        </w:rPr>
        <w:t>个，包括产出指标</w:t>
      </w: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3</w:t>
      </w:r>
      <w:r>
        <w:rPr>
          <w:rFonts w:ascii="仿宋_GB2312" w:eastAsia="仿宋_GB2312" w:cs="仿宋_GB2312" w:hint="eastAsia"/>
          <w:sz w:val="32"/>
          <w:szCs w:val="32"/>
        </w:rPr>
        <w:t>个、成本指标</w:t>
      </w: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1</w:t>
      </w:r>
      <w:r>
        <w:rPr>
          <w:rFonts w:ascii="仿宋_GB2312" w:eastAsia="仿宋_GB2312" w:cs="仿宋_GB2312" w:hint="eastAsia"/>
          <w:sz w:val="32"/>
          <w:szCs w:val="32"/>
        </w:rPr>
        <w:t>个、效益指标</w:t>
      </w: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2</w:t>
      </w:r>
      <w:r>
        <w:rPr>
          <w:rFonts w:ascii="仿宋_GB2312" w:eastAsia="仿宋_GB2312" w:cs="仿宋_GB2312" w:hint="eastAsia"/>
          <w:sz w:val="32"/>
          <w:szCs w:val="32"/>
        </w:rPr>
        <w:t>个和满意度指标</w:t>
      </w: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1</w:t>
      </w:r>
      <w:r>
        <w:rPr>
          <w:rFonts w:ascii="仿宋_GB2312" w:eastAsia="仿宋_GB2312" w:cs="仿宋_GB2312" w:hint="eastAsia"/>
          <w:sz w:val="32"/>
          <w:szCs w:val="32"/>
        </w:rPr>
        <w:t>个。</w:t>
      </w:r>
    </w:p>
    <w:sectPr>
      <w:pgSz w:w="11906" w:h="16838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小标宋_GBK">
    <w:altName w:val="微软雅黑"/>
    <w:panose1 w:val="03000509000000000000"/>
    <w:charset w:val="86"/>
    <w:family w:val="auto"/>
    <w:pitch w:val="variable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variable"/>
    <w:sig w:usb0="00000000" w:usb1="00000000" w:usb2="00000000" w:usb3="00000000" w:csb0="00040000" w:csb1="00000000"/>
  </w:font>
  <w:font w:name="黑体"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Times New Roman">
    <w:panose1 w:val="02020603050405020304"/>
    <w:charset w:val="86"/>
    <w:family w:val="auto"/>
    <w:pitch w:val="variable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variable"/>
    <w:sig w:usb0="00000003" w:usb1="288F0000" w:usb2="0000000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2000019F" w:csb1="00000000"/>
  </w:font>
  <w:font w:name="Arial">
    <w:panose1 w:val="020B0604020202020204"/>
    <w:charset w:val="01"/>
    <w:family w:val="swiss"/>
    <w:pitch w:val="variable"/>
    <w:sig w:usb0="E0002AFF" w:usb1="C0007843" w:usb2="00000009" w:usb3="00000000" w:csb0="400001FF" w:csb1="FFFF0000"/>
  </w:font>
  <w:font w:name="Luxi Sans">
    <w:altName w:val="Segoe Print"/>
    <w:panose1 w:val="00000000000000000000"/>
    <w:charset w:val="00"/>
    <w:family w:val="auto"/>
    <w:pitch w:val="variable"/>
    <w:sig w:usb0="00000000" w:usb1="00000000" w:usb2="00000000" w:usb3="00000000" w:csb0="00000000" w:csb1="00000000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mc="http://schemas.openxmlformats.org/markup-compatibility/2006" xmlns:w14="http://schemas.microsoft.com/office/word/2010/wordml">
  <w:abstractNum w:abstractNumId="0">
    <w:nsid w:val="E5FD0A63"/>
    <w:multiLevelType w:val="singleLevel"/>
    <w:tmpl w:val="E5FD0A63"/>
    <w:lvl w:ilvl="0">
      <w:start w:val="2"/>
      <w:numFmt w:val="chineseCounting"/>
      <w:lvlRestart w:val="0"/>
      <w:suff w:val="nothing"/>
      <w:lvlText w:val="%1、"/>
      <w:lvlJc w:val="left"/>
      <w:pPr>
        <w:ind w:left="0" w:hanging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00"/>
  <w:bordersDoNotSurroundHeader/>
  <w:bordersDoNotSurroundFooter/>
  <w:documentProtection w:edit="readOnly"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4"/>
  </w:compat>
  <w:docVars>
    <w:docVar w:name="commondata" w:val="eyJoZGlkIjoiODkzMTJmMjk4YmVhZDc5NDdkMjg1OTlhNDRiODIxMmQifQ=="/>
  </w:docVars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autoRedefine/>
    <w:next w:val="15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styleId="1">
    <w:name w:val="heading 1"/>
    <w:basedOn w:val="0"/>
    <w:autoRedefine/>
    <w:next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2">
    <w:name w:val="heading 2"/>
    <w:basedOn w:val="0"/>
    <w:autoRedefine/>
    <w:next w:val="0"/>
    <w:pPr>
      <w:keepNext/>
      <w:keepLines/>
      <w:widowControl w:val="0"/>
      <w:spacing w:before="260" w:after="260" w:line="415" w:lineRule="auto"/>
      <w:outlineLvl w:val="1"/>
    </w:pPr>
    <w:rPr>
      <w:rFonts w:ascii="Luxi Sans" w:eastAsia="黑体" w:hAnsi="Luxi Sans"/>
      <w:b/>
      <w:sz w:val="32"/>
    </w:rPr>
  </w:style>
  <w:style w:type="paragraph" w:styleId="3">
    <w:name w:val="heading 3"/>
    <w:basedOn w:val="0"/>
    <w:autoRedefine/>
    <w:next w:val="0"/>
    <w:pPr>
      <w:keepNext/>
      <w:keepLines/>
      <w:widowControl w:val="0"/>
      <w:spacing w:before="260" w:after="260" w:line="415" w:lineRule="auto"/>
      <w:outlineLvl w:val="2"/>
    </w:pPr>
    <w:rPr>
      <w:b/>
      <w:sz w:val="32"/>
    </w:rPr>
  </w:style>
  <w:style w:type="character" w:default="1" w:styleId="10">
    <w:name w:val="Default Paragraph Font"/>
    <w:autoRedefine/>
  </w:style>
  <w:style w:type="paragraph" w:styleId="15">
    <w:name w:val="footer"/>
    <w:basedOn w:val="0"/>
    <w:autoRedefine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6">
    <w:name w:val="Normal (Web)"/>
    <w:basedOn w:val="0"/>
    <w:autoRedefine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1</TotalTime>
  <Application>Yozo_Office27021597764231179</Application>
  <Pages>2</Pages>
  <Words>714</Words>
  <Characters>728</Characters>
  <Lines>35</Lines>
  <Paragraphs>13</Paragraphs>
  <CharactersWithSpaces>742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Administrator</dc:creator>
  <cp:lastModifiedBy>Administrator</cp:lastModifiedBy>
  <cp:revision>1</cp:revision>
  <dcterms:created xsi:type="dcterms:W3CDTF">2023-02-06T06:46:00Z</dcterms:created>
  <dcterms:modified xsi:type="dcterms:W3CDTF">2024-03-07T03:18:27Z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2052-12.1.0.16250</vt:lpwstr>
  </property>
  <property fmtid="{D5CDD505-2E9C-101B-9397-08002B2CF9AE}" pid="3" name="ICV">
    <vt:lpwstr>5C459AA081314AFF93574ED74BFB1FDB_12</vt:lpwstr>
  </property>
</Properties>
</file>