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ind w:firstLine="6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附件1: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金川县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  <w:t>民族宗教局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2023年财政拨款“三公”经费预算情况说明</w:t>
      </w:r>
      <w:bookmarkEnd w:id="0"/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金川县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民族宗教局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财政拨款“三公”经费2023年预算情况如下：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一、因公出国（境）经费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2023年预算安排出国出境安排0万元。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二、公务接待费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  2023年预算公务接待费0.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万元，较上年预算下降0.0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18.92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%，原因为：厉行节约 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三、公务用车购置及运行维护费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2023年预算安排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万元，较上年预算增长（下降）0万元，增长（下降）0%，原因为：厉行节约，严格遵守公务用车管理制度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单位共有公务用车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辆。　　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2023年安排公务用车运行维护费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万元，用于公务用车燃油、维修、保险等方面支出。主要保障等工作，较上年预算增长（下降）0万元，增长（下降）0%，原因为：厉行节约，严格遵守公务用车管理制度 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2023年安排公务用车购置费 0万元。</w:t>
      </w:r>
    </w:p>
    <w:p>
      <w:pPr>
        <w:widowControl/>
        <w:spacing w:line="24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金川县宣传部</w:t>
      </w: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2023年财政拨款“三公”经费预算情况表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单位：万元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tbl>
      <w:tblPr>
        <w:tblStyle w:val="3"/>
        <w:tblW w:w="0" w:type="auto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2023年预算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          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  0.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firstLine="1600" w:firstLineChars="50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3</w:t>
            </w:r>
          </w:p>
        </w:tc>
      </w:tr>
    </w:tbl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MTJmMjk4YmVhZDc5NDdkMjg1OTlhNDRiODIxMmQifQ=="/>
  </w:docVars>
  <w:rsids>
    <w:rsidRoot w:val="39C963CA"/>
    <w:rsid w:val="39C9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2023-02-09T08:43:00Z</dcterms:created>
  <dc:creator>7先生</dc:creator>
  <cp:lastModifiedBy>7先生</cp:lastModifiedBy>
  <dcterms:modified xsi:type="dcterms:W3CDTF">2023-02-09T09:20:18Z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02ADD3F5592A43B693352B26E49960F2</vt:lpwstr>
  </property>
</Properties>
</file>