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黑体" w:hAnsi="黑体" w:eastAsia="黑体" w:cs="黑体"/>
          <w:sz w:val="44"/>
          <w:szCs w:val="44"/>
        </w:rPr>
      </w:pPr>
    </w:p>
    <w:p>
      <w:pPr>
        <w:snapToGrid w:val="0"/>
        <w:jc w:val="center"/>
        <w:rPr>
          <w:rFonts w:hint="eastAsia" w:ascii="黑体" w:hAnsi="黑体" w:eastAsia="黑体" w:cs="黑体"/>
          <w:sz w:val="44"/>
          <w:szCs w:val="44"/>
        </w:rPr>
      </w:pPr>
    </w:p>
    <w:p>
      <w:pPr>
        <w:snapToGrid w:val="0"/>
        <w:jc w:val="center"/>
        <w:rPr>
          <w:rFonts w:hint="eastAsia" w:ascii="黑体" w:hAnsi="黑体" w:eastAsia="黑体" w:cs="黑体"/>
          <w:sz w:val="44"/>
          <w:szCs w:val="44"/>
        </w:rPr>
      </w:pPr>
    </w:p>
    <w:p>
      <w:pPr>
        <w:adjustRightInd w:val="0"/>
        <w:snapToGrid w:val="0"/>
        <w:spacing w:line="360" w:lineRule="auto"/>
        <w:jc w:val="center"/>
        <w:outlineLvl w:val="9"/>
        <w:rPr>
          <w:rFonts w:hint="eastAsia" w:ascii="黑体" w:hAnsi="黑体" w:eastAsia="黑体"/>
          <w:color w:val="000000"/>
          <w:sz w:val="72"/>
          <w:szCs w:val="72"/>
        </w:rPr>
      </w:pPr>
      <w:bookmarkStart w:id="0" w:name="_Toc15378441"/>
      <w:bookmarkStart w:id="1" w:name="_Toc15377193"/>
      <w:bookmarkStart w:id="2" w:name="_Toc15377425"/>
      <w:bookmarkStart w:id="3" w:name="_Toc15396475"/>
      <w:bookmarkStart w:id="4" w:name="_Toc15396597"/>
    </w:p>
    <w:p>
      <w:pPr>
        <w:adjustRightInd w:val="0"/>
        <w:snapToGrid w:val="0"/>
        <w:spacing w:line="360" w:lineRule="auto"/>
        <w:jc w:val="center"/>
        <w:outlineLvl w:val="9"/>
        <w:rPr>
          <w:rFonts w:hint="eastAsia" w:ascii="黑体" w:hAnsi="黑体" w:eastAsia="黑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5" w:name="_Toc3719"/>
      <w:bookmarkStart w:id="6" w:name="_Toc25678"/>
      <w:bookmarkStart w:id="7" w:name="_Toc1811"/>
      <w:bookmarkStart w:id="8" w:name="_Toc32124"/>
      <w:bookmarkStart w:id="9" w:name="_Toc13239"/>
      <w:bookmarkStart w:id="10" w:name="_Toc15538"/>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bookmarkEnd w:id="8"/>
      <w:bookmarkEnd w:id="9"/>
      <w:bookmarkEnd w:id="10"/>
      <w:bookmarkStart w:id="11" w:name="_Toc15396476"/>
      <w:bookmarkStart w:id="12" w:name="_Toc15378442"/>
      <w:bookmarkStart w:id="13" w:name="_Toc15377194"/>
      <w:bookmarkStart w:id="14" w:name="_Toc15377426"/>
      <w:bookmarkStart w:id="15" w:name="_Toc15306268"/>
      <w:bookmarkStart w:id="16" w:name="_Toc15396598"/>
    </w:p>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17" w:name="_Toc28892"/>
      <w:bookmarkStart w:id="18" w:name="_Toc20266"/>
      <w:bookmarkStart w:id="19" w:name="_Toc15964"/>
      <w:bookmarkStart w:id="20" w:name="_Toc30257"/>
      <w:bookmarkStart w:id="21" w:name="_Toc17148"/>
      <w:bookmarkStart w:id="22" w:name="_Toc18308"/>
      <w:r>
        <w:rPr>
          <w:rFonts w:hint="eastAsia" w:ascii="方正小标宋简体" w:hAnsi="宋体" w:eastAsia="方正小标宋简体"/>
          <w:color w:val="000000"/>
          <w:w w:val="95"/>
          <w:sz w:val="72"/>
          <w:szCs w:val="72"/>
        </w:rPr>
        <w:t>金川县</w:t>
      </w:r>
      <w:bookmarkEnd w:id="17"/>
      <w:bookmarkEnd w:id="18"/>
      <w:bookmarkStart w:id="23" w:name="_Toc32513"/>
      <w:bookmarkStart w:id="24" w:name="_Toc16040"/>
      <w:r>
        <w:rPr>
          <w:rFonts w:hint="eastAsia" w:ascii="方正小标宋简体" w:hAnsi="宋体" w:eastAsia="方正小标宋简体"/>
          <w:color w:val="000000"/>
          <w:w w:val="95"/>
          <w:sz w:val="72"/>
          <w:szCs w:val="72"/>
          <w:lang w:eastAsia="zh-CN"/>
        </w:rPr>
        <w:t>民族宗教局</w:t>
      </w:r>
      <w:r>
        <w:rPr>
          <w:rFonts w:hint="eastAsia" w:ascii="方正小标宋简体" w:hAnsi="宋体" w:eastAsia="方正小标宋简体"/>
          <w:color w:val="000000"/>
          <w:w w:val="95"/>
          <w:sz w:val="72"/>
          <w:szCs w:val="72"/>
        </w:rPr>
        <w:t>部门决算</w:t>
      </w:r>
      <w:bookmarkEnd w:id="11"/>
      <w:bookmarkEnd w:id="12"/>
      <w:bookmarkEnd w:id="13"/>
      <w:bookmarkEnd w:id="14"/>
      <w:bookmarkEnd w:id="15"/>
      <w:bookmarkEnd w:id="16"/>
      <w:bookmarkEnd w:id="19"/>
      <w:bookmarkEnd w:id="20"/>
      <w:bookmarkEnd w:id="21"/>
      <w:bookmarkEnd w:id="22"/>
      <w:bookmarkEnd w:id="23"/>
      <w:bookmarkEnd w:id="24"/>
    </w:p>
    <w:p/>
    <w:p>
      <w:pPr>
        <w:pStyle w:val="5"/>
        <w:tabs>
          <w:tab w:val="right" w:leader="middleDot" w:pos="8306"/>
          <w:tab w:val="clear" w:pos="8296"/>
        </w:tabs>
        <w:jc w:val="both"/>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pStyle w:val="2"/>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pStyle w:val="2"/>
      </w:pPr>
    </w:p>
    <w:p>
      <w:pPr>
        <w:rPr>
          <w:rFonts w:ascii="方正小标宋简体" w:hAnsi="宋体" w:eastAsia="方正小标宋简体"/>
          <w:color w:val="000000"/>
          <w:sz w:val="36"/>
          <w:szCs w:val="36"/>
        </w:rPr>
      </w:pPr>
    </w:p>
    <w:sdt>
      <w:sdtPr>
        <w:rPr>
          <w:rFonts w:ascii="宋体" w:hAnsi="宋体" w:eastAsia="宋体" w:cs="Times New Roman"/>
          <w:kern w:val="2"/>
          <w:sz w:val="21"/>
          <w:szCs w:val="24"/>
          <w:lang w:val="en-US" w:eastAsia="zh-CN" w:bidi="ar-SA"/>
        </w:rPr>
        <w:id w:val="147461373"/>
        <w15:color w:val="DBDBDB"/>
      </w:sdtPr>
      <w:sdtEndPr>
        <w:rPr>
          <w:rFonts w:ascii="宋体" w:hAnsi="宋体" w:eastAsia="宋体" w:cs="Times New Roman"/>
          <w:b/>
          <w:kern w:val="2"/>
          <w:sz w:val="28"/>
          <w:szCs w:val="28"/>
          <w:lang w:val="en-US" w:eastAsia="zh-CN" w:bidi="ar-SA"/>
        </w:rPr>
      </w:sdtEndPr>
      <w:sdtContent>
        <w:p>
          <w:pPr>
            <w:keepNext w:val="0"/>
            <w:keepLines w:val="0"/>
            <w:pageBreakBefore w:val="0"/>
            <w:kinsoku/>
            <w:wordWrap/>
            <w:overflowPunct/>
            <w:topLinePunct w:val="0"/>
            <w:autoSpaceDE/>
            <w:autoSpaceDN/>
            <w:bidi w:val="0"/>
            <w:adjustRightInd/>
            <w:snapToGrid w:val="0"/>
            <w:spacing w:line="480" w:lineRule="exact"/>
            <w:jc w:val="center"/>
            <w:textAlignment w:val="auto"/>
            <w:outlineLvl w:val="0"/>
            <w:rPr>
              <w:sz w:val="28"/>
              <w:szCs w:val="28"/>
            </w:rPr>
          </w:pPr>
          <w:bookmarkStart w:id="25" w:name="_Toc4386"/>
          <w:bookmarkStart w:id="26" w:name="_Toc12374"/>
          <w:r>
            <w:rPr>
              <w:rFonts w:hint="eastAsia" w:ascii="黑体" w:hAnsi="黑体" w:eastAsia="黑体" w:cs="Times New Roman"/>
              <w:color w:val="000000"/>
              <w:sz w:val="48"/>
              <w:szCs w:val="48"/>
            </w:rPr>
            <w:t>目录</w:t>
          </w:r>
          <w:bookmarkEnd w:id="25"/>
          <w:bookmarkEnd w:id="26"/>
        </w:p>
        <w:p>
          <w:pPr>
            <w:pStyle w:val="5"/>
            <w:tabs>
              <w:tab w:val="right" w:leader="dot" w:pos="8306"/>
              <w:tab w:val="clear" w:pos="8296"/>
            </w:tabs>
          </w:pPr>
          <w:r>
            <w:rPr>
              <w:sz w:val="28"/>
              <w:szCs w:val="28"/>
            </w:rPr>
            <w:fldChar w:fldCharType="begin"/>
          </w:r>
          <w:r>
            <w:rPr>
              <w:sz w:val="28"/>
              <w:szCs w:val="28"/>
            </w:rPr>
            <w:instrText xml:space="preserve">TOC \o "1-2" \h \u </w:instrText>
          </w:r>
          <w:r>
            <w:rPr>
              <w:sz w:val="28"/>
              <w:szCs w:val="28"/>
            </w:rPr>
            <w:fldChar w:fldCharType="separate"/>
          </w:r>
        </w:p>
        <w:p>
          <w:pPr>
            <w:pStyle w:val="5"/>
            <w:tabs>
              <w:tab w:val="right" w:leader="dot" w:pos="8306"/>
              <w:tab w:val="clear" w:pos="8296"/>
            </w:tabs>
          </w:pPr>
          <w:r>
            <w:rPr>
              <w:szCs w:val="28"/>
            </w:rPr>
            <w:fldChar w:fldCharType="begin"/>
          </w:r>
          <w:r>
            <w:rPr>
              <w:szCs w:val="28"/>
            </w:rPr>
            <w:instrText xml:space="preserve"> HYPERLINK \l _Toc19685 </w:instrText>
          </w:r>
          <w:r>
            <w:rPr>
              <w:szCs w:val="28"/>
            </w:rPr>
            <w:fldChar w:fldCharType="separate"/>
          </w:r>
          <w:r>
            <w:rPr>
              <w:rFonts w:hint="eastAsia" w:ascii="宋体" w:hAnsi="宋体"/>
              <w:szCs w:val="44"/>
            </w:rPr>
            <w:t>金川县民族宗教局</w:t>
          </w:r>
          <w:r>
            <w:tab/>
          </w:r>
          <w:r>
            <w:fldChar w:fldCharType="begin"/>
          </w:r>
          <w:r>
            <w:instrText xml:space="preserve"> PAGEREF _Toc19685 \h </w:instrText>
          </w:r>
          <w:r>
            <w:fldChar w:fldCharType="separate"/>
          </w:r>
          <w:r>
            <w:t>3</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_Toc6324 </w:instrText>
          </w:r>
          <w:r>
            <w:rPr>
              <w:szCs w:val="28"/>
            </w:rPr>
            <w:fldChar w:fldCharType="separate"/>
          </w:r>
          <w:r>
            <w:rPr>
              <w:rFonts w:hint="eastAsia" w:ascii="宋体" w:hAnsi="宋体"/>
              <w:szCs w:val="44"/>
            </w:rPr>
            <w:t>201</w:t>
          </w:r>
          <w:r>
            <w:rPr>
              <w:rFonts w:hint="eastAsia" w:ascii="宋体" w:hAnsi="宋体"/>
              <w:szCs w:val="44"/>
              <w:lang w:val="en-US" w:eastAsia="zh-CN"/>
            </w:rPr>
            <w:t>9</w:t>
          </w:r>
          <w:r>
            <w:rPr>
              <w:rFonts w:hint="eastAsia" w:ascii="宋体" w:hAnsi="宋体"/>
              <w:szCs w:val="44"/>
            </w:rPr>
            <w:t>年度部门决算分析报告</w:t>
          </w:r>
          <w:r>
            <w:tab/>
          </w:r>
          <w:r>
            <w:fldChar w:fldCharType="begin"/>
          </w:r>
          <w:r>
            <w:instrText xml:space="preserve"> PAGEREF _Toc6324 \h </w:instrText>
          </w:r>
          <w:r>
            <w:fldChar w:fldCharType="separate"/>
          </w:r>
          <w:r>
            <w:t>3</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_Toc7473 </w:instrText>
          </w:r>
          <w:r>
            <w:rPr>
              <w:szCs w:val="28"/>
            </w:rPr>
            <w:fldChar w:fldCharType="separate"/>
          </w:r>
          <w:r>
            <w:rPr>
              <w:rFonts w:hint="eastAsia" w:ascii="黑体" w:hAnsi="黑体" w:eastAsia="黑体" w:cs="黑体"/>
              <w:szCs w:val="32"/>
              <w:lang w:eastAsia="zh-CN"/>
            </w:rPr>
            <w:t>一、基本职能及主要工作</w:t>
          </w:r>
          <w:r>
            <w:tab/>
          </w:r>
          <w:r>
            <w:fldChar w:fldCharType="begin"/>
          </w:r>
          <w:r>
            <w:instrText xml:space="preserve"> PAGEREF _Toc7473 \h </w:instrText>
          </w:r>
          <w:r>
            <w:fldChar w:fldCharType="separate"/>
          </w:r>
          <w:r>
            <w:t>3</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_Toc26734 </w:instrText>
          </w:r>
          <w:r>
            <w:rPr>
              <w:szCs w:val="28"/>
            </w:rPr>
            <w:fldChar w:fldCharType="separate"/>
          </w:r>
          <w:r>
            <w:rPr>
              <w:rFonts w:hint="eastAsia" w:ascii="仿宋" w:hAnsi="仿宋" w:eastAsia="仿宋" w:cs="仿宋"/>
              <w:szCs w:val="32"/>
              <w:lang w:val="en-US" w:eastAsia="zh-CN"/>
            </w:rPr>
            <w:t>（一）主要职能</w:t>
          </w:r>
          <w:r>
            <w:tab/>
          </w:r>
          <w:r>
            <w:fldChar w:fldCharType="begin"/>
          </w:r>
          <w:r>
            <w:instrText xml:space="preserve"> PAGEREF _Toc26734 \h </w:instrText>
          </w:r>
          <w:r>
            <w:fldChar w:fldCharType="separate"/>
          </w:r>
          <w:r>
            <w:t>3</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_Toc2891 </w:instrText>
          </w:r>
          <w:r>
            <w:rPr>
              <w:szCs w:val="28"/>
            </w:rPr>
            <w:fldChar w:fldCharType="separate"/>
          </w:r>
          <w:r>
            <w:rPr>
              <w:rFonts w:hint="eastAsia" w:ascii="仿宋" w:hAnsi="仿宋" w:eastAsia="仿宋" w:cs="仿宋"/>
              <w:szCs w:val="32"/>
              <w:lang w:val="en-US" w:eastAsia="zh-CN"/>
            </w:rPr>
            <w:t>（二）2019年重点工作完成情况</w:t>
          </w:r>
          <w:r>
            <w:tab/>
          </w:r>
          <w:r>
            <w:fldChar w:fldCharType="begin"/>
          </w:r>
          <w:r>
            <w:instrText xml:space="preserve"> PAGEREF _Toc2891 \h </w:instrText>
          </w:r>
          <w:r>
            <w:fldChar w:fldCharType="separate"/>
          </w:r>
          <w:r>
            <w:t>3</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_Toc16805 </w:instrText>
          </w:r>
          <w:r>
            <w:rPr>
              <w:szCs w:val="28"/>
            </w:rPr>
            <w:fldChar w:fldCharType="separate"/>
          </w:r>
          <w:r>
            <w:rPr>
              <w:rFonts w:hint="eastAsia" w:ascii="黑体" w:hAnsi="黑体" w:eastAsia="黑体" w:cs="黑体"/>
              <w:szCs w:val="32"/>
              <w:lang w:eastAsia="zh-CN"/>
            </w:rPr>
            <w:t>二、部门概况</w:t>
          </w:r>
          <w:r>
            <w:tab/>
          </w:r>
          <w:r>
            <w:fldChar w:fldCharType="begin"/>
          </w:r>
          <w:r>
            <w:instrText xml:space="preserve"> PAGEREF _Toc16805 \h </w:instrText>
          </w:r>
          <w:r>
            <w:fldChar w:fldCharType="separate"/>
          </w:r>
          <w:r>
            <w:t>8</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_Toc22045 </w:instrText>
          </w:r>
          <w:r>
            <w:rPr>
              <w:szCs w:val="28"/>
            </w:rPr>
            <w:fldChar w:fldCharType="separate"/>
          </w:r>
          <w:r>
            <w:rPr>
              <w:rFonts w:hint="eastAsia" w:ascii="黑体" w:eastAsia="黑体"/>
              <w:bCs/>
              <w:szCs w:val="32"/>
            </w:rPr>
            <w:t>三、一般公共预算财政拨款基本支出决算情况</w:t>
          </w:r>
          <w:r>
            <w:tab/>
          </w:r>
          <w:r>
            <w:fldChar w:fldCharType="begin"/>
          </w:r>
          <w:r>
            <w:instrText xml:space="preserve"> PAGEREF _Toc22045 \h </w:instrText>
          </w:r>
          <w:r>
            <w:fldChar w:fldCharType="separate"/>
          </w:r>
          <w:r>
            <w:t>8</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_Toc8796 </w:instrText>
          </w:r>
          <w:r>
            <w:rPr>
              <w:szCs w:val="28"/>
            </w:rPr>
            <w:fldChar w:fldCharType="separate"/>
          </w:r>
          <w:r>
            <w:rPr>
              <w:rFonts w:hint="eastAsia" w:ascii="黑体" w:eastAsia="黑体"/>
              <w:szCs w:val="32"/>
            </w:rPr>
            <w:t>四、财政拨款收支决算情况</w:t>
          </w:r>
          <w:r>
            <w:tab/>
          </w:r>
          <w:r>
            <w:fldChar w:fldCharType="begin"/>
          </w:r>
          <w:r>
            <w:instrText xml:space="preserve"> PAGEREF _Toc8796 \h </w:instrText>
          </w:r>
          <w:r>
            <w:fldChar w:fldCharType="separate"/>
          </w:r>
          <w:r>
            <w:t>9</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_Toc28569 </w:instrText>
          </w:r>
          <w:r>
            <w:rPr>
              <w:szCs w:val="28"/>
            </w:rPr>
            <w:fldChar w:fldCharType="separate"/>
          </w:r>
          <w:r>
            <w:rPr>
              <w:rFonts w:hint="eastAsia" w:ascii="黑体" w:eastAsia="黑体"/>
              <w:szCs w:val="32"/>
            </w:rPr>
            <w:t>五、一般公共预算财政拨款支出决算情况</w:t>
          </w:r>
          <w:r>
            <w:tab/>
          </w:r>
          <w:r>
            <w:fldChar w:fldCharType="begin"/>
          </w:r>
          <w:r>
            <w:instrText xml:space="preserve"> PAGEREF _Toc28569 \h </w:instrText>
          </w:r>
          <w:r>
            <w:fldChar w:fldCharType="separate"/>
          </w:r>
          <w:r>
            <w:t>9</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_Toc17697 </w:instrText>
          </w:r>
          <w:r>
            <w:rPr>
              <w:szCs w:val="28"/>
            </w:rPr>
            <w:fldChar w:fldCharType="separate"/>
          </w:r>
          <w:r>
            <w:rPr>
              <w:rFonts w:hint="eastAsia" w:ascii="仿宋_GB2312" w:eastAsia="仿宋_GB2312"/>
              <w:szCs w:val="32"/>
            </w:rPr>
            <w:t>（一）一般公共预算财政拨款支出决算总体情况</w:t>
          </w:r>
          <w:r>
            <w:tab/>
          </w:r>
          <w:r>
            <w:fldChar w:fldCharType="begin"/>
          </w:r>
          <w:r>
            <w:instrText xml:space="preserve"> PAGEREF _Toc17697 \h </w:instrText>
          </w:r>
          <w:r>
            <w:fldChar w:fldCharType="separate"/>
          </w:r>
          <w:r>
            <w:t>9</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_Toc21310 </w:instrText>
          </w:r>
          <w:r>
            <w:rPr>
              <w:szCs w:val="28"/>
            </w:rPr>
            <w:fldChar w:fldCharType="separate"/>
          </w:r>
          <w:r>
            <w:rPr>
              <w:rFonts w:hint="eastAsia" w:ascii="仿宋_GB2312" w:eastAsia="仿宋_GB2312"/>
              <w:szCs w:val="32"/>
            </w:rPr>
            <w:t>（二）一般公共预算财政拨款支出决算结构情况</w:t>
          </w:r>
          <w:r>
            <w:tab/>
          </w:r>
          <w:r>
            <w:fldChar w:fldCharType="begin"/>
          </w:r>
          <w:r>
            <w:instrText xml:space="preserve"> PAGEREF _Toc21310 \h </w:instrText>
          </w:r>
          <w:r>
            <w:fldChar w:fldCharType="separate"/>
          </w:r>
          <w:r>
            <w:t>9</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_Toc27004 </w:instrText>
          </w:r>
          <w:r>
            <w:rPr>
              <w:szCs w:val="28"/>
            </w:rPr>
            <w:fldChar w:fldCharType="separate"/>
          </w:r>
          <w:r>
            <w:rPr>
              <w:rFonts w:hint="eastAsia" w:ascii="黑体" w:eastAsia="黑体"/>
              <w:bCs/>
              <w:szCs w:val="32"/>
            </w:rPr>
            <w:t>四、“三公”经费财政拨款支出决算情况</w:t>
          </w:r>
          <w:r>
            <w:tab/>
          </w:r>
          <w:r>
            <w:fldChar w:fldCharType="begin"/>
          </w:r>
          <w:r>
            <w:instrText xml:space="preserve"> PAGEREF _Toc27004 \h </w:instrText>
          </w:r>
          <w:r>
            <w:fldChar w:fldCharType="separate"/>
          </w:r>
          <w:r>
            <w:t>11</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_Toc24305 </w:instrText>
          </w:r>
          <w:r>
            <w:rPr>
              <w:szCs w:val="28"/>
            </w:rPr>
            <w:fldChar w:fldCharType="separate"/>
          </w:r>
          <w:r>
            <w:rPr>
              <w:rFonts w:hint="eastAsia" w:ascii="楷体" w:hAnsi="楷体" w:eastAsia="楷体" w:cs="楷体"/>
              <w:szCs w:val="30"/>
            </w:rPr>
            <w:t>（一）“三公”经费财政拨款支出决算总体情况说明</w:t>
          </w:r>
          <w:r>
            <w:tab/>
          </w:r>
          <w:r>
            <w:fldChar w:fldCharType="begin"/>
          </w:r>
          <w:r>
            <w:instrText xml:space="preserve"> PAGEREF _Toc24305 \h </w:instrText>
          </w:r>
          <w:r>
            <w:fldChar w:fldCharType="separate"/>
          </w:r>
          <w:r>
            <w:t>11</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_Toc6384 </w:instrText>
          </w:r>
          <w:r>
            <w:rPr>
              <w:szCs w:val="28"/>
            </w:rPr>
            <w:fldChar w:fldCharType="separate"/>
          </w:r>
          <w:r>
            <w:rPr>
              <w:rFonts w:hint="eastAsia" w:ascii="楷体" w:hAnsi="楷体" w:eastAsia="楷体" w:cs="楷体"/>
              <w:szCs w:val="30"/>
            </w:rPr>
            <w:t>（二）“三公”经费财政拨款支出决算具体情况说明</w:t>
          </w:r>
          <w:r>
            <w:tab/>
          </w:r>
          <w:r>
            <w:fldChar w:fldCharType="begin"/>
          </w:r>
          <w:r>
            <w:instrText xml:space="preserve"> PAGEREF _Toc6384 \h </w:instrText>
          </w:r>
          <w:r>
            <w:fldChar w:fldCharType="separate"/>
          </w:r>
          <w:r>
            <w:t>11</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_Toc17630 </w:instrText>
          </w:r>
          <w:r>
            <w:rPr>
              <w:szCs w:val="28"/>
            </w:rPr>
            <w:fldChar w:fldCharType="separate"/>
          </w:r>
          <w:r>
            <w:rPr>
              <w:rFonts w:hint="eastAsia" w:ascii="黑体" w:hAnsi="黑体" w:eastAsia="黑体"/>
              <w:bCs/>
              <w:szCs w:val="32"/>
            </w:rPr>
            <w:t>五、资产负债情况分析</w:t>
          </w:r>
          <w:r>
            <w:tab/>
          </w:r>
          <w:r>
            <w:fldChar w:fldCharType="begin"/>
          </w:r>
          <w:r>
            <w:instrText xml:space="preserve"> PAGEREF _Toc17630 \h </w:instrText>
          </w:r>
          <w:r>
            <w:fldChar w:fldCharType="separate"/>
          </w:r>
          <w:r>
            <w:t>12</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_Toc23460 </w:instrText>
          </w:r>
          <w:r>
            <w:rPr>
              <w:szCs w:val="28"/>
            </w:rPr>
            <w:fldChar w:fldCharType="separate"/>
          </w:r>
          <w:r>
            <w:rPr>
              <w:rFonts w:hint="eastAsia" w:ascii="黑体" w:hAnsi="黑体" w:eastAsia="黑体" w:cs="黑体"/>
              <w:bCs/>
              <w:szCs w:val="32"/>
            </w:rPr>
            <w:t>六、政府性基金预算财政拨款支出决算情况</w:t>
          </w:r>
          <w:r>
            <w:tab/>
          </w:r>
          <w:r>
            <w:fldChar w:fldCharType="begin"/>
          </w:r>
          <w:r>
            <w:instrText xml:space="preserve"> PAGEREF _Toc23460 \h </w:instrText>
          </w:r>
          <w:r>
            <w:fldChar w:fldCharType="separate"/>
          </w:r>
          <w:r>
            <w:t>12</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_Toc18645 </w:instrText>
          </w:r>
          <w:r>
            <w:rPr>
              <w:szCs w:val="28"/>
            </w:rPr>
            <w:fldChar w:fldCharType="separate"/>
          </w:r>
          <w:r>
            <w:rPr>
              <w:rFonts w:hint="eastAsia" w:ascii="黑体" w:eastAsia="黑体"/>
              <w:bCs/>
              <w:szCs w:val="32"/>
            </w:rPr>
            <w:t>七、其他重要事项的情况说明</w:t>
          </w:r>
          <w:r>
            <w:tab/>
          </w:r>
          <w:r>
            <w:fldChar w:fldCharType="begin"/>
          </w:r>
          <w:r>
            <w:instrText xml:space="preserve"> PAGEREF _Toc18645 \h </w:instrText>
          </w:r>
          <w:r>
            <w:fldChar w:fldCharType="separate"/>
          </w:r>
          <w:r>
            <w:t>12</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_Toc10533 </w:instrText>
          </w:r>
          <w:r>
            <w:rPr>
              <w:szCs w:val="28"/>
            </w:rPr>
            <w:fldChar w:fldCharType="separate"/>
          </w:r>
          <w:r>
            <w:rPr>
              <w:rFonts w:hint="eastAsia" w:ascii="楷体" w:hAnsi="楷体" w:eastAsia="楷体" w:cs="楷体"/>
              <w:szCs w:val="30"/>
            </w:rPr>
            <w:t>（一）机关运行经费支出情况</w:t>
          </w:r>
          <w:r>
            <w:tab/>
          </w:r>
          <w:r>
            <w:fldChar w:fldCharType="begin"/>
          </w:r>
          <w:r>
            <w:instrText xml:space="preserve"> PAGEREF _Toc10533 \h </w:instrText>
          </w:r>
          <w:r>
            <w:fldChar w:fldCharType="separate"/>
          </w:r>
          <w:r>
            <w:t>13</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_Toc6972 </w:instrText>
          </w:r>
          <w:r>
            <w:rPr>
              <w:szCs w:val="28"/>
            </w:rPr>
            <w:fldChar w:fldCharType="separate"/>
          </w:r>
          <w:r>
            <w:rPr>
              <w:rFonts w:hint="eastAsia" w:ascii="楷体" w:hAnsi="楷体" w:eastAsia="楷体" w:cs="楷体"/>
              <w:szCs w:val="30"/>
            </w:rPr>
            <w:t>（二）政府采购支出情况</w:t>
          </w:r>
          <w:r>
            <w:tab/>
          </w:r>
          <w:r>
            <w:fldChar w:fldCharType="begin"/>
          </w:r>
          <w:r>
            <w:instrText xml:space="preserve"> PAGEREF _Toc6972 \h </w:instrText>
          </w:r>
          <w:r>
            <w:fldChar w:fldCharType="separate"/>
          </w:r>
          <w:r>
            <w:t>13</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_Toc9647 </w:instrText>
          </w:r>
          <w:r>
            <w:rPr>
              <w:szCs w:val="28"/>
            </w:rPr>
            <w:fldChar w:fldCharType="separate"/>
          </w:r>
          <w:r>
            <w:rPr>
              <w:rFonts w:hint="eastAsia" w:ascii="楷体" w:hAnsi="楷体" w:eastAsia="楷体" w:cs="楷体"/>
              <w:szCs w:val="30"/>
            </w:rPr>
            <w:t>（三）国有资产占有使用情况</w:t>
          </w:r>
          <w:r>
            <w:tab/>
          </w:r>
          <w:r>
            <w:fldChar w:fldCharType="begin"/>
          </w:r>
          <w:r>
            <w:instrText xml:space="preserve"> PAGEREF _Toc9647 \h </w:instrText>
          </w:r>
          <w:r>
            <w:fldChar w:fldCharType="separate"/>
          </w:r>
          <w:r>
            <w:t>13</w:t>
          </w:r>
          <w:r>
            <w:fldChar w:fldCharType="end"/>
          </w:r>
          <w:r>
            <w:rPr>
              <w:szCs w:val="28"/>
            </w:rPr>
            <w:fldChar w:fldCharType="end"/>
          </w:r>
        </w:p>
        <w:p>
          <w:pPr>
            <w:pStyle w:val="6"/>
            <w:tabs>
              <w:tab w:val="right" w:leader="dot" w:pos="8306"/>
            </w:tabs>
          </w:pPr>
          <w:r>
            <w:rPr>
              <w:szCs w:val="28"/>
            </w:rPr>
            <w:fldChar w:fldCharType="begin"/>
          </w:r>
          <w:r>
            <w:rPr>
              <w:szCs w:val="28"/>
            </w:rPr>
            <w:instrText xml:space="preserve"> HYPERLINK \l _Toc21670 </w:instrText>
          </w:r>
          <w:r>
            <w:rPr>
              <w:szCs w:val="28"/>
            </w:rPr>
            <w:fldChar w:fldCharType="separate"/>
          </w:r>
          <w:r>
            <w:rPr>
              <w:rFonts w:hint="eastAsia" w:ascii="楷体" w:hAnsi="楷体" w:eastAsia="楷体" w:cs="楷体"/>
              <w:szCs w:val="32"/>
            </w:rPr>
            <w:t>（四）预算绩效情况</w:t>
          </w:r>
          <w:r>
            <w:tab/>
          </w:r>
          <w:r>
            <w:fldChar w:fldCharType="begin"/>
          </w:r>
          <w:r>
            <w:instrText xml:space="preserve"> PAGEREF _Toc21670 \h </w:instrText>
          </w:r>
          <w:r>
            <w:fldChar w:fldCharType="separate"/>
          </w:r>
          <w:r>
            <w:t>13</w:t>
          </w:r>
          <w:r>
            <w:fldChar w:fldCharType="end"/>
          </w:r>
          <w:r>
            <w:rPr>
              <w:szCs w:val="28"/>
            </w:rPr>
            <w:fldChar w:fldCharType="end"/>
          </w:r>
        </w:p>
        <w:p>
          <w:pPr>
            <w:pStyle w:val="5"/>
            <w:tabs>
              <w:tab w:val="right" w:leader="dot" w:pos="8306"/>
              <w:tab w:val="clear" w:pos="8296"/>
            </w:tabs>
          </w:pPr>
          <w:r>
            <w:rPr>
              <w:szCs w:val="28"/>
            </w:rPr>
            <w:fldChar w:fldCharType="begin"/>
          </w:r>
          <w:r>
            <w:rPr>
              <w:szCs w:val="28"/>
            </w:rPr>
            <w:instrText xml:space="preserve"> HYPERLINK \l _Toc21451 </w:instrText>
          </w:r>
          <w:r>
            <w:rPr>
              <w:szCs w:val="28"/>
            </w:rPr>
            <w:fldChar w:fldCharType="separate"/>
          </w:r>
          <w:r>
            <w:rPr>
              <w:rFonts w:hint="eastAsia" w:ascii="黑体" w:eastAsia="黑体"/>
              <w:bCs/>
              <w:szCs w:val="32"/>
            </w:rPr>
            <w:t>八、名词解释</w:t>
          </w:r>
          <w:r>
            <w:tab/>
          </w:r>
          <w:r>
            <w:fldChar w:fldCharType="begin"/>
          </w:r>
          <w:r>
            <w:instrText xml:space="preserve"> PAGEREF _Toc21451 \h </w:instrText>
          </w:r>
          <w:r>
            <w:fldChar w:fldCharType="separate"/>
          </w:r>
          <w:r>
            <w:t>14</w:t>
          </w:r>
          <w:r>
            <w:fldChar w:fldCharType="end"/>
          </w:r>
          <w:r>
            <w:rPr>
              <w:szCs w:val="28"/>
            </w:rPr>
            <w:fldChar w:fldCharType="end"/>
          </w:r>
        </w:p>
        <w:p>
          <w:pPr>
            <w:keepNext w:val="0"/>
            <w:keepLines w:val="0"/>
            <w:pageBreakBefore w:val="0"/>
            <w:kinsoku/>
            <w:wordWrap/>
            <w:overflowPunct/>
            <w:topLinePunct w:val="0"/>
            <w:autoSpaceDE/>
            <w:autoSpaceDN/>
            <w:bidi w:val="0"/>
            <w:adjustRightInd/>
            <w:spacing w:line="480" w:lineRule="exact"/>
            <w:textAlignment w:val="auto"/>
            <w:rPr>
              <w:sz w:val="28"/>
              <w:szCs w:val="28"/>
            </w:rPr>
          </w:pPr>
          <w:r>
            <w:rPr>
              <w:szCs w:val="28"/>
            </w:rPr>
            <w:fldChar w:fldCharType="end"/>
          </w:r>
        </w:p>
      </w:sdtContent>
    </w:sdt>
    <w:p>
      <w:pPr>
        <w:snapToGrid w:val="0"/>
        <w:jc w:val="both"/>
        <w:outlineLvl w:val="0"/>
        <w:rPr>
          <w:rFonts w:hint="eastAsia" w:ascii="宋体" w:hAnsi="宋体"/>
          <w:sz w:val="44"/>
          <w:szCs w:val="44"/>
        </w:rPr>
      </w:pPr>
    </w:p>
    <w:p>
      <w:pPr>
        <w:snapToGrid w:val="0"/>
        <w:jc w:val="center"/>
        <w:outlineLvl w:val="0"/>
        <w:rPr>
          <w:rFonts w:hint="eastAsia" w:ascii="宋体" w:hAnsi="宋体"/>
          <w:sz w:val="44"/>
          <w:szCs w:val="44"/>
        </w:rPr>
      </w:pPr>
      <w:bookmarkStart w:id="27" w:name="_Toc19685"/>
      <w:r>
        <w:rPr>
          <w:rFonts w:hint="eastAsia" w:ascii="宋体" w:hAnsi="宋体"/>
          <w:sz w:val="44"/>
          <w:szCs w:val="44"/>
        </w:rPr>
        <w:t>金川县民族宗教局</w:t>
      </w:r>
      <w:bookmarkEnd w:id="27"/>
    </w:p>
    <w:p>
      <w:pPr>
        <w:jc w:val="center"/>
        <w:outlineLvl w:val="0"/>
        <w:rPr>
          <w:rFonts w:hint="eastAsia" w:ascii="宋体" w:hAnsi="宋体"/>
          <w:sz w:val="44"/>
          <w:szCs w:val="44"/>
        </w:rPr>
      </w:pPr>
      <w:bookmarkStart w:id="28" w:name="_Toc6324"/>
      <w:bookmarkStart w:id="29" w:name="_Toc25734"/>
      <w:r>
        <w:rPr>
          <w:rFonts w:hint="eastAsia" w:ascii="宋体" w:hAnsi="宋体"/>
          <w:sz w:val="44"/>
          <w:szCs w:val="44"/>
        </w:rPr>
        <w:t>201</w:t>
      </w:r>
      <w:r>
        <w:rPr>
          <w:rFonts w:hint="eastAsia" w:ascii="宋体" w:hAnsi="宋体"/>
          <w:sz w:val="44"/>
          <w:szCs w:val="44"/>
          <w:lang w:val="en-US" w:eastAsia="zh-CN"/>
        </w:rPr>
        <w:t>9</w:t>
      </w:r>
      <w:r>
        <w:rPr>
          <w:rFonts w:hint="eastAsia" w:ascii="宋体" w:hAnsi="宋体"/>
          <w:sz w:val="44"/>
          <w:szCs w:val="44"/>
        </w:rPr>
        <w:t>年度部门决算分析报告</w:t>
      </w:r>
      <w:bookmarkEnd w:id="28"/>
      <w:bookmarkEnd w:id="29"/>
    </w:p>
    <w:p>
      <w:pPr>
        <w:rPr>
          <w:rFonts w:hint="eastAsia" w:ascii="黑体" w:hAnsi="黑体" w:eastAsia="黑体" w:cs="黑体"/>
          <w:sz w:val="32"/>
          <w:szCs w:val="32"/>
          <w:lang w:eastAsia="zh-CN"/>
        </w:rPr>
      </w:pPr>
    </w:p>
    <w:p>
      <w:pPr>
        <w:ind w:firstLine="640" w:firstLineChars="200"/>
        <w:outlineLvl w:val="0"/>
        <w:rPr>
          <w:rFonts w:hint="default" w:ascii="仿宋" w:hAnsi="仿宋" w:eastAsia="仿宋" w:cs="仿宋"/>
          <w:sz w:val="32"/>
          <w:szCs w:val="32"/>
          <w:lang w:val="en-US" w:eastAsia="zh-CN"/>
        </w:rPr>
      </w:pPr>
      <w:bookmarkStart w:id="30" w:name="_Toc7473"/>
      <w:r>
        <w:rPr>
          <w:rFonts w:hint="eastAsia" w:ascii="黑体" w:hAnsi="黑体" w:eastAsia="黑体" w:cs="黑体"/>
          <w:sz w:val="32"/>
          <w:szCs w:val="32"/>
          <w:lang w:eastAsia="zh-CN"/>
        </w:rPr>
        <w:t>一、基本职能及主要工作</w:t>
      </w:r>
      <w:bookmarkEnd w:id="30"/>
      <w:r>
        <w:rPr>
          <w:rFonts w:hint="eastAsia" w:ascii="仿宋" w:hAnsi="仿宋" w:eastAsia="仿宋" w:cs="仿宋"/>
          <w:sz w:val="32"/>
          <w:szCs w:val="32"/>
          <w:lang w:val="en-US" w:eastAsia="zh-CN"/>
        </w:rPr>
        <w:t xml:space="preserve">    </w:t>
      </w:r>
    </w:p>
    <w:p>
      <w:pPr>
        <w:numPr>
          <w:ilvl w:val="0"/>
          <w:numId w:val="0"/>
        </w:numPr>
        <w:ind w:firstLine="320" w:firstLineChars="100"/>
        <w:outlineLvl w:val="1"/>
        <w:rPr>
          <w:rFonts w:hint="default" w:ascii="仿宋" w:hAnsi="仿宋" w:eastAsia="仿宋" w:cs="仿宋"/>
          <w:sz w:val="32"/>
          <w:szCs w:val="32"/>
          <w:lang w:val="en-US" w:eastAsia="zh-CN"/>
        </w:rPr>
      </w:pPr>
      <w:bookmarkStart w:id="31" w:name="_Toc26734"/>
      <w:r>
        <w:rPr>
          <w:rFonts w:hint="eastAsia" w:ascii="仿宋" w:hAnsi="仿宋" w:eastAsia="仿宋" w:cs="仿宋"/>
          <w:sz w:val="32"/>
          <w:szCs w:val="32"/>
          <w:lang w:val="en-US" w:eastAsia="zh-CN"/>
        </w:rPr>
        <w:t>（一）主要职能</w:t>
      </w:r>
      <w:bookmarkEnd w:id="31"/>
    </w:p>
    <w:p>
      <w:pPr>
        <w:pStyle w:val="2"/>
        <w:numPr>
          <w:ilvl w:val="0"/>
          <w:numId w:val="0"/>
        </w:numPr>
        <w:ind w:left="-200" w:leftChars="0"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Times New Roman" w:hAnsi="Times New Roman" w:eastAsia="仿宋_GB2312" w:cs="Times New Roman"/>
          <w:bCs/>
          <w:sz w:val="32"/>
          <w:lang w:val="zh-CN"/>
        </w:rPr>
        <w:t>以推动民族团结为重点，</w:t>
      </w:r>
      <w:r>
        <w:rPr>
          <w:rFonts w:ascii="Times New Roman" w:hAnsi="Times New Roman" w:eastAsia="仿宋_GB2312" w:cs="Times New Roman"/>
          <w:bCs/>
          <w:sz w:val="32"/>
        </w:rPr>
        <w:t>深入推进“一法两规一条例</w:t>
      </w:r>
      <w:r>
        <w:rPr>
          <w:rFonts w:ascii="Times New Roman" w:hAnsi="Times New Roman" w:eastAsia="仿宋_GB2312" w:cs="Times New Roman"/>
          <w:sz w:val="32"/>
          <w:szCs w:val="32"/>
        </w:rPr>
        <w:t>”和党的十</w:t>
      </w:r>
      <w:r>
        <w:rPr>
          <w:rFonts w:hint="eastAsia" w:ascii="Times New Roman" w:hAnsi="Times New Roman" w:eastAsia="仿宋_GB2312" w:cs="Times New Roman"/>
          <w:sz w:val="32"/>
          <w:szCs w:val="32"/>
        </w:rPr>
        <w:t>九</w:t>
      </w:r>
      <w:r>
        <w:rPr>
          <w:rFonts w:ascii="Times New Roman" w:hAnsi="Times New Roman" w:eastAsia="仿宋_GB2312" w:cs="Times New Roman"/>
          <w:sz w:val="32"/>
          <w:szCs w:val="32"/>
        </w:rPr>
        <w:t>大精神的学习宣传和贯彻执行。</w:t>
      </w:r>
    </w:p>
    <w:p>
      <w:pPr>
        <w:pStyle w:val="2"/>
        <w:numPr>
          <w:ilvl w:val="0"/>
          <w:numId w:val="0"/>
        </w:numPr>
        <w:ind w:left="-200" w:leftChars="0" w:firstLine="640" w:firstLineChars="200"/>
        <w:outlineLvl w:val="1"/>
        <w:rPr>
          <w:rFonts w:hint="eastAsia" w:ascii="仿宋" w:hAnsi="仿宋" w:eastAsia="仿宋" w:cs="仿宋"/>
          <w:sz w:val="32"/>
          <w:szCs w:val="32"/>
          <w:lang w:val="en-US" w:eastAsia="zh-CN"/>
        </w:rPr>
      </w:pPr>
      <w:bookmarkStart w:id="32" w:name="_Toc2891"/>
      <w:r>
        <w:rPr>
          <w:rFonts w:hint="eastAsia" w:ascii="仿宋" w:hAnsi="仿宋" w:eastAsia="仿宋" w:cs="仿宋"/>
          <w:sz w:val="32"/>
          <w:szCs w:val="32"/>
          <w:lang w:val="en-US" w:eastAsia="zh-CN"/>
        </w:rPr>
        <w:t>（二）2019年重点工作完成情况</w:t>
      </w:r>
      <w:bookmarkEnd w:id="32"/>
    </w:p>
    <w:p>
      <w:pPr>
        <w:snapToGrid w:val="0"/>
        <w:spacing w:line="360" w:lineRule="auto"/>
        <w:ind w:firstLine="640" w:firstLineChars="200"/>
        <w:outlineLvl w:val="1"/>
        <w:rPr>
          <w:rFonts w:ascii="仿宋" w:hAnsi="仿宋" w:eastAsia="仿宋" w:cs="仿宋"/>
          <w:color w:val="000000"/>
          <w:sz w:val="32"/>
          <w:szCs w:val="32"/>
        </w:rPr>
      </w:pPr>
      <w:bookmarkStart w:id="33" w:name="_Toc10472"/>
      <w:r>
        <w:rPr>
          <w:rFonts w:hint="eastAsia" w:ascii="仿宋" w:hAnsi="仿宋" w:eastAsia="仿宋" w:cs="仿宋"/>
          <w:color w:val="000000"/>
          <w:sz w:val="32"/>
          <w:szCs w:val="32"/>
        </w:rPr>
        <w:t>2019年以来,全县民族宗教工作在县委、县政府的坚强领导和州民宗委的关心指导下，认真学习贯彻全国、全省、全州会议精神，紧紧围绕县委、县政府的工作部署要求，落实目标责任，夯实工作基础，依法加强民族宗教事务管理，为促进民族团结、宗教和睦、社会和谐稳定作出了积极贡献。</w:t>
      </w:r>
      <w:bookmarkEnd w:id="33"/>
    </w:p>
    <w:p>
      <w:pPr>
        <w:spacing w:line="560" w:lineRule="exact"/>
        <w:ind w:right="25" w:rightChars="12"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lang w:val="zh-CN"/>
        </w:rPr>
        <w:t>以民族团结为重点，民族工作取得长足发展。</w:t>
      </w:r>
      <w:r>
        <w:rPr>
          <w:rFonts w:hint="eastAsia" w:ascii="仿宋" w:hAnsi="仿宋" w:eastAsia="仿宋" w:cs="仿宋"/>
          <w:color w:val="000000"/>
          <w:sz w:val="32"/>
          <w:szCs w:val="32"/>
        </w:rPr>
        <w:t>按照“整体推进，试点先行</w:t>
      </w:r>
      <w:r>
        <w:rPr>
          <w:rFonts w:hint="eastAsia" w:ascii="仿宋" w:hAnsi="仿宋" w:eastAsia="仿宋" w:cs="仿宋"/>
          <w:color w:val="000000"/>
          <w:sz w:val="32"/>
          <w:szCs w:val="32"/>
          <w:lang w:eastAsia="zh-CN"/>
        </w:rPr>
        <w:t>”地思路</w:t>
      </w:r>
      <w:r>
        <w:rPr>
          <w:rFonts w:hint="eastAsia" w:ascii="仿宋" w:hAnsi="仿宋" w:eastAsia="仿宋" w:cs="仿宋"/>
          <w:color w:val="000000"/>
          <w:sz w:val="32"/>
          <w:szCs w:val="32"/>
        </w:rPr>
        <w:t xml:space="preserve">以全面开展申创和突出特色打造示范点为主线，以民族团结进步“七进+”为抓手，采取先易后难、循序渐进的方法稳步推进全县创建工作。我县共创建省级民族团结进步示范单位4个，州级民族团结进步模范（先进）单位92个，县级民族团结进步示范（先进）单位161个；获国家表彰模范个人1名，州级表彰模范集体9个、模范个人20名，县级表彰模范集体20个、模范个人16名、模范家庭5个。 </w:t>
      </w:r>
    </w:p>
    <w:p>
      <w:pPr>
        <w:spacing w:line="560" w:lineRule="exact"/>
        <w:ind w:right="25" w:rightChars="12"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lang w:val="en-US" w:eastAsia="zh-CN"/>
        </w:rPr>
        <w:t>2.</w:t>
      </w:r>
      <w:r>
        <w:rPr>
          <w:rFonts w:hint="eastAsia" w:ascii="仿宋" w:hAnsi="仿宋" w:eastAsia="仿宋" w:cs="仿宋"/>
          <w:b/>
          <w:color w:val="000000"/>
          <w:sz w:val="32"/>
          <w:szCs w:val="32"/>
        </w:rPr>
        <w:t>以夯实民族事务为目标，努力提升服务水平。</w:t>
      </w:r>
      <w:r>
        <w:rPr>
          <w:rFonts w:hint="eastAsia" w:ascii="仿宋" w:hAnsi="仿宋" w:eastAsia="仿宋" w:cs="仿宋"/>
          <w:b/>
          <w:bCs/>
          <w:color w:val="000000"/>
          <w:sz w:val="32"/>
          <w:szCs w:val="32"/>
        </w:rPr>
        <w:t>一是</w:t>
      </w:r>
      <w:r>
        <w:rPr>
          <w:rFonts w:hint="eastAsia" w:ascii="仿宋" w:hAnsi="仿宋" w:eastAsia="仿宋" w:cs="仿宋"/>
          <w:b/>
          <w:color w:val="000000"/>
          <w:sz w:val="32"/>
          <w:szCs w:val="32"/>
        </w:rPr>
        <w:t>进一步规范民族成</w:t>
      </w:r>
      <w:r>
        <w:rPr>
          <w:rFonts w:hint="eastAsia" w:ascii="仿宋" w:hAnsi="仿宋" w:eastAsia="仿宋" w:cs="仿宋"/>
          <w:b/>
          <w:color w:val="000000"/>
          <w:sz w:val="32"/>
          <w:szCs w:val="32"/>
          <w:lang w:eastAsia="zh-CN"/>
        </w:rPr>
        <w:t>分</w:t>
      </w:r>
      <w:r>
        <w:rPr>
          <w:rFonts w:hint="eastAsia" w:ascii="仿宋" w:hAnsi="仿宋" w:eastAsia="仿宋" w:cs="仿宋"/>
          <w:b/>
          <w:color w:val="000000"/>
          <w:sz w:val="32"/>
          <w:szCs w:val="32"/>
        </w:rPr>
        <w:t>更改更正和少数民族招考工作。</w:t>
      </w:r>
      <w:r>
        <w:rPr>
          <w:rFonts w:hint="eastAsia" w:ascii="仿宋" w:hAnsi="仿宋" w:eastAsia="仿宋" w:cs="仿宋"/>
          <w:color w:val="000000"/>
          <w:sz w:val="32"/>
          <w:szCs w:val="32"/>
        </w:rPr>
        <w:t>充分保证少数民族考生优惠政策落实，为少数民族考生出具加分证明，民族成分更改严格按照《中国公民民族成份登记管理办法》办理，受理民族成分更改8人。</w:t>
      </w:r>
      <w:r>
        <w:rPr>
          <w:rFonts w:hint="eastAsia" w:ascii="仿宋" w:hAnsi="仿宋" w:eastAsia="仿宋" w:cs="仿宋"/>
          <w:b/>
          <w:bCs/>
          <w:color w:val="000000"/>
          <w:sz w:val="32"/>
          <w:szCs w:val="32"/>
        </w:rPr>
        <w:t>二是</w:t>
      </w:r>
      <w:r>
        <w:rPr>
          <w:rFonts w:hint="eastAsia" w:ascii="仿宋" w:hAnsi="仿宋" w:eastAsia="仿宋" w:cs="仿宋"/>
          <w:b/>
          <w:color w:val="000000"/>
          <w:sz w:val="32"/>
          <w:szCs w:val="32"/>
        </w:rPr>
        <w:t>积极开展城市民族工作。</w:t>
      </w:r>
      <w:r>
        <w:rPr>
          <w:rFonts w:hint="eastAsia" w:ascii="仿宋" w:hAnsi="仿宋" w:eastAsia="仿宋" w:cs="仿宋"/>
          <w:color w:val="000000"/>
          <w:sz w:val="32"/>
          <w:szCs w:val="32"/>
        </w:rPr>
        <w:t>认真贯彻落实民族政策及《城市民族工作条例》，加强少数民族流动人口服务与管理工作，保障少数民族流动人口的合法权益。</w:t>
      </w:r>
      <w:r>
        <w:rPr>
          <w:rFonts w:hint="eastAsia" w:ascii="仿宋" w:hAnsi="仿宋" w:eastAsia="仿宋" w:cs="仿宋"/>
          <w:b/>
          <w:bCs/>
          <w:color w:val="000000"/>
          <w:sz w:val="32"/>
          <w:szCs w:val="32"/>
        </w:rPr>
        <w:t>三是抓好依法行政工作，</w:t>
      </w:r>
      <w:r>
        <w:rPr>
          <w:rFonts w:hint="eastAsia" w:ascii="仿宋" w:hAnsi="仿宋" w:eastAsia="仿宋" w:cs="仿宋"/>
          <w:color w:val="000000"/>
          <w:sz w:val="32"/>
          <w:szCs w:val="32"/>
        </w:rPr>
        <w:t>搭建政务一体化服务平台，建立行政权力“三张清单”，做好行政执法证年审。</w:t>
      </w:r>
    </w:p>
    <w:p>
      <w:pPr>
        <w:autoSpaceDE w:val="0"/>
        <w:autoSpaceDN w:val="0"/>
        <w:adjustRightInd w:val="0"/>
        <w:spacing w:line="560" w:lineRule="exact"/>
        <w:ind w:firstLine="643" w:firstLineChars="200"/>
        <w:rPr>
          <w:rFonts w:ascii="仿宋" w:hAnsi="仿宋" w:eastAsia="仿宋" w:cs="仿宋"/>
          <w:b/>
          <w:bCs/>
          <w:color w:val="000000"/>
          <w:sz w:val="32"/>
          <w:szCs w:val="32"/>
        </w:rPr>
      </w:pPr>
      <w:r>
        <w:rPr>
          <w:rFonts w:hint="eastAsia" w:ascii="仿宋" w:hAnsi="仿宋" w:eastAsia="仿宋" w:cs="仿宋"/>
          <w:b/>
          <w:color w:val="000000"/>
          <w:sz w:val="32"/>
          <w:szCs w:val="32"/>
          <w:lang w:val="en-US" w:eastAsia="zh-CN"/>
        </w:rPr>
        <w:t>3.</w:t>
      </w:r>
      <w:r>
        <w:rPr>
          <w:rFonts w:hint="eastAsia" w:ascii="仿宋" w:hAnsi="仿宋" w:eastAsia="仿宋" w:cs="仿宋"/>
          <w:b/>
          <w:bCs/>
          <w:color w:val="000000"/>
          <w:sz w:val="32"/>
          <w:szCs w:val="32"/>
        </w:rPr>
        <w:t>以抓好“两项资金”项目为切入点，改善少数民族地区基础设施条件。</w:t>
      </w:r>
    </w:p>
    <w:p>
      <w:pPr>
        <w:autoSpaceDE w:val="0"/>
        <w:autoSpaceDN w:val="0"/>
        <w:adjustRightInd w:val="0"/>
        <w:spacing w:line="560" w:lineRule="exac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一是搞好项目申报工作。</w:t>
      </w:r>
      <w:r>
        <w:rPr>
          <w:rFonts w:hint="eastAsia" w:ascii="仿宋" w:hAnsi="仿宋" w:eastAsia="仿宋" w:cs="仿宋"/>
          <w:color w:val="000000"/>
          <w:sz w:val="32"/>
          <w:szCs w:val="32"/>
        </w:rPr>
        <w:t>按照四川民族地区开发资金项目申报工作要求，项目推荐坚持</w:t>
      </w:r>
      <w:r>
        <w:rPr>
          <w:rFonts w:hint="eastAsia" w:ascii="仿宋" w:hAnsi="仿宋" w:eastAsia="仿宋" w:cs="仿宋"/>
          <w:color w:val="000000"/>
          <w:sz w:val="32"/>
          <w:szCs w:val="32"/>
          <w:lang w:val="zh-CN"/>
        </w:rPr>
        <w:t>“择重、择难、择急、择优”的原则</w:t>
      </w:r>
      <w:r>
        <w:rPr>
          <w:rFonts w:hint="eastAsia" w:ascii="仿宋" w:hAnsi="仿宋" w:eastAsia="仿宋" w:cs="仿宋"/>
          <w:color w:val="000000"/>
          <w:sz w:val="32"/>
          <w:szCs w:val="32"/>
        </w:rPr>
        <w:t>，做好民族教育十年行动计划</w:t>
      </w:r>
      <w:r>
        <w:rPr>
          <w:rFonts w:hint="eastAsia" w:ascii="仿宋" w:hAnsi="仿宋" w:eastAsia="仿宋" w:cs="仿宋"/>
          <w:color w:val="000000"/>
          <w:sz w:val="32"/>
          <w:szCs w:val="32"/>
          <w:lang w:val="zh-CN"/>
        </w:rPr>
        <w:t>、民族团结</w:t>
      </w:r>
      <w:r>
        <w:rPr>
          <w:rFonts w:hint="eastAsia" w:ascii="仿宋" w:hAnsi="仿宋" w:eastAsia="仿宋" w:cs="仿宋"/>
          <w:color w:val="000000"/>
          <w:sz w:val="32"/>
          <w:szCs w:val="32"/>
        </w:rPr>
        <w:t>进步示范</w:t>
      </w:r>
      <w:r>
        <w:rPr>
          <w:rFonts w:hint="eastAsia" w:ascii="仿宋" w:hAnsi="仿宋" w:eastAsia="仿宋" w:cs="仿宋"/>
          <w:color w:val="000000"/>
          <w:sz w:val="32"/>
          <w:szCs w:val="32"/>
          <w:lang w:val="zh-CN"/>
        </w:rPr>
        <w:t>新村</w:t>
      </w:r>
      <w:r>
        <w:rPr>
          <w:rFonts w:hint="eastAsia" w:ascii="仿宋" w:hAnsi="仿宋" w:eastAsia="仿宋" w:cs="仿宋"/>
          <w:color w:val="000000"/>
          <w:sz w:val="32"/>
          <w:szCs w:val="32"/>
        </w:rPr>
        <w:t>、旅游产业项目的申报、审查工作，确保项目申报质量，2019年争取各项补助资金1208万元。其中，争取涉农整合资金（三州开发资金）400万元；争取涉农整合资金（少数民族发展资金）200万元；争取三州开发资金非统筹整合使用资金项目3个，国家补助资金608万元。</w:t>
      </w:r>
      <w:r>
        <w:rPr>
          <w:rFonts w:hint="eastAsia" w:ascii="仿宋" w:hAnsi="仿宋" w:eastAsia="仿宋" w:cs="仿宋"/>
          <w:b/>
          <w:bCs/>
          <w:color w:val="000000"/>
          <w:sz w:val="32"/>
          <w:szCs w:val="32"/>
        </w:rPr>
        <w:t>二是做好项目监管工作。</w:t>
      </w:r>
      <w:r>
        <w:rPr>
          <w:rFonts w:hint="eastAsia" w:ascii="仿宋" w:hAnsi="仿宋" w:eastAsia="仿宋" w:cs="仿宋"/>
          <w:color w:val="000000"/>
          <w:sz w:val="32"/>
          <w:szCs w:val="32"/>
        </w:rPr>
        <w:t>对2019年项目要加强资金监管，制定两项资金管理使用办法，完善两项资金管理、使用、跟踪和检查制度，项目资金的拨付严格执行财经制度，与项目实施部门签订资金管理、使用及工程质量、工期、建设等为内容的项目实施责任书。并实行三级公示、</w:t>
      </w:r>
      <w:r>
        <w:rPr>
          <w:rFonts w:hint="eastAsia" w:ascii="仿宋" w:hAnsi="仿宋" w:eastAsia="仿宋" w:cs="仿宋"/>
          <w:color w:val="000000"/>
          <w:sz w:val="32"/>
          <w:szCs w:val="32"/>
          <w:lang w:eastAsia="zh-CN"/>
        </w:rPr>
        <w:t>竖立</w:t>
      </w:r>
      <w:r>
        <w:rPr>
          <w:rFonts w:hint="eastAsia" w:ascii="仿宋" w:hAnsi="仿宋" w:eastAsia="仿宋" w:cs="仿宋"/>
          <w:color w:val="000000"/>
          <w:sz w:val="32"/>
          <w:szCs w:val="32"/>
        </w:rPr>
        <w:t>项目公示牌，让群众知晓。在施工内容上严格要求项目实施单位按工程实施方案组织实施，确保资金专款专用，按时完成工程项目。</w:t>
      </w:r>
    </w:p>
    <w:p>
      <w:pPr>
        <w:spacing w:line="560" w:lineRule="exact"/>
        <w:ind w:right="25" w:rightChars="12" w:firstLine="643" w:firstLineChars="200"/>
        <w:rPr>
          <w:rFonts w:ascii="仿宋" w:hAnsi="仿宋" w:eastAsia="仿宋" w:cs="仿宋"/>
          <w:b/>
          <w:color w:val="000000"/>
          <w:sz w:val="32"/>
          <w:szCs w:val="32"/>
        </w:rPr>
      </w:pPr>
      <w:r>
        <w:rPr>
          <w:rFonts w:hint="eastAsia" w:ascii="仿宋" w:hAnsi="仿宋" w:eastAsia="仿宋" w:cs="仿宋"/>
          <w:b/>
          <w:bCs/>
          <w:color w:val="000000"/>
          <w:sz w:val="32"/>
          <w:szCs w:val="32"/>
          <w:lang w:val="en-US" w:eastAsia="zh-CN"/>
        </w:rPr>
        <w:t>4.</w:t>
      </w:r>
      <w:r>
        <w:rPr>
          <w:rFonts w:hint="eastAsia" w:ascii="仿宋" w:hAnsi="仿宋" w:eastAsia="仿宋" w:cs="仿宋"/>
          <w:b/>
          <w:color w:val="000000"/>
          <w:sz w:val="32"/>
          <w:szCs w:val="32"/>
        </w:rPr>
        <w:t>以依法管理宗教事务为核心，推动宗教工作上水平。</w:t>
      </w:r>
    </w:p>
    <w:p>
      <w:pPr>
        <w:spacing w:line="560" w:lineRule="exact"/>
        <w:ind w:right="25" w:rightChars="12" w:firstLine="643" w:firstLineChars="200"/>
        <w:rPr>
          <w:rFonts w:ascii="仿宋" w:hAnsi="仿宋" w:eastAsia="仿宋" w:cs="仿宋"/>
          <w:color w:val="000000"/>
          <w:sz w:val="32"/>
          <w:szCs w:val="32"/>
          <w:shd w:val="clear" w:color="auto" w:fill="FFFFFF"/>
        </w:rPr>
      </w:pP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en-US" w:eastAsia="zh-CN"/>
        </w:rPr>
        <w:t>1</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zh-CN"/>
        </w:rPr>
        <w:t>以正面引导为主，开展宗教政策法规宣传</w:t>
      </w:r>
      <w:r>
        <w:rPr>
          <w:rFonts w:hint="eastAsia" w:ascii="仿宋" w:hAnsi="仿宋" w:eastAsia="仿宋" w:cs="仿宋"/>
          <w:bCs/>
          <w:color w:val="000000"/>
          <w:sz w:val="32"/>
          <w:szCs w:val="32"/>
          <w:lang w:val="zh-CN"/>
        </w:rPr>
        <w:t>。积极开展“孝善和俭进寺庙”“民族团结进寺庙”“法律</w:t>
      </w:r>
      <w:r>
        <w:rPr>
          <w:rFonts w:hint="eastAsia" w:ascii="仿宋" w:hAnsi="仿宋" w:eastAsia="仿宋" w:cs="仿宋"/>
          <w:bCs/>
          <w:color w:val="000000"/>
          <w:sz w:val="32"/>
          <w:szCs w:val="32"/>
        </w:rPr>
        <w:t>政策</w:t>
      </w:r>
      <w:r>
        <w:rPr>
          <w:rFonts w:hint="eastAsia" w:ascii="仿宋" w:hAnsi="仿宋" w:eastAsia="仿宋" w:cs="仿宋"/>
          <w:bCs/>
          <w:color w:val="000000"/>
          <w:sz w:val="32"/>
          <w:szCs w:val="32"/>
          <w:lang w:val="zh-CN"/>
        </w:rPr>
        <w:t>进寺庙”，</w:t>
      </w:r>
      <w:r>
        <w:rPr>
          <w:rFonts w:hint="eastAsia" w:ascii="仿宋" w:hAnsi="仿宋" w:eastAsia="仿宋" w:cs="仿宋"/>
          <w:color w:val="000000"/>
          <w:sz w:val="32"/>
          <w:szCs w:val="32"/>
          <w:lang w:val="zh-CN"/>
        </w:rPr>
        <w:t>加大对宗教政策、法律法规的宣传力度，</w:t>
      </w:r>
      <w:r>
        <w:rPr>
          <w:rFonts w:hint="eastAsia" w:ascii="仿宋" w:hAnsi="仿宋" w:eastAsia="仿宋" w:cs="仿宋"/>
          <w:color w:val="000000"/>
          <w:sz w:val="32"/>
          <w:szCs w:val="32"/>
          <w:shd w:val="clear" w:color="auto" w:fill="FFFFFF"/>
        </w:rPr>
        <w:t>发放相关资料5000余份，受教育僧尼及信教群众3000余人，</w:t>
      </w:r>
      <w:r>
        <w:rPr>
          <w:rFonts w:hint="eastAsia" w:ascii="仿宋" w:hAnsi="仿宋" w:eastAsia="仿宋" w:cs="仿宋"/>
          <w:color w:val="000000"/>
          <w:sz w:val="32"/>
          <w:szCs w:val="32"/>
        </w:rPr>
        <w:t>结合“两联一进”群众工作全覆盖要求，与司法等部门开展联合宣讲，对部分寺庙集中开展“宗教政策法规宣传月”活动，发放“宗教事务条例”“法律政策进寺庙”“宪法”等相关藏汉双语宣传图书资料3000余册，</w:t>
      </w:r>
      <w:r>
        <w:rPr>
          <w:rFonts w:hint="eastAsia" w:ascii="仿宋" w:hAnsi="仿宋" w:eastAsia="仿宋" w:cs="仿宋"/>
          <w:color w:val="000000"/>
          <w:sz w:val="32"/>
          <w:szCs w:val="32"/>
          <w:shd w:val="clear" w:color="auto" w:fill="FFFFFF"/>
        </w:rPr>
        <w:t>通过集中宣讲各项政策法规知识，积极引导僧尼“爱国爱教、持戒守法”，切实提升宗教界国家意识、民族意识、公民意识、法治意识。</w:t>
      </w:r>
    </w:p>
    <w:p>
      <w:pPr>
        <w:spacing w:line="560" w:lineRule="exact"/>
        <w:ind w:right="25" w:rightChars="12" w:firstLine="643" w:firstLineChars="200"/>
        <w:rPr>
          <w:rFonts w:ascii="仿宋" w:hAnsi="仿宋" w:eastAsia="仿宋" w:cs="仿宋"/>
          <w:color w:val="000000"/>
          <w:sz w:val="32"/>
          <w:szCs w:val="32"/>
        </w:rPr>
      </w:pP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en-US" w:eastAsia="zh-CN"/>
        </w:rPr>
        <w:t>2</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zh-CN"/>
        </w:rPr>
        <w:t>以</w:t>
      </w:r>
      <w:r>
        <w:rPr>
          <w:rFonts w:hint="eastAsia" w:ascii="仿宋" w:hAnsi="仿宋" w:eastAsia="仿宋" w:cs="仿宋"/>
          <w:b/>
          <w:color w:val="000000"/>
          <w:sz w:val="32"/>
          <w:szCs w:val="32"/>
        </w:rPr>
        <w:t>凝聚</w:t>
      </w:r>
      <w:r>
        <w:rPr>
          <w:rFonts w:hint="eastAsia" w:ascii="仿宋" w:hAnsi="仿宋" w:eastAsia="仿宋" w:cs="仿宋"/>
          <w:b/>
          <w:color w:val="000000"/>
          <w:sz w:val="32"/>
          <w:szCs w:val="32"/>
          <w:lang w:val="zh-CN"/>
        </w:rPr>
        <w:t>人心为要，依法加强对宗教事务的管理。</w:t>
      </w:r>
      <w:r>
        <w:rPr>
          <w:rFonts w:hint="eastAsia" w:ascii="仿宋" w:hAnsi="仿宋" w:eastAsia="仿宋" w:cs="仿宋"/>
          <w:b/>
          <w:bCs/>
          <w:color w:val="000000"/>
          <w:sz w:val="32"/>
          <w:szCs w:val="32"/>
          <w:lang w:val="zh-CN"/>
        </w:rPr>
        <w:t>一是加强</w:t>
      </w:r>
      <w:r>
        <w:rPr>
          <w:rFonts w:hint="eastAsia" w:ascii="仿宋" w:hAnsi="仿宋" w:eastAsia="仿宋" w:cs="仿宋"/>
          <w:b/>
          <w:bCs/>
          <w:color w:val="000000"/>
          <w:kern w:val="10"/>
          <w:sz w:val="32"/>
          <w:szCs w:val="32"/>
        </w:rPr>
        <w:t>僧尼管理工作。</w:t>
      </w:r>
      <w:r>
        <w:rPr>
          <w:rFonts w:hint="eastAsia" w:ascii="仿宋" w:hAnsi="仿宋" w:eastAsia="仿宋" w:cs="仿宋"/>
          <w:color w:val="000000"/>
          <w:sz w:val="32"/>
          <w:szCs w:val="32"/>
          <w:lang w:val="zh-CN"/>
        </w:rPr>
        <w:t>建</w:t>
      </w:r>
      <w:r>
        <w:rPr>
          <w:rFonts w:hint="eastAsia" w:ascii="仿宋" w:hAnsi="仿宋" w:eastAsia="仿宋" w:cs="仿宋"/>
          <w:color w:val="000000"/>
          <w:sz w:val="32"/>
          <w:szCs w:val="32"/>
        </w:rPr>
        <w:t>立</w:t>
      </w:r>
      <w:r>
        <w:rPr>
          <w:rFonts w:hint="eastAsia" w:ascii="仿宋" w:hAnsi="仿宋" w:eastAsia="仿宋" w:cs="仿宋"/>
          <w:color w:val="000000"/>
          <w:sz w:val="32"/>
          <w:szCs w:val="32"/>
          <w:lang w:val="zh-CN"/>
        </w:rPr>
        <w:t>了僧尼户口登记</w:t>
      </w:r>
      <w:r>
        <w:rPr>
          <w:rFonts w:hint="eastAsia" w:ascii="仿宋" w:hAnsi="仿宋" w:eastAsia="仿宋" w:cs="仿宋"/>
          <w:color w:val="000000"/>
          <w:sz w:val="32"/>
          <w:szCs w:val="32"/>
        </w:rPr>
        <w:t>台账</w:t>
      </w:r>
      <w:r>
        <w:rPr>
          <w:rFonts w:hint="eastAsia" w:ascii="仿宋" w:hAnsi="仿宋" w:eastAsia="仿宋" w:cs="仿宋"/>
          <w:color w:val="000000"/>
          <w:sz w:val="32"/>
          <w:szCs w:val="32"/>
          <w:lang w:val="zh-CN"/>
        </w:rPr>
        <w:t>，实行了寺庙僧尼持双证住寺，严格执行了僧尼外出登记请销假制度，坚持了活佛外出报告制度，坚持了外来教职人员登记，寺管会向当地政府报告制度，</w:t>
      </w:r>
      <w:r>
        <w:rPr>
          <w:rFonts w:hint="eastAsia" w:ascii="仿宋" w:hAnsi="仿宋" w:eastAsia="仿宋" w:cs="仿宋"/>
          <w:color w:val="000000"/>
          <w:sz w:val="32"/>
          <w:szCs w:val="32"/>
        </w:rPr>
        <w:t>建立了维稳</w:t>
      </w:r>
      <w:r>
        <w:rPr>
          <w:rFonts w:hint="eastAsia" w:ascii="仿宋" w:hAnsi="仿宋" w:eastAsia="仿宋" w:cs="仿宋"/>
          <w:color w:val="000000"/>
          <w:sz w:val="32"/>
          <w:szCs w:val="32"/>
          <w:lang w:val="zh-CN"/>
        </w:rPr>
        <w:t>敏感期民管会成员动态台账，做到了底数清、情况明。</w:t>
      </w:r>
      <w:r>
        <w:rPr>
          <w:rFonts w:hint="eastAsia" w:ascii="仿宋" w:hAnsi="仿宋" w:eastAsia="仿宋" w:cs="仿宋"/>
          <w:b/>
          <w:color w:val="000000"/>
          <w:sz w:val="32"/>
          <w:szCs w:val="32"/>
        </w:rPr>
        <w:t>二是严格对宗教活动管理。</w:t>
      </w:r>
      <w:r>
        <w:rPr>
          <w:rFonts w:hint="eastAsia" w:ascii="仿宋" w:hAnsi="仿宋" w:eastAsia="仿宋" w:cs="仿宋"/>
          <w:color w:val="000000"/>
          <w:sz w:val="32"/>
          <w:szCs w:val="32"/>
        </w:rPr>
        <w:t>宗教活动严格遵循“小型、就地、分散、安全”的原则，</w:t>
      </w:r>
      <w:r>
        <w:rPr>
          <w:rFonts w:hint="eastAsia" w:ascii="仿宋" w:hAnsi="仿宋" w:eastAsia="仿宋" w:cs="仿宋"/>
          <w:color w:val="000000"/>
          <w:kern w:val="10"/>
          <w:sz w:val="32"/>
          <w:szCs w:val="32"/>
        </w:rPr>
        <w:t>建立了佛事活动台账，严格佛事活动的审批，</w:t>
      </w:r>
      <w:r>
        <w:rPr>
          <w:rFonts w:hint="eastAsia" w:ascii="仿宋" w:hAnsi="仿宋" w:eastAsia="仿宋" w:cs="仿宋"/>
          <w:color w:val="000000"/>
          <w:sz w:val="32"/>
          <w:szCs w:val="32"/>
        </w:rPr>
        <w:t>不允许举办跨行政区域的大型宗教活动和跨地区传教，不允许在未经批准开放的宗教建筑内开展或变相开展宗教活动，加强对春节、</w:t>
      </w:r>
      <w:r>
        <w:rPr>
          <w:rFonts w:hint="eastAsia" w:ascii="仿宋" w:hAnsi="仿宋" w:eastAsia="仿宋" w:cs="仿宋"/>
          <w:color w:val="000000"/>
          <w:sz w:val="32"/>
          <w:szCs w:val="32"/>
          <w:lang w:val="zh-CN"/>
        </w:rPr>
        <w:t>全国“两会”、</w:t>
      </w:r>
      <w:r>
        <w:rPr>
          <w:rFonts w:hint="eastAsia" w:ascii="仿宋" w:hAnsi="仿宋" w:eastAsia="仿宋" w:cs="仿宋"/>
          <w:color w:val="000000"/>
          <w:sz w:val="32"/>
          <w:szCs w:val="32"/>
        </w:rPr>
        <w:t>维稳敏感期佛事活动的现场指导，目前</w:t>
      </w:r>
      <w:r>
        <w:rPr>
          <w:rFonts w:hint="eastAsia" w:ascii="仿宋" w:hAnsi="仿宋" w:eastAsia="仿宋" w:cs="仿宋"/>
          <w:color w:val="000000"/>
          <w:kern w:val="10"/>
          <w:sz w:val="32"/>
          <w:szCs w:val="32"/>
        </w:rPr>
        <w:t>一切佛事活动均在掌控中，无未经审批的佛事活动。三</w:t>
      </w:r>
      <w:r>
        <w:rPr>
          <w:rFonts w:hint="eastAsia" w:ascii="仿宋" w:hAnsi="仿宋" w:eastAsia="仿宋" w:cs="仿宋"/>
          <w:b/>
          <w:color w:val="000000"/>
          <w:sz w:val="32"/>
          <w:szCs w:val="32"/>
        </w:rPr>
        <w:t>是做好敏感期维稳工作。</w:t>
      </w:r>
      <w:r>
        <w:rPr>
          <w:rFonts w:hint="eastAsia" w:ascii="仿宋" w:hAnsi="仿宋" w:eastAsia="仿宋" w:cs="仿宋"/>
          <w:bCs/>
          <w:color w:val="000000"/>
          <w:sz w:val="32"/>
          <w:szCs w:val="32"/>
        </w:rPr>
        <w:t>突出做好重大节庆、节日敏感期的工作，</w:t>
      </w:r>
      <w:r>
        <w:rPr>
          <w:rFonts w:hint="eastAsia" w:ascii="仿宋" w:hAnsi="仿宋" w:eastAsia="仿宋" w:cs="仿宋"/>
          <w:color w:val="000000"/>
          <w:kern w:val="10"/>
          <w:sz w:val="32"/>
          <w:szCs w:val="32"/>
        </w:rPr>
        <w:t>全面落实了敏感时段领导带班值守和情报信息报告制度，</w:t>
      </w:r>
      <w:r>
        <w:rPr>
          <w:rFonts w:hint="eastAsia" w:ascii="仿宋" w:hAnsi="仿宋" w:eastAsia="仿宋" w:cs="仿宋"/>
          <w:color w:val="000000"/>
          <w:sz w:val="32"/>
          <w:szCs w:val="32"/>
        </w:rPr>
        <w:t>建立健全不稳定因素定期排查制度，</w:t>
      </w:r>
      <w:r>
        <w:rPr>
          <w:rFonts w:hint="eastAsia" w:ascii="仿宋" w:hAnsi="仿宋" w:eastAsia="仿宋" w:cs="仿宋"/>
          <w:bCs/>
          <w:color w:val="000000"/>
          <w:sz w:val="32"/>
          <w:szCs w:val="32"/>
        </w:rPr>
        <w:t>对全县藏传佛教寺庙稳定隐患进行了摸排，做到了寺庙及僧尼的动态监管，确保了敏感期的稳定。</w:t>
      </w:r>
      <w:r>
        <w:rPr>
          <w:rFonts w:hint="eastAsia" w:ascii="仿宋" w:hAnsi="仿宋" w:eastAsia="仿宋" w:cs="仿宋"/>
          <w:b/>
          <w:color w:val="000000"/>
          <w:sz w:val="32"/>
          <w:szCs w:val="32"/>
        </w:rPr>
        <w:t>四是加强对情报信息的搜集</w:t>
      </w:r>
      <w:r>
        <w:rPr>
          <w:rFonts w:hint="eastAsia" w:ascii="仿宋" w:hAnsi="仿宋" w:eastAsia="仿宋" w:cs="仿宋"/>
          <w:bCs/>
          <w:color w:val="000000"/>
          <w:sz w:val="32"/>
          <w:szCs w:val="32"/>
        </w:rPr>
        <w:t>。结合“两联一进”工作，与各部门加强协作，充分发挥协作优势，深入各寺开展隐患排查30余次，杜绝各类隐患事件发生，经多方搜集信息，目前各寺没有发现不稳定苗头、不安全因素。</w:t>
      </w:r>
      <w:r>
        <w:rPr>
          <w:rFonts w:hint="eastAsia" w:ascii="仿宋" w:hAnsi="仿宋" w:eastAsia="仿宋" w:cs="仿宋"/>
          <w:b/>
          <w:color w:val="000000"/>
          <w:sz w:val="32"/>
          <w:szCs w:val="32"/>
        </w:rPr>
        <w:t>五是积极开展走访慰问。</w:t>
      </w:r>
      <w:r>
        <w:rPr>
          <w:rFonts w:hint="eastAsia" w:ascii="仿宋" w:hAnsi="仿宋" w:eastAsia="仿宋" w:cs="仿宋"/>
          <w:color w:val="000000"/>
          <w:sz w:val="32"/>
          <w:szCs w:val="32"/>
        </w:rPr>
        <w:t>大力开展暖冬行动，慰问寺庙26座、贫困宗教教职人员50人、色达喇荣寺五明佛学院劝返人员39人、藏胞和境外藏胞国内亲属10人，发放慰问金8.17万元。</w:t>
      </w:r>
      <w:r>
        <w:rPr>
          <w:rFonts w:hint="eastAsia" w:ascii="仿宋" w:hAnsi="仿宋" w:eastAsia="仿宋" w:cs="仿宋"/>
          <w:b/>
          <w:bCs/>
          <w:color w:val="000000"/>
          <w:sz w:val="32"/>
          <w:szCs w:val="32"/>
        </w:rPr>
        <w:t>六是宗教活动场所人居环境整治。</w:t>
      </w:r>
      <w:r>
        <w:rPr>
          <w:rFonts w:hint="eastAsia" w:ascii="仿宋" w:hAnsi="仿宋" w:eastAsia="仿宋" w:cs="仿宋"/>
          <w:color w:val="000000"/>
          <w:sz w:val="32"/>
          <w:szCs w:val="32"/>
        </w:rPr>
        <w:t>弘扬宗教界优良传统，全面深化挖掘宗教文化中崇尚人与自然、人与社会和谐的文化理念，引导信众积极参与环境保护。深入全县各寺庙开展环境卫生整治工作30余次，发放500余份倡议书，对寺庙悬挂经幡点、周边死角进行了排查整治，规范了抛洒龙达行为，全力</w:t>
      </w:r>
      <w:r>
        <w:rPr>
          <w:rFonts w:hint="eastAsia" w:ascii="仿宋" w:hAnsi="仿宋" w:eastAsia="仿宋" w:cs="仿宋"/>
          <w:color w:val="000000"/>
          <w:spacing w:val="15"/>
          <w:sz w:val="32"/>
          <w:szCs w:val="32"/>
          <w:shd w:val="clear" w:color="auto" w:fill="FFFFFF"/>
        </w:rPr>
        <w:t>做好“五美寺庙”建设。</w:t>
      </w:r>
      <w:r>
        <w:rPr>
          <w:rFonts w:hint="eastAsia" w:ascii="仿宋" w:hAnsi="仿宋" w:eastAsia="仿宋" w:cs="仿宋"/>
          <w:b/>
          <w:bCs/>
          <w:color w:val="000000"/>
          <w:sz w:val="32"/>
          <w:szCs w:val="32"/>
        </w:rPr>
        <w:t>七是切实做好寺庙安全生产工作。</w:t>
      </w:r>
      <w:r>
        <w:rPr>
          <w:rFonts w:hint="eastAsia" w:ascii="仿宋" w:hAnsi="仿宋" w:eastAsia="仿宋" w:cs="仿宋"/>
          <w:color w:val="000000"/>
          <w:sz w:val="32"/>
          <w:szCs w:val="32"/>
        </w:rPr>
        <w:t>全面落实寺庙安全生产工作责任制，牢固树立“防范胜于救灾”的理念，以高度责任感和使命感，把安全生产隐患排查工作做实做细，先后入寺开展隐患点排查30余次，把汛期地质灾害防治、寺庙消防、安全生产工作作为当前主要工作来抓。</w:t>
      </w:r>
      <w:r>
        <w:rPr>
          <w:rFonts w:hint="eastAsia" w:ascii="仿宋" w:hAnsi="仿宋" w:eastAsia="仿宋" w:cs="仿宋"/>
          <w:b/>
          <w:bCs/>
          <w:color w:val="000000"/>
          <w:sz w:val="32"/>
          <w:szCs w:val="32"/>
        </w:rPr>
        <w:t>八是加强对寺庙财务管理。</w:t>
      </w:r>
      <w:r>
        <w:rPr>
          <w:rFonts w:hint="eastAsia" w:ascii="仿宋" w:hAnsi="仿宋" w:eastAsia="仿宋" w:cs="仿宋"/>
          <w:color w:val="000000"/>
          <w:sz w:val="32"/>
          <w:szCs w:val="32"/>
        </w:rPr>
        <w:t>按照相关文件要求，今年完成了对巴温寺、娃姑寺的寺庙财务审计检查工作，对寺庙财会人员进行了业务指导培训，规范了寺庙财务和账簿。</w:t>
      </w:r>
    </w:p>
    <w:p>
      <w:pPr>
        <w:spacing w:line="560" w:lineRule="exact"/>
        <w:ind w:right="25" w:rightChars="12" w:firstLine="703" w:firstLineChars="200"/>
        <w:rPr>
          <w:rFonts w:ascii="仿宋" w:hAnsi="仿宋" w:eastAsia="仿宋" w:cs="仿宋"/>
          <w:color w:val="000000"/>
          <w:sz w:val="32"/>
          <w:szCs w:val="32"/>
        </w:rPr>
      </w:pPr>
      <w:r>
        <w:rPr>
          <w:rFonts w:hint="eastAsia" w:ascii="仿宋" w:hAnsi="仿宋" w:eastAsia="仿宋" w:cs="仿宋"/>
          <w:b/>
          <w:bCs/>
          <w:color w:val="000000"/>
          <w:spacing w:val="15"/>
          <w:sz w:val="32"/>
          <w:szCs w:val="32"/>
          <w:shd w:val="clear" w:color="auto" w:fill="FFFFFF"/>
          <w:lang w:eastAsia="zh-CN"/>
        </w:rPr>
        <w:t>（</w:t>
      </w:r>
      <w:r>
        <w:rPr>
          <w:rFonts w:hint="eastAsia" w:ascii="仿宋" w:hAnsi="仿宋" w:eastAsia="仿宋" w:cs="仿宋"/>
          <w:b/>
          <w:bCs/>
          <w:color w:val="000000"/>
          <w:spacing w:val="15"/>
          <w:sz w:val="32"/>
          <w:szCs w:val="32"/>
          <w:shd w:val="clear" w:color="auto" w:fill="FFFFFF"/>
          <w:lang w:val="en-US" w:eastAsia="zh-CN"/>
        </w:rPr>
        <w:t>3</w:t>
      </w:r>
      <w:r>
        <w:rPr>
          <w:rFonts w:hint="eastAsia" w:ascii="仿宋" w:hAnsi="仿宋" w:eastAsia="仿宋" w:cs="仿宋"/>
          <w:b/>
          <w:bCs/>
          <w:color w:val="000000"/>
          <w:spacing w:val="15"/>
          <w:sz w:val="32"/>
          <w:szCs w:val="32"/>
          <w:shd w:val="clear" w:color="auto" w:fill="FFFFFF"/>
          <w:lang w:eastAsia="zh-CN"/>
        </w:rPr>
        <w:t>）</w:t>
      </w:r>
      <w:r>
        <w:rPr>
          <w:rFonts w:hint="eastAsia" w:ascii="仿宋" w:hAnsi="仿宋" w:eastAsia="仿宋" w:cs="仿宋"/>
          <w:b/>
          <w:bCs/>
          <w:color w:val="000000"/>
          <w:spacing w:val="15"/>
          <w:sz w:val="32"/>
          <w:szCs w:val="32"/>
          <w:shd w:val="clear" w:color="auto" w:fill="FFFFFF"/>
        </w:rPr>
        <w:t>以民生工程为重，积极落实各项惠民政策。</w:t>
      </w:r>
      <w:r>
        <w:rPr>
          <w:rFonts w:hint="eastAsia" w:ascii="仿宋" w:hAnsi="仿宋" w:eastAsia="仿宋" w:cs="仿宋"/>
          <w:color w:val="000000"/>
          <w:spacing w:val="15"/>
          <w:sz w:val="32"/>
          <w:szCs w:val="32"/>
          <w:shd w:val="clear" w:color="auto" w:fill="FFFFFF"/>
        </w:rPr>
        <w:t>积极争取寺庙基础设施建设资金1844万元，对全县23座藏传佛教寺庙基础设施改造提升，创新推动“五通六有五覆盖”工程建设，切实解决寺庙困难，目前</w:t>
      </w:r>
      <w:r>
        <w:rPr>
          <w:rFonts w:hint="eastAsia" w:ascii="仿宋" w:hAnsi="仿宋" w:eastAsia="仿宋" w:cs="仿宋"/>
          <w:color w:val="000000"/>
          <w:sz w:val="32"/>
          <w:szCs w:val="32"/>
        </w:rPr>
        <w:t xml:space="preserve">项目正在安全有序推进，已完成总工程量的75%，明年完成收尾工程。                                                                                                                                                                                                                                                                                                                                                                                                                                                                                                                                                                                                                                                                                                                                                                                                                                                                                                                                                                                                                                                                                                                                                                                                                                                                                                                                                                                                                               </w:t>
      </w:r>
    </w:p>
    <w:p>
      <w:pPr>
        <w:autoSpaceDE w:val="0"/>
        <w:autoSpaceDN w:val="0"/>
        <w:adjustRightInd w:val="0"/>
        <w:spacing w:line="560" w:lineRule="exact"/>
        <w:ind w:firstLine="643" w:firstLineChars="200"/>
        <w:rPr>
          <w:rFonts w:ascii="仿宋" w:hAnsi="仿宋" w:eastAsia="仿宋" w:cs="仿宋"/>
          <w:b/>
          <w:color w:val="000000"/>
          <w:sz w:val="32"/>
          <w:szCs w:val="32"/>
        </w:rPr>
      </w:pPr>
      <w:r>
        <w:rPr>
          <w:rFonts w:hint="eastAsia" w:ascii="仿宋" w:hAnsi="仿宋" w:eastAsia="仿宋" w:cs="仿宋"/>
          <w:b/>
          <w:color w:val="000000"/>
          <w:sz w:val="32"/>
          <w:szCs w:val="32"/>
          <w:lang w:val="en-US" w:eastAsia="zh-CN"/>
        </w:rPr>
        <w:t>5.</w:t>
      </w:r>
      <w:r>
        <w:rPr>
          <w:rFonts w:hint="eastAsia" w:ascii="仿宋" w:hAnsi="仿宋" w:eastAsia="仿宋" w:cs="仿宋"/>
          <w:b/>
          <w:color w:val="000000"/>
          <w:sz w:val="32"/>
          <w:szCs w:val="32"/>
        </w:rPr>
        <w:t>扶贫攻坚和其他工作</w:t>
      </w:r>
    </w:p>
    <w:p>
      <w:pPr>
        <w:autoSpaceDN w:val="0"/>
        <w:spacing w:line="560" w:lineRule="exact"/>
        <w:ind w:firstLine="643" w:firstLineChars="200"/>
        <w:rPr>
          <w:rFonts w:ascii="仿宋" w:hAnsi="仿宋" w:eastAsia="仿宋" w:cs="仿宋"/>
          <w:color w:val="000000"/>
          <w:sz w:val="32"/>
          <w:szCs w:val="32"/>
        </w:rPr>
      </w:pPr>
      <w:r>
        <w:rPr>
          <w:rFonts w:hint="eastAsia" w:ascii="仿宋" w:hAnsi="仿宋" w:eastAsia="仿宋" w:cs="仿宋"/>
          <w:b/>
          <w:color w:val="000000"/>
          <w:sz w:val="32"/>
          <w:szCs w:val="32"/>
        </w:rPr>
        <w:t>打好扶贫攻坚，联系村顺利脱贫。一是</w:t>
      </w:r>
      <w:r>
        <w:rPr>
          <w:rFonts w:hint="eastAsia" w:ascii="仿宋" w:hAnsi="仿宋" w:eastAsia="仿宋" w:cs="仿宋"/>
          <w:bCs/>
          <w:color w:val="000000"/>
          <w:sz w:val="32"/>
          <w:szCs w:val="32"/>
        </w:rPr>
        <w:t>结合“两联一进”工作，强化联系村帮扶工作，成立民宗局工作组进行驻村帮扶，对贫困户和非贫困户进行一对一帮扶，进一步查漏补缺，完善档案资料；</w:t>
      </w:r>
      <w:r>
        <w:rPr>
          <w:rFonts w:hint="eastAsia" w:ascii="仿宋" w:hAnsi="仿宋" w:eastAsia="仿宋" w:cs="仿宋"/>
          <w:b/>
          <w:bCs/>
          <w:color w:val="000000"/>
          <w:sz w:val="32"/>
          <w:szCs w:val="32"/>
        </w:rPr>
        <w:t>二是</w:t>
      </w:r>
      <w:r>
        <w:rPr>
          <w:rFonts w:hint="eastAsia" w:ascii="仿宋" w:hAnsi="仿宋" w:eastAsia="仿宋" w:cs="仿宋"/>
          <w:color w:val="000000"/>
          <w:sz w:val="32"/>
          <w:szCs w:val="32"/>
        </w:rPr>
        <w:t>按照省、州、县“两不愁三保障”回头看大排查各项部署要求，对本单位联系乡村开展了“两不愁三保障”回头看大排查工作，顺利通过了国检。</w:t>
      </w:r>
    </w:p>
    <w:p>
      <w:pPr>
        <w:autoSpaceDN w:val="0"/>
        <w:spacing w:line="560" w:lineRule="exact"/>
        <w:ind w:firstLine="643" w:firstLineChars="200"/>
        <w:rPr>
          <w:rFonts w:ascii="仿宋" w:hAnsi="仿宋" w:eastAsia="仿宋" w:cs="仿宋"/>
          <w:bCs/>
          <w:color w:val="000000"/>
          <w:sz w:val="32"/>
          <w:szCs w:val="32"/>
        </w:rPr>
      </w:pPr>
      <w:r>
        <w:rPr>
          <w:rFonts w:hint="eastAsia" w:ascii="仿宋" w:hAnsi="仿宋" w:eastAsia="仿宋" w:cs="仿宋"/>
          <w:b/>
          <w:bCs/>
          <w:color w:val="000000"/>
          <w:sz w:val="32"/>
          <w:szCs w:val="32"/>
        </w:rPr>
        <w:t>坚持以建成机关党建标杆为目标积极开展主题教育。一是</w:t>
      </w:r>
      <w:r>
        <w:rPr>
          <w:rFonts w:hint="eastAsia" w:ascii="仿宋" w:hAnsi="仿宋" w:eastAsia="仿宋" w:cs="仿宋"/>
          <w:color w:val="000000"/>
          <w:sz w:val="32"/>
          <w:szCs w:val="32"/>
        </w:rPr>
        <w:t>全年从机关预备党员干部中发展3名党员，落实“三会一课”制度，领导班子成员学习不少于40学时，党员不少于24学时，确定每月10日为固定党员日，党支部主题日“一月一主题”。</w:t>
      </w:r>
      <w:r>
        <w:rPr>
          <w:rFonts w:hint="eastAsia" w:ascii="仿宋" w:hAnsi="仿宋" w:eastAsia="仿宋" w:cs="仿宋"/>
          <w:b/>
          <w:bCs/>
          <w:color w:val="000000"/>
          <w:sz w:val="32"/>
          <w:szCs w:val="32"/>
        </w:rPr>
        <w:t>二是</w:t>
      </w:r>
      <w:r>
        <w:rPr>
          <w:rFonts w:hint="eastAsia" w:ascii="仿宋" w:hAnsi="仿宋" w:eastAsia="仿宋" w:cs="仿宋"/>
          <w:bCs/>
          <w:color w:val="000000"/>
          <w:sz w:val="32"/>
          <w:szCs w:val="32"/>
        </w:rPr>
        <w:t>全面把握“守初心、担使命，找差距、抓落实”的总要求，依托“三会一课”、主题党日等，重点抓好学习教育和检视整改。</w:t>
      </w:r>
      <w:r>
        <w:rPr>
          <w:rFonts w:hint="eastAsia" w:ascii="仿宋" w:hAnsi="仿宋" w:eastAsia="仿宋" w:cs="仿宋"/>
          <w:b/>
          <w:color w:val="000000"/>
          <w:sz w:val="32"/>
          <w:szCs w:val="32"/>
        </w:rPr>
        <w:t>三是</w:t>
      </w:r>
      <w:r>
        <w:rPr>
          <w:rFonts w:hint="eastAsia" w:ascii="仿宋" w:hAnsi="仿宋" w:eastAsia="仿宋" w:cs="仿宋"/>
          <w:bCs/>
          <w:color w:val="000000"/>
          <w:sz w:val="32"/>
          <w:szCs w:val="32"/>
        </w:rPr>
        <w:t>党支部要以“三会一课”为基本形式，结合主题教育局党组书记、党支部书记上党课2次，组织党员开展集中学习8次，每位党员交流体会心得，相互启发提高。</w:t>
      </w:r>
    </w:p>
    <w:p>
      <w:pPr>
        <w:ind w:firstLine="643" w:firstLineChars="200"/>
        <w:rPr>
          <w:rFonts w:ascii="Times New Roman" w:hAnsi="Times New Roman" w:eastAsia="仿宋_GB2312"/>
          <w:sz w:val="32"/>
          <w:szCs w:val="32"/>
        </w:rPr>
      </w:pPr>
      <w:r>
        <w:rPr>
          <w:rFonts w:hint="eastAsia" w:ascii="仿宋" w:hAnsi="仿宋" w:eastAsia="仿宋" w:cs="仿宋"/>
          <w:b/>
          <w:bCs/>
          <w:color w:val="000000"/>
          <w:sz w:val="32"/>
          <w:szCs w:val="32"/>
        </w:rPr>
        <w:t>全面落实“两个责任”，夯实党风廉政建设基础。</w:t>
      </w:r>
      <w:r>
        <w:rPr>
          <w:rFonts w:hint="eastAsia" w:ascii="仿宋" w:hAnsi="仿宋" w:eastAsia="仿宋" w:cs="仿宋"/>
          <w:color w:val="000000"/>
          <w:sz w:val="32"/>
          <w:szCs w:val="32"/>
        </w:rPr>
        <w:t>认真落实党风廉政建设责任制，坚持把党风廉政建设与发展、民生、稳定工作同部署、同落实。在干部职工中深入开展“三项教育”，在抓“细”、抓“常”和抓“长”上下功夫，不断教育活动常态化、长效化。</w:t>
      </w:r>
    </w:p>
    <w:p>
      <w:pPr>
        <w:ind w:firstLine="640" w:firstLineChars="200"/>
        <w:outlineLvl w:val="0"/>
        <w:rPr>
          <w:rFonts w:hint="eastAsia" w:ascii="黑体" w:hAnsi="黑体" w:eastAsia="黑体" w:cs="黑体"/>
          <w:sz w:val="32"/>
          <w:szCs w:val="32"/>
          <w:lang w:eastAsia="zh-CN"/>
        </w:rPr>
      </w:pPr>
      <w:bookmarkStart w:id="34" w:name="_Toc16805"/>
      <w:r>
        <w:rPr>
          <w:rFonts w:hint="eastAsia" w:ascii="黑体" w:hAnsi="黑体" w:eastAsia="黑体" w:cs="黑体"/>
          <w:sz w:val="32"/>
          <w:szCs w:val="32"/>
          <w:lang w:eastAsia="zh-CN"/>
        </w:rPr>
        <w:t>二、部门概况</w:t>
      </w:r>
      <w:bookmarkEnd w:id="34"/>
    </w:p>
    <w:p>
      <w:pPr>
        <w:tabs>
          <w:tab w:val="left" w:pos="0"/>
        </w:tabs>
        <w:snapToGrid w:val="0"/>
        <w:spacing w:line="360" w:lineRule="auto"/>
        <w:ind w:firstLine="420" w:firstLineChars="200"/>
        <w:rPr>
          <w:rFonts w:hint="eastAsia" w:ascii="Times New Roman" w:hAnsi="Times New Roman" w:eastAsia="仿宋_GB2312"/>
          <w:kern w:val="0"/>
          <w:sz w:val="32"/>
          <w:szCs w:val="32"/>
        </w:rPr>
      </w:pPr>
      <w:r>
        <w:rPr>
          <w:rFonts w:hint="eastAsia"/>
          <w:lang w:val="en-US" w:eastAsia="zh-CN"/>
        </w:rPr>
        <w:t xml:space="preserve">  </w:t>
      </w:r>
      <w:r>
        <w:rPr>
          <w:rFonts w:hint="eastAsia" w:ascii="Times New Roman" w:hAnsi="Times New Roman" w:eastAsia="仿宋_GB2312"/>
          <w:kern w:val="0"/>
          <w:sz w:val="32"/>
          <w:szCs w:val="32"/>
        </w:rPr>
        <w:t>我局201</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年有1个机构，民宗局无下属二级单位，无变动。</w:t>
      </w:r>
      <w:r>
        <w:rPr>
          <w:rFonts w:hint="eastAsia" w:ascii="仿宋_GB2312" w:eastAsia="仿宋_GB2312"/>
          <w:sz w:val="30"/>
          <w:szCs w:val="30"/>
        </w:rPr>
        <w:t>我局2019年年末在职17人，遗嘱1人。总编制数20人（其中:行政编制15人，工勤编制2人、事业</w:t>
      </w:r>
      <w:r>
        <w:rPr>
          <w:rFonts w:hint="eastAsia" w:ascii="仿宋_GB2312" w:eastAsia="仿宋_GB2312"/>
          <w:bCs/>
          <w:sz w:val="30"/>
          <w:szCs w:val="30"/>
        </w:rPr>
        <w:t>编制3人</w:t>
      </w:r>
      <w:r>
        <w:rPr>
          <w:rFonts w:hint="eastAsia" w:ascii="仿宋_GB2312" w:eastAsia="仿宋_GB2312"/>
          <w:sz w:val="30"/>
          <w:szCs w:val="30"/>
        </w:rPr>
        <w:t>）。</w:t>
      </w:r>
    </w:p>
    <w:p>
      <w:pPr>
        <w:spacing w:line="600" w:lineRule="exact"/>
        <w:ind w:firstLine="643" w:firstLineChars="200"/>
        <w:outlineLvl w:val="0"/>
        <w:rPr>
          <w:rFonts w:hint="eastAsia" w:ascii="黑体" w:eastAsia="黑体"/>
          <w:b/>
          <w:bCs/>
          <w:color w:val="000000"/>
          <w:sz w:val="32"/>
          <w:szCs w:val="32"/>
        </w:rPr>
      </w:pPr>
      <w:bookmarkStart w:id="35" w:name="_Toc11986"/>
      <w:bookmarkStart w:id="36" w:name="_Toc13512"/>
      <w:bookmarkStart w:id="37" w:name="_Toc3164"/>
      <w:bookmarkStart w:id="38" w:name="_Toc16626"/>
      <w:bookmarkStart w:id="39" w:name="_Toc22045"/>
      <w:r>
        <w:rPr>
          <w:rFonts w:hint="eastAsia" w:ascii="黑体" w:eastAsia="黑体"/>
          <w:b/>
          <w:bCs/>
          <w:color w:val="000000"/>
          <w:sz w:val="32"/>
          <w:szCs w:val="32"/>
        </w:rPr>
        <w:t>三、一般公共预算财政拨款基本支出决算情况</w:t>
      </w:r>
      <w:bookmarkEnd w:id="35"/>
      <w:bookmarkEnd w:id="36"/>
      <w:bookmarkEnd w:id="37"/>
      <w:bookmarkEnd w:id="38"/>
      <w:bookmarkEnd w:id="39"/>
    </w:p>
    <w:p>
      <w:pPr>
        <w:jc w:val="left"/>
        <w:rPr>
          <w:rFonts w:hint="eastAsia" w:ascii="仿宋_GB2312" w:eastAsia="仿宋_GB2312"/>
          <w:color w:val="000000"/>
          <w:sz w:val="32"/>
          <w:szCs w:val="32"/>
        </w:rPr>
      </w:pPr>
      <w:bookmarkStart w:id="40" w:name="_Toc12371"/>
      <w:bookmarkStart w:id="41" w:name="_Toc25434"/>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局本年收入合计</w:t>
      </w:r>
      <w:r>
        <w:rPr>
          <w:rFonts w:hint="eastAsia" w:ascii="仿宋_GB2312" w:eastAsia="仿宋_GB2312"/>
          <w:color w:val="000000"/>
          <w:sz w:val="32"/>
          <w:szCs w:val="32"/>
          <w:lang w:val="en-US" w:eastAsia="zh-CN"/>
        </w:rPr>
        <w:t>1042.16</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1042.16</w:t>
      </w:r>
      <w:r>
        <w:rPr>
          <w:rFonts w:hint="eastAsia" w:ascii="仿宋_GB2312" w:eastAsia="仿宋_GB2312"/>
          <w:color w:val="000000"/>
          <w:sz w:val="32"/>
          <w:szCs w:val="32"/>
        </w:rPr>
        <w:t xml:space="preserve">万元。             </w:t>
      </w:r>
      <w:r>
        <w:rPr>
          <w:rFonts w:ascii="仿宋_GB2312" w:eastAsia="仿宋_GB2312"/>
          <w:color w:val="000000"/>
          <w:sz w:val="32"/>
          <w:szCs w:val="32"/>
        </w:rPr>
        <w:object>
          <v:shape id="_x0000_i1025" o:spt="75" type="#_x0000_t75" style="height:171.35pt;width:252.05pt;" o:ole="t" filled="f" o:preferrelative="t" stroked="f" coordsize="21600,21600">
            <v:path/>
            <v:fill on="f" focussize="0,0"/>
            <v:stroke on="f"/>
            <v:imagedata r:id="rId7" o:title=""/>
            <o:lock v:ext="edit" aspectratio="t"/>
            <w10:wrap type="none"/>
            <w10:anchorlock/>
          </v:shape>
          <o:OLEObject Type="Embed" ProgID="MSGraph.Chart.8" ShapeID="_x0000_i1025" DrawAspect="Content" ObjectID="_1468075725" r:id="rId6">
            <o:LockedField>false</o:LockedField>
          </o:OLEObject>
        </w:object>
      </w:r>
    </w:p>
    <w:p>
      <w:pPr>
        <w:rPr>
          <w:rFonts w:hint="eastAsia" w:ascii="仿宋_GB2312" w:eastAsia="仿宋_GB2312"/>
          <w:color w:val="000000"/>
          <w:sz w:val="32"/>
          <w:szCs w:val="32"/>
        </w:rPr>
      </w:pP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局本年支出合计</w:t>
      </w:r>
      <w:r>
        <w:rPr>
          <w:rFonts w:hint="eastAsia" w:ascii="仿宋_GB2312" w:eastAsia="仿宋_GB2312"/>
          <w:sz w:val="32"/>
        </w:rPr>
        <w:t>2098.16</w:t>
      </w:r>
      <w:r>
        <w:rPr>
          <w:rFonts w:hint="eastAsia" w:ascii="仿宋_GB2312" w:eastAsia="仿宋_GB2312"/>
          <w:color w:val="000000"/>
          <w:sz w:val="32"/>
          <w:szCs w:val="32"/>
        </w:rPr>
        <w:t>万元，其中：基本支出362.16万元，占</w:t>
      </w:r>
      <w:r>
        <w:rPr>
          <w:rFonts w:hint="eastAsia" w:ascii="仿宋_GB2312" w:eastAsia="仿宋_GB2312"/>
          <w:color w:val="000000"/>
          <w:sz w:val="32"/>
          <w:szCs w:val="32"/>
          <w:lang w:val="en-US" w:eastAsia="zh-CN"/>
        </w:rPr>
        <w:t>17.26</w:t>
      </w:r>
      <w:r>
        <w:rPr>
          <w:rFonts w:hint="eastAsia" w:ascii="仿宋_GB2312" w:eastAsia="仿宋_GB2312"/>
          <w:color w:val="000000"/>
          <w:sz w:val="32"/>
          <w:szCs w:val="32"/>
        </w:rPr>
        <w:t>%；项目支出1736万元，占</w:t>
      </w:r>
      <w:r>
        <w:rPr>
          <w:rFonts w:hint="eastAsia" w:ascii="仿宋_GB2312" w:eastAsia="仿宋_GB2312"/>
          <w:color w:val="000000"/>
          <w:sz w:val="32"/>
          <w:szCs w:val="32"/>
          <w:lang w:val="en-US" w:eastAsia="zh-CN"/>
        </w:rPr>
        <w:t>82.74</w:t>
      </w:r>
      <w:r>
        <w:rPr>
          <w:rFonts w:hint="eastAsia" w:ascii="仿宋_GB2312" w:eastAsia="仿宋_GB2312"/>
          <w:color w:val="000000"/>
          <w:sz w:val="32"/>
          <w:szCs w:val="32"/>
        </w:rPr>
        <w:t>%。</w:t>
      </w:r>
    </w:p>
    <w:p>
      <w:pPr>
        <w:spacing w:line="600" w:lineRule="exact"/>
        <w:ind w:firstLine="640" w:firstLineChars="200"/>
        <w:outlineLvl w:val="0"/>
        <w:rPr>
          <w:rFonts w:hint="eastAsia" w:ascii="仿宋_GB2312" w:eastAsia="仿宋_GB2312"/>
          <w:color w:val="000000"/>
          <w:sz w:val="32"/>
          <w:szCs w:val="32"/>
        </w:rPr>
      </w:pPr>
      <w:bookmarkStart w:id="42" w:name="_Toc8796"/>
      <w:r>
        <w:rPr>
          <w:rFonts w:hint="eastAsia" w:ascii="黑体" w:eastAsia="黑体"/>
          <w:color w:val="000000"/>
          <w:sz w:val="32"/>
          <w:szCs w:val="32"/>
        </w:rPr>
        <w:t>四、财政拨款收支决算情况</w:t>
      </w:r>
      <w:bookmarkEnd w:id="42"/>
    </w:p>
    <w:p>
      <w:pPr>
        <w:snapToGrid w:val="0"/>
        <w:spacing w:line="520" w:lineRule="exact"/>
        <w:ind w:firstLine="640" w:firstLineChars="200"/>
        <w:rPr>
          <w:rFonts w:hint="eastAsia" w:ascii="仿宋_GB2312" w:eastAsia="仿宋_GB2312"/>
          <w:color w:val="000000"/>
          <w:sz w:val="32"/>
          <w:szCs w:val="32"/>
        </w:rPr>
      </w:pPr>
      <w:r>
        <w:rPr>
          <w:rFonts w:hint="eastAsia" w:ascii="仿宋_GB2312" w:eastAsia="仿宋_GB2312"/>
          <w:sz w:val="32"/>
        </w:rPr>
        <w:t>201</w:t>
      </w:r>
      <w:r>
        <w:rPr>
          <w:rFonts w:hint="eastAsia" w:ascii="仿宋_GB2312" w:eastAsia="仿宋_GB2312"/>
          <w:sz w:val="32"/>
          <w:lang w:val="en-US" w:eastAsia="zh-CN"/>
        </w:rPr>
        <w:t>9</w:t>
      </w:r>
      <w:r>
        <w:rPr>
          <w:rFonts w:hint="eastAsia" w:ascii="仿宋_GB2312" w:eastAsia="仿宋_GB2312"/>
          <w:sz w:val="32"/>
        </w:rPr>
        <w:t>年总收入</w:t>
      </w:r>
      <w:r>
        <w:rPr>
          <w:rFonts w:hint="eastAsia" w:ascii="仿宋_GB2312" w:eastAsia="仿宋_GB2312"/>
          <w:color w:val="000000"/>
          <w:sz w:val="32"/>
          <w:szCs w:val="32"/>
          <w:lang w:val="en-US" w:eastAsia="zh-CN"/>
        </w:rPr>
        <w:t>1042.16</w:t>
      </w:r>
      <w:r>
        <w:rPr>
          <w:rFonts w:hint="eastAsia"/>
          <w:sz w:val="32"/>
          <w:szCs w:val="32"/>
        </w:rPr>
        <w:t>万</w:t>
      </w:r>
      <w:r>
        <w:rPr>
          <w:rFonts w:hint="eastAsia" w:ascii="仿宋_GB2312" w:eastAsia="仿宋_GB2312"/>
          <w:sz w:val="32"/>
        </w:rPr>
        <w:t>元，总支出2098.16万元；2018年总收入</w:t>
      </w:r>
      <w:r>
        <w:rPr>
          <w:rFonts w:hint="eastAsia"/>
          <w:sz w:val="32"/>
          <w:szCs w:val="32"/>
        </w:rPr>
        <w:t>2659.3万</w:t>
      </w:r>
      <w:r>
        <w:rPr>
          <w:rFonts w:hint="eastAsia" w:ascii="仿宋_GB2312" w:eastAsia="仿宋_GB2312"/>
          <w:sz w:val="32"/>
        </w:rPr>
        <w:t>元，总支出1409.29万元；与上年度对比，</w:t>
      </w:r>
      <w:r>
        <w:rPr>
          <w:rFonts w:hint="eastAsia" w:ascii="仿宋_GB2312" w:eastAsia="仿宋_GB2312"/>
          <w:sz w:val="32"/>
          <w:lang w:eastAsia="zh-CN"/>
        </w:rPr>
        <w:t>新增</w:t>
      </w:r>
      <w:r>
        <w:rPr>
          <w:rFonts w:hint="eastAsia" w:ascii="仿宋_GB2312" w:eastAsia="仿宋_GB2312"/>
          <w:sz w:val="32"/>
        </w:rPr>
        <w:t>项目</w:t>
      </w:r>
      <w:r>
        <w:rPr>
          <w:rFonts w:hint="eastAsia" w:ascii="仿宋_GB2312" w:eastAsia="仿宋_GB2312"/>
          <w:sz w:val="32"/>
          <w:lang w:eastAsia="zh-CN"/>
        </w:rPr>
        <w:t>减少</w:t>
      </w:r>
      <w:r>
        <w:rPr>
          <w:rFonts w:hint="eastAsia" w:ascii="仿宋_GB2312" w:eastAsia="仿宋_GB2312"/>
          <w:sz w:val="32"/>
        </w:rPr>
        <w:t>，</w:t>
      </w:r>
      <w:r>
        <w:rPr>
          <w:rFonts w:hint="eastAsia" w:ascii="仿宋_GB2312" w:eastAsia="仿宋_GB2312"/>
          <w:sz w:val="32"/>
          <w:lang w:eastAsia="zh-CN"/>
        </w:rPr>
        <w:t>项目支出经费增加</w:t>
      </w:r>
      <w:r>
        <w:rPr>
          <w:rFonts w:hint="eastAsia" w:ascii="仿宋_GB2312" w:eastAsia="仿宋_GB2312"/>
          <w:sz w:val="32"/>
        </w:rPr>
        <w:t>。</w:t>
      </w:r>
    </w:p>
    <w:p>
      <w:pPr>
        <w:spacing w:line="600" w:lineRule="exact"/>
        <w:ind w:firstLine="640" w:firstLineChars="200"/>
        <w:outlineLvl w:val="0"/>
        <w:rPr>
          <w:rFonts w:hint="eastAsia" w:ascii="黑体" w:eastAsia="黑体"/>
          <w:color w:val="000000"/>
          <w:sz w:val="32"/>
          <w:szCs w:val="32"/>
        </w:rPr>
      </w:pPr>
      <w:bookmarkStart w:id="43" w:name="_Toc28569"/>
      <w:r>
        <w:rPr>
          <w:rFonts w:hint="eastAsia" w:ascii="黑体" w:eastAsia="黑体"/>
          <w:color w:val="000000"/>
          <w:sz w:val="32"/>
          <w:szCs w:val="32"/>
        </w:rPr>
        <w:t>五、一般公共预算财政拨款支出决算情况</w:t>
      </w:r>
      <w:bookmarkEnd w:id="43"/>
    </w:p>
    <w:p>
      <w:pPr>
        <w:spacing w:line="600" w:lineRule="exact"/>
        <w:ind w:firstLine="640" w:firstLineChars="200"/>
        <w:outlineLvl w:val="1"/>
        <w:rPr>
          <w:rFonts w:hint="eastAsia" w:ascii="仿宋_GB2312" w:eastAsia="仿宋_GB2312"/>
          <w:color w:val="000000"/>
          <w:sz w:val="32"/>
          <w:szCs w:val="32"/>
        </w:rPr>
      </w:pPr>
      <w:bookmarkStart w:id="44" w:name="_Toc17697"/>
      <w:r>
        <w:rPr>
          <w:rFonts w:hint="eastAsia" w:ascii="仿宋_GB2312" w:eastAsia="仿宋_GB2312"/>
          <w:color w:val="000000"/>
          <w:sz w:val="32"/>
          <w:szCs w:val="32"/>
        </w:rPr>
        <w:t>（一）一般公共预算财政拨款支出决算总体情况</w:t>
      </w:r>
      <w:bookmarkEnd w:id="44"/>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年度一般公共预算财政拨款支出</w:t>
      </w:r>
      <w:r>
        <w:rPr>
          <w:rFonts w:hint="eastAsia" w:ascii="仿宋_GB2312" w:eastAsia="仿宋_GB2312"/>
          <w:sz w:val="32"/>
        </w:rPr>
        <w:t>2098.16</w:t>
      </w:r>
      <w:r>
        <w:rPr>
          <w:rFonts w:hint="eastAsia" w:ascii="仿宋_GB2312" w:eastAsia="仿宋_GB2312"/>
          <w:color w:val="000000"/>
          <w:sz w:val="32"/>
          <w:szCs w:val="32"/>
        </w:rPr>
        <w:t>万元，与201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年财政拨款支出</w:t>
      </w:r>
      <w:r>
        <w:rPr>
          <w:rFonts w:hint="eastAsia" w:ascii="仿宋_GB2312" w:eastAsia="仿宋_GB2312"/>
          <w:sz w:val="32"/>
        </w:rPr>
        <w:t>1409.29</w:t>
      </w:r>
      <w:r>
        <w:rPr>
          <w:rFonts w:hint="eastAsia" w:ascii="仿宋_GB2312" w:eastAsia="仿宋_GB2312"/>
          <w:color w:val="000000"/>
          <w:sz w:val="32"/>
          <w:szCs w:val="32"/>
        </w:rPr>
        <w:t>万元相比</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了</w:t>
      </w:r>
      <w:r>
        <w:rPr>
          <w:rFonts w:hint="eastAsia" w:ascii="仿宋_GB2312" w:eastAsia="仿宋_GB2312"/>
          <w:color w:val="000000"/>
          <w:sz w:val="32"/>
          <w:szCs w:val="32"/>
          <w:lang w:val="en-US" w:eastAsia="zh-CN"/>
        </w:rPr>
        <w:t>688.87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48.88</w:t>
      </w:r>
      <w:r>
        <w:rPr>
          <w:rFonts w:hint="eastAsia" w:ascii="仿宋_GB2312" w:eastAsia="仿宋_GB2312"/>
          <w:color w:val="000000"/>
          <w:sz w:val="32"/>
          <w:szCs w:val="32"/>
        </w:rPr>
        <w:t>%，其原因是</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项目经费支出加大、人员工资增加</w:t>
      </w:r>
      <w:r>
        <w:rPr>
          <w:rFonts w:hint="eastAsia" w:ascii="仿宋_GB2312" w:eastAsia="仿宋_GB2312"/>
          <w:color w:val="000000"/>
          <w:sz w:val="32"/>
          <w:szCs w:val="32"/>
        </w:rPr>
        <w:t>等。</w:t>
      </w:r>
    </w:p>
    <w:p>
      <w:pPr>
        <w:spacing w:line="600" w:lineRule="exact"/>
        <w:ind w:firstLine="640" w:firstLineChars="200"/>
        <w:outlineLvl w:val="1"/>
        <w:rPr>
          <w:rFonts w:hint="eastAsia" w:ascii="仿宋_GB2312" w:eastAsia="仿宋_GB2312"/>
          <w:color w:val="000000"/>
          <w:sz w:val="32"/>
          <w:szCs w:val="32"/>
        </w:rPr>
      </w:pPr>
      <w:bookmarkStart w:id="45" w:name="_Toc21310"/>
      <w:r>
        <w:rPr>
          <w:rFonts w:hint="eastAsia" w:ascii="仿宋_GB2312" w:eastAsia="仿宋_GB2312"/>
          <w:color w:val="000000"/>
          <w:sz w:val="32"/>
          <w:szCs w:val="32"/>
        </w:rPr>
        <w:t>（二）一般公共预算财政拨款支出决算结构情况</w:t>
      </w:r>
      <w:bookmarkEnd w:id="45"/>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县</w:t>
      </w:r>
      <w:r>
        <w:rPr>
          <w:rFonts w:hint="eastAsia" w:ascii="仿宋_GB2312" w:eastAsia="仿宋_GB2312"/>
          <w:sz w:val="32"/>
          <w:szCs w:val="32"/>
          <w:lang w:eastAsia="zh-CN"/>
        </w:rPr>
        <w:t>民宗</w:t>
      </w:r>
      <w:r>
        <w:rPr>
          <w:rFonts w:hint="eastAsia" w:ascii="仿宋_GB2312" w:eastAsia="仿宋_GB2312"/>
          <w:sz w:val="32"/>
          <w:szCs w:val="32"/>
        </w:rPr>
        <w:t>局</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年一般公共预算财政拨款支出</w:t>
      </w:r>
      <w:r>
        <w:rPr>
          <w:rFonts w:hint="eastAsia" w:ascii="仿宋_GB2312" w:eastAsia="仿宋_GB2312"/>
          <w:sz w:val="32"/>
        </w:rPr>
        <w:t>2098.16</w:t>
      </w:r>
      <w:r>
        <w:rPr>
          <w:rFonts w:hint="eastAsia" w:ascii="仿宋_GB2312" w:eastAsia="仿宋_GB2312"/>
          <w:sz w:val="32"/>
          <w:szCs w:val="32"/>
        </w:rPr>
        <w:t>万元，主要用于以下方面:</w:t>
      </w:r>
      <w:r>
        <w:rPr>
          <w:rFonts w:hint="eastAsia"/>
        </w:rPr>
        <w:t xml:space="preserve"> </w:t>
      </w:r>
      <w:r>
        <w:rPr>
          <w:rFonts w:hint="eastAsia" w:ascii="仿宋_GB2312" w:eastAsia="仿宋_GB2312"/>
          <w:sz w:val="32"/>
          <w:szCs w:val="32"/>
        </w:rPr>
        <w:t>一般公共服务支出1603.94万元，占总支出的</w:t>
      </w:r>
      <w:r>
        <w:rPr>
          <w:rFonts w:hint="eastAsia" w:ascii="仿宋_GB2312" w:eastAsia="仿宋_GB2312"/>
          <w:sz w:val="32"/>
          <w:szCs w:val="32"/>
          <w:lang w:val="en-US" w:eastAsia="zh-CN"/>
        </w:rPr>
        <w:t>76.45</w:t>
      </w:r>
      <w:r>
        <w:rPr>
          <w:rFonts w:hint="eastAsia" w:ascii="仿宋_GB2312" w:eastAsia="仿宋_GB2312"/>
          <w:sz w:val="32"/>
          <w:szCs w:val="32"/>
        </w:rPr>
        <w:t>%；教育支出</w:t>
      </w:r>
      <w:r>
        <w:rPr>
          <w:rFonts w:hint="eastAsia" w:ascii="仿宋_GB2312" w:eastAsia="仿宋_GB2312"/>
          <w:sz w:val="32"/>
          <w:szCs w:val="32"/>
          <w:lang w:val="en-US" w:eastAsia="zh-CN"/>
        </w:rPr>
        <w:t>0.11万元，</w:t>
      </w:r>
      <w:r>
        <w:rPr>
          <w:rFonts w:hint="eastAsia" w:ascii="仿宋_GB2312" w:eastAsia="仿宋_GB2312"/>
          <w:sz w:val="32"/>
          <w:szCs w:val="32"/>
        </w:rPr>
        <w:t>占总支出的</w:t>
      </w:r>
      <w:r>
        <w:rPr>
          <w:rFonts w:hint="eastAsia" w:ascii="仿宋_GB2312" w:eastAsia="仿宋_GB2312"/>
          <w:sz w:val="32"/>
          <w:szCs w:val="32"/>
          <w:lang w:val="en-US" w:eastAsia="zh-CN"/>
        </w:rPr>
        <w:t>0.01</w:t>
      </w:r>
      <w:r>
        <w:rPr>
          <w:rFonts w:hint="eastAsia" w:ascii="仿宋_GB2312" w:eastAsia="仿宋_GB2312"/>
          <w:sz w:val="32"/>
          <w:szCs w:val="32"/>
        </w:rPr>
        <w:t>%；社会保障和就业支出39.03万元，占总支出的</w:t>
      </w:r>
      <w:r>
        <w:rPr>
          <w:rFonts w:hint="eastAsia" w:ascii="仿宋_GB2312" w:eastAsia="仿宋_GB2312"/>
          <w:sz w:val="32"/>
          <w:szCs w:val="32"/>
          <w:lang w:val="en-US" w:eastAsia="zh-CN"/>
        </w:rPr>
        <w:t>1.86</w:t>
      </w:r>
      <w:r>
        <w:rPr>
          <w:rFonts w:hint="eastAsia" w:ascii="仿宋_GB2312" w:eastAsia="仿宋_GB2312"/>
          <w:sz w:val="32"/>
          <w:szCs w:val="32"/>
        </w:rPr>
        <w:t>%；卫生健康支出14.02万元，占总支出的</w:t>
      </w:r>
      <w:r>
        <w:rPr>
          <w:rFonts w:hint="eastAsia" w:ascii="仿宋_GB2312" w:eastAsia="仿宋_GB2312"/>
          <w:sz w:val="32"/>
          <w:szCs w:val="32"/>
          <w:lang w:val="en-US" w:eastAsia="zh-CN"/>
        </w:rPr>
        <w:t>0.67</w:t>
      </w:r>
      <w:r>
        <w:rPr>
          <w:rFonts w:hint="eastAsia" w:ascii="仿宋_GB2312" w:eastAsia="仿宋_GB2312"/>
          <w:sz w:val="32"/>
          <w:szCs w:val="32"/>
        </w:rPr>
        <w:t>%；农林水支出</w:t>
      </w:r>
      <w:r>
        <w:rPr>
          <w:rFonts w:hint="eastAsia" w:ascii="仿宋_GB2312" w:eastAsia="仿宋_GB2312"/>
          <w:sz w:val="32"/>
          <w:szCs w:val="32"/>
          <w:lang w:val="en-US" w:eastAsia="zh-CN"/>
        </w:rPr>
        <w:t>2.06万元，</w:t>
      </w:r>
      <w:r>
        <w:rPr>
          <w:rFonts w:hint="eastAsia" w:ascii="仿宋_GB2312" w:eastAsia="仿宋_GB2312"/>
          <w:sz w:val="32"/>
          <w:szCs w:val="32"/>
        </w:rPr>
        <w:t>占总支出的</w:t>
      </w:r>
      <w:r>
        <w:rPr>
          <w:rFonts w:hint="eastAsia" w:ascii="仿宋_GB2312" w:eastAsia="仿宋_GB2312"/>
          <w:sz w:val="32"/>
          <w:szCs w:val="32"/>
          <w:lang w:val="en-US" w:eastAsia="zh-CN"/>
        </w:rPr>
        <w:t>0.1</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住房保障支出23.68万元，占总支出的</w:t>
      </w:r>
      <w:r>
        <w:rPr>
          <w:rFonts w:hint="eastAsia" w:ascii="仿宋_GB2312" w:eastAsia="仿宋_GB2312"/>
          <w:sz w:val="32"/>
          <w:szCs w:val="32"/>
          <w:lang w:val="en-US" w:eastAsia="zh-CN"/>
        </w:rPr>
        <w:t>1.13</w:t>
      </w:r>
      <w:r>
        <w:rPr>
          <w:rFonts w:hint="eastAsia" w:ascii="仿宋_GB2312" w:eastAsia="仿宋_GB2312"/>
          <w:sz w:val="32"/>
          <w:szCs w:val="32"/>
        </w:rPr>
        <w:t>%。其他支出415.3</w:t>
      </w:r>
      <w:r>
        <w:rPr>
          <w:rFonts w:hint="eastAsia" w:ascii="仿宋_GB2312" w:eastAsia="仿宋_GB2312"/>
          <w:sz w:val="32"/>
          <w:szCs w:val="32"/>
          <w:lang w:eastAsia="zh-CN"/>
        </w:rPr>
        <w:t>万元，</w:t>
      </w:r>
      <w:r>
        <w:rPr>
          <w:rFonts w:hint="eastAsia" w:ascii="仿宋_GB2312" w:eastAsia="仿宋_GB2312"/>
          <w:sz w:val="32"/>
          <w:szCs w:val="32"/>
        </w:rPr>
        <w:t>占总支出的</w:t>
      </w:r>
      <w:r>
        <w:rPr>
          <w:rFonts w:hint="eastAsia" w:ascii="仿宋_GB2312" w:eastAsia="仿宋_GB2312"/>
          <w:sz w:val="32"/>
          <w:szCs w:val="32"/>
          <w:lang w:val="en-US" w:eastAsia="zh-CN"/>
        </w:rPr>
        <w:t>19.78</w:t>
      </w:r>
      <w:r>
        <w:rPr>
          <w:rFonts w:hint="eastAsia" w:ascii="仿宋_GB2312" w:eastAsia="仿宋_GB2312"/>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（三）一般公共预算财政拨款支出决算具体情况</w:t>
      </w:r>
    </w:p>
    <w:p>
      <w:pPr>
        <w:spacing w:line="600" w:lineRule="exact"/>
        <w:ind w:firstLine="643" w:firstLineChars="200"/>
        <w:rPr>
          <w:rStyle w:val="9"/>
          <w:rFonts w:hint="eastAsia" w:ascii="仿宋_GB2312" w:eastAsia="仿宋_GB2312"/>
          <w:sz w:val="32"/>
          <w:szCs w:val="32"/>
        </w:rPr>
      </w:pPr>
      <w:r>
        <w:rPr>
          <w:rStyle w:val="9"/>
          <w:rFonts w:hint="eastAsia" w:ascii="仿宋_GB2312" w:eastAsia="仿宋_GB2312"/>
          <w:sz w:val="32"/>
          <w:szCs w:val="32"/>
        </w:rPr>
        <w:t>1.一般公共服务:</w:t>
      </w:r>
      <w:bookmarkStart w:id="98" w:name="_GoBack"/>
      <w:bookmarkEnd w:id="98"/>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一般公共服务201（类）</w:t>
      </w:r>
      <w:r>
        <w:rPr>
          <w:rFonts w:hint="eastAsia" w:ascii="仿宋_GB2312" w:eastAsia="仿宋_GB2312"/>
          <w:sz w:val="32"/>
          <w:szCs w:val="32"/>
          <w:lang w:eastAsia="zh-CN"/>
        </w:rPr>
        <w:t>民族</w:t>
      </w:r>
      <w:r>
        <w:rPr>
          <w:rFonts w:hint="eastAsia" w:ascii="仿宋_GB2312" w:eastAsia="仿宋_GB2312"/>
          <w:sz w:val="32"/>
          <w:szCs w:val="32"/>
        </w:rPr>
        <w:t>事务</w:t>
      </w:r>
      <w:r>
        <w:rPr>
          <w:rFonts w:hint="eastAsia" w:ascii="仿宋_GB2312" w:eastAsia="仿宋_GB2312"/>
          <w:sz w:val="32"/>
          <w:szCs w:val="32"/>
          <w:lang w:val="en-US" w:eastAsia="zh-CN"/>
        </w:rPr>
        <w:t>23</w:t>
      </w:r>
      <w:r>
        <w:rPr>
          <w:rFonts w:hint="eastAsia" w:ascii="仿宋_GB2312" w:eastAsia="仿宋_GB2312"/>
          <w:sz w:val="32"/>
          <w:szCs w:val="32"/>
        </w:rPr>
        <w:t>（款）行政运行01（项）：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年决算数为285.43万元；一般公共服务201（类）</w:t>
      </w:r>
      <w:r>
        <w:rPr>
          <w:rFonts w:hint="eastAsia" w:ascii="仿宋_GB2312" w:eastAsia="仿宋_GB2312"/>
          <w:sz w:val="32"/>
          <w:szCs w:val="32"/>
          <w:lang w:eastAsia="zh-CN"/>
        </w:rPr>
        <w:t>民族</w:t>
      </w:r>
      <w:r>
        <w:rPr>
          <w:rFonts w:hint="eastAsia" w:ascii="仿宋_GB2312" w:eastAsia="仿宋_GB2312"/>
          <w:sz w:val="32"/>
          <w:szCs w:val="32"/>
        </w:rPr>
        <w:t>事务</w:t>
      </w:r>
      <w:r>
        <w:rPr>
          <w:rFonts w:hint="eastAsia" w:ascii="仿宋_GB2312" w:eastAsia="仿宋_GB2312"/>
          <w:sz w:val="32"/>
          <w:szCs w:val="32"/>
          <w:lang w:val="en-US" w:eastAsia="zh-CN"/>
        </w:rPr>
        <w:t>23</w:t>
      </w:r>
      <w:r>
        <w:rPr>
          <w:rFonts w:hint="eastAsia" w:ascii="仿宋_GB2312" w:eastAsia="仿宋_GB2312"/>
          <w:sz w:val="32"/>
          <w:szCs w:val="32"/>
        </w:rPr>
        <w:t>（款）</w:t>
      </w:r>
      <w:r>
        <w:rPr>
          <w:rFonts w:hint="eastAsia" w:ascii="仿宋_GB2312" w:eastAsia="仿宋_GB2312"/>
          <w:sz w:val="32"/>
          <w:szCs w:val="32"/>
          <w:lang w:eastAsia="zh-CN"/>
        </w:rPr>
        <w:t xml:space="preserve"> 其他民族事务支出</w:t>
      </w:r>
      <w:r>
        <w:rPr>
          <w:rFonts w:hint="eastAsia" w:ascii="仿宋_GB2312" w:eastAsia="仿宋_GB2312"/>
          <w:sz w:val="32"/>
          <w:szCs w:val="32"/>
          <w:lang w:val="en-US" w:eastAsia="zh-CN"/>
        </w:rPr>
        <w:t>99</w:t>
      </w:r>
      <w:r>
        <w:rPr>
          <w:rFonts w:hint="eastAsia" w:ascii="仿宋_GB2312" w:eastAsia="仿宋_GB2312"/>
          <w:sz w:val="32"/>
          <w:szCs w:val="32"/>
        </w:rPr>
        <w:t>（项）：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年决算数为1318.52万元。</w:t>
      </w:r>
    </w:p>
    <w:p>
      <w:pPr>
        <w:numPr>
          <w:ilvl w:val="0"/>
          <w:numId w:val="1"/>
        </w:numPr>
        <w:spacing w:line="600" w:lineRule="exact"/>
        <w:ind w:firstLine="643" w:firstLineChars="200"/>
        <w:rPr>
          <w:rFonts w:hint="eastAsia" w:ascii="仿宋_GB2312" w:eastAsia="仿宋_GB2312"/>
          <w:b/>
          <w:color w:val="000000"/>
          <w:sz w:val="32"/>
          <w:szCs w:val="32"/>
          <w:lang w:eastAsia="zh-CN"/>
        </w:rPr>
      </w:pPr>
      <w:r>
        <w:rPr>
          <w:rFonts w:hint="eastAsia" w:ascii="仿宋_GB2312" w:eastAsia="仿宋_GB2312"/>
          <w:b/>
          <w:color w:val="000000"/>
          <w:sz w:val="32"/>
          <w:szCs w:val="32"/>
        </w:rPr>
        <w:t>教育支出</w:t>
      </w:r>
      <w:r>
        <w:rPr>
          <w:rFonts w:hint="eastAsia" w:ascii="仿宋_GB2312" w:eastAsia="仿宋_GB2312"/>
          <w:b/>
          <w:color w:val="000000"/>
          <w:sz w:val="32"/>
          <w:szCs w:val="32"/>
          <w:lang w:eastAsia="zh-CN"/>
        </w:rPr>
        <w:t>：</w:t>
      </w:r>
    </w:p>
    <w:p>
      <w:pPr>
        <w:pStyle w:val="2"/>
        <w:numPr>
          <w:ilvl w:val="0"/>
          <w:numId w:val="0"/>
        </w:numPr>
        <w:ind w:left="420" w:leftChars="0"/>
        <w:rPr>
          <w:rFonts w:hint="default"/>
          <w:lang w:val="en-US" w:eastAsia="zh-CN"/>
        </w:rPr>
      </w:pPr>
      <w:r>
        <w:rPr>
          <w:rFonts w:hint="eastAsia"/>
          <w:lang w:val="en-US" w:eastAsia="zh-CN"/>
        </w:rPr>
        <w:t xml:space="preserve">     </w:t>
      </w:r>
      <w:r>
        <w:rPr>
          <w:rFonts w:hint="eastAsia" w:ascii="仿宋_GB2312" w:hAnsi="Calibri" w:eastAsia="仿宋_GB2312" w:cs="Times New Roman"/>
          <w:kern w:val="2"/>
          <w:sz w:val="32"/>
          <w:szCs w:val="32"/>
          <w:lang w:val="en-US" w:eastAsia="zh-CN" w:bidi="ar-SA"/>
        </w:rPr>
        <w:t xml:space="preserve">  教育支出</w:t>
      </w:r>
      <w:r>
        <w:rPr>
          <w:rFonts w:hint="eastAsia" w:ascii="仿宋_GB2312" w:eastAsia="仿宋_GB2312" w:cs="Times New Roman"/>
          <w:kern w:val="2"/>
          <w:sz w:val="32"/>
          <w:szCs w:val="32"/>
          <w:lang w:val="en-US" w:eastAsia="zh-CN" w:bidi="ar-SA"/>
        </w:rPr>
        <w:t>205（类）进修及培训08（款）培训支出03（项）</w:t>
      </w:r>
      <w:r>
        <w:rPr>
          <w:rFonts w:hint="eastAsia" w:ascii="仿宋_GB2312" w:eastAsia="仿宋_GB2312"/>
          <w:sz w:val="32"/>
          <w:szCs w:val="32"/>
          <w:lang w:eastAsia="zh-CN"/>
        </w:rPr>
        <w:t>201</w:t>
      </w:r>
      <w:r>
        <w:rPr>
          <w:rFonts w:hint="eastAsia" w:ascii="仿宋_GB2312" w:eastAsia="仿宋_GB2312"/>
          <w:sz w:val="32"/>
          <w:szCs w:val="32"/>
        </w:rPr>
        <w:t>年决算数为</w:t>
      </w:r>
      <w:r>
        <w:rPr>
          <w:rFonts w:hint="eastAsia" w:ascii="仿宋_GB2312" w:eastAsia="仿宋_GB2312"/>
          <w:sz w:val="32"/>
          <w:szCs w:val="32"/>
          <w:lang w:val="en-US" w:eastAsia="zh-CN"/>
        </w:rPr>
        <w:t>0.11万元。</w:t>
      </w:r>
      <w:r>
        <w:rPr>
          <w:rFonts w:hint="eastAsia" w:ascii="仿宋_GB2312" w:eastAsia="仿宋_GB2312"/>
          <w:sz w:val="32"/>
          <w:szCs w:val="32"/>
        </w:rPr>
        <w:t>合计</w:t>
      </w:r>
      <w:r>
        <w:rPr>
          <w:rFonts w:hint="eastAsia" w:ascii="仿宋_GB2312" w:eastAsia="仿宋_GB2312"/>
          <w:sz w:val="32"/>
          <w:szCs w:val="32"/>
          <w:lang w:val="en-US" w:eastAsia="zh-CN"/>
        </w:rPr>
        <w:t>0.11</w:t>
      </w:r>
      <w:r>
        <w:rPr>
          <w:rFonts w:hint="eastAsia" w:ascii="仿宋_GB2312" w:eastAsia="仿宋_GB2312"/>
          <w:sz w:val="32"/>
          <w:szCs w:val="32"/>
        </w:rPr>
        <w:t>万元，完成预算100%。</w:t>
      </w:r>
    </w:p>
    <w:p>
      <w:pPr>
        <w:spacing w:line="600" w:lineRule="exact"/>
        <w:ind w:firstLine="643" w:firstLineChars="20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社会保障和就业支出</w:t>
      </w:r>
    </w:p>
    <w:p>
      <w:pPr>
        <w:spacing w:line="600" w:lineRule="exact"/>
        <w:ind w:firstLine="640" w:firstLineChars="200"/>
        <w:rPr>
          <w:rStyle w:val="9"/>
          <w:rFonts w:hint="eastAsia" w:ascii="仿宋_GB2312" w:eastAsia="仿宋_GB2312"/>
          <w:b w:val="0"/>
          <w:bCs w:val="0"/>
          <w:sz w:val="32"/>
          <w:szCs w:val="32"/>
        </w:rPr>
      </w:pP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（类）行政事业单位离退休0</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（款）机关事业单位基本养老保险缴费支出0</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年决算数为26.72万元，机关事业单位职业年金缴费支出06（项）：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年决算数为12.31万元，</w:t>
      </w:r>
      <w:r>
        <w:rPr>
          <w:rFonts w:hint="eastAsia" w:ascii="仿宋_GB2312" w:eastAsia="仿宋_GB2312"/>
          <w:sz w:val="32"/>
          <w:szCs w:val="32"/>
          <w:lang w:eastAsia="zh-CN"/>
        </w:rPr>
        <w:t>合计39.03万元。</w:t>
      </w:r>
      <w:r>
        <w:rPr>
          <w:rFonts w:hint="eastAsia" w:ascii="仿宋_GB2312" w:eastAsia="仿宋_GB2312"/>
          <w:sz w:val="32"/>
          <w:szCs w:val="32"/>
        </w:rPr>
        <w:t>完成预算100%。</w:t>
      </w:r>
      <w:r>
        <w:rPr>
          <w:rFonts w:hint="eastAsia" w:ascii="仿宋_GB2312" w:eastAsia="仿宋_GB2312"/>
          <w:sz w:val="32"/>
          <w:szCs w:val="32"/>
        </w:rPr>
        <w:br w:type="textWrapping"/>
      </w:r>
      <w:r>
        <w:rPr>
          <w:rFonts w:hint="eastAsia" w:ascii="仿宋_GB2312" w:eastAsia="仿宋_GB2312"/>
          <w:color w:val="FF6600"/>
          <w:sz w:val="32"/>
          <w:szCs w:val="32"/>
        </w:rPr>
        <w:t>　</w:t>
      </w:r>
      <w:r>
        <w:rPr>
          <w:rFonts w:hint="eastAsia" w:ascii="仿宋_GB2312" w:eastAsia="仿宋_GB2312"/>
          <w:sz w:val="32"/>
          <w:szCs w:val="32"/>
        </w:rPr>
        <w:t>　</w:t>
      </w:r>
      <w:r>
        <w:rPr>
          <w:rFonts w:hint="eastAsia" w:ascii="仿宋_GB2312" w:eastAsia="仿宋_GB2312"/>
          <w:sz w:val="32"/>
          <w:szCs w:val="32"/>
          <w:lang w:val="en-US" w:eastAsia="zh-CN"/>
        </w:rPr>
        <w:t>4</w:t>
      </w:r>
      <w:r>
        <w:rPr>
          <w:rFonts w:hint="eastAsia" w:ascii="仿宋_GB2312" w:eastAsia="仿宋_GB2312"/>
          <w:b/>
          <w:color w:val="000000"/>
          <w:sz w:val="32"/>
          <w:szCs w:val="32"/>
        </w:rPr>
        <w:t>、</w:t>
      </w:r>
      <w:r>
        <w:rPr>
          <w:rStyle w:val="9"/>
          <w:rFonts w:hint="eastAsia" w:ascii="仿宋_GB2312" w:eastAsia="仿宋_GB2312"/>
          <w:sz w:val="32"/>
          <w:szCs w:val="32"/>
        </w:rPr>
        <w:t>卫生健康支出:</w:t>
      </w:r>
    </w:p>
    <w:p>
      <w:pPr>
        <w:spacing w:line="60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卫生健康支出210（类）行政事业单位医疗11（款）行政单位医疗01（项）：</w:t>
      </w:r>
      <w:r>
        <w:rPr>
          <w:rFonts w:hint="eastAsia" w:ascii="仿宋_GB2312" w:eastAsia="仿宋_GB2312"/>
          <w:sz w:val="32"/>
          <w:szCs w:val="32"/>
        </w:rPr>
        <w:t xml:space="preserve"> </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年决算数为11.01万元</w:t>
      </w:r>
      <w:r>
        <w:rPr>
          <w:rFonts w:hint="eastAsia" w:ascii="仿宋_GB2312" w:eastAsia="仿宋_GB2312"/>
          <w:sz w:val="32"/>
          <w:szCs w:val="32"/>
          <w:lang w:eastAsia="zh-CN"/>
        </w:rPr>
        <w:t>；</w:t>
      </w:r>
      <w:r>
        <w:rPr>
          <w:rFonts w:hint="eastAsia" w:ascii="仿宋_GB2312" w:eastAsia="仿宋_GB2312"/>
          <w:sz w:val="32"/>
          <w:szCs w:val="32"/>
        </w:rPr>
        <w:t>公务员医疗补助</w:t>
      </w:r>
      <w:r>
        <w:rPr>
          <w:rFonts w:hint="eastAsia" w:ascii="仿宋_GB2312" w:eastAsia="仿宋_GB2312"/>
          <w:sz w:val="32"/>
          <w:szCs w:val="32"/>
          <w:lang w:val="en-US" w:eastAsia="zh-CN"/>
        </w:rPr>
        <w:t>03（项）：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年决算数为3.01万元</w:t>
      </w:r>
      <w:r>
        <w:rPr>
          <w:rFonts w:hint="eastAsia" w:ascii="仿宋_GB2312" w:eastAsia="仿宋_GB2312"/>
          <w:sz w:val="32"/>
          <w:szCs w:val="32"/>
          <w:lang w:eastAsia="zh-CN"/>
        </w:rPr>
        <w:t>。合计14.02万元，</w:t>
      </w:r>
      <w:r>
        <w:rPr>
          <w:rFonts w:hint="eastAsia" w:ascii="仿宋_GB2312" w:eastAsia="仿宋_GB2312"/>
          <w:sz w:val="32"/>
          <w:szCs w:val="32"/>
        </w:rPr>
        <w:t>完成预算100%。</w:t>
      </w:r>
    </w:p>
    <w:p>
      <w:pPr>
        <w:numPr>
          <w:ilvl w:val="0"/>
          <w:numId w:val="0"/>
        </w:numPr>
        <w:spacing w:line="600" w:lineRule="exact"/>
        <w:ind w:firstLine="643" w:firstLineChars="200"/>
        <w:rPr>
          <w:rStyle w:val="9"/>
          <w:rFonts w:hint="eastAsia" w:ascii="仿宋_GB2312" w:eastAsia="仿宋_GB2312"/>
          <w:sz w:val="32"/>
          <w:szCs w:val="32"/>
          <w:lang w:eastAsia="zh-CN"/>
        </w:rPr>
      </w:pPr>
      <w:r>
        <w:rPr>
          <w:rStyle w:val="9"/>
          <w:rFonts w:hint="eastAsia" w:ascii="仿宋_GB2312" w:eastAsia="仿宋_GB2312"/>
          <w:sz w:val="32"/>
          <w:szCs w:val="32"/>
          <w:lang w:val="en-US" w:eastAsia="zh-CN"/>
        </w:rPr>
        <w:t>5.</w:t>
      </w:r>
      <w:r>
        <w:rPr>
          <w:rStyle w:val="9"/>
          <w:rFonts w:hint="eastAsia" w:ascii="仿宋_GB2312" w:eastAsia="仿宋_GB2312"/>
          <w:sz w:val="32"/>
          <w:szCs w:val="32"/>
        </w:rPr>
        <w:t>农林水支出</w:t>
      </w:r>
      <w:r>
        <w:rPr>
          <w:rStyle w:val="9"/>
          <w:rFonts w:hint="eastAsia" w:ascii="仿宋_GB2312" w:eastAsia="仿宋_GB2312"/>
          <w:sz w:val="32"/>
          <w:szCs w:val="32"/>
          <w:lang w:eastAsia="zh-CN"/>
        </w:rPr>
        <w:t>：</w:t>
      </w:r>
    </w:p>
    <w:p>
      <w:pPr>
        <w:spacing w:line="600" w:lineRule="exact"/>
        <w:ind w:firstLine="640" w:firstLineChars="200"/>
        <w:rPr>
          <w:rFonts w:hint="default" w:ascii="仿宋_GB2312" w:hAnsi="Calibri" w:eastAsia="仿宋_GB2312" w:cs="Times New Roman"/>
          <w:color w:val="000000"/>
          <w:kern w:val="2"/>
          <w:sz w:val="32"/>
          <w:szCs w:val="32"/>
          <w:lang w:val="en-US" w:eastAsia="zh-CN" w:bidi="ar-SA"/>
        </w:rPr>
      </w:pPr>
      <w:r>
        <w:rPr>
          <w:rFonts w:hint="eastAsia" w:ascii="仿宋_GB2312" w:hAnsi="Calibri" w:eastAsia="仿宋_GB2312" w:cs="Times New Roman"/>
          <w:color w:val="000000"/>
          <w:kern w:val="2"/>
          <w:sz w:val="32"/>
          <w:szCs w:val="32"/>
          <w:lang w:val="en-US" w:eastAsia="zh-CN" w:bidi="ar-SA"/>
        </w:rPr>
        <w:t>农林水支出</w:t>
      </w:r>
      <w:r>
        <w:rPr>
          <w:rFonts w:hint="eastAsia" w:ascii="仿宋_GB2312" w:eastAsia="仿宋_GB2312" w:cs="Times New Roman"/>
          <w:color w:val="000000"/>
          <w:kern w:val="2"/>
          <w:sz w:val="32"/>
          <w:szCs w:val="32"/>
          <w:lang w:val="en-US" w:eastAsia="zh-CN" w:bidi="ar-SA"/>
        </w:rPr>
        <w:t>213（类）扶贫05（款）生产发展05（项）：</w:t>
      </w:r>
      <w:r>
        <w:rPr>
          <w:rFonts w:hint="eastAsia" w:ascii="仿宋_GB2312" w:eastAsia="仿宋_GB2312"/>
          <w:sz w:val="32"/>
          <w:szCs w:val="32"/>
        </w:rPr>
        <w:t xml:space="preserve"> </w:t>
      </w:r>
      <w:r>
        <w:rPr>
          <w:rFonts w:hint="eastAsia" w:ascii="仿宋_GB2312" w:eastAsia="仿宋_GB2312"/>
          <w:sz w:val="32"/>
          <w:szCs w:val="32"/>
          <w:lang w:eastAsia="zh-CN"/>
        </w:rPr>
        <w:t>201</w:t>
      </w:r>
      <w:r>
        <w:rPr>
          <w:rFonts w:hint="eastAsia" w:ascii="仿宋_GB2312" w:eastAsia="仿宋_GB2312"/>
          <w:sz w:val="32"/>
          <w:szCs w:val="32"/>
        </w:rPr>
        <w:t>年决算数为</w:t>
      </w:r>
      <w:r>
        <w:rPr>
          <w:rFonts w:hint="eastAsia" w:ascii="仿宋_GB2312" w:eastAsia="仿宋_GB2312" w:cs="Times New Roman"/>
          <w:color w:val="000000"/>
          <w:kern w:val="2"/>
          <w:sz w:val="32"/>
          <w:szCs w:val="32"/>
          <w:lang w:val="en-US" w:eastAsia="zh-CN" w:bidi="ar-SA"/>
        </w:rPr>
        <w:t>2.06</w:t>
      </w:r>
      <w:r>
        <w:rPr>
          <w:rFonts w:hint="eastAsia" w:ascii="仿宋_GB2312" w:eastAsia="仿宋_GB2312"/>
          <w:sz w:val="32"/>
          <w:szCs w:val="32"/>
        </w:rPr>
        <w:t>万元，完成预算100%。</w:t>
      </w:r>
    </w:p>
    <w:p>
      <w:pPr>
        <w:spacing w:line="600" w:lineRule="exact"/>
        <w:ind w:firstLine="630" w:firstLineChars="196"/>
        <w:rPr>
          <w:rStyle w:val="9"/>
          <w:rFonts w:hint="eastAsia" w:ascii="仿宋_GB2312" w:eastAsia="仿宋_GB2312"/>
          <w:sz w:val="32"/>
          <w:szCs w:val="32"/>
        </w:rPr>
      </w:pPr>
      <w:r>
        <w:rPr>
          <w:rStyle w:val="9"/>
          <w:rFonts w:hint="eastAsia" w:ascii="仿宋_GB2312" w:eastAsia="仿宋_GB2312"/>
          <w:sz w:val="32"/>
          <w:szCs w:val="32"/>
          <w:lang w:val="en-US" w:eastAsia="zh-CN"/>
        </w:rPr>
        <w:t>6.</w:t>
      </w:r>
      <w:r>
        <w:rPr>
          <w:rStyle w:val="9"/>
          <w:rFonts w:hint="eastAsia" w:ascii="仿宋_GB2312" w:eastAsia="仿宋_GB2312"/>
          <w:sz w:val="32"/>
          <w:szCs w:val="32"/>
        </w:rPr>
        <w:t>住房保障支出:</w:t>
      </w:r>
    </w:p>
    <w:p>
      <w:pPr>
        <w:spacing w:line="60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住房保障支出221（类）住房改革支出02（款）住房公积金01（项）</w:t>
      </w:r>
      <w:r>
        <w:rPr>
          <w:rFonts w:hint="eastAsia" w:ascii="仿宋_GB2312" w:eastAsia="仿宋_GB2312"/>
          <w:sz w:val="32"/>
          <w:szCs w:val="32"/>
        </w:rPr>
        <w:t xml:space="preserve">： </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年决算数为23.68万元，完成预算100%；</w:t>
      </w:r>
    </w:p>
    <w:p>
      <w:pPr>
        <w:pStyle w:val="2"/>
        <w:numPr>
          <w:ilvl w:val="0"/>
          <w:numId w:val="2"/>
        </w:numPr>
        <w:ind w:left="0" w:leftChars="0" w:firstLine="643" w:firstLineChars="200"/>
        <w:rPr>
          <w:rStyle w:val="9"/>
          <w:rFonts w:hint="eastAsia" w:ascii="仿宋_GB2312" w:eastAsia="仿宋_GB2312" w:hAnsiTheme="minorHAnsi" w:cstheme="minorBidi"/>
          <w:kern w:val="2"/>
          <w:sz w:val="32"/>
          <w:szCs w:val="32"/>
          <w:lang w:val="en-US" w:eastAsia="zh-CN" w:bidi="ar-SA"/>
        </w:rPr>
      </w:pPr>
      <w:r>
        <w:rPr>
          <w:rStyle w:val="9"/>
          <w:rFonts w:hint="eastAsia" w:ascii="仿宋_GB2312" w:eastAsia="仿宋_GB2312" w:hAnsiTheme="minorHAnsi" w:cstheme="minorBidi"/>
          <w:kern w:val="2"/>
          <w:sz w:val="32"/>
          <w:szCs w:val="32"/>
          <w:lang w:val="en-US" w:eastAsia="zh-CN" w:bidi="ar-SA"/>
        </w:rPr>
        <w:t>其他支出：</w:t>
      </w:r>
    </w:p>
    <w:p>
      <w:pPr>
        <w:spacing w:line="60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其他支出</w:t>
      </w:r>
      <w:r>
        <w:rPr>
          <w:rFonts w:hint="eastAsia" w:ascii="仿宋_GB2312" w:eastAsia="仿宋_GB2312"/>
          <w:sz w:val="32"/>
          <w:szCs w:val="32"/>
          <w:lang w:val="en-US" w:eastAsia="zh-CN"/>
        </w:rPr>
        <w:t>229（类）其他支出99（款）其他支出01（项）：2</w:t>
      </w:r>
      <w:r>
        <w:rPr>
          <w:rFonts w:hint="eastAsia" w:ascii="仿宋_GB2312" w:eastAsia="仿宋_GB2312"/>
          <w:sz w:val="32"/>
          <w:szCs w:val="32"/>
          <w:lang w:eastAsia="zh-CN"/>
        </w:rPr>
        <w:t>01</w:t>
      </w:r>
      <w:r>
        <w:rPr>
          <w:rFonts w:hint="eastAsia" w:ascii="仿宋_GB2312" w:eastAsia="仿宋_GB2312"/>
          <w:sz w:val="32"/>
          <w:szCs w:val="32"/>
          <w:lang w:val="en-US" w:eastAsia="zh-CN"/>
        </w:rPr>
        <w:t>9</w:t>
      </w:r>
      <w:r>
        <w:rPr>
          <w:rFonts w:hint="eastAsia" w:ascii="仿宋_GB2312" w:eastAsia="仿宋_GB2312"/>
          <w:sz w:val="32"/>
          <w:szCs w:val="32"/>
        </w:rPr>
        <w:t>年决算数为415.3万元，完成预算100%；</w:t>
      </w:r>
    </w:p>
    <w:p>
      <w:pPr>
        <w:spacing w:line="600" w:lineRule="exact"/>
        <w:ind w:firstLine="640"/>
        <w:outlineLvl w:val="0"/>
        <w:rPr>
          <w:rFonts w:hint="eastAsia" w:ascii="黑体" w:eastAsia="黑体"/>
          <w:b/>
          <w:bCs/>
          <w:color w:val="000000"/>
          <w:sz w:val="32"/>
          <w:szCs w:val="32"/>
        </w:rPr>
      </w:pPr>
      <w:bookmarkStart w:id="46" w:name="_Toc29215"/>
      <w:bookmarkStart w:id="47" w:name="_Toc10154"/>
      <w:bookmarkStart w:id="48" w:name="_Toc27004"/>
      <w:r>
        <w:rPr>
          <w:rFonts w:hint="eastAsia" w:ascii="黑体" w:eastAsia="黑体"/>
          <w:b/>
          <w:bCs/>
          <w:color w:val="000000"/>
          <w:sz w:val="32"/>
          <w:szCs w:val="32"/>
        </w:rPr>
        <w:t>四、“三公”经费财政拨款支出决算情况</w:t>
      </w:r>
      <w:bookmarkEnd w:id="40"/>
      <w:bookmarkEnd w:id="41"/>
      <w:bookmarkEnd w:id="46"/>
      <w:bookmarkEnd w:id="47"/>
      <w:bookmarkEnd w:id="48"/>
    </w:p>
    <w:p>
      <w:pPr>
        <w:spacing w:line="600" w:lineRule="exact"/>
        <w:ind w:firstLine="640"/>
        <w:outlineLvl w:val="1"/>
        <w:rPr>
          <w:rFonts w:hint="eastAsia" w:ascii="楷体" w:hAnsi="楷体" w:eastAsia="楷体" w:cs="楷体"/>
          <w:b/>
          <w:color w:val="000000"/>
          <w:sz w:val="30"/>
          <w:szCs w:val="30"/>
        </w:rPr>
      </w:pPr>
      <w:bookmarkStart w:id="49" w:name="_Toc24305"/>
      <w:bookmarkStart w:id="50" w:name="_Toc32088"/>
      <w:bookmarkStart w:id="51" w:name="_Toc6872"/>
      <w:r>
        <w:rPr>
          <w:rFonts w:hint="eastAsia" w:ascii="楷体" w:hAnsi="楷体" w:eastAsia="楷体" w:cs="楷体"/>
          <w:b/>
          <w:color w:val="000000"/>
          <w:sz w:val="30"/>
          <w:szCs w:val="30"/>
        </w:rPr>
        <w:t>（一）“三公”经费财政拨款支出决算总体情况说明</w:t>
      </w:r>
      <w:bookmarkEnd w:id="49"/>
      <w:bookmarkEnd w:id="50"/>
      <w:bookmarkEnd w:id="51"/>
    </w:p>
    <w:p>
      <w:pPr>
        <w:spacing w:line="600" w:lineRule="exact"/>
        <w:ind w:firstLine="640"/>
        <w:rPr>
          <w:rFonts w:hint="eastAsia" w:ascii="仿宋_GB2312" w:eastAsia="仿宋_GB2312"/>
          <w:color w:val="333333"/>
          <w:sz w:val="32"/>
          <w:szCs w:val="32"/>
        </w:rPr>
      </w:pPr>
      <w:bookmarkStart w:id="52" w:name="_Toc2762"/>
      <w:r>
        <w:rPr>
          <w:rFonts w:hint="eastAsia" w:ascii="仿宋_GB2312" w:eastAsia="仿宋_GB2312"/>
          <w:color w:val="333333"/>
          <w:sz w:val="32"/>
          <w:szCs w:val="32"/>
        </w:rPr>
        <w:t>县</w:t>
      </w:r>
      <w:r>
        <w:rPr>
          <w:rFonts w:hint="eastAsia" w:ascii="仿宋_GB2312" w:eastAsia="仿宋_GB2312"/>
          <w:color w:val="333333"/>
          <w:sz w:val="32"/>
          <w:szCs w:val="32"/>
          <w:lang w:eastAsia="zh-CN"/>
        </w:rPr>
        <w:t>民宗</w:t>
      </w:r>
      <w:r>
        <w:rPr>
          <w:rFonts w:hint="eastAsia" w:ascii="仿宋_GB2312" w:eastAsia="仿宋_GB2312"/>
          <w:color w:val="333333"/>
          <w:sz w:val="32"/>
          <w:szCs w:val="32"/>
        </w:rPr>
        <w:t>局</w:t>
      </w:r>
      <w:r>
        <w:rPr>
          <w:rFonts w:hint="eastAsia" w:ascii="仿宋_GB2312" w:eastAsia="仿宋_GB2312"/>
          <w:color w:val="333333"/>
          <w:sz w:val="32"/>
          <w:szCs w:val="32"/>
          <w:lang w:eastAsia="zh-CN"/>
        </w:rPr>
        <w:t>201</w:t>
      </w:r>
      <w:r>
        <w:rPr>
          <w:rFonts w:hint="eastAsia" w:ascii="仿宋_GB2312" w:eastAsia="仿宋_GB2312"/>
          <w:color w:val="333333"/>
          <w:sz w:val="32"/>
          <w:szCs w:val="32"/>
          <w:lang w:val="en-US" w:eastAsia="zh-CN"/>
        </w:rPr>
        <w:t>9</w:t>
      </w:r>
      <w:r>
        <w:rPr>
          <w:rFonts w:hint="eastAsia" w:ascii="仿宋_GB2312" w:eastAsia="仿宋_GB2312"/>
          <w:color w:val="333333"/>
          <w:sz w:val="32"/>
          <w:szCs w:val="32"/>
        </w:rPr>
        <w:t>年度“三公”经费财政拨款支出决算为</w:t>
      </w:r>
      <w:r>
        <w:rPr>
          <w:rFonts w:hint="eastAsia" w:ascii="仿宋_GB2312" w:eastAsia="仿宋_GB2312"/>
          <w:color w:val="333333"/>
          <w:sz w:val="32"/>
          <w:szCs w:val="32"/>
          <w:lang w:val="en-US" w:eastAsia="zh-CN"/>
        </w:rPr>
        <w:t>4.69</w:t>
      </w:r>
      <w:r>
        <w:rPr>
          <w:rFonts w:hint="eastAsia" w:ascii="仿宋_GB2312" w:eastAsia="仿宋_GB2312"/>
          <w:color w:val="333333"/>
          <w:sz w:val="32"/>
          <w:szCs w:val="32"/>
        </w:rPr>
        <w:t>万元，完成预算100%，其中：无因公出国（境）费支出；公务用车运行维护费支出决算为</w:t>
      </w:r>
      <w:r>
        <w:rPr>
          <w:rFonts w:hint="eastAsia" w:ascii="仿宋_GB2312" w:eastAsia="仿宋_GB2312"/>
          <w:color w:val="333333"/>
          <w:sz w:val="32"/>
          <w:szCs w:val="32"/>
          <w:lang w:val="en-US" w:eastAsia="zh-CN"/>
        </w:rPr>
        <w:t>4.26</w:t>
      </w:r>
      <w:r>
        <w:rPr>
          <w:rFonts w:hint="eastAsia" w:ascii="仿宋_GB2312" w:eastAsia="仿宋_GB2312"/>
          <w:color w:val="333333"/>
          <w:sz w:val="32"/>
          <w:szCs w:val="32"/>
        </w:rPr>
        <w:t>万元，完成预算100%；公务接待费支出决算为0.</w:t>
      </w:r>
      <w:r>
        <w:rPr>
          <w:rFonts w:hint="eastAsia" w:ascii="仿宋_GB2312" w:eastAsia="仿宋_GB2312"/>
          <w:color w:val="333333"/>
          <w:sz w:val="32"/>
          <w:szCs w:val="32"/>
          <w:lang w:val="en-US" w:eastAsia="zh-CN"/>
        </w:rPr>
        <w:t>43</w:t>
      </w:r>
      <w:r>
        <w:rPr>
          <w:rFonts w:hint="eastAsia" w:ascii="仿宋_GB2312" w:eastAsia="仿宋_GB2312"/>
          <w:color w:val="333333"/>
          <w:sz w:val="32"/>
          <w:szCs w:val="32"/>
        </w:rPr>
        <w:t xml:space="preserve">万元。完成预算100%。 </w:t>
      </w:r>
    </w:p>
    <w:p>
      <w:pPr>
        <w:spacing w:line="600" w:lineRule="exact"/>
        <w:ind w:firstLine="640" w:firstLineChars="200"/>
        <w:outlineLvl w:val="1"/>
        <w:rPr>
          <w:rFonts w:hint="eastAsia" w:ascii="仿宋_GB2312" w:eastAsia="仿宋_GB2312"/>
          <w:color w:val="000000"/>
          <w:sz w:val="32"/>
          <w:szCs w:val="32"/>
        </w:rPr>
      </w:pPr>
      <w:bookmarkStart w:id="53" w:name="_Toc17598"/>
      <w:bookmarkStart w:id="54" w:name="_Toc7664"/>
      <w:bookmarkStart w:id="55" w:name="_Toc10292"/>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年度“三公”经费财政拨款支出决算数比201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年减少了</w:t>
      </w:r>
      <w:r>
        <w:rPr>
          <w:rFonts w:hint="eastAsia" w:ascii="仿宋_GB2312" w:eastAsia="仿宋_GB2312"/>
          <w:color w:val="000000"/>
          <w:sz w:val="32"/>
          <w:szCs w:val="32"/>
          <w:lang w:val="en-US" w:eastAsia="zh-CN"/>
        </w:rPr>
        <w:t>4.31</w:t>
      </w:r>
      <w:r>
        <w:rPr>
          <w:rFonts w:hint="eastAsia" w:ascii="仿宋_GB2312" w:eastAsia="仿宋_GB2312"/>
          <w:color w:val="000000"/>
          <w:sz w:val="32"/>
          <w:szCs w:val="32"/>
        </w:rPr>
        <w:t>万元，减少</w:t>
      </w:r>
      <w:r>
        <w:rPr>
          <w:rFonts w:hint="eastAsia" w:ascii="Times New Roman" w:hAnsi="Times New Roman" w:eastAsia="仿宋_GB2312"/>
          <w:sz w:val="32"/>
          <w:szCs w:val="32"/>
          <w:lang w:val="en-US" w:eastAsia="zh-CN"/>
        </w:rPr>
        <w:t>47.89</w:t>
      </w:r>
      <w:r>
        <w:rPr>
          <w:rFonts w:ascii="Times New Roman" w:hAnsi="Times New Roman" w:eastAsia="仿宋_GB2312"/>
          <w:sz w:val="32"/>
          <w:szCs w:val="32"/>
        </w:rPr>
        <w:t>%</w:t>
      </w:r>
      <w:r>
        <w:rPr>
          <w:rFonts w:hint="eastAsia" w:ascii="仿宋_GB2312" w:eastAsia="仿宋_GB2312"/>
          <w:color w:val="000000"/>
          <w:sz w:val="32"/>
          <w:szCs w:val="32"/>
        </w:rPr>
        <w:t>，其中：无因公出国（境）费支出；公务用车运行维护费支出决算数</w:t>
      </w:r>
      <w:r>
        <w:rPr>
          <w:rFonts w:hint="eastAsia" w:ascii="仿宋_GB2312" w:eastAsia="仿宋_GB2312"/>
          <w:color w:val="000000"/>
          <w:sz w:val="32"/>
          <w:szCs w:val="32"/>
          <w:lang w:val="en-US" w:eastAsia="zh-CN"/>
        </w:rPr>
        <w:t>4.26</w:t>
      </w:r>
      <w:r>
        <w:rPr>
          <w:rFonts w:hint="eastAsia" w:ascii="仿宋_GB2312" w:eastAsia="仿宋_GB2312"/>
          <w:color w:val="000000"/>
          <w:sz w:val="32"/>
          <w:szCs w:val="32"/>
        </w:rPr>
        <w:t>万元，减少了</w:t>
      </w:r>
      <w:r>
        <w:rPr>
          <w:rFonts w:hint="eastAsia" w:ascii="Times New Roman" w:hAnsi="Times New Roman" w:eastAsia="仿宋_GB2312"/>
          <w:sz w:val="32"/>
          <w:szCs w:val="32"/>
          <w:lang w:val="en-US" w:eastAsia="zh-CN"/>
        </w:rPr>
        <w:t>47.89</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年公务接待费支出</w:t>
      </w:r>
      <w:r>
        <w:rPr>
          <w:rFonts w:hint="eastAsia" w:ascii="Times New Roman" w:hAnsi="Times New Roman" w:eastAsia="仿宋_GB2312"/>
          <w:sz w:val="32"/>
          <w:szCs w:val="32"/>
        </w:rPr>
        <w:t>与上年一样持平</w:t>
      </w:r>
      <w:r>
        <w:rPr>
          <w:rFonts w:hint="eastAsia" w:ascii="仿宋_GB2312" w:eastAsia="仿宋_GB2312"/>
          <w:color w:val="000000"/>
          <w:sz w:val="32"/>
          <w:szCs w:val="32"/>
        </w:rPr>
        <w:t>。</w:t>
      </w:r>
      <w:bookmarkEnd w:id="53"/>
      <w:bookmarkEnd w:id="54"/>
      <w:bookmarkEnd w:id="55"/>
      <w:r>
        <w:rPr>
          <w:rFonts w:hint="eastAsia" w:ascii="仿宋_GB2312" w:eastAsia="仿宋_GB2312"/>
          <w:color w:val="000000"/>
          <w:sz w:val="32"/>
          <w:szCs w:val="32"/>
        </w:rPr>
        <w:t xml:space="preserve"> </w:t>
      </w:r>
    </w:p>
    <w:p>
      <w:pPr>
        <w:spacing w:line="600" w:lineRule="exact"/>
        <w:ind w:firstLine="602" w:firstLineChars="200"/>
        <w:outlineLvl w:val="1"/>
        <w:rPr>
          <w:rFonts w:hint="eastAsia" w:ascii="楷体" w:hAnsi="楷体" w:eastAsia="楷体" w:cs="楷体"/>
          <w:b/>
          <w:color w:val="333333"/>
          <w:sz w:val="30"/>
          <w:szCs w:val="30"/>
        </w:rPr>
      </w:pPr>
      <w:bookmarkStart w:id="56" w:name="_Toc6384"/>
      <w:bookmarkStart w:id="57" w:name="_Toc14855"/>
      <w:r>
        <w:rPr>
          <w:rFonts w:hint="eastAsia" w:ascii="楷体" w:hAnsi="楷体" w:eastAsia="楷体" w:cs="楷体"/>
          <w:b/>
          <w:color w:val="333333"/>
          <w:sz w:val="30"/>
          <w:szCs w:val="30"/>
        </w:rPr>
        <w:t>（二）“三公”经费财政拨款支出决算具体情况说明</w:t>
      </w:r>
      <w:bookmarkEnd w:id="52"/>
      <w:bookmarkEnd w:id="56"/>
      <w:bookmarkEnd w:id="57"/>
    </w:p>
    <w:p>
      <w:pPr>
        <w:spacing w:line="600" w:lineRule="exact"/>
        <w:ind w:firstLine="640"/>
        <w:rPr>
          <w:rFonts w:hint="eastAsia" w:ascii="仿宋_GB2312" w:eastAsia="仿宋_GB2312"/>
          <w:color w:val="000000"/>
          <w:sz w:val="32"/>
          <w:szCs w:val="32"/>
        </w:rPr>
      </w:pPr>
      <w:r>
        <w:rPr>
          <w:rFonts w:hint="eastAsia" w:ascii="仿宋_GB2312" w:eastAsia="仿宋_GB2312"/>
          <w:color w:val="333333"/>
          <w:sz w:val="32"/>
          <w:szCs w:val="32"/>
          <w:lang w:eastAsia="zh-CN"/>
        </w:rPr>
        <w:t>201</w:t>
      </w:r>
      <w:r>
        <w:rPr>
          <w:rFonts w:hint="eastAsia" w:ascii="仿宋_GB2312" w:eastAsia="仿宋_GB2312"/>
          <w:color w:val="333333"/>
          <w:sz w:val="32"/>
          <w:szCs w:val="32"/>
          <w:lang w:val="en-US" w:eastAsia="zh-CN"/>
        </w:rPr>
        <w:t>9</w:t>
      </w:r>
      <w:r>
        <w:rPr>
          <w:rFonts w:hint="eastAsia" w:ascii="仿宋_GB2312" w:eastAsia="仿宋_GB2312"/>
          <w:color w:val="333333"/>
          <w:sz w:val="32"/>
          <w:szCs w:val="32"/>
        </w:rPr>
        <w:t>年度“三公”经费财政拨款支出决算中，无因公出国（境）费支出；公务用车购置及运行维护费支出决算</w:t>
      </w:r>
      <w:r>
        <w:rPr>
          <w:rFonts w:hint="eastAsia" w:ascii="仿宋_GB2312" w:eastAsia="仿宋_GB2312"/>
          <w:color w:val="333333"/>
          <w:sz w:val="32"/>
          <w:szCs w:val="32"/>
          <w:lang w:val="en-US" w:eastAsia="zh-CN"/>
        </w:rPr>
        <w:t>4.26</w:t>
      </w:r>
      <w:r>
        <w:rPr>
          <w:rFonts w:hint="eastAsia" w:ascii="仿宋_GB2312" w:eastAsia="仿宋_GB2312"/>
          <w:color w:val="333333"/>
          <w:sz w:val="32"/>
          <w:szCs w:val="32"/>
        </w:rPr>
        <w:t>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91.9</w:t>
      </w:r>
      <w:r>
        <w:rPr>
          <w:rFonts w:hint="eastAsia" w:ascii="仿宋_GB2312" w:eastAsia="仿宋_GB2312"/>
          <w:color w:val="000000"/>
          <w:sz w:val="32"/>
          <w:szCs w:val="32"/>
        </w:rPr>
        <w:t>%</w:t>
      </w:r>
      <w:r>
        <w:rPr>
          <w:rFonts w:hint="eastAsia" w:ascii="仿宋_GB2312" w:eastAsia="仿宋_GB2312"/>
          <w:color w:val="333333"/>
          <w:sz w:val="32"/>
          <w:szCs w:val="32"/>
        </w:rPr>
        <w:t>；公务接待费支出决算0.</w:t>
      </w:r>
      <w:r>
        <w:rPr>
          <w:rFonts w:hint="eastAsia" w:ascii="仿宋_GB2312" w:eastAsia="仿宋_GB2312"/>
          <w:color w:val="333333"/>
          <w:sz w:val="32"/>
          <w:szCs w:val="32"/>
          <w:lang w:val="en-US" w:eastAsia="zh-CN"/>
        </w:rPr>
        <w:t>43</w:t>
      </w:r>
      <w:r>
        <w:rPr>
          <w:rFonts w:hint="eastAsia" w:ascii="仿宋_GB2312" w:eastAsia="仿宋_GB2312"/>
          <w:color w:val="333333"/>
          <w:sz w:val="32"/>
          <w:szCs w:val="32"/>
        </w:rPr>
        <w:t>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8.1</w:t>
      </w:r>
      <w:r>
        <w:rPr>
          <w:rFonts w:hint="eastAsia" w:ascii="仿宋_GB2312" w:eastAsia="仿宋_GB2312"/>
          <w:color w:val="000000"/>
          <w:sz w:val="32"/>
          <w:szCs w:val="32"/>
        </w:rPr>
        <w:t>%。具体情况如下：</w:t>
      </w:r>
    </w:p>
    <w:p>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1.因公出国（境）经费</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年无因公出国（境）费。</w:t>
      </w:r>
    </w:p>
    <w:p>
      <w:pPr>
        <w:spacing w:line="600" w:lineRule="exact"/>
        <w:ind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2.公务用车购置及运行维护费</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t>2018</w:t>
      </w:r>
      <w:r>
        <w:rPr>
          <w:rFonts w:hint="eastAsia" w:ascii="仿宋_GB2312" w:eastAsia="仿宋_GB2312"/>
          <w:color w:val="000000"/>
          <w:sz w:val="32"/>
          <w:szCs w:val="32"/>
        </w:rPr>
        <w:t>年公务用车购置及运行维护费</w:t>
      </w:r>
      <w:r>
        <w:rPr>
          <w:rFonts w:hint="eastAsia" w:ascii="仿宋_GB2312" w:eastAsia="仿宋_GB2312"/>
          <w:color w:val="000000"/>
          <w:sz w:val="32"/>
          <w:szCs w:val="32"/>
          <w:lang w:val="en-US" w:eastAsia="zh-CN"/>
        </w:rPr>
        <w:t>4.26</w:t>
      </w:r>
      <w:r>
        <w:rPr>
          <w:rFonts w:hint="eastAsia" w:ascii="仿宋_GB2312" w:eastAsia="仿宋_GB2312"/>
          <w:color w:val="000000"/>
          <w:sz w:val="32"/>
          <w:szCs w:val="32"/>
        </w:rPr>
        <w:t>万元,其中：</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4.26</w:t>
      </w:r>
      <w:r>
        <w:rPr>
          <w:rFonts w:hint="eastAsia" w:ascii="仿宋_GB2312" w:eastAsia="仿宋_GB2312"/>
          <w:color w:val="000000"/>
          <w:sz w:val="32"/>
          <w:szCs w:val="32"/>
        </w:rPr>
        <w:t>万元。主要用于开展各项财政工作所需的公务用车燃料费、维修费、过路过桥费、保险费等支出。</w:t>
      </w:r>
    </w:p>
    <w:p>
      <w:pPr>
        <w:spacing w:line="600" w:lineRule="exact"/>
        <w:ind w:firstLine="643" w:firstLineChars="200"/>
        <w:rPr>
          <w:rFonts w:ascii="楷体_GB2312" w:eastAsia="楷体_GB2312"/>
          <w:b/>
          <w:color w:val="000000"/>
          <w:sz w:val="32"/>
          <w:szCs w:val="32"/>
        </w:rPr>
      </w:pPr>
      <w:r>
        <w:rPr>
          <w:rFonts w:hint="eastAsia" w:ascii="仿宋_GB2312" w:eastAsia="仿宋_GB2312"/>
          <w:b/>
          <w:color w:val="000000"/>
          <w:sz w:val="32"/>
          <w:szCs w:val="32"/>
        </w:rPr>
        <w:t>3.公务接待费</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年公务接待费0.</w:t>
      </w:r>
      <w:r>
        <w:rPr>
          <w:rFonts w:hint="eastAsia" w:ascii="仿宋_GB2312" w:eastAsia="仿宋_GB2312"/>
          <w:color w:val="000000"/>
          <w:sz w:val="32"/>
          <w:szCs w:val="32"/>
          <w:lang w:val="en-US" w:eastAsia="zh-CN"/>
        </w:rPr>
        <w:t>43</w:t>
      </w:r>
      <w:r>
        <w:rPr>
          <w:rFonts w:hint="eastAsia" w:ascii="仿宋_GB2312" w:eastAsia="仿宋_GB2312"/>
          <w:color w:val="000000"/>
          <w:sz w:val="32"/>
          <w:szCs w:val="32"/>
        </w:rPr>
        <w:t>万元。</w:t>
      </w:r>
    </w:p>
    <w:p>
      <w:pPr>
        <w:snapToGrid w:val="0"/>
        <w:spacing w:line="520" w:lineRule="exact"/>
        <w:ind w:firstLine="643" w:firstLineChars="200"/>
        <w:outlineLvl w:val="0"/>
        <w:rPr>
          <w:rFonts w:hint="eastAsia" w:ascii="黑体" w:hAnsi="黑体" w:eastAsia="黑体"/>
          <w:b/>
          <w:bCs/>
          <w:sz w:val="32"/>
          <w:szCs w:val="32"/>
        </w:rPr>
      </w:pPr>
      <w:bookmarkStart w:id="58" w:name="_Toc31036"/>
      <w:bookmarkStart w:id="59" w:name="_Toc7579"/>
      <w:bookmarkStart w:id="60" w:name="_Toc585"/>
      <w:bookmarkStart w:id="61" w:name="_Toc9133"/>
      <w:bookmarkStart w:id="62" w:name="_Toc17630"/>
      <w:bookmarkStart w:id="63" w:name="YS060103"/>
      <w:r>
        <w:rPr>
          <w:rFonts w:hint="eastAsia" w:ascii="黑体" w:hAnsi="黑体" w:eastAsia="黑体"/>
          <w:b/>
          <w:bCs/>
          <w:sz w:val="32"/>
          <w:szCs w:val="32"/>
        </w:rPr>
        <w:t>五、资产负债情况分析</w:t>
      </w:r>
      <w:bookmarkEnd w:id="58"/>
      <w:bookmarkEnd w:id="59"/>
      <w:bookmarkEnd w:id="60"/>
      <w:bookmarkEnd w:id="61"/>
      <w:bookmarkEnd w:id="62"/>
    </w:p>
    <w:bookmarkEnd w:id="63"/>
    <w:p>
      <w:pPr>
        <w:snapToGrid w:val="0"/>
        <w:spacing w:line="520" w:lineRule="exact"/>
        <w:ind w:firstLine="640" w:firstLineChars="200"/>
        <w:rPr>
          <w:rFonts w:ascii="仿宋_GB2312" w:hAnsi="仿宋" w:eastAsia="仿宋_GB2312"/>
          <w:sz w:val="32"/>
          <w:szCs w:val="32"/>
        </w:rPr>
      </w:pPr>
      <w:bookmarkStart w:id="64" w:name="_Toc18759"/>
      <w:bookmarkStart w:id="65" w:name="_Toc6898"/>
      <w:bookmarkStart w:id="66" w:name="_Toc7698"/>
      <w:bookmarkStart w:id="67" w:name="_Toc18022"/>
      <w:r>
        <w:rPr>
          <w:rFonts w:hint="eastAsia" w:ascii="仿宋_GB2312" w:hAnsi="仿宋" w:eastAsia="仿宋_GB2312"/>
          <w:sz w:val="32"/>
          <w:szCs w:val="32"/>
        </w:rPr>
        <w:t>2019年年末固定资产总数59.42万元较2018年59.42万元无增加。负债基本情况：2019年负债减少，</w:t>
      </w:r>
      <w:r>
        <w:rPr>
          <w:rFonts w:hint="eastAsia" w:ascii="仿宋_GB2312" w:hAnsi="楷体_GB2312" w:eastAsia="仿宋_GB2312" w:cs="楷体_GB2312"/>
          <w:sz w:val="32"/>
          <w:szCs w:val="32"/>
        </w:rPr>
        <w:t>原因银行存款应付未付经费中在2019年已全部支付</w:t>
      </w:r>
      <w:r>
        <w:rPr>
          <w:rFonts w:hint="eastAsia" w:ascii="仿宋_GB2312" w:hAnsi="仿宋" w:eastAsia="仿宋_GB2312"/>
          <w:sz w:val="32"/>
          <w:szCs w:val="32"/>
        </w:rPr>
        <w:t>银行存款减少。</w:t>
      </w:r>
    </w:p>
    <w:p>
      <w:pPr>
        <w:snapToGrid w:val="0"/>
        <w:spacing w:line="520" w:lineRule="exact"/>
        <w:ind w:firstLine="640" w:firstLineChars="200"/>
        <w:rPr>
          <w:rFonts w:ascii="仿宋_GB2312" w:hAnsi="仿宋" w:eastAsia="仿宋_GB2312"/>
          <w:sz w:val="32"/>
          <w:szCs w:val="32"/>
        </w:rPr>
      </w:pPr>
      <w:r>
        <w:rPr>
          <w:rFonts w:hint="eastAsia" w:ascii="仿宋_GB2312" w:eastAsia="仿宋_GB2312"/>
          <w:color w:val="000000"/>
          <w:sz w:val="32"/>
          <w:szCs w:val="32"/>
        </w:rPr>
        <w:drawing>
          <wp:anchor distT="0" distB="0" distL="114300" distR="114300" simplePos="0" relativeHeight="251660288" behindDoc="1" locked="0" layoutInCell="1" allowOverlap="1">
            <wp:simplePos x="0" y="0"/>
            <wp:positionH relativeFrom="column">
              <wp:posOffset>591820</wp:posOffset>
            </wp:positionH>
            <wp:positionV relativeFrom="paragraph">
              <wp:posOffset>57785</wp:posOffset>
            </wp:positionV>
            <wp:extent cx="4385310" cy="1876425"/>
            <wp:effectExtent l="4445" t="5080" r="10795" b="444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napToGrid w:val="0"/>
        <w:spacing w:line="520" w:lineRule="exact"/>
        <w:rPr>
          <w:rFonts w:ascii="仿宋_GB2312" w:hAnsi="仿宋" w:eastAsia="仿宋_GB2312"/>
          <w:sz w:val="32"/>
          <w:szCs w:val="32"/>
        </w:rPr>
      </w:pPr>
    </w:p>
    <w:p>
      <w:pPr>
        <w:spacing w:line="600" w:lineRule="exact"/>
        <w:ind w:firstLine="640"/>
        <w:outlineLvl w:val="0"/>
        <w:rPr>
          <w:rFonts w:hint="eastAsia" w:ascii="黑体" w:hAnsi="黑体" w:eastAsia="黑体" w:cs="黑体"/>
          <w:b/>
          <w:bCs/>
          <w:color w:val="000000"/>
          <w:sz w:val="32"/>
          <w:szCs w:val="32"/>
        </w:rPr>
      </w:pPr>
      <w:bookmarkStart w:id="68" w:name="_Toc23460"/>
      <w:r>
        <w:rPr>
          <w:rFonts w:hint="eastAsia" w:ascii="黑体" w:hAnsi="黑体" w:eastAsia="黑体" w:cs="黑体"/>
          <w:b/>
          <w:bCs/>
          <w:color w:val="000000"/>
          <w:sz w:val="32"/>
          <w:szCs w:val="32"/>
        </w:rPr>
        <w:t>六、政府性基金预算财政拨款支出决算情况</w:t>
      </w:r>
      <w:bookmarkEnd w:id="64"/>
      <w:bookmarkEnd w:id="65"/>
      <w:bookmarkEnd w:id="66"/>
      <w:bookmarkEnd w:id="67"/>
      <w:bookmarkEnd w:id="68"/>
    </w:p>
    <w:p>
      <w:pPr>
        <w:spacing w:line="600" w:lineRule="exact"/>
        <w:ind w:firstLine="640"/>
        <w:rPr>
          <w:rFonts w:hint="eastAsia"/>
          <w:lang w:eastAsia="zh-CN"/>
        </w:rPr>
      </w:pPr>
      <w:r>
        <w:rPr>
          <w:rFonts w:hint="eastAsia" w:ascii="仿宋_GB2312" w:eastAsia="仿宋_GB2312"/>
          <w:color w:val="000000"/>
          <w:sz w:val="32"/>
          <w:szCs w:val="32"/>
        </w:rPr>
        <w:t>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年无政府性基金预算财政拨款支出。</w:t>
      </w:r>
    </w:p>
    <w:p>
      <w:pPr>
        <w:spacing w:line="600" w:lineRule="exact"/>
        <w:ind w:firstLine="643" w:firstLineChars="200"/>
        <w:outlineLvl w:val="0"/>
        <w:rPr>
          <w:rFonts w:ascii="黑体" w:eastAsia="黑体"/>
          <w:b/>
          <w:bCs/>
          <w:color w:val="000000"/>
          <w:sz w:val="32"/>
          <w:szCs w:val="32"/>
        </w:rPr>
      </w:pPr>
      <w:bookmarkStart w:id="69" w:name="_Toc9772"/>
      <w:bookmarkStart w:id="70" w:name="_Toc19111"/>
      <w:bookmarkStart w:id="71" w:name="_Toc18645"/>
      <w:r>
        <w:rPr>
          <w:rFonts w:hint="eastAsia" w:ascii="黑体" w:eastAsia="黑体"/>
          <w:b/>
          <w:bCs/>
          <w:color w:val="000000"/>
          <w:sz w:val="32"/>
          <w:szCs w:val="32"/>
        </w:rPr>
        <w:t>七、其他重要事项的情况说明</w:t>
      </w:r>
      <w:bookmarkEnd w:id="69"/>
      <w:bookmarkEnd w:id="70"/>
      <w:bookmarkEnd w:id="71"/>
    </w:p>
    <w:p>
      <w:pPr>
        <w:spacing w:line="600" w:lineRule="exact"/>
        <w:ind w:firstLine="602" w:firstLineChars="200"/>
        <w:outlineLvl w:val="1"/>
        <w:rPr>
          <w:rFonts w:hint="eastAsia" w:ascii="楷体" w:hAnsi="楷体" w:eastAsia="楷体" w:cs="楷体"/>
          <w:b/>
          <w:color w:val="000000"/>
          <w:sz w:val="30"/>
          <w:szCs w:val="30"/>
        </w:rPr>
      </w:pPr>
      <w:bookmarkStart w:id="72" w:name="_Toc4355"/>
      <w:bookmarkStart w:id="73" w:name="_Toc5714"/>
      <w:bookmarkStart w:id="74" w:name="_Toc10533"/>
      <w:r>
        <w:rPr>
          <w:rFonts w:hint="eastAsia" w:ascii="楷体" w:hAnsi="楷体" w:eastAsia="楷体" w:cs="楷体"/>
          <w:b/>
          <w:color w:val="000000"/>
          <w:sz w:val="30"/>
          <w:szCs w:val="30"/>
        </w:rPr>
        <w:t>（一）机关运行经费支出情况</w:t>
      </w:r>
      <w:bookmarkEnd w:id="72"/>
      <w:bookmarkEnd w:id="73"/>
      <w:bookmarkEnd w:id="74"/>
    </w:p>
    <w:p>
      <w:pPr>
        <w:spacing w:line="600" w:lineRule="exact"/>
        <w:ind w:firstLine="640" w:firstLineChars="200"/>
        <w:rPr>
          <w:rFonts w:hint="eastAsia" w:ascii="仿宋_GB2312" w:eastAsia="仿宋_GB2312"/>
          <w:color w:val="000000"/>
          <w:sz w:val="30"/>
          <w:szCs w:val="30"/>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局机关运行经费支出362.16万元。</w:t>
      </w:r>
    </w:p>
    <w:p>
      <w:pPr>
        <w:autoSpaceDE w:val="0"/>
        <w:autoSpaceDN w:val="0"/>
        <w:adjustRightInd w:val="0"/>
        <w:spacing w:line="600" w:lineRule="exact"/>
        <w:ind w:firstLine="602" w:firstLineChars="200"/>
        <w:jc w:val="left"/>
        <w:outlineLvl w:val="1"/>
        <w:rPr>
          <w:rFonts w:hint="eastAsia" w:ascii="楷体" w:hAnsi="楷体" w:eastAsia="楷体" w:cs="楷体"/>
          <w:b/>
          <w:color w:val="000000"/>
          <w:sz w:val="30"/>
          <w:szCs w:val="30"/>
        </w:rPr>
      </w:pPr>
      <w:bookmarkStart w:id="75" w:name="_Toc17192"/>
      <w:bookmarkStart w:id="76" w:name="_Toc4348"/>
      <w:bookmarkStart w:id="77" w:name="_Toc6972"/>
      <w:r>
        <w:rPr>
          <w:rFonts w:hint="eastAsia" w:ascii="楷体" w:hAnsi="楷体" w:eastAsia="楷体" w:cs="楷体"/>
          <w:b/>
          <w:color w:val="000000"/>
          <w:sz w:val="30"/>
          <w:szCs w:val="30"/>
        </w:rPr>
        <w:t>（二）政府采购支出情况</w:t>
      </w:r>
      <w:bookmarkEnd w:id="75"/>
      <w:bookmarkEnd w:id="76"/>
      <w:bookmarkEnd w:id="77"/>
    </w:p>
    <w:p>
      <w:pPr>
        <w:autoSpaceDE w:val="0"/>
        <w:autoSpaceDN w:val="0"/>
        <w:adjustRightInd w:val="0"/>
        <w:spacing w:line="600" w:lineRule="exact"/>
        <w:ind w:firstLine="640" w:firstLineChars="200"/>
        <w:jc w:val="left"/>
        <w:outlineLvl w:val="1"/>
        <w:rPr>
          <w:rFonts w:hint="eastAsia" w:ascii="仿宋_GB2312" w:eastAsia="仿宋_GB2312"/>
          <w:color w:val="000000"/>
          <w:sz w:val="32"/>
          <w:szCs w:val="32"/>
        </w:rPr>
      </w:pPr>
      <w:bookmarkStart w:id="78" w:name="_Toc4915"/>
      <w:bookmarkStart w:id="79" w:name="_Toc701"/>
      <w:bookmarkStart w:id="80" w:name="_Toc11219"/>
      <w:bookmarkStart w:id="81" w:name="_Toc8299"/>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局采购支出</w:t>
      </w:r>
      <w:r>
        <w:rPr>
          <w:rFonts w:hint="eastAsia" w:ascii="仿宋_GB2312" w:eastAsia="仿宋_GB2312"/>
          <w:color w:val="000000"/>
          <w:sz w:val="30"/>
          <w:szCs w:val="30"/>
        </w:rPr>
        <w:t>44.33</w:t>
      </w:r>
      <w:r>
        <w:rPr>
          <w:rFonts w:hint="eastAsia" w:ascii="仿宋_GB2312" w:eastAsia="仿宋_GB2312"/>
          <w:color w:val="000000"/>
          <w:sz w:val="32"/>
          <w:szCs w:val="32"/>
          <w:lang w:val="en-US" w:eastAsia="zh-CN"/>
        </w:rPr>
        <w:t>万元</w:t>
      </w:r>
      <w:r>
        <w:rPr>
          <w:rFonts w:hint="eastAsia" w:ascii="仿宋_GB2312" w:eastAsia="仿宋_GB2312"/>
          <w:color w:val="000000"/>
          <w:sz w:val="32"/>
          <w:szCs w:val="32"/>
        </w:rPr>
        <w:t>。</w:t>
      </w:r>
      <w:bookmarkEnd w:id="78"/>
      <w:bookmarkEnd w:id="79"/>
      <w:bookmarkEnd w:id="80"/>
    </w:p>
    <w:p>
      <w:pPr>
        <w:autoSpaceDE w:val="0"/>
        <w:autoSpaceDN w:val="0"/>
        <w:adjustRightInd w:val="0"/>
        <w:spacing w:line="600" w:lineRule="exact"/>
        <w:ind w:firstLine="602" w:firstLineChars="200"/>
        <w:jc w:val="left"/>
        <w:outlineLvl w:val="1"/>
        <w:rPr>
          <w:rFonts w:hint="eastAsia" w:ascii="楷体" w:hAnsi="楷体" w:eastAsia="楷体" w:cs="楷体"/>
          <w:b/>
          <w:color w:val="000000"/>
          <w:sz w:val="30"/>
          <w:szCs w:val="30"/>
        </w:rPr>
      </w:pPr>
      <w:bookmarkStart w:id="82" w:name="_Toc9647"/>
      <w:bookmarkStart w:id="83" w:name="_Toc21599"/>
      <w:r>
        <w:rPr>
          <w:rFonts w:hint="eastAsia" w:ascii="楷体" w:hAnsi="楷体" w:eastAsia="楷体" w:cs="楷体"/>
          <w:b/>
          <w:color w:val="000000"/>
          <w:sz w:val="30"/>
          <w:szCs w:val="30"/>
        </w:rPr>
        <w:t>（三）国有资产占有使用情况</w:t>
      </w:r>
      <w:bookmarkEnd w:id="81"/>
      <w:bookmarkEnd w:id="82"/>
      <w:bookmarkEnd w:id="83"/>
    </w:p>
    <w:p>
      <w:pPr>
        <w:autoSpaceDE w:val="0"/>
        <w:autoSpaceDN w:val="0"/>
        <w:adjustRightInd w:val="0"/>
        <w:spacing w:line="600" w:lineRule="exact"/>
        <w:ind w:firstLine="600" w:firstLineChars="200"/>
        <w:jc w:val="left"/>
        <w:rPr>
          <w:rFonts w:hint="eastAsia" w:ascii="仿宋_GB2312" w:eastAsia="仿宋_GB2312"/>
          <w:color w:val="000000"/>
          <w:sz w:val="32"/>
          <w:szCs w:val="32"/>
        </w:rPr>
      </w:pPr>
      <w:bookmarkStart w:id="84" w:name="_Toc8700"/>
      <w:r>
        <w:rPr>
          <w:rFonts w:hint="eastAsia" w:ascii="仿宋_GB2312" w:eastAsia="仿宋_GB2312"/>
          <w:color w:val="000000"/>
          <w:sz w:val="30"/>
          <w:szCs w:val="30"/>
        </w:rPr>
        <w:t>截至2019年12月31日，我办有公务用车辆1辆，为一般公务用车；无单价50万元以上通用设备，无单价100万元以上专用设备。</w:t>
      </w:r>
    </w:p>
    <w:p>
      <w:pPr>
        <w:autoSpaceDE w:val="0"/>
        <w:autoSpaceDN w:val="0"/>
        <w:adjustRightInd w:val="0"/>
        <w:spacing w:line="600" w:lineRule="exact"/>
        <w:ind w:firstLine="643" w:firstLineChars="200"/>
        <w:jc w:val="left"/>
        <w:outlineLvl w:val="1"/>
        <w:rPr>
          <w:rFonts w:hint="eastAsia" w:ascii="楷体" w:hAnsi="楷体" w:eastAsia="楷体" w:cs="楷体"/>
          <w:b/>
          <w:color w:val="000000"/>
          <w:sz w:val="32"/>
          <w:szCs w:val="32"/>
        </w:rPr>
      </w:pPr>
      <w:bookmarkStart w:id="85" w:name="_Toc7702"/>
      <w:bookmarkStart w:id="86" w:name="_Toc21670"/>
      <w:r>
        <w:rPr>
          <w:rFonts w:hint="eastAsia" w:ascii="楷体" w:hAnsi="楷体" w:eastAsia="楷体" w:cs="楷体"/>
          <w:b/>
          <w:color w:val="000000"/>
          <w:sz w:val="32"/>
          <w:szCs w:val="32"/>
        </w:rPr>
        <w:t>（四）预算绩效情况</w:t>
      </w:r>
      <w:bookmarkEnd w:id="84"/>
      <w:bookmarkEnd w:id="85"/>
      <w:bookmarkEnd w:id="86"/>
    </w:p>
    <w:p>
      <w:pPr>
        <w:spacing w:line="600" w:lineRule="atLeast"/>
        <w:ind w:firstLine="600" w:firstLineChars="200"/>
        <w:rPr>
          <w:rFonts w:ascii="仿宋_GB2312" w:eastAsia="仿宋_GB2312"/>
          <w:sz w:val="30"/>
          <w:szCs w:val="30"/>
        </w:rPr>
      </w:pPr>
      <w:bookmarkStart w:id="87" w:name="_Toc13295"/>
      <w:bookmarkStart w:id="88" w:name="_Toc11054"/>
      <w:r>
        <w:rPr>
          <w:rFonts w:hint="eastAsia" w:ascii="仿宋_GB2312" w:eastAsia="仿宋_GB2312"/>
          <w:sz w:val="30"/>
          <w:szCs w:val="30"/>
        </w:rPr>
        <w:t>按照预算绩效管理要求，本部门对2019年一般公共预算项目支出开展了绩效目标管理，编制绩效目标，涉及财政资金</w:t>
      </w:r>
      <w:r>
        <w:rPr>
          <w:rFonts w:ascii="仿宋_GB2312" w:eastAsia="仿宋_GB2312"/>
          <w:sz w:val="30"/>
          <w:szCs w:val="30"/>
        </w:rPr>
        <w:t>2098</w:t>
      </w:r>
      <w:r>
        <w:rPr>
          <w:rFonts w:hint="eastAsia" w:ascii="仿宋_GB2312" w:eastAsia="仿宋_GB2312"/>
          <w:sz w:val="30"/>
          <w:szCs w:val="30"/>
        </w:rPr>
        <w:t>.</w:t>
      </w:r>
      <w:r>
        <w:rPr>
          <w:rFonts w:ascii="仿宋_GB2312" w:eastAsia="仿宋_GB2312"/>
          <w:sz w:val="30"/>
          <w:szCs w:val="30"/>
        </w:rPr>
        <w:t>1</w:t>
      </w:r>
      <w:r>
        <w:rPr>
          <w:rFonts w:hint="eastAsia" w:ascii="仿宋_GB2312" w:eastAsia="仿宋_GB2312"/>
          <w:sz w:val="30"/>
          <w:szCs w:val="30"/>
        </w:rPr>
        <w:t>6万元，覆盖率达到100%。我办积极开展项目绩效自评，自评得分82分。</w:t>
      </w:r>
    </w:p>
    <w:p>
      <w:pPr>
        <w:spacing w:line="600" w:lineRule="atLeast"/>
        <w:ind w:firstLine="602" w:firstLineChars="200"/>
        <w:outlineLvl w:val="2"/>
        <w:rPr>
          <w:rFonts w:hint="eastAsia" w:ascii="楷体" w:hAnsi="楷体" w:eastAsia="楷体" w:cs="楷体"/>
          <w:b/>
          <w:bCs/>
          <w:sz w:val="30"/>
          <w:szCs w:val="30"/>
        </w:rPr>
      </w:pPr>
      <w:r>
        <w:rPr>
          <w:rFonts w:hint="eastAsia" w:ascii="楷体" w:hAnsi="楷体" w:eastAsia="楷体" w:cs="楷体"/>
          <w:b/>
          <w:bCs/>
          <w:sz w:val="30"/>
          <w:szCs w:val="30"/>
        </w:rPr>
        <w:t>1、评价结论</w:t>
      </w:r>
      <w:bookmarkEnd w:id="87"/>
      <w:bookmarkEnd w:id="88"/>
    </w:p>
    <w:p>
      <w:pPr>
        <w:spacing w:line="600" w:lineRule="atLeast"/>
        <w:ind w:firstLine="600" w:firstLineChars="200"/>
        <w:rPr>
          <w:rFonts w:hint="eastAsia" w:ascii="仿宋_GB2312" w:eastAsia="仿宋_GB2312"/>
          <w:sz w:val="30"/>
          <w:szCs w:val="30"/>
        </w:rPr>
      </w:pPr>
      <w:r>
        <w:rPr>
          <w:rFonts w:hint="eastAsia" w:ascii="仿宋_GB2312" w:eastAsia="仿宋_GB2312"/>
          <w:sz w:val="30"/>
          <w:szCs w:val="30"/>
        </w:rPr>
        <w:t>部门预算执行情况良好，无不良记录及违规违纪行为，预算支出和决算支出基本情况相符。</w:t>
      </w:r>
    </w:p>
    <w:p>
      <w:pPr>
        <w:spacing w:line="600" w:lineRule="atLeast"/>
        <w:ind w:firstLine="602" w:firstLineChars="200"/>
        <w:outlineLvl w:val="2"/>
        <w:rPr>
          <w:rFonts w:hint="eastAsia" w:ascii="楷体" w:hAnsi="楷体" w:eastAsia="楷体" w:cs="楷体"/>
          <w:b/>
          <w:bCs/>
          <w:sz w:val="30"/>
          <w:szCs w:val="30"/>
        </w:rPr>
      </w:pPr>
      <w:bookmarkStart w:id="89" w:name="_Toc21013"/>
      <w:bookmarkStart w:id="90" w:name="_Toc20320"/>
      <w:r>
        <w:rPr>
          <w:rFonts w:hint="eastAsia" w:ascii="楷体" w:hAnsi="楷体" w:eastAsia="楷体" w:cs="楷体"/>
          <w:b/>
          <w:bCs/>
          <w:sz w:val="30"/>
          <w:szCs w:val="30"/>
        </w:rPr>
        <w:t>2、存在问题</w:t>
      </w:r>
      <w:bookmarkEnd w:id="89"/>
      <w:bookmarkEnd w:id="90"/>
    </w:p>
    <w:p>
      <w:pPr>
        <w:spacing w:line="600" w:lineRule="atLeast"/>
        <w:ind w:firstLine="640" w:firstLineChars="200"/>
        <w:rPr>
          <w:rFonts w:hint="eastAsia" w:ascii="仿宋_GB2312" w:eastAsia="仿宋_GB2312"/>
          <w:sz w:val="32"/>
          <w:szCs w:val="32"/>
        </w:rPr>
      </w:pPr>
      <w:bookmarkStart w:id="91" w:name="_Toc29651"/>
      <w:r>
        <w:rPr>
          <w:rFonts w:hint="eastAsia" w:ascii="仿宋_GB2312" w:eastAsia="仿宋_GB2312"/>
          <w:sz w:val="32"/>
          <w:szCs w:val="32"/>
        </w:rPr>
        <w:t>一是预算经费支出进度较缓；二是部门决算上报处理效率还需继续提升。</w:t>
      </w:r>
    </w:p>
    <w:p>
      <w:pPr>
        <w:spacing w:line="600" w:lineRule="atLeast"/>
        <w:ind w:firstLine="602" w:firstLineChars="200"/>
        <w:outlineLvl w:val="2"/>
        <w:rPr>
          <w:rFonts w:hint="eastAsia" w:ascii="楷体" w:hAnsi="楷体" w:eastAsia="楷体" w:cs="楷体"/>
          <w:b/>
          <w:bCs/>
          <w:sz w:val="30"/>
          <w:szCs w:val="30"/>
        </w:rPr>
      </w:pPr>
      <w:bookmarkStart w:id="92" w:name="_Toc8654"/>
      <w:r>
        <w:rPr>
          <w:rFonts w:hint="eastAsia" w:ascii="楷体" w:hAnsi="楷体" w:eastAsia="楷体" w:cs="楷体"/>
          <w:b/>
          <w:bCs/>
          <w:sz w:val="30"/>
          <w:szCs w:val="30"/>
        </w:rPr>
        <w:t>3、改进建议</w:t>
      </w:r>
      <w:bookmarkEnd w:id="91"/>
      <w:bookmarkEnd w:id="92"/>
    </w:p>
    <w:p>
      <w:pPr>
        <w:spacing w:line="600" w:lineRule="atLeast"/>
        <w:ind w:firstLine="640" w:firstLineChars="200"/>
        <w:rPr>
          <w:rFonts w:hint="eastAsia" w:ascii="仿宋_GB2312" w:eastAsia="仿宋_GB2312"/>
          <w:sz w:val="32"/>
          <w:szCs w:val="32"/>
        </w:rPr>
      </w:pPr>
      <w:bookmarkStart w:id="93" w:name="_Toc29051"/>
      <w:bookmarkStart w:id="94" w:name="_Toc22034"/>
      <w:r>
        <w:rPr>
          <w:rFonts w:hint="eastAsia" w:ascii="仿宋_GB2312" w:eastAsia="仿宋_GB2312"/>
          <w:sz w:val="32"/>
          <w:szCs w:val="32"/>
        </w:rPr>
        <w:t>加快完成机关财务管理规章制度建设、加强会计核算和财务管理能力，及时与县财政局相关科室对接工作，提升工作效率。</w:t>
      </w:r>
    </w:p>
    <w:p>
      <w:pPr>
        <w:autoSpaceDE w:val="0"/>
        <w:autoSpaceDN w:val="0"/>
        <w:adjustRightInd w:val="0"/>
        <w:spacing w:line="600" w:lineRule="exact"/>
        <w:ind w:firstLine="643" w:firstLineChars="200"/>
        <w:jc w:val="left"/>
        <w:outlineLvl w:val="0"/>
        <w:rPr>
          <w:rFonts w:hint="eastAsia" w:ascii="黑体" w:eastAsia="黑体"/>
          <w:b/>
          <w:bCs/>
          <w:color w:val="000000"/>
          <w:sz w:val="32"/>
          <w:szCs w:val="32"/>
        </w:rPr>
      </w:pPr>
      <w:bookmarkStart w:id="95" w:name="_Toc5775"/>
      <w:bookmarkStart w:id="96" w:name="_Toc18730"/>
      <w:bookmarkStart w:id="97" w:name="_Toc21451"/>
      <w:r>
        <w:rPr>
          <w:rFonts w:hint="eastAsia" w:ascii="黑体" w:eastAsia="黑体"/>
          <w:b/>
          <w:bCs/>
          <w:color w:val="000000"/>
          <w:sz w:val="32"/>
          <w:szCs w:val="32"/>
        </w:rPr>
        <w:t>八、名词解释</w:t>
      </w:r>
      <w:bookmarkEnd w:id="93"/>
      <w:bookmarkEnd w:id="94"/>
      <w:bookmarkEnd w:id="95"/>
      <w:bookmarkEnd w:id="96"/>
      <w:bookmarkEnd w:id="97"/>
    </w:p>
    <w:p>
      <w:pPr>
        <w:pStyle w:val="12"/>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1.财政拨款收入：指县级财政当年拨付的资金。 </w:t>
      </w:r>
    </w:p>
    <w:p>
      <w:pPr>
        <w:pStyle w:val="12"/>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2.年初结转和结余：指以前年度尚未完成、结转到本年按有关规定继续使用的资金。 </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3. 一般公共服务201（类）党委办公厅（室）及相关机构事务31（款）行政运行01（项）：指反映行政人员的基本支出。</w:t>
      </w:r>
    </w:p>
    <w:p>
      <w:pPr>
        <w:ind w:firstLine="600" w:firstLineChars="200"/>
        <w:rPr>
          <w:rFonts w:ascii="仿宋_GB2312" w:eastAsia="仿宋_GB2312"/>
          <w:color w:val="000000"/>
          <w:w w:val="90"/>
          <w:sz w:val="30"/>
          <w:szCs w:val="30"/>
        </w:rPr>
      </w:pPr>
      <w:r>
        <w:rPr>
          <w:rFonts w:hint="eastAsia" w:ascii="仿宋_GB2312" w:eastAsia="仿宋_GB2312"/>
          <w:color w:val="000000"/>
          <w:sz w:val="30"/>
          <w:szCs w:val="30"/>
        </w:rPr>
        <w:t>4.一般公共服务201（类）其他一般公共服务99（款）其他</w:t>
      </w:r>
      <w:r>
        <w:rPr>
          <w:rFonts w:hint="eastAsia" w:ascii="仿宋_GB2312" w:eastAsia="仿宋_GB2312"/>
          <w:color w:val="000000"/>
          <w:w w:val="90"/>
          <w:sz w:val="30"/>
          <w:szCs w:val="30"/>
        </w:rPr>
        <w:t>一般公共服务99（项）</w:t>
      </w:r>
      <w:r>
        <w:rPr>
          <w:rFonts w:hint="eastAsia" w:ascii="仿宋_GB2312" w:eastAsia="仿宋_GB2312"/>
          <w:w w:val="90"/>
          <w:sz w:val="30"/>
          <w:szCs w:val="30"/>
        </w:rPr>
        <w:t>：</w:t>
      </w:r>
      <w:r>
        <w:rPr>
          <w:rFonts w:hint="eastAsia" w:ascii="仿宋_GB2312" w:eastAsia="仿宋_GB2312"/>
          <w:color w:val="000000"/>
          <w:w w:val="90"/>
          <w:sz w:val="30"/>
          <w:szCs w:val="30"/>
        </w:rPr>
        <w:t>指反映县级领导全州绩效考核后的目标奖。</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5.社会保障和就业208行政事业单位离退休05机关事业单位基本养老保险缴费支出05：指机关事业单位实施养老保险制度由单位缴纳的基本养老保险费支出。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6.社会保障和就业208行政事业单位离退休05机关事业单位职业年金缴费支出06：指机关事业单位实施养老保险制度由单位缴纳的职业年金支出。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7.医疗卫生与计划生育支出210医疗保障05行政单位医疗01：指行政单位基本医疗保险缴费。</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8.住房保障支出221住房改革支出02住房公积金01：指反映行政事业单位按人力资源和社会保障部、财政部规定的基本工资和津贴补贴以及规定比例为职工缴纳的住房公积金。</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9.其他支出229其他支出99其他支出01：指其他不能划分到具体功能科目中的支出项目。</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10.年末结转和结余：指本年度或以前年度预算安排、因客观条件发生变化无法按原计划实施，需延迟到以后年度按有关规定继续使用的资金。</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11.基本支出：指为保障机构正常运转、完成日常工作任务而发生的人员支出和公用支出。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 xml:space="preserve">12.项目支出：指在基本支出之外为完成特定行政任务和事业发展目标所发生的支出。 </w:t>
      </w:r>
    </w:p>
    <w:p>
      <w:pPr>
        <w:pStyle w:val="12"/>
        <w:spacing w:line="560" w:lineRule="exact"/>
        <w:ind w:firstLine="600" w:firstLineChars="200"/>
        <w:rPr>
          <w:rFonts w:ascii="仿宋_GB2312" w:eastAsia="仿宋_GB2312"/>
          <w:sz w:val="30"/>
          <w:szCs w:val="30"/>
        </w:rPr>
      </w:pPr>
      <w:r>
        <w:rPr>
          <w:rFonts w:hint="eastAsia" w:ascii="仿宋_GB2312" w:eastAsia="仿宋_GB2312"/>
          <w:sz w:val="30"/>
          <w:szCs w:val="30"/>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0"/>
        </w:numPr>
        <w:ind w:leftChars="0" w:firstLine="600" w:firstLineChars="200"/>
        <w:rPr>
          <w:rFonts w:hint="default"/>
          <w:lang w:val="en-US" w:eastAsia="zh-CN"/>
        </w:rPr>
      </w:pPr>
      <w:r>
        <w:rPr>
          <w:rFonts w:hint="eastAsia" w:ascii="仿宋_GB2312" w:eastAsia="仿宋_GB2312"/>
          <w:sz w:val="30"/>
          <w:szCs w:val="30"/>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FE8CAD"/>
    <w:multiLevelType w:val="singleLevel"/>
    <w:tmpl w:val="A3FE8CAD"/>
    <w:lvl w:ilvl="0" w:tentative="0">
      <w:start w:val="2"/>
      <w:numFmt w:val="decimal"/>
      <w:suff w:val="nothing"/>
      <w:lvlText w:val="%1、"/>
      <w:lvlJc w:val="left"/>
    </w:lvl>
  </w:abstractNum>
  <w:abstractNum w:abstractNumId="1">
    <w:nsid w:val="2B352399"/>
    <w:multiLevelType w:val="singleLevel"/>
    <w:tmpl w:val="2B352399"/>
    <w:lvl w:ilvl="0" w:tentative="0">
      <w:start w:val="7"/>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E3509"/>
    <w:rsid w:val="1EB941C6"/>
    <w:rsid w:val="42CE3509"/>
    <w:rsid w:val="5DD61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6">
    <w:name w:val="toc 2"/>
    <w:basedOn w:val="1"/>
    <w:next w:val="1"/>
    <w:qFormat/>
    <w:uiPriority w:val="0"/>
    <w:pPr>
      <w:ind w:left="420" w:leftChars="200"/>
    </w:pPr>
  </w:style>
  <w:style w:type="character" w:styleId="9">
    <w:name w:val="Strong"/>
    <w:qFormat/>
    <w:uiPriority w:val="0"/>
    <w:rPr>
      <w:b/>
      <w:bCs/>
    </w:rPr>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 w:type="paragraph" w:customStyle="1" w:styleId="11">
    <w:name w:val="WPSOffice手动目录 2"/>
    <w:qFormat/>
    <w:uiPriority w:val="0"/>
    <w:pPr>
      <w:ind w:leftChars="200"/>
    </w:pPr>
    <w:rPr>
      <w:rFonts w:asciiTheme="minorHAnsi" w:hAnsiTheme="minorHAnsi" w:eastAsiaTheme="minorEastAsia" w:cstheme="minorBidi"/>
      <w:sz w:val="20"/>
      <w:szCs w:val="20"/>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percentStack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2019年末固定资产</c:v>
                </c:pt>
                <c:pt idx="1">
                  <c:v>2018年末固定资产</c:v>
                </c:pt>
              </c:strCache>
            </c:strRef>
          </c:cat>
          <c:val>
            <c:numRef>
              <c:f>Sheet1!$B$2:$B$3</c:f>
              <c:numCache>
                <c:formatCode>General</c:formatCode>
                <c:ptCount val="2"/>
                <c:pt idx="0">
                  <c:v>59.42</c:v>
                </c:pt>
                <c:pt idx="1">
                  <c:v>59.42</c:v>
                </c:pt>
              </c:numCache>
            </c:numRef>
          </c:val>
        </c:ser>
        <c:ser>
          <c:idx val="1"/>
          <c:order val="1"/>
          <c:tx>
            <c:strRef>
              <c:f>Sheet1!$C$1</c:f>
              <c:strCache>
                <c:ptCount val="1"/>
                <c:pt idx="0">
                  <c:v>系列 2</c:v>
                </c:pt>
              </c:strCache>
            </c:strRef>
          </c:tx>
          <c:spPr>
            <a:solidFill>
              <a:schemeClr val="accent2"/>
            </a:solidFill>
            <a:ln>
              <a:noFill/>
            </a:ln>
            <a:effectLst/>
          </c:spPr>
          <c:invertIfNegative val="0"/>
          <c:dLbls>
            <c:delete val="1"/>
          </c:dLbls>
          <c:cat>
            <c:strRef>
              <c:f>Sheet1!$A$2:$A$3</c:f>
              <c:strCache>
                <c:ptCount val="2"/>
                <c:pt idx="0">
                  <c:v>2019年末固定资产</c:v>
                </c:pt>
                <c:pt idx="1">
                  <c:v>2018年末固定资产</c:v>
                </c:pt>
              </c:strCache>
            </c:strRef>
          </c:cat>
          <c:val>
            <c:numRef>
              <c:f>Sheet1!$C$2:$C$3</c:f>
              <c:numCache>
                <c:formatCode>General</c:formatCode>
                <c:ptCount val="2"/>
                <c:pt idx="0">
                  <c:v>59.42</c:v>
                </c:pt>
                <c:pt idx="1">
                  <c:v>59.42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2019年末固定资产</c:v>
                </c:pt>
                <c:pt idx="1">
                  <c:v>2018年末固定资产</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171510016"/>
        <c:axId val="171515904"/>
      </c:barChart>
      <c:catAx>
        <c:axId val="17151001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1515904"/>
        <c:crosses val="autoZero"/>
        <c:auto val="1"/>
        <c:lblAlgn val="ctr"/>
        <c:lblOffset val="100"/>
        <c:noMultiLvlLbl val="0"/>
      </c:catAx>
      <c:valAx>
        <c:axId val="1715159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1510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2021-05-21T01:19:00Z</dcterms:created>
  <dc:creator>7先生</dc:creator>
  <cp:lastModifiedBy>不改</cp:lastModifiedBy>
  <dcterms:modified xsi:type="dcterms:W3CDTF">2021-06-07T01:45:22Z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CFF02FB0C2E6401293BF6E131A651FDA</vt:lpwstr>
  </property>
</Properties>
</file>