
<file path=[Content_Types].xml><?xml version="1.0" encoding="utf-8"?>
<Types xmlns="http://schemas.openxmlformats.org/package/2006/content-types">
  <Default Extension="xml" ContentType="application/xml"/>
  <Default Extension="bin" ContentType="application/vnd.openxmlformats-officedocument.oleObject"/>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jc w:val="center"/>
        <w:rPr>
          <w:rFonts w:hint="eastAsia" w:ascii="黑体" w:hAnsi="黑体" w:eastAsia="黑体" w:cs="黑体"/>
          <w:sz w:val="44"/>
          <w:szCs w:val="44"/>
        </w:rPr>
      </w:pPr>
    </w:p>
    <w:p>
      <w:pPr>
        <w:snapToGrid w:val="0"/>
        <w:jc w:val="center"/>
        <w:rPr>
          <w:rFonts w:hint="eastAsia" w:ascii="黑体" w:hAnsi="黑体" w:eastAsia="黑体" w:cs="黑体"/>
          <w:sz w:val="44"/>
          <w:szCs w:val="44"/>
        </w:rPr>
      </w:pPr>
    </w:p>
    <w:p>
      <w:pPr>
        <w:snapToGrid w:val="0"/>
        <w:jc w:val="center"/>
        <w:rPr>
          <w:rFonts w:hint="eastAsia" w:ascii="黑体" w:hAnsi="黑体" w:eastAsia="黑体" w:cs="黑体"/>
          <w:sz w:val="44"/>
          <w:szCs w:val="44"/>
        </w:rPr>
      </w:pPr>
    </w:p>
    <w:p>
      <w:pPr>
        <w:adjustRightInd w:val="0"/>
        <w:snapToGrid w:val="0"/>
        <w:spacing w:line="360" w:lineRule="auto"/>
        <w:jc w:val="center"/>
        <w:outlineLvl w:val="9"/>
        <w:rPr>
          <w:rFonts w:hint="eastAsia" w:ascii="黑体" w:hAnsi="黑体" w:eastAsia="黑体"/>
          <w:color w:val="000000"/>
          <w:sz w:val="72"/>
          <w:szCs w:val="72"/>
        </w:rPr>
      </w:pPr>
      <w:bookmarkStart w:id="0" w:name="_Toc15396475"/>
      <w:bookmarkStart w:id="1" w:name="_Toc15396597"/>
      <w:bookmarkStart w:id="2" w:name="_Toc15377193"/>
      <w:bookmarkStart w:id="3" w:name="_Toc15377425"/>
      <w:bookmarkStart w:id="4" w:name="_Toc15378441"/>
    </w:p>
    <w:p>
      <w:pPr>
        <w:adjustRightInd w:val="0"/>
        <w:snapToGrid w:val="0"/>
        <w:spacing w:line="360" w:lineRule="auto"/>
        <w:jc w:val="center"/>
        <w:outlineLvl w:val="9"/>
        <w:rPr>
          <w:rFonts w:hint="eastAsia" w:ascii="黑体" w:hAnsi="黑体" w:eastAsia="黑体"/>
          <w:color w:val="000000"/>
          <w:sz w:val="72"/>
          <w:szCs w:val="72"/>
        </w:rPr>
      </w:pPr>
    </w:p>
    <w:p>
      <w:pPr>
        <w:adjustRightInd w:val="0"/>
        <w:snapToGrid w:val="0"/>
        <w:spacing w:line="360" w:lineRule="auto"/>
        <w:jc w:val="center"/>
        <w:outlineLvl w:val="0"/>
        <w:rPr>
          <w:rFonts w:ascii="方正小标宋简体" w:hAnsi="宋体" w:eastAsia="方正小标宋简体"/>
          <w:color w:val="000000"/>
          <w:sz w:val="72"/>
          <w:szCs w:val="72"/>
        </w:rPr>
      </w:pPr>
      <w:bookmarkStart w:id="5" w:name="_Toc3719"/>
      <w:bookmarkStart w:id="6" w:name="_Toc15538"/>
      <w:bookmarkStart w:id="7" w:name="_Toc6781"/>
      <w:bookmarkStart w:id="8" w:name="_Toc25678"/>
      <w:bookmarkStart w:id="9" w:name="_Toc32124"/>
      <w:bookmarkStart w:id="10" w:name="_Toc1811"/>
      <w:r>
        <w:rPr>
          <w:rFonts w:ascii="黑体" w:hAnsi="黑体" w:eastAsia="黑体"/>
          <w:color w:val="000000"/>
          <w:sz w:val="72"/>
          <w:szCs w:val="72"/>
        </w:rPr>
        <w:t>201</w:t>
      </w:r>
      <w:r>
        <w:rPr>
          <w:rFonts w:hint="eastAsia" w:ascii="黑体" w:hAnsi="黑体" w:eastAsia="黑体"/>
          <w:color w:val="000000"/>
          <w:sz w:val="72"/>
          <w:szCs w:val="72"/>
          <w:lang w:val="en-US" w:eastAsia="zh-CN"/>
        </w:rPr>
        <w:t>8</w:t>
      </w:r>
      <w:r>
        <w:rPr>
          <w:rFonts w:hint="eastAsia" w:ascii="方正小标宋简体" w:hAnsi="宋体" w:eastAsia="方正小标宋简体"/>
          <w:color w:val="000000"/>
          <w:sz w:val="72"/>
          <w:szCs w:val="72"/>
        </w:rPr>
        <w:t>年度</w:t>
      </w:r>
      <w:bookmarkEnd w:id="0"/>
      <w:bookmarkEnd w:id="1"/>
      <w:bookmarkEnd w:id="2"/>
      <w:bookmarkEnd w:id="3"/>
      <w:bookmarkEnd w:id="4"/>
      <w:bookmarkEnd w:id="5"/>
      <w:bookmarkEnd w:id="6"/>
      <w:bookmarkEnd w:id="7"/>
      <w:bookmarkEnd w:id="8"/>
      <w:bookmarkEnd w:id="9"/>
      <w:bookmarkEnd w:id="10"/>
      <w:bookmarkStart w:id="11" w:name="_Toc15377194"/>
      <w:bookmarkStart w:id="12" w:name="_Toc15306268"/>
      <w:bookmarkStart w:id="13" w:name="_Toc15396598"/>
      <w:bookmarkStart w:id="14" w:name="_Toc15396476"/>
      <w:bookmarkStart w:id="15" w:name="_Toc15377426"/>
      <w:bookmarkStart w:id="16" w:name="_Toc15378442"/>
    </w:p>
    <w:p>
      <w:pPr>
        <w:adjustRightInd w:val="0"/>
        <w:snapToGrid w:val="0"/>
        <w:spacing w:line="360" w:lineRule="auto"/>
        <w:jc w:val="center"/>
        <w:outlineLvl w:val="0"/>
        <w:rPr>
          <w:rFonts w:hint="eastAsia" w:ascii="方正小标宋简体" w:hAnsi="宋体" w:eastAsia="方正小标宋简体"/>
          <w:color w:val="000000"/>
          <w:sz w:val="72"/>
          <w:szCs w:val="72"/>
          <w:lang w:val="en-US" w:eastAsia="zh-CN"/>
        </w:rPr>
      </w:pPr>
      <w:bookmarkStart w:id="17" w:name="_Toc28892"/>
      <w:bookmarkStart w:id="18" w:name="_Toc20266"/>
      <w:bookmarkStart w:id="19" w:name="_Toc20561"/>
      <w:bookmarkStart w:id="20" w:name="_Toc17148"/>
      <w:bookmarkStart w:id="21" w:name="_Toc30257"/>
      <w:bookmarkStart w:id="22" w:name="_Toc15964"/>
      <w:r>
        <w:rPr>
          <w:rFonts w:hint="eastAsia" w:ascii="方正小标宋简体" w:hAnsi="宋体" w:eastAsia="方正小标宋简体"/>
          <w:color w:val="000000"/>
          <w:w w:val="95"/>
          <w:sz w:val="72"/>
          <w:szCs w:val="72"/>
        </w:rPr>
        <w:t>金川县</w:t>
      </w:r>
      <w:bookmarkEnd w:id="17"/>
      <w:bookmarkEnd w:id="18"/>
      <w:bookmarkStart w:id="23" w:name="_Toc32513"/>
      <w:bookmarkStart w:id="24" w:name="_Toc16040"/>
      <w:r>
        <w:rPr>
          <w:rFonts w:hint="eastAsia" w:ascii="方正小标宋简体" w:hAnsi="宋体" w:eastAsia="方正小标宋简体"/>
          <w:color w:val="000000"/>
          <w:w w:val="95"/>
          <w:sz w:val="72"/>
          <w:szCs w:val="72"/>
          <w:lang w:eastAsia="zh-CN"/>
        </w:rPr>
        <w:t>民族宗教局</w:t>
      </w:r>
      <w:r>
        <w:rPr>
          <w:rFonts w:hint="eastAsia" w:ascii="方正小标宋简体" w:hAnsi="宋体" w:eastAsia="方正小标宋简体"/>
          <w:color w:val="000000"/>
          <w:w w:val="95"/>
          <w:sz w:val="72"/>
          <w:szCs w:val="72"/>
        </w:rPr>
        <w:t>部门决算</w:t>
      </w:r>
      <w:bookmarkEnd w:id="11"/>
      <w:bookmarkEnd w:id="12"/>
      <w:bookmarkEnd w:id="13"/>
      <w:bookmarkEnd w:id="14"/>
      <w:bookmarkEnd w:id="15"/>
      <w:bookmarkEnd w:id="16"/>
      <w:bookmarkEnd w:id="19"/>
      <w:bookmarkEnd w:id="20"/>
      <w:bookmarkEnd w:id="21"/>
      <w:bookmarkEnd w:id="22"/>
      <w:bookmarkEnd w:id="23"/>
      <w:bookmarkEnd w:id="24"/>
    </w:p>
    <w:p/>
    <w:p>
      <w:pPr>
        <w:pStyle w:val="6"/>
        <w:tabs>
          <w:tab w:val="right" w:leader="middleDot" w:pos="8306"/>
          <w:tab w:val="clear" w:pos="8296"/>
        </w:tabs>
        <w:jc w:val="both"/>
        <w:rPr>
          <w:rFonts w:ascii="方正小标宋简体" w:hAnsi="宋体" w:eastAsia="方正小标宋简体"/>
          <w:color w:val="000000"/>
          <w:sz w:val="36"/>
          <w:szCs w:val="36"/>
        </w:rPr>
      </w:pPr>
    </w:p>
    <w:p>
      <w:pPr>
        <w:rPr>
          <w:rFonts w:ascii="方正小标宋简体" w:hAnsi="宋体" w:eastAsia="方正小标宋简体"/>
          <w:color w:val="000000"/>
          <w:sz w:val="36"/>
          <w:szCs w:val="36"/>
        </w:rPr>
      </w:pPr>
    </w:p>
    <w:p>
      <w:pPr>
        <w:rPr>
          <w:rFonts w:ascii="方正小标宋简体" w:hAnsi="宋体" w:eastAsia="方正小标宋简体"/>
          <w:color w:val="000000"/>
          <w:sz w:val="36"/>
          <w:szCs w:val="36"/>
        </w:rPr>
      </w:pPr>
    </w:p>
    <w:p>
      <w:pPr>
        <w:rPr>
          <w:rFonts w:ascii="方正小标宋简体" w:hAnsi="宋体" w:eastAsia="方正小标宋简体"/>
          <w:color w:val="000000"/>
          <w:sz w:val="36"/>
          <w:szCs w:val="36"/>
        </w:rPr>
      </w:pPr>
    </w:p>
    <w:p>
      <w:pPr>
        <w:rPr>
          <w:rFonts w:ascii="方正小标宋简体" w:hAnsi="宋体" w:eastAsia="方正小标宋简体"/>
          <w:color w:val="000000"/>
          <w:sz w:val="36"/>
          <w:szCs w:val="36"/>
        </w:rPr>
      </w:pPr>
    </w:p>
    <w:p>
      <w:pPr>
        <w:rPr>
          <w:rFonts w:ascii="方正小标宋简体" w:hAnsi="宋体" w:eastAsia="方正小标宋简体"/>
          <w:color w:val="000000"/>
          <w:sz w:val="36"/>
          <w:szCs w:val="36"/>
        </w:rPr>
      </w:pPr>
    </w:p>
    <w:p>
      <w:pPr>
        <w:pStyle w:val="2"/>
        <w:rPr>
          <w:rFonts w:ascii="方正小标宋简体" w:hAnsi="宋体" w:eastAsia="方正小标宋简体"/>
          <w:color w:val="000000"/>
          <w:sz w:val="36"/>
          <w:szCs w:val="36"/>
        </w:rPr>
      </w:pPr>
    </w:p>
    <w:p>
      <w:pPr>
        <w:rPr>
          <w:rFonts w:ascii="方正小标宋简体" w:hAnsi="宋体" w:eastAsia="方正小标宋简体"/>
          <w:color w:val="000000"/>
          <w:sz w:val="36"/>
          <w:szCs w:val="36"/>
        </w:rPr>
      </w:pPr>
    </w:p>
    <w:p>
      <w:pPr>
        <w:pStyle w:val="2"/>
      </w:pPr>
    </w:p>
    <w:p>
      <w:pPr>
        <w:rPr>
          <w:rFonts w:ascii="方正小标宋简体" w:hAnsi="宋体" w:eastAsia="方正小标宋简体"/>
          <w:color w:val="000000"/>
          <w:sz w:val="36"/>
          <w:szCs w:val="36"/>
        </w:rPr>
      </w:pPr>
    </w:p>
    <w:sdt>
      <w:sdtPr>
        <w:rPr>
          <w:rFonts w:ascii="宋体" w:hAnsi="宋体" w:eastAsia="宋体" w:cs="Times New Roman"/>
          <w:kern w:val="2"/>
          <w:sz w:val="21"/>
          <w:szCs w:val="24"/>
          <w:lang w:val="en-US" w:eastAsia="zh-CN" w:bidi="ar-SA"/>
        </w:rPr>
        <w:id w:val="147461373"/>
        <w15:color w:val="DBDBDB"/>
        <w:docPartObj>
          <w:docPartGallery w:val="Table of Contents"/>
          <w:docPartUnique/>
        </w:docPartObj>
      </w:sdtPr>
      <w:sdtEndPr>
        <w:rPr>
          <w:rFonts w:ascii="宋体" w:hAnsi="宋体" w:eastAsia="宋体" w:cs="Times New Roman"/>
          <w:b/>
          <w:kern w:val="2"/>
          <w:sz w:val="28"/>
          <w:szCs w:val="28"/>
          <w:lang w:val="en-US" w:eastAsia="zh-CN" w:bidi="ar-SA"/>
        </w:rPr>
      </w:sdtEndPr>
      <w:sdtContent>
        <w:p>
          <w:pPr>
            <w:keepNext w:val="0"/>
            <w:keepLines w:val="0"/>
            <w:pageBreakBefore w:val="0"/>
            <w:kinsoku/>
            <w:wordWrap/>
            <w:overflowPunct/>
            <w:topLinePunct w:val="0"/>
            <w:autoSpaceDE/>
            <w:autoSpaceDN/>
            <w:bidi w:val="0"/>
            <w:adjustRightInd/>
            <w:snapToGrid w:val="0"/>
            <w:spacing w:line="480" w:lineRule="exact"/>
            <w:jc w:val="center"/>
            <w:textAlignment w:val="auto"/>
            <w:outlineLvl w:val="0"/>
            <w:rPr>
              <w:sz w:val="28"/>
              <w:szCs w:val="28"/>
            </w:rPr>
          </w:pPr>
          <w:bookmarkStart w:id="25" w:name="_Toc172"/>
          <w:bookmarkStart w:id="26" w:name="_Toc12374"/>
          <w:r>
            <w:rPr>
              <w:rFonts w:hint="eastAsia" w:ascii="黑体" w:hAnsi="黑体" w:eastAsia="黑体" w:cs="Times New Roman"/>
              <w:color w:val="000000"/>
              <w:sz w:val="48"/>
              <w:szCs w:val="48"/>
            </w:rPr>
            <w:t>目录</w:t>
          </w:r>
          <w:bookmarkEnd w:id="25"/>
          <w:bookmarkEnd w:id="26"/>
        </w:p>
        <w:p>
          <w:pPr>
            <w:pStyle w:val="12"/>
            <w:keepNext w:val="0"/>
            <w:keepLines w:val="0"/>
            <w:pageBreakBefore w:val="0"/>
            <w:tabs>
              <w:tab w:val="right" w:leader="dot" w:pos="8306"/>
            </w:tabs>
            <w:kinsoku/>
            <w:wordWrap/>
            <w:overflowPunct/>
            <w:topLinePunct w:val="0"/>
            <w:autoSpaceDE/>
            <w:autoSpaceDN/>
            <w:bidi w:val="0"/>
            <w:adjustRightInd/>
            <w:spacing w:line="480" w:lineRule="exact"/>
            <w:textAlignment w:val="auto"/>
            <w:rPr>
              <w:b/>
              <w:sz w:val="28"/>
              <w:szCs w:val="28"/>
            </w:rPr>
          </w:pPr>
          <w:r>
            <w:rPr>
              <w:sz w:val="28"/>
              <w:szCs w:val="28"/>
            </w:rPr>
            <w:fldChar w:fldCharType="begin"/>
          </w:r>
          <w:r>
            <w:rPr>
              <w:sz w:val="28"/>
              <w:szCs w:val="28"/>
            </w:rPr>
            <w:instrText xml:space="preserve">TOC \o "1-2" \h \u </w:instrText>
          </w:r>
          <w:r>
            <w:rPr>
              <w:sz w:val="28"/>
              <w:szCs w:val="28"/>
            </w:rPr>
            <w:fldChar w:fldCharType="separate"/>
          </w:r>
          <w:r>
            <w:rPr>
              <w:b/>
              <w:sz w:val="28"/>
              <w:szCs w:val="28"/>
            </w:rPr>
            <w:fldChar w:fldCharType="begin"/>
          </w:r>
          <w:r>
            <w:rPr>
              <w:b/>
              <w:sz w:val="28"/>
              <w:szCs w:val="28"/>
            </w:rPr>
            <w:instrText xml:space="preserve"> HYPERLINK \l _Toc6781 </w:instrText>
          </w:r>
          <w:r>
            <w:rPr>
              <w:b/>
              <w:sz w:val="28"/>
              <w:szCs w:val="28"/>
            </w:rPr>
            <w:fldChar w:fldCharType="separate"/>
          </w:r>
          <w:r>
            <w:rPr>
              <w:rFonts w:ascii="黑体" w:hAnsi="黑体" w:eastAsia="黑体"/>
              <w:b/>
              <w:sz w:val="28"/>
              <w:szCs w:val="28"/>
            </w:rPr>
            <w:t>201</w:t>
          </w:r>
          <w:r>
            <w:rPr>
              <w:rFonts w:hint="eastAsia" w:ascii="黑体" w:hAnsi="黑体" w:eastAsia="黑体"/>
              <w:b/>
              <w:sz w:val="28"/>
              <w:szCs w:val="28"/>
              <w:lang w:val="en-US" w:eastAsia="zh-CN"/>
            </w:rPr>
            <w:t>8</w:t>
          </w:r>
          <w:r>
            <w:rPr>
              <w:rFonts w:hint="eastAsia" w:ascii="方正小标宋简体" w:hAnsi="宋体" w:eastAsia="方正小标宋简体"/>
              <w:b/>
              <w:sz w:val="28"/>
              <w:szCs w:val="28"/>
            </w:rPr>
            <w:t>年度</w:t>
          </w:r>
          <w:r>
            <w:rPr>
              <w:b/>
              <w:sz w:val="28"/>
              <w:szCs w:val="28"/>
            </w:rPr>
            <w:tab/>
          </w:r>
          <w:r>
            <w:rPr>
              <w:b/>
              <w:sz w:val="28"/>
              <w:szCs w:val="28"/>
            </w:rPr>
            <w:fldChar w:fldCharType="begin"/>
          </w:r>
          <w:r>
            <w:rPr>
              <w:b/>
              <w:sz w:val="28"/>
              <w:szCs w:val="28"/>
            </w:rPr>
            <w:instrText xml:space="preserve"> PAGEREF _Toc6781 \h </w:instrText>
          </w:r>
          <w:r>
            <w:rPr>
              <w:b/>
              <w:sz w:val="28"/>
              <w:szCs w:val="28"/>
            </w:rPr>
            <w:fldChar w:fldCharType="separate"/>
          </w:r>
          <w:r>
            <w:rPr>
              <w:b/>
              <w:sz w:val="28"/>
              <w:szCs w:val="28"/>
            </w:rPr>
            <w:t>1</w:t>
          </w:r>
          <w:r>
            <w:rPr>
              <w:b/>
              <w:sz w:val="28"/>
              <w:szCs w:val="28"/>
            </w:rPr>
            <w:fldChar w:fldCharType="end"/>
          </w:r>
          <w:r>
            <w:rPr>
              <w:b/>
              <w:sz w:val="28"/>
              <w:szCs w:val="28"/>
            </w:rPr>
            <w:fldChar w:fldCharType="end"/>
          </w:r>
        </w:p>
        <w:p>
          <w:pPr>
            <w:pStyle w:val="12"/>
            <w:keepNext w:val="0"/>
            <w:keepLines w:val="0"/>
            <w:pageBreakBefore w:val="0"/>
            <w:tabs>
              <w:tab w:val="right" w:leader="dot" w:pos="8306"/>
            </w:tabs>
            <w:kinsoku/>
            <w:wordWrap/>
            <w:overflowPunct/>
            <w:topLinePunct w:val="0"/>
            <w:autoSpaceDE/>
            <w:autoSpaceDN/>
            <w:bidi w:val="0"/>
            <w:adjustRightInd/>
            <w:spacing w:line="480" w:lineRule="exact"/>
            <w:textAlignment w:val="auto"/>
            <w:rPr>
              <w:b/>
              <w:sz w:val="28"/>
              <w:szCs w:val="28"/>
            </w:rPr>
          </w:pPr>
          <w:r>
            <w:rPr>
              <w:b/>
              <w:sz w:val="28"/>
              <w:szCs w:val="28"/>
            </w:rPr>
            <w:fldChar w:fldCharType="begin"/>
          </w:r>
          <w:r>
            <w:rPr>
              <w:b/>
              <w:sz w:val="28"/>
              <w:szCs w:val="28"/>
            </w:rPr>
            <w:instrText xml:space="preserve"> HYPERLINK \l _Toc20561 </w:instrText>
          </w:r>
          <w:r>
            <w:rPr>
              <w:b/>
              <w:sz w:val="28"/>
              <w:szCs w:val="28"/>
            </w:rPr>
            <w:fldChar w:fldCharType="separate"/>
          </w:r>
          <w:r>
            <w:rPr>
              <w:rFonts w:hint="eastAsia" w:ascii="方正小标宋简体" w:hAnsi="宋体" w:eastAsia="方正小标宋简体"/>
              <w:b/>
              <w:sz w:val="28"/>
              <w:szCs w:val="28"/>
            </w:rPr>
            <w:t>金川县</w:t>
          </w:r>
          <w:r>
            <w:rPr>
              <w:rFonts w:hint="eastAsia" w:ascii="方正小标宋简体" w:hAnsi="宋体" w:eastAsia="方正小标宋简体"/>
              <w:b/>
              <w:sz w:val="28"/>
              <w:szCs w:val="28"/>
              <w:lang w:eastAsia="zh-CN"/>
            </w:rPr>
            <w:t>民族宗教局局</w:t>
          </w:r>
          <w:r>
            <w:rPr>
              <w:rFonts w:hint="eastAsia" w:ascii="方正小标宋简体" w:hAnsi="宋体" w:eastAsia="方正小标宋简体"/>
              <w:b/>
              <w:sz w:val="28"/>
              <w:szCs w:val="28"/>
            </w:rPr>
            <w:t>部门决算</w:t>
          </w:r>
          <w:r>
            <w:rPr>
              <w:b/>
              <w:sz w:val="28"/>
              <w:szCs w:val="28"/>
            </w:rPr>
            <w:tab/>
          </w:r>
          <w:r>
            <w:rPr>
              <w:b/>
              <w:sz w:val="28"/>
              <w:szCs w:val="28"/>
            </w:rPr>
            <w:fldChar w:fldCharType="begin"/>
          </w:r>
          <w:r>
            <w:rPr>
              <w:b/>
              <w:sz w:val="28"/>
              <w:szCs w:val="28"/>
            </w:rPr>
            <w:instrText xml:space="preserve"> PAGEREF _Toc20561 \h </w:instrText>
          </w:r>
          <w:r>
            <w:rPr>
              <w:b/>
              <w:sz w:val="28"/>
              <w:szCs w:val="28"/>
            </w:rPr>
            <w:fldChar w:fldCharType="separate"/>
          </w:r>
          <w:r>
            <w:rPr>
              <w:b/>
              <w:sz w:val="28"/>
              <w:szCs w:val="28"/>
            </w:rPr>
            <w:t>1</w:t>
          </w:r>
          <w:r>
            <w:rPr>
              <w:b/>
              <w:sz w:val="28"/>
              <w:szCs w:val="28"/>
            </w:rPr>
            <w:fldChar w:fldCharType="end"/>
          </w:r>
          <w:r>
            <w:rPr>
              <w:b/>
              <w:sz w:val="28"/>
              <w:szCs w:val="28"/>
            </w:rPr>
            <w:fldChar w:fldCharType="end"/>
          </w:r>
        </w:p>
        <w:p>
          <w:pPr>
            <w:pStyle w:val="12"/>
            <w:keepNext w:val="0"/>
            <w:keepLines w:val="0"/>
            <w:pageBreakBefore w:val="0"/>
            <w:tabs>
              <w:tab w:val="right" w:leader="dot" w:pos="8306"/>
            </w:tabs>
            <w:kinsoku/>
            <w:wordWrap/>
            <w:overflowPunct/>
            <w:topLinePunct w:val="0"/>
            <w:autoSpaceDE/>
            <w:autoSpaceDN/>
            <w:bidi w:val="0"/>
            <w:adjustRightInd/>
            <w:spacing w:line="480" w:lineRule="exact"/>
            <w:textAlignment w:val="auto"/>
            <w:rPr>
              <w:b/>
              <w:sz w:val="28"/>
              <w:szCs w:val="28"/>
            </w:rPr>
          </w:pPr>
          <w:r>
            <w:rPr>
              <w:b/>
              <w:sz w:val="28"/>
              <w:szCs w:val="28"/>
            </w:rPr>
            <w:fldChar w:fldCharType="begin"/>
          </w:r>
          <w:r>
            <w:rPr>
              <w:b/>
              <w:sz w:val="28"/>
              <w:szCs w:val="28"/>
            </w:rPr>
            <w:instrText xml:space="preserve"> HYPERLINK \l _Toc172 </w:instrText>
          </w:r>
          <w:r>
            <w:rPr>
              <w:b/>
              <w:sz w:val="28"/>
              <w:szCs w:val="28"/>
            </w:rPr>
            <w:fldChar w:fldCharType="separate"/>
          </w:r>
          <w:r>
            <w:rPr>
              <w:rFonts w:hint="eastAsia" w:ascii="黑体" w:hAnsi="黑体" w:eastAsia="黑体" w:cs="Times New Roman"/>
              <w:b/>
              <w:sz w:val="28"/>
              <w:szCs w:val="28"/>
            </w:rPr>
            <w:t>目录</w:t>
          </w:r>
          <w:r>
            <w:rPr>
              <w:b/>
              <w:sz w:val="28"/>
              <w:szCs w:val="28"/>
            </w:rPr>
            <w:tab/>
          </w:r>
          <w:r>
            <w:rPr>
              <w:b/>
              <w:sz w:val="28"/>
              <w:szCs w:val="28"/>
            </w:rPr>
            <w:fldChar w:fldCharType="begin"/>
          </w:r>
          <w:r>
            <w:rPr>
              <w:b/>
              <w:sz w:val="28"/>
              <w:szCs w:val="28"/>
            </w:rPr>
            <w:instrText xml:space="preserve"> PAGEREF _Toc172 \h </w:instrText>
          </w:r>
          <w:r>
            <w:rPr>
              <w:b/>
              <w:sz w:val="28"/>
              <w:szCs w:val="28"/>
            </w:rPr>
            <w:fldChar w:fldCharType="separate"/>
          </w:r>
          <w:r>
            <w:rPr>
              <w:b/>
              <w:sz w:val="28"/>
              <w:szCs w:val="28"/>
            </w:rPr>
            <w:t>2</w:t>
          </w:r>
          <w:r>
            <w:rPr>
              <w:b/>
              <w:sz w:val="28"/>
              <w:szCs w:val="28"/>
            </w:rPr>
            <w:fldChar w:fldCharType="end"/>
          </w:r>
          <w:r>
            <w:rPr>
              <w:b/>
              <w:sz w:val="28"/>
              <w:szCs w:val="28"/>
            </w:rPr>
            <w:fldChar w:fldCharType="end"/>
          </w:r>
        </w:p>
        <w:p>
          <w:pPr>
            <w:pStyle w:val="12"/>
            <w:keepNext w:val="0"/>
            <w:keepLines w:val="0"/>
            <w:pageBreakBefore w:val="0"/>
            <w:tabs>
              <w:tab w:val="right" w:leader="dot" w:pos="8306"/>
            </w:tabs>
            <w:kinsoku/>
            <w:wordWrap/>
            <w:overflowPunct/>
            <w:topLinePunct w:val="0"/>
            <w:autoSpaceDE/>
            <w:autoSpaceDN/>
            <w:bidi w:val="0"/>
            <w:adjustRightInd/>
            <w:spacing w:line="480" w:lineRule="exact"/>
            <w:textAlignment w:val="auto"/>
            <w:rPr>
              <w:b/>
              <w:sz w:val="28"/>
              <w:szCs w:val="28"/>
            </w:rPr>
          </w:pPr>
          <w:r>
            <w:rPr>
              <w:b/>
              <w:sz w:val="28"/>
              <w:szCs w:val="28"/>
            </w:rPr>
            <w:fldChar w:fldCharType="begin"/>
          </w:r>
          <w:r>
            <w:rPr>
              <w:b/>
              <w:sz w:val="28"/>
              <w:szCs w:val="28"/>
            </w:rPr>
            <w:instrText xml:space="preserve"> HYPERLINK \l _Toc23688 </w:instrText>
          </w:r>
          <w:r>
            <w:rPr>
              <w:b/>
              <w:sz w:val="28"/>
              <w:szCs w:val="28"/>
            </w:rPr>
            <w:fldChar w:fldCharType="separate"/>
          </w:r>
          <w:r>
            <w:rPr>
              <w:rFonts w:hint="eastAsia" w:ascii="宋体" w:hAnsi="宋体"/>
              <w:b/>
              <w:sz w:val="28"/>
              <w:szCs w:val="28"/>
            </w:rPr>
            <w:t>金川县民族宗教局</w:t>
          </w:r>
          <w:r>
            <w:rPr>
              <w:b/>
              <w:sz w:val="28"/>
              <w:szCs w:val="28"/>
            </w:rPr>
            <w:tab/>
          </w:r>
          <w:r>
            <w:rPr>
              <w:b/>
              <w:sz w:val="28"/>
              <w:szCs w:val="28"/>
            </w:rPr>
            <w:fldChar w:fldCharType="begin"/>
          </w:r>
          <w:r>
            <w:rPr>
              <w:b/>
              <w:sz w:val="28"/>
              <w:szCs w:val="28"/>
            </w:rPr>
            <w:instrText xml:space="preserve"> PAGEREF _Toc23688 \h </w:instrText>
          </w:r>
          <w:r>
            <w:rPr>
              <w:b/>
              <w:sz w:val="28"/>
              <w:szCs w:val="28"/>
            </w:rPr>
            <w:fldChar w:fldCharType="separate"/>
          </w:r>
          <w:r>
            <w:rPr>
              <w:b/>
              <w:sz w:val="28"/>
              <w:szCs w:val="28"/>
            </w:rPr>
            <w:t>3</w:t>
          </w:r>
          <w:r>
            <w:rPr>
              <w:b/>
              <w:sz w:val="28"/>
              <w:szCs w:val="28"/>
            </w:rPr>
            <w:fldChar w:fldCharType="end"/>
          </w:r>
          <w:r>
            <w:rPr>
              <w:b/>
              <w:sz w:val="28"/>
              <w:szCs w:val="28"/>
            </w:rPr>
            <w:fldChar w:fldCharType="end"/>
          </w:r>
        </w:p>
        <w:p>
          <w:pPr>
            <w:pStyle w:val="12"/>
            <w:keepNext w:val="0"/>
            <w:keepLines w:val="0"/>
            <w:pageBreakBefore w:val="0"/>
            <w:tabs>
              <w:tab w:val="right" w:leader="dot" w:pos="8306"/>
            </w:tabs>
            <w:kinsoku/>
            <w:wordWrap/>
            <w:overflowPunct/>
            <w:topLinePunct w:val="0"/>
            <w:autoSpaceDE/>
            <w:autoSpaceDN/>
            <w:bidi w:val="0"/>
            <w:adjustRightInd/>
            <w:spacing w:line="480" w:lineRule="exact"/>
            <w:textAlignment w:val="auto"/>
            <w:rPr>
              <w:b/>
              <w:sz w:val="28"/>
              <w:szCs w:val="28"/>
            </w:rPr>
          </w:pPr>
          <w:r>
            <w:rPr>
              <w:b/>
              <w:sz w:val="28"/>
              <w:szCs w:val="28"/>
            </w:rPr>
            <w:fldChar w:fldCharType="begin"/>
          </w:r>
          <w:r>
            <w:rPr>
              <w:b/>
              <w:sz w:val="28"/>
              <w:szCs w:val="28"/>
            </w:rPr>
            <w:instrText xml:space="preserve"> HYPERLINK \l _Toc6874 </w:instrText>
          </w:r>
          <w:r>
            <w:rPr>
              <w:b/>
              <w:sz w:val="28"/>
              <w:szCs w:val="28"/>
            </w:rPr>
            <w:fldChar w:fldCharType="separate"/>
          </w:r>
          <w:r>
            <w:rPr>
              <w:rFonts w:hint="eastAsia" w:ascii="宋体" w:hAnsi="宋体"/>
              <w:b/>
              <w:sz w:val="28"/>
              <w:szCs w:val="28"/>
            </w:rPr>
            <w:t>2018年度部门决算分析报告</w:t>
          </w:r>
          <w:r>
            <w:rPr>
              <w:b/>
              <w:sz w:val="28"/>
              <w:szCs w:val="28"/>
            </w:rPr>
            <w:tab/>
          </w:r>
          <w:r>
            <w:rPr>
              <w:b/>
              <w:sz w:val="28"/>
              <w:szCs w:val="28"/>
            </w:rPr>
            <w:fldChar w:fldCharType="begin"/>
          </w:r>
          <w:r>
            <w:rPr>
              <w:b/>
              <w:sz w:val="28"/>
              <w:szCs w:val="28"/>
            </w:rPr>
            <w:instrText xml:space="preserve"> PAGEREF _Toc6874 \h </w:instrText>
          </w:r>
          <w:r>
            <w:rPr>
              <w:b/>
              <w:sz w:val="28"/>
              <w:szCs w:val="28"/>
            </w:rPr>
            <w:fldChar w:fldCharType="separate"/>
          </w:r>
          <w:r>
            <w:rPr>
              <w:b/>
              <w:sz w:val="28"/>
              <w:szCs w:val="28"/>
            </w:rPr>
            <w:t>3</w:t>
          </w:r>
          <w:r>
            <w:rPr>
              <w:b/>
              <w:sz w:val="28"/>
              <w:szCs w:val="28"/>
            </w:rPr>
            <w:fldChar w:fldCharType="end"/>
          </w:r>
          <w:r>
            <w:rPr>
              <w:b/>
              <w:sz w:val="28"/>
              <w:szCs w:val="28"/>
            </w:rPr>
            <w:fldChar w:fldCharType="end"/>
          </w:r>
        </w:p>
        <w:p>
          <w:pPr>
            <w:pStyle w:val="12"/>
            <w:keepNext w:val="0"/>
            <w:keepLines w:val="0"/>
            <w:pageBreakBefore w:val="0"/>
            <w:tabs>
              <w:tab w:val="right" w:leader="dot" w:pos="8306"/>
            </w:tabs>
            <w:kinsoku/>
            <w:wordWrap/>
            <w:overflowPunct/>
            <w:topLinePunct w:val="0"/>
            <w:autoSpaceDE/>
            <w:autoSpaceDN/>
            <w:bidi w:val="0"/>
            <w:adjustRightInd/>
            <w:spacing w:line="480" w:lineRule="exact"/>
            <w:textAlignment w:val="auto"/>
            <w:rPr>
              <w:b/>
              <w:sz w:val="28"/>
              <w:szCs w:val="28"/>
            </w:rPr>
          </w:pPr>
          <w:r>
            <w:rPr>
              <w:b/>
              <w:sz w:val="28"/>
              <w:szCs w:val="28"/>
            </w:rPr>
            <w:fldChar w:fldCharType="begin"/>
          </w:r>
          <w:r>
            <w:rPr>
              <w:b/>
              <w:sz w:val="28"/>
              <w:szCs w:val="28"/>
            </w:rPr>
            <w:instrText xml:space="preserve"> HYPERLINK \l _Toc24612 </w:instrText>
          </w:r>
          <w:r>
            <w:rPr>
              <w:b/>
              <w:sz w:val="28"/>
              <w:szCs w:val="28"/>
            </w:rPr>
            <w:fldChar w:fldCharType="separate"/>
          </w:r>
          <w:r>
            <w:rPr>
              <w:rFonts w:hint="eastAsia" w:ascii="黑体" w:hAnsi="黑体" w:eastAsia="黑体" w:cs="黑体"/>
              <w:b/>
              <w:sz w:val="28"/>
              <w:szCs w:val="28"/>
              <w:lang w:eastAsia="zh-CN"/>
            </w:rPr>
            <w:t>一、基本职能及主要工作</w:t>
          </w:r>
          <w:r>
            <w:rPr>
              <w:b/>
              <w:sz w:val="28"/>
              <w:szCs w:val="28"/>
            </w:rPr>
            <w:tab/>
          </w:r>
          <w:r>
            <w:rPr>
              <w:b/>
              <w:sz w:val="28"/>
              <w:szCs w:val="28"/>
            </w:rPr>
            <w:fldChar w:fldCharType="begin"/>
          </w:r>
          <w:r>
            <w:rPr>
              <w:b/>
              <w:sz w:val="28"/>
              <w:szCs w:val="28"/>
            </w:rPr>
            <w:instrText xml:space="preserve"> PAGEREF _Toc24612 \h </w:instrText>
          </w:r>
          <w:r>
            <w:rPr>
              <w:b/>
              <w:sz w:val="28"/>
              <w:szCs w:val="28"/>
            </w:rPr>
            <w:fldChar w:fldCharType="separate"/>
          </w:r>
          <w:r>
            <w:rPr>
              <w:b/>
              <w:sz w:val="28"/>
              <w:szCs w:val="28"/>
            </w:rPr>
            <w:t>3</w:t>
          </w:r>
          <w:r>
            <w:rPr>
              <w:b/>
              <w:sz w:val="28"/>
              <w:szCs w:val="28"/>
            </w:rPr>
            <w:fldChar w:fldCharType="end"/>
          </w:r>
          <w:r>
            <w:rPr>
              <w:b/>
              <w:sz w:val="28"/>
              <w:szCs w:val="28"/>
            </w:rPr>
            <w:fldChar w:fldCharType="end"/>
          </w:r>
        </w:p>
        <w:p>
          <w:pPr>
            <w:pStyle w:val="13"/>
            <w:keepNext w:val="0"/>
            <w:keepLines w:val="0"/>
            <w:pageBreakBefore w:val="0"/>
            <w:tabs>
              <w:tab w:val="right" w:leader="dot" w:pos="8306"/>
            </w:tabs>
            <w:kinsoku/>
            <w:wordWrap/>
            <w:overflowPunct/>
            <w:topLinePunct w:val="0"/>
            <w:autoSpaceDE/>
            <w:autoSpaceDN/>
            <w:bidi w:val="0"/>
            <w:adjustRightInd/>
            <w:spacing w:line="480" w:lineRule="exact"/>
            <w:textAlignment w:val="auto"/>
            <w:rPr>
              <w:sz w:val="28"/>
              <w:szCs w:val="28"/>
            </w:rPr>
          </w:pPr>
          <w:r>
            <w:rPr>
              <w:sz w:val="28"/>
              <w:szCs w:val="28"/>
            </w:rPr>
            <w:fldChar w:fldCharType="begin"/>
          </w:r>
          <w:r>
            <w:rPr>
              <w:sz w:val="28"/>
              <w:szCs w:val="28"/>
            </w:rPr>
            <w:instrText xml:space="preserve"> HYPERLINK \l _Toc28081 </w:instrText>
          </w:r>
          <w:r>
            <w:rPr>
              <w:sz w:val="28"/>
              <w:szCs w:val="28"/>
            </w:rPr>
            <w:fldChar w:fldCharType="separate"/>
          </w:r>
          <w:r>
            <w:rPr>
              <w:rFonts w:hint="eastAsia" w:ascii="仿宋" w:hAnsi="仿宋" w:eastAsia="仿宋" w:cs="仿宋"/>
              <w:sz w:val="28"/>
              <w:szCs w:val="28"/>
              <w:lang w:val="en-US" w:eastAsia="zh-CN"/>
            </w:rPr>
            <w:t>（一）主要职能</w:t>
          </w:r>
          <w:r>
            <w:rPr>
              <w:sz w:val="28"/>
              <w:szCs w:val="28"/>
            </w:rPr>
            <w:tab/>
          </w:r>
          <w:r>
            <w:rPr>
              <w:sz w:val="28"/>
              <w:szCs w:val="28"/>
            </w:rPr>
            <w:fldChar w:fldCharType="begin"/>
          </w:r>
          <w:r>
            <w:rPr>
              <w:sz w:val="28"/>
              <w:szCs w:val="28"/>
            </w:rPr>
            <w:instrText xml:space="preserve"> PAGEREF _Toc28081 \h </w:instrText>
          </w:r>
          <w:r>
            <w:rPr>
              <w:sz w:val="28"/>
              <w:szCs w:val="28"/>
            </w:rPr>
            <w:fldChar w:fldCharType="separate"/>
          </w:r>
          <w:r>
            <w:rPr>
              <w:sz w:val="28"/>
              <w:szCs w:val="28"/>
            </w:rPr>
            <w:t>3</w:t>
          </w:r>
          <w:r>
            <w:rPr>
              <w:sz w:val="28"/>
              <w:szCs w:val="28"/>
            </w:rPr>
            <w:fldChar w:fldCharType="end"/>
          </w:r>
          <w:r>
            <w:rPr>
              <w:sz w:val="28"/>
              <w:szCs w:val="28"/>
            </w:rPr>
            <w:fldChar w:fldCharType="end"/>
          </w:r>
        </w:p>
        <w:p>
          <w:pPr>
            <w:pStyle w:val="13"/>
            <w:keepNext w:val="0"/>
            <w:keepLines w:val="0"/>
            <w:pageBreakBefore w:val="0"/>
            <w:tabs>
              <w:tab w:val="right" w:leader="dot" w:pos="8306"/>
            </w:tabs>
            <w:kinsoku/>
            <w:wordWrap/>
            <w:overflowPunct/>
            <w:topLinePunct w:val="0"/>
            <w:autoSpaceDE/>
            <w:autoSpaceDN/>
            <w:bidi w:val="0"/>
            <w:adjustRightInd/>
            <w:spacing w:line="480" w:lineRule="exact"/>
            <w:textAlignment w:val="auto"/>
            <w:rPr>
              <w:sz w:val="28"/>
              <w:szCs w:val="28"/>
            </w:rPr>
          </w:pPr>
          <w:r>
            <w:rPr>
              <w:sz w:val="28"/>
              <w:szCs w:val="28"/>
            </w:rPr>
            <w:fldChar w:fldCharType="begin"/>
          </w:r>
          <w:r>
            <w:rPr>
              <w:sz w:val="28"/>
              <w:szCs w:val="28"/>
            </w:rPr>
            <w:instrText xml:space="preserve"> HYPERLINK \l _Toc21050 </w:instrText>
          </w:r>
          <w:r>
            <w:rPr>
              <w:sz w:val="28"/>
              <w:szCs w:val="28"/>
            </w:rPr>
            <w:fldChar w:fldCharType="separate"/>
          </w:r>
          <w:r>
            <w:rPr>
              <w:rFonts w:hint="eastAsia" w:ascii="仿宋" w:hAnsi="仿宋" w:eastAsia="仿宋" w:cs="仿宋"/>
              <w:sz w:val="28"/>
              <w:szCs w:val="28"/>
              <w:lang w:val="en-US" w:eastAsia="zh-CN"/>
            </w:rPr>
            <w:t>（二）2018年重点工作完成情况</w:t>
          </w:r>
          <w:r>
            <w:rPr>
              <w:sz w:val="28"/>
              <w:szCs w:val="28"/>
            </w:rPr>
            <w:tab/>
          </w:r>
          <w:r>
            <w:rPr>
              <w:sz w:val="28"/>
              <w:szCs w:val="28"/>
            </w:rPr>
            <w:fldChar w:fldCharType="begin"/>
          </w:r>
          <w:r>
            <w:rPr>
              <w:sz w:val="28"/>
              <w:szCs w:val="28"/>
            </w:rPr>
            <w:instrText xml:space="preserve"> PAGEREF _Toc21050 \h </w:instrText>
          </w:r>
          <w:r>
            <w:rPr>
              <w:sz w:val="28"/>
              <w:szCs w:val="28"/>
            </w:rPr>
            <w:fldChar w:fldCharType="separate"/>
          </w:r>
          <w:r>
            <w:rPr>
              <w:sz w:val="28"/>
              <w:szCs w:val="28"/>
            </w:rPr>
            <w:t>3</w:t>
          </w:r>
          <w:r>
            <w:rPr>
              <w:sz w:val="28"/>
              <w:szCs w:val="28"/>
            </w:rPr>
            <w:fldChar w:fldCharType="end"/>
          </w:r>
          <w:r>
            <w:rPr>
              <w:sz w:val="28"/>
              <w:szCs w:val="28"/>
            </w:rPr>
            <w:fldChar w:fldCharType="end"/>
          </w:r>
        </w:p>
        <w:p>
          <w:pPr>
            <w:pStyle w:val="12"/>
            <w:keepNext w:val="0"/>
            <w:keepLines w:val="0"/>
            <w:pageBreakBefore w:val="0"/>
            <w:tabs>
              <w:tab w:val="right" w:leader="dot" w:pos="8306"/>
            </w:tabs>
            <w:kinsoku/>
            <w:wordWrap/>
            <w:overflowPunct/>
            <w:topLinePunct w:val="0"/>
            <w:autoSpaceDE/>
            <w:autoSpaceDN/>
            <w:bidi w:val="0"/>
            <w:adjustRightInd/>
            <w:spacing w:line="480" w:lineRule="exact"/>
            <w:textAlignment w:val="auto"/>
            <w:rPr>
              <w:b/>
              <w:sz w:val="28"/>
              <w:szCs w:val="28"/>
            </w:rPr>
          </w:pPr>
          <w:r>
            <w:rPr>
              <w:b/>
              <w:sz w:val="28"/>
              <w:szCs w:val="28"/>
            </w:rPr>
            <w:fldChar w:fldCharType="begin"/>
          </w:r>
          <w:r>
            <w:rPr>
              <w:b/>
              <w:sz w:val="28"/>
              <w:szCs w:val="28"/>
            </w:rPr>
            <w:instrText xml:space="preserve"> HYPERLINK \l _Toc19649 </w:instrText>
          </w:r>
          <w:r>
            <w:rPr>
              <w:b/>
              <w:sz w:val="28"/>
              <w:szCs w:val="28"/>
            </w:rPr>
            <w:fldChar w:fldCharType="separate"/>
          </w:r>
          <w:r>
            <w:rPr>
              <w:rFonts w:hint="eastAsia" w:ascii="黑体" w:hAnsi="黑体" w:eastAsia="黑体" w:cs="黑体"/>
              <w:b/>
              <w:sz w:val="28"/>
              <w:szCs w:val="28"/>
              <w:lang w:eastAsia="zh-CN"/>
            </w:rPr>
            <w:t>二、部门概况</w:t>
          </w:r>
          <w:r>
            <w:rPr>
              <w:b/>
              <w:sz w:val="28"/>
              <w:szCs w:val="28"/>
            </w:rPr>
            <w:tab/>
          </w:r>
          <w:r>
            <w:rPr>
              <w:b/>
              <w:sz w:val="28"/>
              <w:szCs w:val="28"/>
            </w:rPr>
            <w:fldChar w:fldCharType="begin"/>
          </w:r>
          <w:r>
            <w:rPr>
              <w:b/>
              <w:sz w:val="28"/>
              <w:szCs w:val="28"/>
            </w:rPr>
            <w:instrText xml:space="preserve"> PAGEREF _Toc19649 \h </w:instrText>
          </w:r>
          <w:r>
            <w:rPr>
              <w:b/>
              <w:sz w:val="28"/>
              <w:szCs w:val="28"/>
            </w:rPr>
            <w:fldChar w:fldCharType="separate"/>
          </w:r>
          <w:r>
            <w:rPr>
              <w:b/>
              <w:sz w:val="28"/>
              <w:szCs w:val="28"/>
            </w:rPr>
            <w:t>4</w:t>
          </w:r>
          <w:r>
            <w:rPr>
              <w:b/>
              <w:sz w:val="28"/>
              <w:szCs w:val="28"/>
            </w:rPr>
            <w:fldChar w:fldCharType="end"/>
          </w:r>
          <w:r>
            <w:rPr>
              <w:b/>
              <w:sz w:val="28"/>
              <w:szCs w:val="28"/>
            </w:rPr>
            <w:fldChar w:fldCharType="end"/>
          </w:r>
        </w:p>
        <w:p>
          <w:pPr>
            <w:pStyle w:val="12"/>
            <w:keepNext w:val="0"/>
            <w:keepLines w:val="0"/>
            <w:pageBreakBefore w:val="0"/>
            <w:tabs>
              <w:tab w:val="right" w:leader="dot" w:pos="8306"/>
            </w:tabs>
            <w:kinsoku/>
            <w:wordWrap/>
            <w:overflowPunct/>
            <w:topLinePunct w:val="0"/>
            <w:autoSpaceDE/>
            <w:autoSpaceDN/>
            <w:bidi w:val="0"/>
            <w:adjustRightInd/>
            <w:spacing w:line="480" w:lineRule="exact"/>
            <w:textAlignment w:val="auto"/>
            <w:rPr>
              <w:b/>
              <w:sz w:val="28"/>
              <w:szCs w:val="28"/>
            </w:rPr>
          </w:pPr>
          <w:r>
            <w:rPr>
              <w:b/>
              <w:sz w:val="28"/>
              <w:szCs w:val="28"/>
            </w:rPr>
            <w:fldChar w:fldCharType="begin"/>
          </w:r>
          <w:r>
            <w:rPr>
              <w:b/>
              <w:sz w:val="28"/>
              <w:szCs w:val="28"/>
            </w:rPr>
            <w:instrText xml:space="preserve"> HYPERLINK \l _Toc13757 </w:instrText>
          </w:r>
          <w:r>
            <w:rPr>
              <w:b/>
              <w:sz w:val="28"/>
              <w:szCs w:val="28"/>
            </w:rPr>
            <w:fldChar w:fldCharType="separate"/>
          </w:r>
          <w:r>
            <w:rPr>
              <w:rFonts w:hint="eastAsia" w:ascii="黑体" w:eastAsia="黑体"/>
              <w:b/>
              <w:bCs/>
              <w:sz w:val="28"/>
              <w:szCs w:val="28"/>
            </w:rPr>
            <w:t>三、一般公共预算财政拨款基本支出决算情况</w:t>
          </w:r>
          <w:r>
            <w:rPr>
              <w:b/>
              <w:sz w:val="28"/>
              <w:szCs w:val="28"/>
            </w:rPr>
            <w:tab/>
          </w:r>
          <w:r>
            <w:rPr>
              <w:b/>
              <w:sz w:val="28"/>
              <w:szCs w:val="28"/>
            </w:rPr>
            <w:fldChar w:fldCharType="begin"/>
          </w:r>
          <w:r>
            <w:rPr>
              <w:b/>
              <w:sz w:val="28"/>
              <w:szCs w:val="28"/>
            </w:rPr>
            <w:instrText xml:space="preserve"> PAGEREF _Toc13757 \h </w:instrText>
          </w:r>
          <w:r>
            <w:rPr>
              <w:b/>
              <w:sz w:val="28"/>
              <w:szCs w:val="28"/>
            </w:rPr>
            <w:fldChar w:fldCharType="separate"/>
          </w:r>
          <w:r>
            <w:rPr>
              <w:b/>
              <w:sz w:val="28"/>
              <w:szCs w:val="28"/>
            </w:rPr>
            <w:t>4</w:t>
          </w:r>
          <w:r>
            <w:rPr>
              <w:b/>
              <w:sz w:val="28"/>
              <w:szCs w:val="28"/>
            </w:rPr>
            <w:fldChar w:fldCharType="end"/>
          </w:r>
          <w:r>
            <w:rPr>
              <w:b/>
              <w:sz w:val="28"/>
              <w:szCs w:val="28"/>
            </w:rPr>
            <w:fldChar w:fldCharType="end"/>
          </w:r>
        </w:p>
        <w:p>
          <w:pPr>
            <w:pStyle w:val="12"/>
            <w:keepNext w:val="0"/>
            <w:keepLines w:val="0"/>
            <w:pageBreakBefore w:val="0"/>
            <w:tabs>
              <w:tab w:val="right" w:leader="dot" w:pos="8306"/>
            </w:tabs>
            <w:kinsoku/>
            <w:wordWrap/>
            <w:overflowPunct/>
            <w:topLinePunct w:val="0"/>
            <w:autoSpaceDE/>
            <w:autoSpaceDN/>
            <w:bidi w:val="0"/>
            <w:adjustRightInd/>
            <w:spacing w:line="480" w:lineRule="exact"/>
            <w:textAlignment w:val="auto"/>
            <w:rPr>
              <w:b/>
              <w:sz w:val="28"/>
              <w:szCs w:val="28"/>
            </w:rPr>
          </w:pPr>
          <w:r>
            <w:rPr>
              <w:b/>
              <w:sz w:val="28"/>
              <w:szCs w:val="28"/>
            </w:rPr>
            <w:fldChar w:fldCharType="begin"/>
          </w:r>
          <w:r>
            <w:rPr>
              <w:b/>
              <w:sz w:val="28"/>
              <w:szCs w:val="28"/>
            </w:rPr>
            <w:instrText xml:space="preserve"> HYPERLINK \l _Toc15939 </w:instrText>
          </w:r>
          <w:r>
            <w:rPr>
              <w:b/>
              <w:sz w:val="28"/>
              <w:szCs w:val="28"/>
            </w:rPr>
            <w:fldChar w:fldCharType="separate"/>
          </w:r>
          <w:r>
            <w:rPr>
              <w:rFonts w:hint="eastAsia" w:ascii="黑体" w:eastAsia="黑体"/>
              <w:b/>
              <w:sz w:val="28"/>
              <w:szCs w:val="28"/>
            </w:rPr>
            <w:t>四、财政拨款收支决算情况</w:t>
          </w:r>
          <w:r>
            <w:rPr>
              <w:b/>
              <w:sz w:val="28"/>
              <w:szCs w:val="28"/>
            </w:rPr>
            <w:tab/>
          </w:r>
          <w:r>
            <w:rPr>
              <w:b/>
              <w:sz w:val="28"/>
              <w:szCs w:val="28"/>
            </w:rPr>
            <w:fldChar w:fldCharType="begin"/>
          </w:r>
          <w:r>
            <w:rPr>
              <w:b/>
              <w:sz w:val="28"/>
              <w:szCs w:val="28"/>
            </w:rPr>
            <w:instrText xml:space="preserve"> PAGEREF _Toc15939 \h </w:instrText>
          </w:r>
          <w:r>
            <w:rPr>
              <w:b/>
              <w:sz w:val="28"/>
              <w:szCs w:val="28"/>
            </w:rPr>
            <w:fldChar w:fldCharType="separate"/>
          </w:r>
          <w:r>
            <w:rPr>
              <w:b/>
              <w:sz w:val="28"/>
              <w:szCs w:val="28"/>
            </w:rPr>
            <w:t>4</w:t>
          </w:r>
          <w:r>
            <w:rPr>
              <w:b/>
              <w:sz w:val="28"/>
              <w:szCs w:val="28"/>
            </w:rPr>
            <w:fldChar w:fldCharType="end"/>
          </w:r>
          <w:r>
            <w:rPr>
              <w:b/>
              <w:sz w:val="28"/>
              <w:szCs w:val="28"/>
            </w:rPr>
            <w:fldChar w:fldCharType="end"/>
          </w:r>
        </w:p>
        <w:p>
          <w:pPr>
            <w:pStyle w:val="12"/>
            <w:keepNext w:val="0"/>
            <w:keepLines w:val="0"/>
            <w:pageBreakBefore w:val="0"/>
            <w:tabs>
              <w:tab w:val="right" w:leader="dot" w:pos="8306"/>
            </w:tabs>
            <w:kinsoku/>
            <w:wordWrap/>
            <w:overflowPunct/>
            <w:topLinePunct w:val="0"/>
            <w:autoSpaceDE/>
            <w:autoSpaceDN/>
            <w:bidi w:val="0"/>
            <w:adjustRightInd/>
            <w:spacing w:line="480" w:lineRule="exact"/>
            <w:textAlignment w:val="auto"/>
            <w:rPr>
              <w:b/>
              <w:sz w:val="28"/>
              <w:szCs w:val="28"/>
            </w:rPr>
          </w:pPr>
          <w:r>
            <w:rPr>
              <w:b/>
              <w:sz w:val="28"/>
              <w:szCs w:val="28"/>
            </w:rPr>
            <w:fldChar w:fldCharType="begin"/>
          </w:r>
          <w:r>
            <w:rPr>
              <w:b/>
              <w:sz w:val="28"/>
              <w:szCs w:val="28"/>
            </w:rPr>
            <w:instrText xml:space="preserve"> HYPERLINK \l _Toc12976 </w:instrText>
          </w:r>
          <w:r>
            <w:rPr>
              <w:b/>
              <w:sz w:val="28"/>
              <w:szCs w:val="28"/>
            </w:rPr>
            <w:fldChar w:fldCharType="separate"/>
          </w:r>
          <w:r>
            <w:rPr>
              <w:rFonts w:hint="eastAsia" w:ascii="黑体" w:eastAsia="黑体"/>
              <w:b/>
              <w:sz w:val="28"/>
              <w:szCs w:val="28"/>
            </w:rPr>
            <w:t>五、一般公共预算财政拨款支出决算情况</w:t>
          </w:r>
          <w:r>
            <w:rPr>
              <w:b/>
              <w:sz w:val="28"/>
              <w:szCs w:val="28"/>
            </w:rPr>
            <w:tab/>
          </w:r>
          <w:r>
            <w:rPr>
              <w:b/>
              <w:sz w:val="28"/>
              <w:szCs w:val="28"/>
            </w:rPr>
            <w:fldChar w:fldCharType="begin"/>
          </w:r>
          <w:r>
            <w:rPr>
              <w:b/>
              <w:sz w:val="28"/>
              <w:szCs w:val="28"/>
            </w:rPr>
            <w:instrText xml:space="preserve"> PAGEREF _Toc12976 \h </w:instrText>
          </w:r>
          <w:r>
            <w:rPr>
              <w:b/>
              <w:sz w:val="28"/>
              <w:szCs w:val="28"/>
            </w:rPr>
            <w:fldChar w:fldCharType="separate"/>
          </w:r>
          <w:r>
            <w:rPr>
              <w:b/>
              <w:sz w:val="28"/>
              <w:szCs w:val="28"/>
            </w:rPr>
            <w:t>5</w:t>
          </w:r>
          <w:r>
            <w:rPr>
              <w:b/>
              <w:sz w:val="28"/>
              <w:szCs w:val="28"/>
            </w:rPr>
            <w:fldChar w:fldCharType="end"/>
          </w:r>
          <w:r>
            <w:rPr>
              <w:b/>
              <w:sz w:val="28"/>
              <w:szCs w:val="28"/>
            </w:rPr>
            <w:fldChar w:fldCharType="end"/>
          </w:r>
        </w:p>
        <w:p>
          <w:pPr>
            <w:pStyle w:val="13"/>
            <w:keepNext w:val="0"/>
            <w:keepLines w:val="0"/>
            <w:pageBreakBefore w:val="0"/>
            <w:tabs>
              <w:tab w:val="right" w:leader="dot" w:pos="8306"/>
            </w:tabs>
            <w:kinsoku/>
            <w:wordWrap/>
            <w:overflowPunct/>
            <w:topLinePunct w:val="0"/>
            <w:autoSpaceDE/>
            <w:autoSpaceDN/>
            <w:bidi w:val="0"/>
            <w:adjustRightInd/>
            <w:spacing w:line="480" w:lineRule="exact"/>
            <w:textAlignment w:val="auto"/>
            <w:rPr>
              <w:sz w:val="28"/>
              <w:szCs w:val="28"/>
            </w:rPr>
          </w:pPr>
          <w:r>
            <w:rPr>
              <w:sz w:val="28"/>
              <w:szCs w:val="28"/>
            </w:rPr>
            <w:fldChar w:fldCharType="begin"/>
          </w:r>
          <w:r>
            <w:rPr>
              <w:sz w:val="28"/>
              <w:szCs w:val="28"/>
            </w:rPr>
            <w:instrText xml:space="preserve"> HYPERLINK \l _Toc25119 </w:instrText>
          </w:r>
          <w:r>
            <w:rPr>
              <w:sz w:val="28"/>
              <w:szCs w:val="28"/>
            </w:rPr>
            <w:fldChar w:fldCharType="separate"/>
          </w:r>
          <w:r>
            <w:rPr>
              <w:rFonts w:hint="eastAsia" w:ascii="仿宋_GB2312" w:eastAsia="仿宋_GB2312"/>
              <w:sz w:val="28"/>
              <w:szCs w:val="28"/>
            </w:rPr>
            <w:t>（一）一般公共预算财政拨款支出决算总体情况</w:t>
          </w:r>
          <w:r>
            <w:rPr>
              <w:sz w:val="28"/>
              <w:szCs w:val="28"/>
            </w:rPr>
            <w:tab/>
          </w:r>
          <w:r>
            <w:rPr>
              <w:sz w:val="28"/>
              <w:szCs w:val="28"/>
            </w:rPr>
            <w:fldChar w:fldCharType="begin"/>
          </w:r>
          <w:r>
            <w:rPr>
              <w:sz w:val="28"/>
              <w:szCs w:val="28"/>
            </w:rPr>
            <w:instrText xml:space="preserve"> PAGEREF _Toc25119 \h </w:instrText>
          </w:r>
          <w:r>
            <w:rPr>
              <w:sz w:val="28"/>
              <w:szCs w:val="28"/>
            </w:rPr>
            <w:fldChar w:fldCharType="separate"/>
          </w:r>
          <w:r>
            <w:rPr>
              <w:sz w:val="28"/>
              <w:szCs w:val="28"/>
            </w:rPr>
            <w:t>5</w:t>
          </w:r>
          <w:r>
            <w:rPr>
              <w:sz w:val="28"/>
              <w:szCs w:val="28"/>
            </w:rPr>
            <w:fldChar w:fldCharType="end"/>
          </w:r>
          <w:r>
            <w:rPr>
              <w:sz w:val="28"/>
              <w:szCs w:val="28"/>
            </w:rPr>
            <w:fldChar w:fldCharType="end"/>
          </w:r>
        </w:p>
        <w:p>
          <w:pPr>
            <w:pStyle w:val="13"/>
            <w:keepNext w:val="0"/>
            <w:keepLines w:val="0"/>
            <w:pageBreakBefore w:val="0"/>
            <w:tabs>
              <w:tab w:val="right" w:leader="dot" w:pos="8306"/>
            </w:tabs>
            <w:kinsoku/>
            <w:wordWrap/>
            <w:overflowPunct/>
            <w:topLinePunct w:val="0"/>
            <w:autoSpaceDE/>
            <w:autoSpaceDN/>
            <w:bidi w:val="0"/>
            <w:adjustRightInd/>
            <w:spacing w:line="480" w:lineRule="exact"/>
            <w:textAlignment w:val="auto"/>
            <w:rPr>
              <w:sz w:val="28"/>
              <w:szCs w:val="28"/>
            </w:rPr>
          </w:pPr>
          <w:r>
            <w:rPr>
              <w:sz w:val="28"/>
              <w:szCs w:val="28"/>
            </w:rPr>
            <w:fldChar w:fldCharType="begin"/>
          </w:r>
          <w:r>
            <w:rPr>
              <w:sz w:val="28"/>
              <w:szCs w:val="28"/>
            </w:rPr>
            <w:instrText xml:space="preserve"> HYPERLINK \l _Toc18846 </w:instrText>
          </w:r>
          <w:r>
            <w:rPr>
              <w:sz w:val="28"/>
              <w:szCs w:val="28"/>
            </w:rPr>
            <w:fldChar w:fldCharType="separate"/>
          </w:r>
          <w:r>
            <w:rPr>
              <w:rFonts w:hint="eastAsia" w:ascii="仿宋_GB2312" w:eastAsia="仿宋_GB2312"/>
              <w:sz w:val="28"/>
              <w:szCs w:val="28"/>
            </w:rPr>
            <w:t>（二）一般公共预算财政拨款支出决算结构情况</w:t>
          </w:r>
          <w:r>
            <w:rPr>
              <w:sz w:val="28"/>
              <w:szCs w:val="28"/>
            </w:rPr>
            <w:tab/>
          </w:r>
          <w:r>
            <w:rPr>
              <w:sz w:val="28"/>
              <w:szCs w:val="28"/>
            </w:rPr>
            <w:fldChar w:fldCharType="begin"/>
          </w:r>
          <w:r>
            <w:rPr>
              <w:sz w:val="28"/>
              <w:szCs w:val="28"/>
            </w:rPr>
            <w:instrText xml:space="preserve"> PAGEREF _Toc18846 \h </w:instrText>
          </w:r>
          <w:r>
            <w:rPr>
              <w:sz w:val="28"/>
              <w:szCs w:val="28"/>
            </w:rPr>
            <w:fldChar w:fldCharType="separate"/>
          </w:r>
          <w:r>
            <w:rPr>
              <w:sz w:val="28"/>
              <w:szCs w:val="28"/>
            </w:rPr>
            <w:t>5</w:t>
          </w:r>
          <w:r>
            <w:rPr>
              <w:sz w:val="28"/>
              <w:szCs w:val="28"/>
            </w:rPr>
            <w:fldChar w:fldCharType="end"/>
          </w:r>
          <w:r>
            <w:rPr>
              <w:sz w:val="28"/>
              <w:szCs w:val="28"/>
            </w:rPr>
            <w:fldChar w:fldCharType="end"/>
          </w:r>
        </w:p>
        <w:p>
          <w:pPr>
            <w:pStyle w:val="12"/>
            <w:keepNext w:val="0"/>
            <w:keepLines w:val="0"/>
            <w:pageBreakBefore w:val="0"/>
            <w:tabs>
              <w:tab w:val="right" w:leader="dot" w:pos="8306"/>
            </w:tabs>
            <w:kinsoku/>
            <w:wordWrap/>
            <w:overflowPunct/>
            <w:topLinePunct w:val="0"/>
            <w:autoSpaceDE/>
            <w:autoSpaceDN/>
            <w:bidi w:val="0"/>
            <w:adjustRightInd/>
            <w:spacing w:line="480" w:lineRule="exact"/>
            <w:textAlignment w:val="auto"/>
            <w:rPr>
              <w:b/>
              <w:sz w:val="28"/>
              <w:szCs w:val="28"/>
            </w:rPr>
          </w:pPr>
          <w:r>
            <w:rPr>
              <w:b/>
              <w:sz w:val="28"/>
              <w:szCs w:val="28"/>
            </w:rPr>
            <w:fldChar w:fldCharType="begin"/>
          </w:r>
          <w:r>
            <w:rPr>
              <w:b/>
              <w:sz w:val="28"/>
              <w:szCs w:val="28"/>
            </w:rPr>
            <w:instrText xml:space="preserve"> HYPERLINK \l _Toc7658 </w:instrText>
          </w:r>
          <w:r>
            <w:rPr>
              <w:b/>
              <w:sz w:val="28"/>
              <w:szCs w:val="28"/>
            </w:rPr>
            <w:fldChar w:fldCharType="separate"/>
          </w:r>
          <w:r>
            <w:rPr>
              <w:rFonts w:hint="eastAsia" w:ascii="黑体" w:eastAsia="黑体"/>
              <w:b/>
              <w:bCs/>
              <w:sz w:val="28"/>
              <w:szCs w:val="28"/>
            </w:rPr>
            <w:t>四、“三公”经费财政拨款支出决算情况</w:t>
          </w:r>
          <w:r>
            <w:rPr>
              <w:b/>
              <w:sz w:val="28"/>
              <w:szCs w:val="28"/>
            </w:rPr>
            <w:tab/>
          </w:r>
          <w:r>
            <w:rPr>
              <w:b/>
              <w:sz w:val="28"/>
              <w:szCs w:val="28"/>
            </w:rPr>
            <w:fldChar w:fldCharType="begin"/>
          </w:r>
          <w:r>
            <w:rPr>
              <w:b/>
              <w:sz w:val="28"/>
              <w:szCs w:val="28"/>
            </w:rPr>
            <w:instrText xml:space="preserve"> PAGEREF _Toc7658 \h </w:instrText>
          </w:r>
          <w:r>
            <w:rPr>
              <w:b/>
              <w:sz w:val="28"/>
              <w:szCs w:val="28"/>
            </w:rPr>
            <w:fldChar w:fldCharType="separate"/>
          </w:r>
          <w:r>
            <w:rPr>
              <w:b/>
              <w:sz w:val="28"/>
              <w:szCs w:val="28"/>
            </w:rPr>
            <w:t>7</w:t>
          </w:r>
          <w:r>
            <w:rPr>
              <w:b/>
              <w:sz w:val="28"/>
              <w:szCs w:val="28"/>
            </w:rPr>
            <w:fldChar w:fldCharType="end"/>
          </w:r>
          <w:r>
            <w:rPr>
              <w:b/>
              <w:sz w:val="28"/>
              <w:szCs w:val="28"/>
            </w:rPr>
            <w:fldChar w:fldCharType="end"/>
          </w:r>
        </w:p>
        <w:p>
          <w:pPr>
            <w:pStyle w:val="13"/>
            <w:keepNext w:val="0"/>
            <w:keepLines w:val="0"/>
            <w:pageBreakBefore w:val="0"/>
            <w:tabs>
              <w:tab w:val="right" w:leader="dot" w:pos="8306"/>
            </w:tabs>
            <w:kinsoku/>
            <w:wordWrap/>
            <w:overflowPunct/>
            <w:topLinePunct w:val="0"/>
            <w:autoSpaceDE/>
            <w:autoSpaceDN/>
            <w:bidi w:val="0"/>
            <w:adjustRightInd/>
            <w:spacing w:line="480" w:lineRule="exact"/>
            <w:textAlignment w:val="auto"/>
            <w:rPr>
              <w:sz w:val="28"/>
              <w:szCs w:val="28"/>
            </w:rPr>
          </w:pPr>
          <w:r>
            <w:rPr>
              <w:sz w:val="28"/>
              <w:szCs w:val="28"/>
            </w:rPr>
            <w:fldChar w:fldCharType="begin"/>
          </w:r>
          <w:r>
            <w:rPr>
              <w:sz w:val="28"/>
              <w:szCs w:val="28"/>
            </w:rPr>
            <w:instrText xml:space="preserve"> HYPERLINK \l _Toc31772 </w:instrText>
          </w:r>
          <w:r>
            <w:rPr>
              <w:sz w:val="28"/>
              <w:szCs w:val="28"/>
            </w:rPr>
            <w:fldChar w:fldCharType="separate"/>
          </w:r>
          <w:r>
            <w:rPr>
              <w:rFonts w:hint="eastAsia" w:ascii="楷体" w:hAnsi="楷体" w:eastAsia="楷体" w:cs="楷体"/>
              <w:sz w:val="28"/>
              <w:szCs w:val="28"/>
            </w:rPr>
            <w:t>（一）“三公”经费财政拨款支出决算总体情况说明</w:t>
          </w:r>
          <w:r>
            <w:rPr>
              <w:sz w:val="28"/>
              <w:szCs w:val="28"/>
            </w:rPr>
            <w:tab/>
          </w:r>
          <w:r>
            <w:rPr>
              <w:sz w:val="28"/>
              <w:szCs w:val="28"/>
            </w:rPr>
            <w:fldChar w:fldCharType="begin"/>
          </w:r>
          <w:r>
            <w:rPr>
              <w:sz w:val="28"/>
              <w:szCs w:val="28"/>
            </w:rPr>
            <w:instrText xml:space="preserve"> PAGEREF _Toc31772 \h </w:instrText>
          </w:r>
          <w:r>
            <w:rPr>
              <w:sz w:val="28"/>
              <w:szCs w:val="28"/>
            </w:rPr>
            <w:fldChar w:fldCharType="separate"/>
          </w:r>
          <w:r>
            <w:rPr>
              <w:sz w:val="28"/>
              <w:szCs w:val="28"/>
            </w:rPr>
            <w:t>7</w:t>
          </w:r>
          <w:r>
            <w:rPr>
              <w:sz w:val="28"/>
              <w:szCs w:val="28"/>
            </w:rPr>
            <w:fldChar w:fldCharType="end"/>
          </w:r>
          <w:r>
            <w:rPr>
              <w:sz w:val="28"/>
              <w:szCs w:val="28"/>
            </w:rPr>
            <w:fldChar w:fldCharType="end"/>
          </w:r>
        </w:p>
        <w:p>
          <w:pPr>
            <w:pStyle w:val="13"/>
            <w:keepNext w:val="0"/>
            <w:keepLines w:val="0"/>
            <w:pageBreakBefore w:val="0"/>
            <w:tabs>
              <w:tab w:val="right" w:leader="dot" w:pos="8306"/>
            </w:tabs>
            <w:kinsoku/>
            <w:wordWrap/>
            <w:overflowPunct/>
            <w:topLinePunct w:val="0"/>
            <w:autoSpaceDE/>
            <w:autoSpaceDN/>
            <w:bidi w:val="0"/>
            <w:adjustRightInd/>
            <w:spacing w:line="480" w:lineRule="exact"/>
            <w:textAlignment w:val="auto"/>
            <w:rPr>
              <w:sz w:val="28"/>
              <w:szCs w:val="28"/>
            </w:rPr>
          </w:pPr>
          <w:r>
            <w:rPr>
              <w:sz w:val="28"/>
              <w:szCs w:val="28"/>
            </w:rPr>
            <w:fldChar w:fldCharType="begin"/>
          </w:r>
          <w:r>
            <w:rPr>
              <w:sz w:val="28"/>
              <w:szCs w:val="28"/>
            </w:rPr>
            <w:instrText xml:space="preserve"> HYPERLINK \l _Toc23081 </w:instrText>
          </w:r>
          <w:r>
            <w:rPr>
              <w:sz w:val="28"/>
              <w:szCs w:val="28"/>
            </w:rPr>
            <w:fldChar w:fldCharType="separate"/>
          </w:r>
          <w:r>
            <w:rPr>
              <w:rFonts w:hint="eastAsia" w:ascii="楷体" w:hAnsi="楷体" w:eastAsia="楷体" w:cs="楷体"/>
              <w:sz w:val="28"/>
              <w:szCs w:val="28"/>
            </w:rPr>
            <w:t>（二）“三公”经费财政拨款支出决算具体情况说明</w:t>
          </w:r>
          <w:r>
            <w:rPr>
              <w:sz w:val="28"/>
              <w:szCs w:val="28"/>
            </w:rPr>
            <w:tab/>
          </w:r>
          <w:r>
            <w:rPr>
              <w:sz w:val="28"/>
              <w:szCs w:val="28"/>
            </w:rPr>
            <w:fldChar w:fldCharType="begin"/>
          </w:r>
          <w:r>
            <w:rPr>
              <w:sz w:val="28"/>
              <w:szCs w:val="28"/>
            </w:rPr>
            <w:instrText xml:space="preserve"> PAGEREF _Toc23081 \h </w:instrText>
          </w:r>
          <w:r>
            <w:rPr>
              <w:sz w:val="28"/>
              <w:szCs w:val="28"/>
            </w:rPr>
            <w:fldChar w:fldCharType="separate"/>
          </w:r>
          <w:r>
            <w:rPr>
              <w:sz w:val="28"/>
              <w:szCs w:val="28"/>
            </w:rPr>
            <w:t>7</w:t>
          </w:r>
          <w:r>
            <w:rPr>
              <w:sz w:val="28"/>
              <w:szCs w:val="28"/>
            </w:rPr>
            <w:fldChar w:fldCharType="end"/>
          </w:r>
          <w:r>
            <w:rPr>
              <w:sz w:val="28"/>
              <w:szCs w:val="28"/>
            </w:rPr>
            <w:fldChar w:fldCharType="end"/>
          </w:r>
        </w:p>
        <w:p>
          <w:pPr>
            <w:pStyle w:val="12"/>
            <w:keepNext w:val="0"/>
            <w:keepLines w:val="0"/>
            <w:pageBreakBefore w:val="0"/>
            <w:tabs>
              <w:tab w:val="right" w:leader="dot" w:pos="8306"/>
            </w:tabs>
            <w:kinsoku/>
            <w:wordWrap/>
            <w:overflowPunct/>
            <w:topLinePunct w:val="0"/>
            <w:autoSpaceDE/>
            <w:autoSpaceDN/>
            <w:bidi w:val="0"/>
            <w:adjustRightInd/>
            <w:spacing w:line="480" w:lineRule="exact"/>
            <w:textAlignment w:val="auto"/>
            <w:rPr>
              <w:b/>
              <w:sz w:val="28"/>
              <w:szCs w:val="28"/>
            </w:rPr>
          </w:pPr>
          <w:r>
            <w:rPr>
              <w:b/>
              <w:sz w:val="28"/>
              <w:szCs w:val="28"/>
            </w:rPr>
            <w:fldChar w:fldCharType="begin"/>
          </w:r>
          <w:r>
            <w:rPr>
              <w:b/>
              <w:sz w:val="28"/>
              <w:szCs w:val="28"/>
            </w:rPr>
            <w:instrText xml:space="preserve"> HYPERLINK \l _Toc31631 </w:instrText>
          </w:r>
          <w:r>
            <w:rPr>
              <w:b/>
              <w:sz w:val="28"/>
              <w:szCs w:val="28"/>
            </w:rPr>
            <w:fldChar w:fldCharType="separate"/>
          </w:r>
          <w:r>
            <w:rPr>
              <w:rFonts w:hint="eastAsia" w:ascii="黑体" w:hAnsi="黑体" w:eastAsia="黑体"/>
              <w:b/>
              <w:bCs/>
              <w:sz w:val="28"/>
              <w:szCs w:val="28"/>
            </w:rPr>
            <w:t>五、资产负债情况分析</w:t>
          </w:r>
          <w:r>
            <w:rPr>
              <w:b/>
              <w:sz w:val="28"/>
              <w:szCs w:val="28"/>
            </w:rPr>
            <w:tab/>
          </w:r>
          <w:r>
            <w:rPr>
              <w:b/>
              <w:sz w:val="28"/>
              <w:szCs w:val="28"/>
            </w:rPr>
            <w:fldChar w:fldCharType="begin"/>
          </w:r>
          <w:r>
            <w:rPr>
              <w:b/>
              <w:sz w:val="28"/>
              <w:szCs w:val="28"/>
            </w:rPr>
            <w:instrText xml:space="preserve"> PAGEREF _Toc31631 \h </w:instrText>
          </w:r>
          <w:r>
            <w:rPr>
              <w:b/>
              <w:sz w:val="28"/>
              <w:szCs w:val="28"/>
            </w:rPr>
            <w:fldChar w:fldCharType="separate"/>
          </w:r>
          <w:r>
            <w:rPr>
              <w:b/>
              <w:sz w:val="28"/>
              <w:szCs w:val="28"/>
            </w:rPr>
            <w:t>8</w:t>
          </w:r>
          <w:r>
            <w:rPr>
              <w:b/>
              <w:sz w:val="28"/>
              <w:szCs w:val="28"/>
            </w:rPr>
            <w:fldChar w:fldCharType="end"/>
          </w:r>
          <w:r>
            <w:rPr>
              <w:b/>
              <w:sz w:val="28"/>
              <w:szCs w:val="28"/>
            </w:rPr>
            <w:fldChar w:fldCharType="end"/>
          </w:r>
        </w:p>
        <w:p>
          <w:pPr>
            <w:pStyle w:val="12"/>
            <w:keepNext w:val="0"/>
            <w:keepLines w:val="0"/>
            <w:pageBreakBefore w:val="0"/>
            <w:tabs>
              <w:tab w:val="right" w:leader="dot" w:pos="8306"/>
            </w:tabs>
            <w:kinsoku/>
            <w:wordWrap/>
            <w:overflowPunct/>
            <w:topLinePunct w:val="0"/>
            <w:autoSpaceDE/>
            <w:autoSpaceDN/>
            <w:bidi w:val="0"/>
            <w:adjustRightInd/>
            <w:spacing w:line="480" w:lineRule="exact"/>
            <w:textAlignment w:val="auto"/>
            <w:rPr>
              <w:b/>
              <w:sz w:val="28"/>
              <w:szCs w:val="28"/>
            </w:rPr>
          </w:pPr>
          <w:r>
            <w:rPr>
              <w:b/>
              <w:sz w:val="28"/>
              <w:szCs w:val="28"/>
            </w:rPr>
            <w:fldChar w:fldCharType="begin"/>
          </w:r>
          <w:r>
            <w:rPr>
              <w:b/>
              <w:sz w:val="28"/>
              <w:szCs w:val="28"/>
            </w:rPr>
            <w:instrText xml:space="preserve"> HYPERLINK \l _Toc9116 </w:instrText>
          </w:r>
          <w:r>
            <w:rPr>
              <w:b/>
              <w:sz w:val="28"/>
              <w:szCs w:val="28"/>
            </w:rPr>
            <w:fldChar w:fldCharType="separate"/>
          </w:r>
          <w:r>
            <w:rPr>
              <w:rFonts w:hint="eastAsia" w:ascii="黑体" w:hAnsi="黑体" w:eastAsia="黑体" w:cs="黑体"/>
              <w:b/>
              <w:bCs/>
              <w:sz w:val="28"/>
              <w:szCs w:val="28"/>
            </w:rPr>
            <w:t>六、政府性基金预算财政拨款支出决算情况</w:t>
          </w:r>
          <w:r>
            <w:rPr>
              <w:b/>
              <w:sz w:val="28"/>
              <w:szCs w:val="28"/>
            </w:rPr>
            <w:tab/>
          </w:r>
          <w:r>
            <w:rPr>
              <w:b/>
              <w:sz w:val="28"/>
              <w:szCs w:val="28"/>
            </w:rPr>
            <w:fldChar w:fldCharType="begin"/>
          </w:r>
          <w:r>
            <w:rPr>
              <w:b/>
              <w:sz w:val="28"/>
              <w:szCs w:val="28"/>
            </w:rPr>
            <w:instrText xml:space="preserve"> PAGEREF _Toc9116 \h </w:instrText>
          </w:r>
          <w:r>
            <w:rPr>
              <w:b/>
              <w:sz w:val="28"/>
              <w:szCs w:val="28"/>
            </w:rPr>
            <w:fldChar w:fldCharType="separate"/>
          </w:r>
          <w:r>
            <w:rPr>
              <w:b/>
              <w:sz w:val="28"/>
              <w:szCs w:val="28"/>
            </w:rPr>
            <w:t>8</w:t>
          </w:r>
          <w:r>
            <w:rPr>
              <w:b/>
              <w:sz w:val="28"/>
              <w:szCs w:val="28"/>
            </w:rPr>
            <w:fldChar w:fldCharType="end"/>
          </w:r>
          <w:r>
            <w:rPr>
              <w:b/>
              <w:sz w:val="28"/>
              <w:szCs w:val="28"/>
            </w:rPr>
            <w:fldChar w:fldCharType="end"/>
          </w:r>
        </w:p>
        <w:p>
          <w:pPr>
            <w:pStyle w:val="12"/>
            <w:keepNext w:val="0"/>
            <w:keepLines w:val="0"/>
            <w:pageBreakBefore w:val="0"/>
            <w:tabs>
              <w:tab w:val="right" w:leader="dot" w:pos="8306"/>
            </w:tabs>
            <w:kinsoku/>
            <w:wordWrap/>
            <w:overflowPunct/>
            <w:topLinePunct w:val="0"/>
            <w:autoSpaceDE/>
            <w:autoSpaceDN/>
            <w:bidi w:val="0"/>
            <w:adjustRightInd/>
            <w:spacing w:line="480" w:lineRule="exact"/>
            <w:textAlignment w:val="auto"/>
            <w:rPr>
              <w:b/>
              <w:sz w:val="28"/>
              <w:szCs w:val="28"/>
            </w:rPr>
          </w:pPr>
          <w:r>
            <w:rPr>
              <w:b/>
              <w:sz w:val="28"/>
              <w:szCs w:val="28"/>
            </w:rPr>
            <w:fldChar w:fldCharType="begin"/>
          </w:r>
          <w:r>
            <w:rPr>
              <w:b/>
              <w:sz w:val="28"/>
              <w:szCs w:val="28"/>
            </w:rPr>
            <w:instrText xml:space="preserve"> HYPERLINK \l _Toc7019 </w:instrText>
          </w:r>
          <w:r>
            <w:rPr>
              <w:b/>
              <w:sz w:val="28"/>
              <w:szCs w:val="28"/>
            </w:rPr>
            <w:fldChar w:fldCharType="separate"/>
          </w:r>
          <w:r>
            <w:rPr>
              <w:rFonts w:hint="eastAsia" w:ascii="黑体" w:eastAsia="黑体"/>
              <w:b/>
              <w:bCs/>
              <w:sz w:val="28"/>
              <w:szCs w:val="28"/>
            </w:rPr>
            <w:t>七、其他重要事项的情况说明</w:t>
          </w:r>
          <w:r>
            <w:rPr>
              <w:b/>
              <w:sz w:val="28"/>
              <w:szCs w:val="28"/>
            </w:rPr>
            <w:tab/>
          </w:r>
          <w:r>
            <w:rPr>
              <w:b/>
              <w:sz w:val="28"/>
              <w:szCs w:val="28"/>
            </w:rPr>
            <w:fldChar w:fldCharType="begin"/>
          </w:r>
          <w:r>
            <w:rPr>
              <w:b/>
              <w:sz w:val="28"/>
              <w:szCs w:val="28"/>
            </w:rPr>
            <w:instrText xml:space="preserve"> PAGEREF _Toc7019 \h </w:instrText>
          </w:r>
          <w:r>
            <w:rPr>
              <w:b/>
              <w:sz w:val="28"/>
              <w:szCs w:val="28"/>
            </w:rPr>
            <w:fldChar w:fldCharType="separate"/>
          </w:r>
          <w:r>
            <w:rPr>
              <w:b/>
              <w:sz w:val="28"/>
              <w:szCs w:val="28"/>
            </w:rPr>
            <w:t>8</w:t>
          </w:r>
          <w:r>
            <w:rPr>
              <w:b/>
              <w:sz w:val="28"/>
              <w:szCs w:val="28"/>
            </w:rPr>
            <w:fldChar w:fldCharType="end"/>
          </w:r>
          <w:r>
            <w:rPr>
              <w:b/>
              <w:sz w:val="28"/>
              <w:szCs w:val="28"/>
            </w:rPr>
            <w:fldChar w:fldCharType="end"/>
          </w:r>
        </w:p>
        <w:p>
          <w:pPr>
            <w:pStyle w:val="13"/>
            <w:keepNext w:val="0"/>
            <w:keepLines w:val="0"/>
            <w:pageBreakBefore w:val="0"/>
            <w:tabs>
              <w:tab w:val="right" w:leader="dot" w:pos="8306"/>
            </w:tabs>
            <w:kinsoku/>
            <w:wordWrap/>
            <w:overflowPunct/>
            <w:topLinePunct w:val="0"/>
            <w:autoSpaceDE/>
            <w:autoSpaceDN/>
            <w:bidi w:val="0"/>
            <w:adjustRightInd/>
            <w:spacing w:line="480" w:lineRule="exact"/>
            <w:textAlignment w:val="auto"/>
            <w:rPr>
              <w:sz w:val="28"/>
              <w:szCs w:val="28"/>
            </w:rPr>
          </w:pPr>
          <w:r>
            <w:rPr>
              <w:sz w:val="28"/>
              <w:szCs w:val="28"/>
            </w:rPr>
            <w:fldChar w:fldCharType="begin"/>
          </w:r>
          <w:r>
            <w:rPr>
              <w:sz w:val="28"/>
              <w:szCs w:val="28"/>
            </w:rPr>
            <w:instrText xml:space="preserve"> HYPERLINK \l _Toc26120 </w:instrText>
          </w:r>
          <w:r>
            <w:rPr>
              <w:sz w:val="28"/>
              <w:szCs w:val="28"/>
            </w:rPr>
            <w:fldChar w:fldCharType="separate"/>
          </w:r>
          <w:r>
            <w:rPr>
              <w:rFonts w:hint="eastAsia" w:ascii="楷体" w:hAnsi="楷体" w:eastAsia="楷体" w:cs="楷体"/>
              <w:sz w:val="28"/>
              <w:szCs w:val="28"/>
            </w:rPr>
            <w:t>（一）机关运行经费支出情况</w:t>
          </w:r>
          <w:r>
            <w:rPr>
              <w:sz w:val="28"/>
              <w:szCs w:val="28"/>
            </w:rPr>
            <w:tab/>
          </w:r>
          <w:r>
            <w:rPr>
              <w:sz w:val="28"/>
              <w:szCs w:val="28"/>
            </w:rPr>
            <w:fldChar w:fldCharType="begin"/>
          </w:r>
          <w:r>
            <w:rPr>
              <w:sz w:val="28"/>
              <w:szCs w:val="28"/>
            </w:rPr>
            <w:instrText xml:space="preserve"> PAGEREF _Toc26120 \h </w:instrText>
          </w:r>
          <w:r>
            <w:rPr>
              <w:sz w:val="28"/>
              <w:szCs w:val="28"/>
            </w:rPr>
            <w:fldChar w:fldCharType="separate"/>
          </w:r>
          <w:r>
            <w:rPr>
              <w:sz w:val="28"/>
              <w:szCs w:val="28"/>
            </w:rPr>
            <w:t>8</w:t>
          </w:r>
          <w:r>
            <w:rPr>
              <w:sz w:val="28"/>
              <w:szCs w:val="28"/>
            </w:rPr>
            <w:fldChar w:fldCharType="end"/>
          </w:r>
          <w:r>
            <w:rPr>
              <w:sz w:val="28"/>
              <w:szCs w:val="28"/>
            </w:rPr>
            <w:fldChar w:fldCharType="end"/>
          </w:r>
        </w:p>
        <w:p>
          <w:pPr>
            <w:pStyle w:val="13"/>
            <w:keepNext w:val="0"/>
            <w:keepLines w:val="0"/>
            <w:pageBreakBefore w:val="0"/>
            <w:tabs>
              <w:tab w:val="right" w:leader="dot" w:pos="8306"/>
            </w:tabs>
            <w:kinsoku/>
            <w:wordWrap/>
            <w:overflowPunct/>
            <w:topLinePunct w:val="0"/>
            <w:autoSpaceDE/>
            <w:autoSpaceDN/>
            <w:bidi w:val="0"/>
            <w:adjustRightInd/>
            <w:spacing w:line="480" w:lineRule="exact"/>
            <w:textAlignment w:val="auto"/>
            <w:rPr>
              <w:sz w:val="28"/>
              <w:szCs w:val="28"/>
            </w:rPr>
          </w:pPr>
          <w:r>
            <w:rPr>
              <w:sz w:val="28"/>
              <w:szCs w:val="28"/>
            </w:rPr>
            <w:fldChar w:fldCharType="begin"/>
          </w:r>
          <w:r>
            <w:rPr>
              <w:sz w:val="28"/>
              <w:szCs w:val="28"/>
            </w:rPr>
            <w:instrText xml:space="preserve"> HYPERLINK \l _Toc10821 </w:instrText>
          </w:r>
          <w:r>
            <w:rPr>
              <w:sz w:val="28"/>
              <w:szCs w:val="28"/>
            </w:rPr>
            <w:fldChar w:fldCharType="separate"/>
          </w:r>
          <w:r>
            <w:rPr>
              <w:rFonts w:hint="eastAsia" w:ascii="楷体" w:hAnsi="楷体" w:eastAsia="楷体" w:cs="楷体"/>
              <w:sz w:val="28"/>
              <w:szCs w:val="28"/>
            </w:rPr>
            <w:t>（二）政府采购支出情况</w:t>
          </w:r>
          <w:r>
            <w:rPr>
              <w:sz w:val="28"/>
              <w:szCs w:val="28"/>
            </w:rPr>
            <w:tab/>
          </w:r>
          <w:r>
            <w:rPr>
              <w:sz w:val="28"/>
              <w:szCs w:val="28"/>
            </w:rPr>
            <w:fldChar w:fldCharType="begin"/>
          </w:r>
          <w:r>
            <w:rPr>
              <w:sz w:val="28"/>
              <w:szCs w:val="28"/>
            </w:rPr>
            <w:instrText xml:space="preserve"> PAGEREF _Toc10821 \h </w:instrText>
          </w:r>
          <w:r>
            <w:rPr>
              <w:sz w:val="28"/>
              <w:szCs w:val="28"/>
            </w:rPr>
            <w:fldChar w:fldCharType="separate"/>
          </w:r>
          <w:r>
            <w:rPr>
              <w:sz w:val="28"/>
              <w:szCs w:val="28"/>
            </w:rPr>
            <w:t>8</w:t>
          </w:r>
          <w:r>
            <w:rPr>
              <w:sz w:val="28"/>
              <w:szCs w:val="28"/>
            </w:rPr>
            <w:fldChar w:fldCharType="end"/>
          </w:r>
          <w:r>
            <w:rPr>
              <w:sz w:val="28"/>
              <w:szCs w:val="28"/>
            </w:rPr>
            <w:fldChar w:fldCharType="end"/>
          </w:r>
        </w:p>
        <w:p>
          <w:pPr>
            <w:pStyle w:val="13"/>
            <w:keepNext w:val="0"/>
            <w:keepLines w:val="0"/>
            <w:pageBreakBefore w:val="0"/>
            <w:tabs>
              <w:tab w:val="right" w:leader="dot" w:pos="8306"/>
            </w:tabs>
            <w:kinsoku/>
            <w:wordWrap/>
            <w:overflowPunct/>
            <w:topLinePunct w:val="0"/>
            <w:autoSpaceDE/>
            <w:autoSpaceDN/>
            <w:bidi w:val="0"/>
            <w:adjustRightInd/>
            <w:spacing w:line="480" w:lineRule="exact"/>
            <w:textAlignment w:val="auto"/>
            <w:rPr>
              <w:sz w:val="28"/>
              <w:szCs w:val="28"/>
            </w:rPr>
          </w:pPr>
          <w:r>
            <w:rPr>
              <w:sz w:val="28"/>
              <w:szCs w:val="28"/>
            </w:rPr>
            <w:fldChar w:fldCharType="begin"/>
          </w:r>
          <w:r>
            <w:rPr>
              <w:sz w:val="28"/>
              <w:szCs w:val="28"/>
            </w:rPr>
            <w:instrText xml:space="preserve"> HYPERLINK \l _Toc5497 </w:instrText>
          </w:r>
          <w:r>
            <w:rPr>
              <w:sz w:val="28"/>
              <w:szCs w:val="28"/>
            </w:rPr>
            <w:fldChar w:fldCharType="separate"/>
          </w:r>
          <w:r>
            <w:rPr>
              <w:rFonts w:hint="eastAsia" w:ascii="楷体" w:hAnsi="楷体" w:eastAsia="楷体" w:cs="楷体"/>
              <w:sz w:val="28"/>
              <w:szCs w:val="28"/>
            </w:rPr>
            <w:t>（三）国有资产占有使用情况</w:t>
          </w:r>
          <w:r>
            <w:rPr>
              <w:sz w:val="28"/>
              <w:szCs w:val="28"/>
            </w:rPr>
            <w:tab/>
          </w:r>
          <w:r>
            <w:rPr>
              <w:sz w:val="28"/>
              <w:szCs w:val="28"/>
            </w:rPr>
            <w:fldChar w:fldCharType="begin"/>
          </w:r>
          <w:r>
            <w:rPr>
              <w:sz w:val="28"/>
              <w:szCs w:val="28"/>
            </w:rPr>
            <w:instrText xml:space="preserve"> PAGEREF _Toc5497 \h </w:instrText>
          </w:r>
          <w:r>
            <w:rPr>
              <w:sz w:val="28"/>
              <w:szCs w:val="28"/>
            </w:rPr>
            <w:fldChar w:fldCharType="separate"/>
          </w:r>
          <w:r>
            <w:rPr>
              <w:sz w:val="28"/>
              <w:szCs w:val="28"/>
            </w:rPr>
            <w:t>8</w:t>
          </w:r>
          <w:r>
            <w:rPr>
              <w:sz w:val="28"/>
              <w:szCs w:val="28"/>
            </w:rPr>
            <w:fldChar w:fldCharType="end"/>
          </w:r>
          <w:r>
            <w:rPr>
              <w:sz w:val="28"/>
              <w:szCs w:val="28"/>
            </w:rPr>
            <w:fldChar w:fldCharType="end"/>
          </w:r>
        </w:p>
        <w:p>
          <w:pPr>
            <w:pStyle w:val="13"/>
            <w:keepNext w:val="0"/>
            <w:keepLines w:val="0"/>
            <w:pageBreakBefore w:val="0"/>
            <w:tabs>
              <w:tab w:val="right" w:leader="dot" w:pos="8306"/>
            </w:tabs>
            <w:kinsoku/>
            <w:wordWrap/>
            <w:overflowPunct/>
            <w:topLinePunct w:val="0"/>
            <w:autoSpaceDE/>
            <w:autoSpaceDN/>
            <w:bidi w:val="0"/>
            <w:adjustRightInd/>
            <w:spacing w:line="480" w:lineRule="exact"/>
            <w:textAlignment w:val="auto"/>
            <w:rPr>
              <w:sz w:val="28"/>
              <w:szCs w:val="28"/>
            </w:rPr>
          </w:pPr>
          <w:r>
            <w:rPr>
              <w:sz w:val="28"/>
              <w:szCs w:val="28"/>
            </w:rPr>
            <w:fldChar w:fldCharType="begin"/>
          </w:r>
          <w:r>
            <w:rPr>
              <w:sz w:val="28"/>
              <w:szCs w:val="28"/>
            </w:rPr>
            <w:instrText xml:space="preserve"> HYPERLINK \l _Toc9676 </w:instrText>
          </w:r>
          <w:r>
            <w:rPr>
              <w:sz w:val="28"/>
              <w:szCs w:val="28"/>
            </w:rPr>
            <w:fldChar w:fldCharType="separate"/>
          </w:r>
          <w:r>
            <w:rPr>
              <w:rFonts w:hint="eastAsia" w:ascii="楷体" w:hAnsi="楷体" w:eastAsia="楷体" w:cs="楷体"/>
              <w:sz w:val="28"/>
              <w:szCs w:val="28"/>
            </w:rPr>
            <w:t>（四）预算绩效情况</w:t>
          </w:r>
          <w:r>
            <w:rPr>
              <w:sz w:val="28"/>
              <w:szCs w:val="28"/>
            </w:rPr>
            <w:tab/>
          </w:r>
          <w:r>
            <w:rPr>
              <w:sz w:val="28"/>
              <w:szCs w:val="28"/>
            </w:rPr>
            <w:fldChar w:fldCharType="begin"/>
          </w:r>
          <w:r>
            <w:rPr>
              <w:sz w:val="28"/>
              <w:szCs w:val="28"/>
            </w:rPr>
            <w:instrText xml:space="preserve"> PAGEREF _Toc9676 \h </w:instrText>
          </w:r>
          <w:r>
            <w:rPr>
              <w:sz w:val="28"/>
              <w:szCs w:val="28"/>
            </w:rPr>
            <w:fldChar w:fldCharType="separate"/>
          </w:r>
          <w:r>
            <w:rPr>
              <w:sz w:val="28"/>
              <w:szCs w:val="28"/>
            </w:rPr>
            <w:t>9</w:t>
          </w:r>
          <w:r>
            <w:rPr>
              <w:sz w:val="28"/>
              <w:szCs w:val="28"/>
            </w:rPr>
            <w:fldChar w:fldCharType="end"/>
          </w:r>
          <w:r>
            <w:rPr>
              <w:sz w:val="28"/>
              <w:szCs w:val="28"/>
            </w:rPr>
            <w:fldChar w:fldCharType="end"/>
          </w:r>
        </w:p>
        <w:p>
          <w:pPr>
            <w:pStyle w:val="12"/>
            <w:keepNext w:val="0"/>
            <w:keepLines w:val="0"/>
            <w:pageBreakBefore w:val="0"/>
            <w:tabs>
              <w:tab w:val="right" w:leader="dot" w:pos="8306"/>
            </w:tabs>
            <w:kinsoku/>
            <w:wordWrap/>
            <w:overflowPunct/>
            <w:topLinePunct w:val="0"/>
            <w:autoSpaceDE/>
            <w:autoSpaceDN/>
            <w:bidi w:val="0"/>
            <w:adjustRightInd/>
            <w:spacing w:line="480" w:lineRule="exact"/>
            <w:textAlignment w:val="auto"/>
            <w:rPr>
              <w:b/>
              <w:sz w:val="28"/>
              <w:szCs w:val="28"/>
            </w:rPr>
          </w:pPr>
          <w:r>
            <w:rPr>
              <w:b/>
              <w:sz w:val="28"/>
              <w:szCs w:val="28"/>
            </w:rPr>
            <w:fldChar w:fldCharType="begin"/>
          </w:r>
          <w:r>
            <w:rPr>
              <w:b/>
              <w:sz w:val="28"/>
              <w:szCs w:val="28"/>
            </w:rPr>
            <w:instrText xml:space="preserve"> HYPERLINK \l _Toc1130 </w:instrText>
          </w:r>
          <w:r>
            <w:rPr>
              <w:b/>
              <w:sz w:val="28"/>
              <w:szCs w:val="28"/>
            </w:rPr>
            <w:fldChar w:fldCharType="separate"/>
          </w:r>
          <w:r>
            <w:rPr>
              <w:rFonts w:hint="eastAsia" w:ascii="黑体" w:eastAsia="黑体"/>
              <w:b/>
              <w:bCs/>
              <w:sz w:val="28"/>
              <w:szCs w:val="28"/>
            </w:rPr>
            <w:t>八、名词解释</w:t>
          </w:r>
          <w:r>
            <w:rPr>
              <w:b/>
              <w:sz w:val="28"/>
              <w:szCs w:val="28"/>
            </w:rPr>
            <w:tab/>
          </w:r>
          <w:r>
            <w:rPr>
              <w:b/>
              <w:sz w:val="28"/>
              <w:szCs w:val="28"/>
            </w:rPr>
            <w:fldChar w:fldCharType="begin"/>
          </w:r>
          <w:r>
            <w:rPr>
              <w:b/>
              <w:sz w:val="28"/>
              <w:szCs w:val="28"/>
            </w:rPr>
            <w:instrText xml:space="preserve"> PAGEREF _Toc1130 \h </w:instrText>
          </w:r>
          <w:r>
            <w:rPr>
              <w:b/>
              <w:sz w:val="28"/>
              <w:szCs w:val="28"/>
            </w:rPr>
            <w:fldChar w:fldCharType="separate"/>
          </w:r>
          <w:r>
            <w:rPr>
              <w:b/>
              <w:sz w:val="28"/>
              <w:szCs w:val="28"/>
            </w:rPr>
            <w:t>9</w:t>
          </w:r>
          <w:r>
            <w:rPr>
              <w:b/>
              <w:sz w:val="28"/>
              <w:szCs w:val="28"/>
            </w:rPr>
            <w:fldChar w:fldCharType="end"/>
          </w:r>
          <w:r>
            <w:rPr>
              <w:b/>
              <w:sz w:val="28"/>
              <w:szCs w:val="28"/>
            </w:rPr>
            <w:fldChar w:fldCharType="end"/>
          </w:r>
        </w:p>
        <w:p>
          <w:pPr>
            <w:keepNext w:val="0"/>
            <w:keepLines w:val="0"/>
            <w:pageBreakBefore w:val="0"/>
            <w:kinsoku/>
            <w:wordWrap/>
            <w:overflowPunct/>
            <w:topLinePunct w:val="0"/>
            <w:autoSpaceDE/>
            <w:autoSpaceDN/>
            <w:bidi w:val="0"/>
            <w:adjustRightInd/>
            <w:spacing w:line="480" w:lineRule="exact"/>
            <w:textAlignment w:val="auto"/>
            <w:rPr>
              <w:sz w:val="28"/>
              <w:szCs w:val="28"/>
            </w:rPr>
          </w:pPr>
          <w:r>
            <w:rPr>
              <w:b/>
              <w:sz w:val="28"/>
              <w:szCs w:val="28"/>
            </w:rPr>
            <w:fldChar w:fldCharType="end"/>
          </w:r>
        </w:p>
      </w:sdtContent>
    </w:sdt>
    <w:p>
      <w:pPr>
        <w:snapToGrid w:val="0"/>
        <w:jc w:val="both"/>
        <w:outlineLvl w:val="0"/>
        <w:rPr>
          <w:rFonts w:hint="eastAsia" w:ascii="宋体" w:hAnsi="宋体"/>
          <w:sz w:val="44"/>
          <w:szCs w:val="44"/>
        </w:rPr>
      </w:pPr>
      <w:bookmarkStart w:id="27" w:name="_Toc23688"/>
    </w:p>
    <w:p>
      <w:pPr>
        <w:snapToGrid w:val="0"/>
        <w:jc w:val="center"/>
        <w:outlineLvl w:val="0"/>
        <w:rPr>
          <w:rFonts w:hint="eastAsia" w:ascii="宋体" w:hAnsi="宋体"/>
          <w:sz w:val="44"/>
          <w:szCs w:val="44"/>
        </w:rPr>
      </w:pPr>
      <w:r>
        <w:rPr>
          <w:rFonts w:hint="eastAsia" w:ascii="宋体" w:hAnsi="宋体"/>
          <w:sz w:val="44"/>
          <w:szCs w:val="44"/>
        </w:rPr>
        <w:t>金川县民族宗教局</w:t>
      </w:r>
      <w:bookmarkEnd w:id="27"/>
    </w:p>
    <w:p>
      <w:pPr>
        <w:jc w:val="center"/>
        <w:outlineLvl w:val="0"/>
        <w:rPr>
          <w:rFonts w:hint="eastAsia" w:ascii="宋体" w:hAnsi="宋体"/>
          <w:sz w:val="44"/>
          <w:szCs w:val="44"/>
        </w:rPr>
      </w:pPr>
      <w:bookmarkStart w:id="28" w:name="_Toc25734"/>
      <w:bookmarkStart w:id="29" w:name="_Toc6874"/>
      <w:r>
        <w:rPr>
          <w:rFonts w:hint="eastAsia" w:ascii="宋体" w:hAnsi="宋体"/>
          <w:sz w:val="44"/>
          <w:szCs w:val="44"/>
        </w:rPr>
        <w:t>2018年度部门决算分析报告</w:t>
      </w:r>
      <w:bookmarkEnd w:id="28"/>
      <w:bookmarkEnd w:id="29"/>
    </w:p>
    <w:p>
      <w:pPr>
        <w:rPr>
          <w:rFonts w:hint="eastAsia" w:ascii="黑体" w:hAnsi="黑体" w:eastAsia="黑体" w:cs="黑体"/>
          <w:sz w:val="32"/>
          <w:szCs w:val="32"/>
          <w:lang w:eastAsia="zh-CN"/>
        </w:rPr>
      </w:pPr>
    </w:p>
    <w:p>
      <w:pPr>
        <w:ind w:firstLine="640" w:firstLineChars="200"/>
        <w:outlineLvl w:val="0"/>
        <w:rPr>
          <w:rFonts w:hint="default" w:ascii="仿宋" w:hAnsi="仿宋" w:eastAsia="仿宋" w:cs="仿宋"/>
          <w:sz w:val="32"/>
          <w:szCs w:val="32"/>
          <w:lang w:val="en-US" w:eastAsia="zh-CN"/>
        </w:rPr>
      </w:pPr>
      <w:bookmarkStart w:id="30" w:name="_Toc24612"/>
      <w:r>
        <w:rPr>
          <w:rFonts w:hint="eastAsia" w:ascii="黑体" w:hAnsi="黑体" w:eastAsia="黑体" w:cs="黑体"/>
          <w:sz w:val="32"/>
          <w:szCs w:val="32"/>
          <w:lang w:eastAsia="zh-CN"/>
        </w:rPr>
        <w:t>一、基本职能及主要工作</w:t>
      </w:r>
      <w:bookmarkEnd w:id="30"/>
      <w:r>
        <w:rPr>
          <w:rFonts w:hint="eastAsia" w:ascii="仿宋" w:hAnsi="仿宋" w:eastAsia="仿宋" w:cs="仿宋"/>
          <w:sz w:val="32"/>
          <w:szCs w:val="32"/>
          <w:lang w:val="en-US" w:eastAsia="zh-CN"/>
        </w:rPr>
        <w:t xml:space="preserve">    </w:t>
      </w:r>
    </w:p>
    <w:p>
      <w:pPr>
        <w:numPr>
          <w:ilvl w:val="0"/>
          <w:numId w:val="0"/>
        </w:numPr>
        <w:ind w:firstLine="320" w:firstLineChars="100"/>
        <w:outlineLvl w:val="1"/>
        <w:rPr>
          <w:rFonts w:hint="default" w:ascii="仿宋" w:hAnsi="仿宋" w:eastAsia="仿宋" w:cs="仿宋"/>
          <w:sz w:val="32"/>
          <w:szCs w:val="32"/>
          <w:lang w:val="en-US" w:eastAsia="zh-CN"/>
        </w:rPr>
      </w:pPr>
      <w:bookmarkStart w:id="31" w:name="_Toc28081"/>
      <w:r>
        <w:rPr>
          <w:rFonts w:hint="eastAsia" w:ascii="仿宋" w:hAnsi="仿宋" w:eastAsia="仿宋" w:cs="仿宋"/>
          <w:sz w:val="32"/>
          <w:szCs w:val="32"/>
          <w:lang w:val="en-US" w:eastAsia="zh-CN"/>
        </w:rPr>
        <w:t>（一）主要职能</w:t>
      </w:r>
      <w:bookmarkEnd w:id="31"/>
    </w:p>
    <w:p>
      <w:pPr>
        <w:pStyle w:val="2"/>
        <w:numPr>
          <w:ilvl w:val="0"/>
          <w:numId w:val="0"/>
        </w:numPr>
        <w:ind w:left="-200" w:leftChars="0" w:firstLine="640" w:firstLineChars="200"/>
        <w:rPr>
          <w:rFonts w:ascii="Times New Roman" w:hAnsi="Times New Roman" w:eastAsia="仿宋_GB2312" w:cs="Times New Roman"/>
          <w:sz w:val="32"/>
          <w:szCs w:val="32"/>
        </w:rPr>
      </w:pPr>
      <w:r>
        <w:rPr>
          <w:rFonts w:ascii="Times New Roman" w:hAnsi="Times New Roman" w:eastAsia="仿宋_GB2312" w:cs="Times New Roman"/>
          <w:bCs/>
          <w:sz w:val="32"/>
        </w:rPr>
        <w:t>贯彻执行党和国家关于民族宗教工作的方针、政策、法律、法规，组织开展民族宗教理论、民族政策和民族宗教工作重大问题的调查研究，研究全县民族宗教现状，负责民族宗教动态和信息的汇总、分析提出有关民族宗教工作的政策建议，</w:t>
      </w:r>
      <w:r>
        <w:rPr>
          <w:rFonts w:ascii="Times New Roman" w:hAnsi="Times New Roman" w:eastAsia="仿宋_GB2312" w:cs="Times New Roman"/>
          <w:bCs/>
          <w:sz w:val="32"/>
          <w:lang w:val="zh-CN"/>
        </w:rPr>
        <w:t>以推动民族团结为重点，</w:t>
      </w:r>
      <w:r>
        <w:rPr>
          <w:rFonts w:ascii="Times New Roman" w:hAnsi="Times New Roman" w:eastAsia="仿宋_GB2312" w:cs="Times New Roman"/>
          <w:bCs/>
          <w:sz w:val="32"/>
        </w:rPr>
        <w:t>深入推进“一法两规一条例</w:t>
      </w:r>
      <w:r>
        <w:rPr>
          <w:rFonts w:ascii="Times New Roman" w:hAnsi="Times New Roman" w:eastAsia="仿宋_GB2312" w:cs="Times New Roman"/>
          <w:sz w:val="32"/>
          <w:szCs w:val="32"/>
        </w:rPr>
        <w:t>”和党的十</w:t>
      </w:r>
      <w:r>
        <w:rPr>
          <w:rFonts w:hint="eastAsia" w:ascii="Times New Roman" w:hAnsi="Times New Roman" w:eastAsia="仿宋_GB2312" w:cs="Times New Roman"/>
          <w:sz w:val="32"/>
          <w:szCs w:val="32"/>
        </w:rPr>
        <w:t>九</w:t>
      </w:r>
      <w:r>
        <w:rPr>
          <w:rFonts w:ascii="Times New Roman" w:hAnsi="Times New Roman" w:eastAsia="仿宋_GB2312" w:cs="Times New Roman"/>
          <w:sz w:val="32"/>
          <w:szCs w:val="32"/>
        </w:rPr>
        <w:t>大精神的学习宣传和贯彻执行。</w:t>
      </w:r>
    </w:p>
    <w:p>
      <w:pPr>
        <w:pStyle w:val="2"/>
        <w:numPr>
          <w:ilvl w:val="0"/>
          <w:numId w:val="0"/>
        </w:numPr>
        <w:ind w:left="-200" w:leftChars="0" w:firstLine="640" w:firstLineChars="200"/>
        <w:outlineLvl w:val="1"/>
        <w:rPr>
          <w:rFonts w:hint="eastAsia" w:ascii="仿宋" w:hAnsi="仿宋" w:eastAsia="仿宋" w:cs="仿宋"/>
          <w:sz w:val="32"/>
          <w:szCs w:val="32"/>
          <w:lang w:val="en-US" w:eastAsia="zh-CN"/>
        </w:rPr>
      </w:pPr>
      <w:bookmarkStart w:id="32" w:name="_Toc21050"/>
      <w:r>
        <w:rPr>
          <w:rFonts w:hint="eastAsia" w:ascii="仿宋" w:hAnsi="仿宋" w:eastAsia="仿宋" w:cs="仿宋"/>
          <w:sz w:val="32"/>
          <w:szCs w:val="32"/>
          <w:lang w:val="en-US" w:eastAsia="zh-CN"/>
        </w:rPr>
        <w:t>（二）2018年重点工作完成情况</w:t>
      </w:r>
      <w:bookmarkEnd w:id="32"/>
    </w:p>
    <w:p>
      <w:pPr>
        <w:spacing w:line="560" w:lineRule="exact"/>
        <w:ind w:firstLine="640" w:firstLineChars="200"/>
        <w:rPr>
          <w:rFonts w:ascii="Times New Roman" w:hAnsi="Times New Roman" w:eastAsia="仿宋_GB2312"/>
          <w:color w:val="000000"/>
          <w:kern w:val="0"/>
          <w:sz w:val="32"/>
          <w:szCs w:val="32"/>
          <w:lang w:val="zh-CN"/>
        </w:rPr>
      </w:pPr>
      <w:r>
        <w:rPr>
          <w:rFonts w:ascii="Times New Roman" w:hAnsi="Times New Roman" w:eastAsia="仿宋_GB2312"/>
          <w:sz w:val="32"/>
          <w:szCs w:val="32"/>
          <w:lang w:val="zh-CN"/>
        </w:rPr>
        <w:t>推动民宗工作再上台阶，扎实推进民族团结进步创建工作。</w:t>
      </w:r>
      <w:r>
        <w:rPr>
          <w:rFonts w:hint="eastAsia" w:ascii="仿宋_GB2312" w:eastAsia="仿宋_GB2312"/>
          <w:sz w:val="32"/>
          <w:szCs w:val="32"/>
        </w:rPr>
        <w:t>扎实开展民族团结进步示范创建“七进”</w:t>
      </w:r>
      <w:r>
        <w:rPr>
          <w:rFonts w:hint="eastAsia" w:ascii="仿宋_GB2312" w:eastAsia="仿宋_GB2312"/>
          <w:color w:val="000000"/>
          <w:sz w:val="32"/>
          <w:szCs w:val="32"/>
        </w:rPr>
        <w:t>，</w:t>
      </w:r>
      <w:r>
        <w:rPr>
          <w:rFonts w:hint="eastAsia" w:eastAsia="仿宋_GB2312"/>
          <w:sz w:val="32"/>
          <w:szCs w:val="32"/>
        </w:rPr>
        <w:t>建立“金川县民族团结一家亲”微信公众平台，</w:t>
      </w:r>
      <w:r>
        <w:rPr>
          <w:rFonts w:hint="eastAsia" w:ascii="仿宋_GB2312" w:eastAsia="仿宋_GB2312"/>
          <w:color w:val="000000"/>
          <w:sz w:val="32"/>
          <w:szCs w:val="32"/>
        </w:rPr>
        <w:t>制作挂历、台历、海报10000余件，以及宣传册、雨伞、围裙等宣传品，利用“梨花节”、“杜鹃花节”、“马奈锅庄节”</w:t>
      </w:r>
      <w:r>
        <w:rPr>
          <w:rFonts w:hint="eastAsia" w:eastAsia="仿宋_GB2312"/>
          <w:sz w:val="32"/>
          <w:szCs w:val="32"/>
        </w:rPr>
        <w:t>广泛宣传，营造氛围。</w:t>
      </w:r>
      <w:r>
        <w:rPr>
          <w:rFonts w:hint="eastAsia" w:ascii="仿宋_GB2312" w:eastAsia="仿宋_GB2312"/>
          <w:color w:val="000000"/>
          <w:sz w:val="32"/>
          <w:szCs w:val="32"/>
        </w:rPr>
        <w:t>2018年申创州级民族团结进步示范（先进）单位33个，创建县级民族团结进步示范（先进）单位103个，</w:t>
      </w:r>
      <w:r>
        <w:rPr>
          <w:rFonts w:hint="eastAsia" w:ascii="仿宋_GB2312" w:eastAsia="仿宋_GB2312"/>
          <w:sz w:val="32"/>
          <w:szCs w:val="32"/>
        </w:rPr>
        <w:t>召开各种座谈会10余次，</w:t>
      </w:r>
      <w:r>
        <w:rPr>
          <w:rFonts w:hint="eastAsia" w:ascii="仿宋_GB2312" w:hAnsi="Arial" w:eastAsia="仿宋_GB2312" w:cs="Arial"/>
          <w:sz w:val="32"/>
          <w:szCs w:val="32"/>
        </w:rPr>
        <w:t>发放宣传资料6000余份，开展集中宣传18次，办简报30期。</w:t>
      </w:r>
    </w:p>
    <w:p>
      <w:pPr>
        <w:rPr>
          <w:rFonts w:ascii="Times New Roman" w:hAnsi="Times New Roman" w:eastAsia="仿宋_GB2312"/>
          <w:sz w:val="32"/>
          <w:szCs w:val="32"/>
        </w:rPr>
      </w:pPr>
      <w:r>
        <w:rPr>
          <w:rFonts w:ascii="Times New Roman" w:hAnsi="Times New Roman" w:eastAsia="仿宋_GB2312"/>
          <w:color w:val="000000"/>
          <w:sz w:val="32"/>
          <w:szCs w:val="32"/>
        </w:rPr>
        <w:t>紧扣“精准扶贫精准脱贫”这一工作主线，</w:t>
      </w:r>
      <w:r>
        <w:rPr>
          <w:rFonts w:hint="eastAsia" w:ascii="Times New Roman" w:hAnsi="Times New Roman" w:eastAsia="仿宋_GB2312"/>
          <w:color w:val="000000"/>
          <w:sz w:val="32"/>
          <w:szCs w:val="32"/>
        </w:rPr>
        <w:t>加大两资项目的申报争取，</w:t>
      </w:r>
      <w:r>
        <w:rPr>
          <w:rFonts w:ascii="Times New Roman" w:hAnsi="Times New Roman" w:eastAsia="仿宋_GB2312"/>
          <w:color w:val="000000"/>
          <w:sz w:val="32"/>
          <w:szCs w:val="32"/>
        </w:rPr>
        <w:t>切实加大民族团结进步新村工程、“四小”工程等直接关系群众生产生活条件改善的基础设施投入力度。</w:t>
      </w:r>
      <w:r>
        <w:rPr>
          <w:rFonts w:ascii="Times New Roman" w:hAnsi="Times New Roman" w:eastAsia="仿宋_GB2312"/>
          <w:sz w:val="32"/>
          <w:szCs w:val="32"/>
        </w:rPr>
        <w:t>2018年</w:t>
      </w:r>
      <w:r>
        <w:rPr>
          <w:rFonts w:hint="eastAsia" w:ascii="Times New Roman" w:hAnsi="Times New Roman" w:eastAsia="仿宋_GB2312"/>
          <w:sz w:val="32"/>
          <w:szCs w:val="32"/>
        </w:rPr>
        <w:t>争取项目资金共1451</w:t>
      </w:r>
      <w:r>
        <w:rPr>
          <w:rFonts w:ascii="Times New Roman" w:hAnsi="Times New Roman" w:eastAsia="仿宋_GB2312"/>
          <w:sz w:val="32"/>
          <w:szCs w:val="32"/>
        </w:rPr>
        <w:t>万元</w:t>
      </w:r>
      <w:r>
        <w:rPr>
          <w:rFonts w:hint="eastAsia" w:ascii="Times New Roman" w:hAnsi="Times New Roman" w:eastAsia="仿宋_GB2312"/>
          <w:sz w:val="32"/>
          <w:szCs w:val="32"/>
        </w:rPr>
        <w:t>、“大民生带小民生”寺庙基础设施建设项目资金1844万元</w:t>
      </w:r>
      <w:r>
        <w:rPr>
          <w:rFonts w:ascii="Times New Roman" w:hAnsi="Times New Roman" w:eastAsia="仿宋_GB2312"/>
          <w:sz w:val="32"/>
          <w:szCs w:val="32"/>
        </w:rPr>
        <w:t>。</w:t>
      </w:r>
    </w:p>
    <w:p>
      <w:pPr>
        <w:ind w:firstLine="640" w:firstLineChars="200"/>
        <w:outlineLvl w:val="0"/>
        <w:rPr>
          <w:rFonts w:hint="eastAsia" w:ascii="黑体" w:hAnsi="黑体" w:eastAsia="黑体" w:cs="黑体"/>
          <w:sz w:val="32"/>
          <w:szCs w:val="32"/>
          <w:lang w:eastAsia="zh-CN"/>
        </w:rPr>
      </w:pPr>
      <w:bookmarkStart w:id="33" w:name="_Toc19649"/>
      <w:r>
        <w:rPr>
          <w:rFonts w:hint="eastAsia" w:ascii="黑体" w:hAnsi="黑体" w:eastAsia="黑体" w:cs="黑体"/>
          <w:sz w:val="32"/>
          <w:szCs w:val="32"/>
          <w:lang w:eastAsia="zh-CN"/>
        </w:rPr>
        <w:t>二、部门概况</w:t>
      </w:r>
      <w:bookmarkEnd w:id="33"/>
    </w:p>
    <w:p>
      <w:pPr>
        <w:tabs>
          <w:tab w:val="left" w:pos="0"/>
        </w:tabs>
        <w:snapToGrid w:val="0"/>
        <w:spacing w:line="360" w:lineRule="auto"/>
        <w:ind w:firstLine="420" w:firstLineChars="200"/>
        <w:rPr>
          <w:rFonts w:hint="eastAsia" w:ascii="Times New Roman" w:hAnsi="Times New Roman" w:eastAsia="仿宋_GB2312"/>
          <w:kern w:val="0"/>
          <w:sz w:val="32"/>
          <w:szCs w:val="32"/>
        </w:rPr>
      </w:pPr>
      <w:r>
        <w:rPr>
          <w:rFonts w:hint="eastAsia"/>
          <w:lang w:val="en-US" w:eastAsia="zh-CN"/>
        </w:rPr>
        <w:t xml:space="preserve">  </w:t>
      </w:r>
      <w:r>
        <w:rPr>
          <w:rFonts w:hint="eastAsia" w:ascii="Times New Roman" w:hAnsi="Times New Roman" w:eastAsia="仿宋_GB2312"/>
          <w:kern w:val="0"/>
          <w:sz w:val="32"/>
          <w:szCs w:val="32"/>
        </w:rPr>
        <w:t>我局2018年有1个机构，民宗局无下属二级单位，无变动。2018年金川县民族宗教局机关在职行政人员15人，行政工勤2人。事业人员2人。2018年行政人员增加1人。</w:t>
      </w:r>
    </w:p>
    <w:p>
      <w:pPr>
        <w:spacing w:line="600" w:lineRule="exact"/>
        <w:ind w:firstLine="643" w:firstLineChars="200"/>
        <w:outlineLvl w:val="0"/>
        <w:rPr>
          <w:rFonts w:hint="eastAsia" w:ascii="黑体" w:eastAsia="黑体"/>
          <w:b/>
          <w:bCs/>
          <w:color w:val="000000"/>
          <w:sz w:val="32"/>
          <w:szCs w:val="32"/>
        </w:rPr>
      </w:pPr>
      <w:bookmarkStart w:id="34" w:name="_Toc13757"/>
      <w:bookmarkStart w:id="35" w:name="_Toc16626"/>
      <w:bookmarkStart w:id="36" w:name="_Toc11986"/>
      <w:bookmarkStart w:id="37" w:name="_Toc3164"/>
      <w:bookmarkStart w:id="38" w:name="_Toc13512"/>
      <w:r>
        <w:rPr>
          <w:rFonts w:hint="eastAsia" w:ascii="黑体" w:eastAsia="黑体"/>
          <w:b/>
          <w:bCs/>
          <w:color w:val="000000"/>
          <w:sz w:val="32"/>
          <w:szCs w:val="32"/>
        </w:rPr>
        <w:t>三、一般公共预算财政拨款基本支出决算情况</w:t>
      </w:r>
      <w:bookmarkEnd w:id="34"/>
      <w:bookmarkEnd w:id="35"/>
      <w:bookmarkEnd w:id="36"/>
      <w:bookmarkEnd w:id="37"/>
      <w:bookmarkEnd w:id="38"/>
    </w:p>
    <w:p>
      <w:pPr>
        <w:jc w:val="left"/>
        <w:rPr>
          <w:rFonts w:hint="eastAsia" w:ascii="仿宋_GB2312" w:eastAsia="仿宋_GB2312"/>
          <w:color w:val="000000"/>
          <w:sz w:val="32"/>
          <w:szCs w:val="32"/>
        </w:rPr>
      </w:pPr>
      <w:bookmarkStart w:id="39" w:name="_Toc12371"/>
      <w:bookmarkStart w:id="40" w:name="_Toc25434"/>
      <w:r>
        <w:rPr>
          <w:rFonts w:hint="eastAsia" w:ascii="仿宋_GB2312" w:eastAsia="仿宋_GB2312"/>
          <w:color w:val="000000"/>
          <w:sz w:val="32"/>
          <w:szCs w:val="32"/>
        </w:rPr>
        <w:t xml:space="preserve"> </w:t>
      </w:r>
      <w:r>
        <w:rPr>
          <w:rFonts w:hint="eastAsia" w:ascii="仿宋_GB2312" w:eastAsia="仿宋_GB2312"/>
          <w:color w:val="000000"/>
          <w:sz w:val="32"/>
          <w:szCs w:val="32"/>
          <w:lang w:val="en-US" w:eastAsia="zh-CN"/>
        </w:rPr>
        <w:t xml:space="preserve">   </w:t>
      </w:r>
      <w:r>
        <w:rPr>
          <w:rFonts w:hint="eastAsia" w:ascii="仿宋_GB2312" w:eastAsia="仿宋_GB2312"/>
          <w:color w:val="000000"/>
          <w:sz w:val="32"/>
          <w:szCs w:val="32"/>
          <w:lang w:eastAsia="zh-CN"/>
        </w:rPr>
        <w:t>2018</w:t>
      </w:r>
      <w:r>
        <w:rPr>
          <w:rFonts w:hint="eastAsia" w:ascii="仿宋_GB2312" w:eastAsia="仿宋_GB2312"/>
          <w:color w:val="000000"/>
          <w:sz w:val="32"/>
          <w:szCs w:val="32"/>
        </w:rPr>
        <w:t>年县</w:t>
      </w:r>
      <w:r>
        <w:rPr>
          <w:rFonts w:hint="eastAsia" w:ascii="仿宋_GB2312" w:eastAsia="仿宋_GB2312"/>
          <w:color w:val="000000"/>
          <w:sz w:val="32"/>
          <w:szCs w:val="32"/>
          <w:lang w:eastAsia="zh-CN"/>
        </w:rPr>
        <w:t>民宗</w:t>
      </w:r>
      <w:r>
        <w:rPr>
          <w:rFonts w:hint="eastAsia" w:ascii="仿宋_GB2312" w:eastAsia="仿宋_GB2312"/>
          <w:color w:val="000000"/>
          <w:sz w:val="32"/>
          <w:szCs w:val="32"/>
        </w:rPr>
        <w:t>局本年收入合计</w:t>
      </w:r>
      <w:r>
        <w:rPr>
          <w:rFonts w:hint="eastAsia" w:ascii="仿宋_GB2312" w:eastAsia="仿宋_GB2312"/>
          <w:color w:val="000000"/>
          <w:sz w:val="32"/>
          <w:szCs w:val="32"/>
          <w:lang w:val="en-US" w:eastAsia="zh-CN"/>
        </w:rPr>
        <w:t>2659.3</w:t>
      </w:r>
      <w:r>
        <w:rPr>
          <w:rFonts w:hint="eastAsia" w:ascii="仿宋_GB2312" w:eastAsia="仿宋_GB2312"/>
          <w:color w:val="000000"/>
          <w:sz w:val="32"/>
          <w:szCs w:val="32"/>
        </w:rPr>
        <w:t>万元，其中：一般公共预算财政拨款收入</w:t>
      </w:r>
      <w:r>
        <w:rPr>
          <w:rFonts w:hint="eastAsia" w:ascii="仿宋_GB2312" w:eastAsia="仿宋_GB2312"/>
          <w:color w:val="000000"/>
          <w:sz w:val="32"/>
          <w:szCs w:val="32"/>
          <w:lang w:val="en-US" w:eastAsia="zh-CN"/>
        </w:rPr>
        <w:t>2659.3</w:t>
      </w:r>
      <w:r>
        <w:rPr>
          <w:rFonts w:hint="eastAsia" w:ascii="仿宋_GB2312" w:eastAsia="仿宋_GB2312"/>
          <w:color w:val="000000"/>
          <w:sz w:val="32"/>
          <w:szCs w:val="32"/>
        </w:rPr>
        <w:t xml:space="preserve">万元。             </w:t>
      </w:r>
      <w:r>
        <w:rPr>
          <w:rFonts w:ascii="仿宋_GB2312" w:eastAsia="仿宋_GB2312"/>
          <w:color w:val="000000"/>
          <w:sz w:val="32"/>
          <w:szCs w:val="32"/>
        </w:rPr>
        <w:object>
          <v:shape id="_x0000_i1025" o:spt="75" type="#_x0000_t75" style="height:171.35pt;width:252.05pt;" o:ole="t" filled="f" o:preferrelative="t" stroked="f" coordsize="21600,21600">
            <v:path/>
            <v:fill on="f" focussize="0,0"/>
            <v:stroke on="f"/>
            <v:imagedata r:id="rId7" o:title=""/>
            <o:lock v:ext="edit" aspectratio="t"/>
            <w10:wrap type="none"/>
            <w10:anchorlock/>
          </v:shape>
          <o:OLEObject Type="Embed" ProgID="MSGraph.Chart.8" ShapeID="_x0000_i1025" DrawAspect="Content" ObjectID="_1468075725" r:id="rId6">
            <o:LockedField>false</o:LockedField>
          </o:OLEObject>
        </w:object>
      </w:r>
    </w:p>
    <w:p>
      <w:pPr>
        <w:rPr>
          <w:rFonts w:hint="eastAsia" w:ascii="仿宋_GB2312" w:eastAsia="仿宋_GB2312"/>
          <w:color w:val="000000"/>
          <w:sz w:val="32"/>
          <w:szCs w:val="32"/>
        </w:rPr>
      </w:pPr>
      <w:r>
        <w:rPr>
          <w:rFonts w:hint="eastAsia" w:ascii="仿宋_GB2312" w:eastAsia="仿宋_GB2312"/>
          <w:color w:val="000000"/>
          <w:sz w:val="32"/>
          <w:szCs w:val="32"/>
        </w:rPr>
        <w:t xml:space="preserve">    </w:t>
      </w:r>
      <w:r>
        <w:rPr>
          <w:rFonts w:hint="eastAsia" w:ascii="仿宋_GB2312" w:eastAsia="仿宋_GB2312"/>
          <w:color w:val="000000"/>
          <w:sz w:val="32"/>
          <w:szCs w:val="32"/>
          <w:lang w:eastAsia="zh-CN"/>
        </w:rPr>
        <w:t>2018</w:t>
      </w:r>
      <w:r>
        <w:rPr>
          <w:rFonts w:hint="eastAsia" w:ascii="仿宋_GB2312" w:eastAsia="仿宋_GB2312"/>
          <w:color w:val="000000"/>
          <w:sz w:val="32"/>
          <w:szCs w:val="32"/>
        </w:rPr>
        <w:t>年县</w:t>
      </w:r>
      <w:r>
        <w:rPr>
          <w:rFonts w:hint="eastAsia" w:ascii="仿宋_GB2312" w:eastAsia="仿宋_GB2312"/>
          <w:color w:val="000000"/>
          <w:sz w:val="32"/>
          <w:szCs w:val="32"/>
          <w:lang w:eastAsia="zh-CN"/>
        </w:rPr>
        <w:t>民宗</w:t>
      </w:r>
      <w:r>
        <w:rPr>
          <w:rFonts w:hint="eastAsia" w:ascii="仿宋_GB2312" w:eastAsia="仿宋_GB2312"/>
          <w:color w:val="000000"/>
          <w:sz w:val="32"/>
          <w:szCs w:val="32"/>
        </w:rPr>
        <w:t>局本年支出合计</w:t>
      </w:r>
      <w:r>
        <w:rPr>
          <w:rFonts w:hint="eastAsia" w:ascii="仿宋_GB2312" w:eastAsia="仿宋_GB2312"/>
          <w:sz w:val="32"/>
        </w:rPr>
        <w:t>1409.29</w:t>
      </w:r>
      <w:r>
        <w:rPr>
          <w:rFonts w:hint="eastAsia" w:ascii="仿宋_GB2312" w:eastAsia="仿宋_GB2312"/>
          <w:color w:val="000000"/>
          <w:sz w:val="32"/>
          <w:szCs w:val="32"/>
        </w:rPr>
        <w:t>万元，其中：基本支出314.08万元，占</w:t>
      </w:r>
      <w:r>
        <w:rPr>
          <w:rFonts w:hint="eastAsia" w:ascii="仿宋_GB2312" w:eastAsia="仿宋_GB2312"/>
          <w:color w:val="000000"/>
          <w:sz w:val="32"/>
          <w:szCs w:val="32"/>
          <w:lang w:val="en-US" w:eastAsia="zh-CN"/>
        </w:rPr>
        <w:t>22.29</w:t>
      </w:r>
      <w:r>
        <w:rPr>
          <w:rFonts w:hint="eastAsia" w:ascii="仿宋_GB2312" w:eastAsia="仿宋_GB2312"/>
          <w:color w:val="000000"/>
          <w:sz w:val="32"/>
          <w:szCs w:val="32"/>
        </w:rPr>
        <w:t>%；项目支出1095.21万元，占</w:t>
      </w:r>
      <w:r>
        <w:rPr>
          <w:rFonts w:hint="eastAsia" w:ascii="仿宋_GB2312" w:eastAsia="仿宋_GB2312"/>
          <w:color w:val="000000"/>
          <w:sz w:val="32"/>
          <w:szCs w:val="32"/>
          <w:lang w:val="en-US" w:eastAsia="zh-CN"/>
        </w:rPr>
        <w:t>77.71</w:t>
      </w:r>
      <w:r>
        <w:rPr>
          <w:rFonts w:hint="eastAsia" w:ascii="仿宋_GB2312" w:eastAsia="仿宋_GB2312"/>
          <w:color w:val="000000"/>
          <w:sz w:val="32"/>
          <w:szCs w:val="32"/>
        </w:rPr>
        <w:t>%。</w:t>
      </w:r>
    </w:p>
    <w:p>
      <w:pPr>
        <w:spacing w:line="600" w:lineRule="exact"/>
        <w:ind w:firstLine="640" w:firstLineChars="200"/>
        <w:outlineLvl w:val="0"/>
        <w:rPr>
          <w:rFonts w:hint="eastAsia" w:ascii="仿宋_GB2312" w:eastAsia="仿宋_GB2312"/>
          <w:color w:val="000000"/>
          <w:sz w:val="32"/>
          <w:szCs w:val="32"/>
        </w:rPr>
      </w:pPr>
      <w:bookmarkStart w:id="41" w:name="_Toc15939"/>
      <w:r>
        <w:rPr>
          <w:rFonts w:hint="eastAsia" w:ascii="黑体" w:eastAsia="黑体"/>
          <w:color w:val="000000"/>
          <w:sz w:val="32"/>
          <w:szCs w:val="32"/>
        </w:rPr>
        <w:t>四、财政拨款收支决算情况</w:t>
      </w:r>
      <w:bookmarkEnd w:id="41"/>
    </w:p>
    <w:p>
      <w:pPr>
        <w:snapToGrid w:val="0"/>
        <w:spacing w:line="520" w:lineRule="exact"/>
        <w:ind w:firstLine="640" w:firstLineChars="200"/>
        <w:rPr>
          <w:rFonts w:hint="eastAsia" w:ascii="仿宋_GB2312" w:eastAsia="仿宋_GB2312"/>
          <w:color w:val="000000"/>
          <w:sz w:val="32"/>
          <w:szCs w:val="32"/>
        </w:rPr>
      </w:pPr>
      <w:r>
        <w:rPr>
          <w:rFonts w:hint="eastAsia" w:ascii="仿宋_GB2312" w:eastAsia="仿宋_GB2312"/>
          <w:sz w:val="32"/>
        </w:rPr>
        <w:t>2018年总收入</w:t>
      </w:r>
      <w:r>
        <w:rPr>
          <w:rFonts w:hint="eastAsia"/>
          <w:sz w:val="32"/>
          <w:szCs w:val="32"/>
        </w:rPr>
        <w:t>2659.3万</w:t>
      </w:r>
      <w:r>
        <w:rPr>
          <w:rFonts w:hint="eastAsia" w:ascii="仿宋_GB2312" w:eastAsia="仿宋_GB2312"/>
          <w:sz w:val="32"/>
        </w:rPr>
        <w:t>元，总支出1409.29万元；2017年总收入</w:t>
      </w:r>
      <w:r>
        <w:rPr>
          <w:rFonts w:hint="eastAsia"/>
          <w:sz w:val="32"/>
          <w:szCs w:val="32"/>
        </w:rPr>
        <w:t>913.51万</w:t>
      </w:r>
      <w:r>
        <w:rPr>
          <w:rFonts w:hint="eastAsia" w:ascii="仿宋_GB2312" w:eastAsia="仿宋_GB2312"/>
          <w:sz w:val="32"/>
        </w:rPr>
        <w:t>元，总支出1109.87万元；与上年度对比，项目资金增加，工资增加。</w:t>
      </w:r>
    </w:p>
    <w:p>
      <w:pPr>
        <w:spacing w:line="600" w:lineRule="exact"/>
        <w:ind w:firstLine="640" w:firstLineChars="200"/>
        <w:outlineLvl w:val="0"/>
        <w:rPr>
          <w:rFonts w:hint="eastAsia" w:ascii="黑体" w:eastAsia="黑体"/>
          <w:color w:val="000000"/>
          <w:sz w:val="32"/>
          <w:szCs w:val="32"/>
        </w:rPr>
      </w:pPr>
      <w:bookmarkStart w:id="42" w:name="_Toc12976"/>
      <w:r>
        <w:rPr>
          <w:rFonts w:hint="eastAsia" w:ascii="黑体" w:eastAsia="黑体"/>
          <w:color w:val="000000"/>
          <w:sz w:val="32"/>
          <w:szCs w:val="32"/>
        </w:rPr>
        <w:t>五、一般公共预算财政拨款支出决算情况</w:t>
      </w:r>
      <w:bookmarkEnd w:id="42"/>
    </w:p>
    <w:p>
      <w:pPr>
        <w:spacing w:line="600" w:lineRule="exact"/>
        <w:ind w:firstLine="640" w:firstLineChars="200"/>
        <w:outlineLvl w:val="1"/>
        <w:rPr>
          <w:rFonts w:hint="eastAsia" w:ascii="仿宋_GB2312" w:eastAsia="仿宋_GB2312"/>
          <w:color w:val="000000"/>
          <w:sz w:val="32"/>
          <w:szCs w:val="32"/>
        </w:rPr>
      </w:pPr>
      <w:bookmarkStart w:id="43" w:name="_Toc25119"/>
      <w:r>
        <w:rPr>
          <w:rFonts w:hint="eastAsia" w:ascii="仿宋_GB2312" w:eastAsia="仿宋_GB2312"/>
          <w:color w:val="000000"/>
          <w:sz w:val="32"/>
          <w:szCs w:val="32"/>
        </w:rPr>
        <w:t>（一）一般公共预算财政拨款支出决算总体情况</w:t>
      </w:r>
      <w:bookmarkEnd w:id="43"/>
    </w:p>
    <w:p>
      <w:pPr>
        <w:ind w:firstLine="640" w:firstLineChars="200"/>
        <w:rPr>
          <w:rFonts w:hint="eastAsia" w:ascii="仿宋_GB2312" w:eastAsia="仿宋_GB2312"/>
          <w:color w:val="000000"/>
          <w:sz w:val="32"/>
          <w:szCs w:val="32"/>
        </w:rPr>
      </w:pPr>
      <w:r>
        <w:rPr>
          <w:rFonts w:hint="eastAsia" w:ascii="仿宋_GB2312" w:eastAsia="仿宋_GB2312"/>
          <w:color w:val="000000"/>
          <w:sz w:val="32"/>
          <w:szCs w:val="32"/>
        </w:rPr>
        <w:t>县</w:t>
      </w:r>
      <w:r>
        <w:rPr>
          <w:rFonts w:hint="eastAsia" w:ascii="仿宋_GB2312" w:eastAsia="仿宋_GB2312"/>
          <w:color w:val="000000"/>
          <w:sz w:val="32"/>
          <w:szCs w:val="32"/>
          <w:lang w:eastAsia="zh-CN"/>
        </w:rPr>
        <w:t>民宗</w:t>
      </w:r>
      <w:r>
        <w:rPr>
          <w:rFonts w:hint="eastAsia" w:ascii="仿宋_GB2312" w:eastAsia="仿宋_GB2312"/>
          <w:color w:val="000000"/>
          <w:sz w:val="32"/>
          <w:szCs w:val="32"/>
        </w:rPr>
        <w:t>局</w:t>
      </w:r>
      <w:r>
        <w:rPr>
          <w:rFonts w:hint="eastAsia" w:ascii="仿宋_GB2312" w:eastAsia="仿宋_GB2312"/>
          <w:color w:val="000000"/>
          <w:sz w:val="32"/>
          <w:szCs w:val="32"/>
          <w:lang w:eastAsia="zh-CN"/>
        </w:rPr>
        <w:t>2018</w:t>
      </w:r>
      <w:r>
        <w:rPr>
          <w:rFonts w:hint="eastAsia" w:ascii="仿宋_GB2312" w:eastAsia="仿宋_GB2312"/>
          <w:color w:val="000000"/>
          <w:sz w:val="32"/>
          <w:szCs w:val="32"/>
        </w:rPr>
        <w:t>年度一般公共预算财政拨款支出</w:t>
      </w:r>
      <w:r>
        <w:rPr>
          <w:rFonts w:hint="eastAsia" w:ascii="仿宋_GB2312" w:eastAsia="仿宋_GB2312"/>
          <w:sz w:val="32"/>
        </w:rPr>
        <w:t>1409.29</w:t>
      </w:r>
      <w:r>
        <w:rPr>
          <w:rFonts w:hint="eastAsia" w:ascii="仿宋_GB2312" w:eastAsia="仿宋_GB2312"/>
          <w:color w:val="000000"/>
          <w:sz w:val="32"/>
          <w:szCs w:val="32"/>
        </w:rPr>
        <w:t>万元，与201</w:t>
      </w:r>
      <w:r>
        <w:rPr>
          <w:rFonts w:hint="eastAsia" w:ascii="仿宋_GB2312" w:eastAsia="仿宋_GB2312"/>
          <w:color w:val="000000"/>
          <w:sz w:val="32"/>
          <w:szCs w:val="32"/>
          <w:lang w:val="en-US" w:eastAsia="zh-CN"/>
        </w:rPr>
        <w:t>7</w:t>
      </w:r>
      <w:r>
        <w:rPr>
          <w:rFonts w:hint="eastAsia" w:ascii="仿宋_GB2312" w:eastAsia="仿宋_GB2312"/>
          <w:color w:val="000000"/>
          <w:sz w:val="32"/>
          <w:szCs w:val="32"/>
        </w:rPr>
        <w:t>年财政拨款支出</w:t>
      </w:r>
      <w:r>
        <w:rPr>
          <w:rFonts w:hint="eastAsia" w:ascii="仿宋_GB2312" w:eastAsia="仿宋_GB2312"/>
          <w:sz w:val="32"/>
        </w:rPr>
        <w:t>1109.87</w:t>
      </w:r>
      <w:r>
        <w:rPr>
          <w:rFonts w:hint="eastAsia" w:ascii="仿宋_GB2312" w:eastAsia="仿宋_GB2312"/>
          <w:color w:val="000000"/>
          <w:sz w:val="32"/>
          <w:szCs w:val="32"/>
        </w:rPr>
        <w:t>万元相比了减少</w:t>
      </w:r>
      <w:r>
        <w:rPr>
          <w:rFonts w:hint="eastAsia" w:ascii="仿宋_GB2312" w:eastAsia="仿宋_GB2312"/>
          <w:color w:val="000000"/>
          <w:sz w:val="32"/>
          <w:szCs w:val="32"/>
          <w:lang w:val="en-US" w:eastAsia="zh-CN"/>
        </w:rPr>
        <w:t>299.42</w:t>
      </w:r>
      <w:r>
        <w:rPr>
          <w:rFonts w:hint="eastAsia" w:ascii="仿宋_GB2312" w:eastAsia="仿宋_GB2312"/>
          <w:color w:val="000000"/>
          <w:sz w:val="32"/>
          <w:szCs w:val="32"/>
        </w:rPr>
        <w:t>万元，</w:t>
      </w:r>
      <w:r>
        <w:rPr>
          <w:rFonts w:hint="eastAsia" w:ascii="仿宋_GB2312" w:eastAsia="仿宋_GB2312"/>
          <w:color w:val="000000"/>
          <w:sz w:val="32"/>
          <w:szCs w:val="32"/>
          <w:lang w:eastAsia="zh-CN"/>
        </w:rPr>
        <w:t>增加</w:t>
      </w:r>
      <w:r>
        <w:rPr>
          <w:rFonts w:hint="eastAsia" w:ascii="仿宋_GB2312" w:eastAsia="仿宋_GB2312"/>
          <w:color w:val="000000"/>
          <w:sz w:val="32"/>
          <w:szCs w:val="32"/>
          <w:lang w:val="en-US" w:eastAsia="zh-CN"/>
        </w:rPr>
        <w:t>26.98</w:t>
      </w:r>
      <w:r>
        <w:rPr>
          <w:rFonts w:hint="eastAsia" w:ascii="仿宋_GB2312" w:eastAsia="仿宋_GB2312"/>
          <w:color w:val="000000"/>
          <w:sz w:val="32"/>
          <w:szCs w:val="32"/>
        </w:rPr>
        <w:t>%，其原因是</w:t>
      </w:r>
      <w:r>
        <w:rPr>
          <w:rFonts w:hint="eastAsia" w:ascii="仿宋_GB2312" w:eastAsia="仿宋_GB2312"/>
          <w:color w:val="000000"/>
          <w:sz w:val="32"/>
          <w:szCs w:val="32"/>
          <w:lang w:eastAsia="zh-CN"/>
        </w:rPr>
        <w:t>2018</w:t>
      </w:r>
      <w:r>
        <w:rPr>
          <w:rFonts w:hint="eastAsia" w:ascii="仿宋_GB2312" w:eastAsia="仿宋_GB2312"/>
          <w:color w:val="000000"/>
          <w:sz w:val="32"/>
          <w:szCs w:val="32"/>
        </w:rPr>
        <w:t>年</w:t>
      </w:r>
      <w:r>
        <w:rPr>
          <w:rFonts w:hint="eastAsia" w:ascii="仿宋_GB2312" w:eastAsia="仿宋_GB2312"/>
          <w:color w:val="000000"/>
          <w:sz w:val="32"/>
          <w:szCs w:val="32"/>
          <w:lang w:eastAsia="zh-CN"/>
        </w:rPr>
        <w:t>项目经费支出加大、人员工资增加</w:t>
      </w:r>
      <w:r>
        <w:rPr>
          <w:rFonts w:hint="eastAsia" w:ascii="仿宋_GB2312" w:eastAsia="仿宋_GB2312"/>
          <w:color w:val="000000"/>
          <w:sz w:val="32"/>
          <w:szCs w:val="32"/>
        </w:rPr>
        <w:t>等。</w:t>
      </w:r>
    </w:p>
    <w:p>
      <w:pPr>
        <w:spacing w:line="600" w:lineRule="exact"/>
        <w:ind w:firstLine="640" w:firstLineChars="200"/>
        <w:outlineLvl w:val="1"/>
        <w:rPr>
          <w:rFonts w:hint="eastAsia" w:ascii="仿宋_GB2312" w:eastAsia="仿宋_GB2312"/>
          <w:color w:val="000000"/>
          <w:sz w:val="32"/>
          <w:szCs w:val="32"/>
        </w:rPr>
      </w:pPr>
      <w:bookmarkStart w:id="44" w:name="_Toc18846"/>
      <w:r>
        <w:rPr>
          <w:rFonts w:hint="eastAsia" w:ascii="仿宋_GB2312" w:eastAsia="仿宋_GB2312"/>
          <w:color w:val="000000"/>
          <w:sz w:val="32"/>
          <w:szCs w:val="32"/>
        </w:rPr>
        <w:t>（二）一般公共预算财政拨款支出决算结构情况</w:t>
      </w:r>
      <w:bookmarkEnd w:id="44"/>
    </w:p>
    <w:p>
      <w:pPr>
        <w:spacing w:line="600" w:lineRule="exact"/>
        <w:ind w:firstLine="640" w:firstLineChars="200"/>
        <w:rPr>
          <w:rFonts w:hint="eastAsia" w:ascii="仿宋_GB2312" w:eastAsia="仿宋_GB2312"/>
          <w:sz w:val="32"/>
          <w:szCs w:val="32"/>
          <w:lang w:eastAsia="zh-CN"/>
        </w:rPr>
      </w:pPr>
      <w:r>
        <w:rPr>
          <w:rFonts w:hint="eastAsia" w:ascii="仿宋_GB2312" w:eastAsia="仿宋_GB2312"/>
          <w:sz w:val="32"/>
          <w:szCs w:val="32"/>
        </w:rPr>
        <w:t>县</w:t>
      </w:r>
      <w:r>
        <w:rPr>
          <w:rFonts w:hint="eastAsia" w:ascii="仿宋_GB2312" w:eastAsia="仿宋_GB2312"/>
          <w:sz w:val="32"/>
          <w:szCs w:val="32"/>
          <w:lang w:eastAsia="zh-CN"/>
        </w:rPr>
        <w:t>民宗</w:t>
      </w:r>
      <w:r>
        <w:rPr>
          <w:rFonts w:hint="eastAsia" w:ascii="仿宋_GB2312" w:eastAsia="仿宋_GB2312"/>
          <w:sz w:val="32"/>
          <w:szCs w:val="32"/>
        </w:rPr>
        <w:t>局</w:t>
      </w:r>
      <w:r>
        <w:rPr>
          <w:rFonts w:hint="eastAsia" w:ascii="仿宋_GB2312" w:eastAsia="仿宋_GB2312"/>
          <w:sz w:val="32"/>
          <w:szCs w:val="32"/>
          <w:lang w:eastAsia="zh-CN"/>
        </w:rPr>
        <w:t>2018</w:t>
      </w:r>
      <w:r>
        <w:rPr>
          <w:rFonts w:hint="eastAsia" w:ascii="仿宋_GB2312" w:eastAsia="仿宋_GB2312"/>
          <w:sz w:val="32"/>
          <w:szCs w:val="32"/>
        </w:rPr>
        <w:t>年一般公共预算财政拨款支出</w:t>
      </w:r>
      <w:r>
        <w:rPr>
          <w:rFonts w:hint="eastAsia" w:ascii="仿宋_GB2312" w:eastAsia="仿宋_GB2312"/>
          <w:sz w:val="32"/>
        </w:rPr>
        <w:t>1409.29</w:t>
      </w:r>
      <w:r>
        <w:rPr>
          <w:rFonts w:hint="eastAsia" w:ascii="仿宋_GB2312" w:eastAsia="仿宋_GB2312"/>
          <w:sz w:val="32"/>
          <w:szCs w:val="32"/>
        </w:rPr>
        <w:t>万元，主要用于以下方面:</w:t>
      </w:r>
      <w:r>
        <w:rPr>
          <w:rFonts w:hint="eastAsia" w:ascii="仿宋_GB2312" w:eastAsia="仿宋_GB2312"/>
          <w:sz w:val="32"/>
          <w:szCs w:val="32"/>
          <w:lang w:eastAsia="zh-CN"/>
        </w:rPr>
        <w:t>：</w:t>
      </w:r>
      <w:r>
        <w:rPr>
          <w:rFonts w:hint="eastAsia" w:ascii="仿宋_GB2312" w:eastAsia="仿宋_GB2312"/>
          <w:sz w:val="32"/>
          <w:szCs w:val="32"/>
        </w:rPr>
        <w:t>一般公共服务支出315.82万元，占总支出的</w:t>
      </w:r>
      <w:r>
        <w:rPr>
          <w:rFonts w:hint="eastAsia" w:ascii="仿宋_GB2312" w:eastAsia="仿宋_GB2312"/>
          <w:sz w:val="32"/>
          <w:szCs w:val="32"/>
          <w:lang w:val="en-US" w:eastAsia="zh-CN"/>
        </w:rPr>
        <w:t>22.41</w:t>
      </w:r>
      <w:r>
        <w:rPr>
          <w:rFonts w:hint="eastAsia" w:ascii="仿宋_GB2312" w:eastAsia="仿宋_GB2312"/>
          <w:sz w:val="32"/>
          <w:szCs w:val="32"/>
        </w:rPr>
        <w:t>%；教育支出</w:t>
      </w:r>
      <w:r>
        <w:rPr>
          <w:rFonts w:hint="eastAsia" w:ascii="仿宋_GB2312" w:eastAsia="仿宋_GB2312"/>
          <w:sz w:val="32"/>
          <w:szCs w:val="32"/>
          <w:lang w:val="en-US" w:eastAsia="zh-CN"/>
        </w:rPr>
        <w:t>8万元，</w:t>
      </w:r>
      <w:r>
        <w:rPr>
          <w:rFonts w:hint="eastAsia" w:ascii="仿宋_GB2312" w:eastAsia="仿宋_GB2312"/>
          <w:sz w:val="32"/>
          <w:szCs w:val="32"/>
        </w:rPr>
        <w:t>占总支出的</w:t>
      </w:r>
      <w:r>
        <w:rPr>
          <w:rFonts w:hint="eastAsia" w:ascii="仿宋_GB2312" w:eastAsia="仿宋_GB2312"/>
          <w:sz w:val="32"/>
          <w:szCs w:val="32"/>
          <w:lang w:val="en-US" w:eastAsia="zh-CN"/>
        </w:rPr>
        <w:t>0.57</w:t>
      </w:r>
      <w:r>
        <w:rPr>
          <w:rFonts w:hint="eastAsia" w:ascii="仿宋_GB2312" w:eastAsia="仿宋_GB2312"/>
          <w:sz w:val="32"/>
          <w:szCs w:val="32"/>
        </w:rPr>
        <w:t>%；社会保障和就业支出42.68万元，占总支出的</w:t>
      </w:r>
      <w:r>
        <w:rPr>
          <w:rFonts w:hint="eastAsia" w:ascii="仿宋_GB2312" w:eastAsia="仿宋_GB2312"/>
          <w:sz w:val="32"/>
          <w:szCs w:val="32"/>
          <w:lang w:val="en-US" w:eastAsia="zh-CN"/>
        </w:rPr>
        <w:t>3.03</w:t>
      </w:r>
      <w:r>
        <w:rPr>
          <w:rFonts w:hint="eastAsia" w:ascii="仿宋_GB2312" w:eastAsia="仿宋_GB2312"/>
          <w:sz w:val="32"/>
          <w:szCs w:val="32"/>
        </w:rPr>
        <w:t>%；医疗卫生与计划生育支出12.58万元，占总支出的</w:t>
      </w:r>
      <w:r>
        <w:rPr>
          <w:rFonts w:hint="eastAsia" w:ascii="仿宋_GB2312" w:eastAsia="仿宋_GB2312"/>
          <w:sz w:val="32"/>
          <w:szCs w:val="32"/>
          <w:lang w:val="en-US" w:eastAsia="zh-CN"/>
        </w:rPr>
        <w:t>0.89</w:t>
      </w:r>
      <w:r>
        <w:rPr>
          <w:rFonts w:hint="eastAsia" w:ascii="仿宋_GB2312" w:eastAsia="仿宋_GB2312"/>
          <w:sz w:val="32"/>
          <w:szCs w:val="32"/>
        </w:rPr>
        <w:t>%；农林水支出</w:t>
      </w:r>
      <w:r>
        <w:rPr>
          <w:rFonts w:hint="eastAsia" w:ascii="仿宋_GB2312" w:eastAsia="仿宋_GB2312"/>
          <w:sz w:val="32"/>
          <w:szCs w:val="32"/>
          <w:lang w:val="en-US" w:eastAsia="zh-CN"/>
        </w:rPr>
        <w:t>22.5万元，</w:t>
      </w:r>
      <w:r>
        <w:rPr>
          <w:rFonts w:hint="eastAsia" w:ascii="仿宋_GB2312" w:eastAsia="仿宋_GB2312"/>
          <w:sz w:val="32"/>
          <w:szCs w:val="32"/>
        </w:rPr>
        <w:t>占总支出的</w:t>
      </w:r>
      <w:r>
        <w:rPr>
          <w:rFonts w:hint="eastAsia" w:ascii="仿宋_GB2312" w:eastAsia="仿宋_GB2312"/>
          <w:sz w:val="32"/>
          <w:szCs w:val="32"/>
          <w:lang w:val="en-US" w:eastAsia="zh-CN"/>
        </w:rPr>
        <w:t>1.6</w:t>
      </w:r>
      <w:r>
        <w:rPr>
          <w:rFonts w:hint="eastAsia" w:ascii="仿宋_GB2312" w:eastAsia="仿宋_GB2312"/>
          <w:sz w:val="32"/>
          <w:szCs w:val="32"/>
        </w:rPr>
        <w:t>%；</w:t>
      </w:r>
      <w:r>
        <w:rPr>
          <w:rFonts w:hint="eastAsia" w:ascii="仿宋_GB2312" w:eastAsia="仿宋_GB2312"/>
          <w:sz w:val="32"/>
          <w:szCs w:val="32"/>
          <w:lang w:eastAsia="zh-CN"/>
        </w:rPr>
        <w:t>；</w:t>
      </w:r>
      <w:r>
        <w:rPr>
          <w:rFonts w:hint="eastAsia" w:ascii="仿宋_GB2312" w:eastAsia="仿宋_GB2312"/>
          <w:sz w:val="32"/>
          <w:szCs w:val="32"/>
        </w:rPr>
        <w:t>房保障支出22.64万元，占总支出的</w:t>
      </w:r>
      <w:r>
        <w:rPr>
          <w:rFonts w:hint="eastAsia" w:ascii="仿宋_GB2312" w:eastAsia="仿宋_GB2312"/>
          <w:sz w:val="32"/>
          <w:szCs w:val="32"/>
          <w:lang w:val="en-US" w:eastAsia="zh-CN"/>
        </w:rPr>
        <w:t>1.61</w:t>
      </w:r>
      <w:r>
        <w:rPr>
          <w:rFonts w:hint="eastAsia" w:ascii="仿宋_GB2312" w:eastAsia="仿宋_GB2312"/>
          <w:sz w:val="32"/>
          <w:szCs w:val="32"/>
        </w:rPr>
        <w:t>%。其他支出985.07</w:t>
      </w:r>
      <w:r>
        <w:rPr>
          <w:rFonts w:hint="eastAsia" w:ascii="仿宋_GB2312" w:eastAsia="仿宋_GB2312"/>
          <w:sz w:val="32"/>
          <w:szCs w:val="32"/>
          <w:lang w:eastAsia="zh-CN"/>
        </w:rPr>
        <w:t>万元，</w:t>
      </w:r>
      <w:r>
        <w:rPr>
          <w:rFonts w:hint="eastAsia" w:ascii="仿宋_GB2312" w:eastAsia="仿宋_GB2312"/>
          <w:sz w:val="32"/>
          <w:szCs w:val="32"/>
        </w:rPr>
        <w:t>占总支出的</w:t>
      </w:r>
      <w:r>
        <w:rPr>
          <w:rFonts w:hint="eastAsia" w:ascii="仿宋_GB2312" w:eastAsia="仿宋_GB2312"/>
          <w:sz w:val="32"/>
          <w:szCs w:val="32"/>
          <w:lang w:val="en-US" w:eastAsia="zh-CN"/>
        </w:rPr>
        <w:t>69.89</w:t>
      </w:r>
      <w:r>
        <w:rPr>
          <w:rFonts w:hint="eastAsia" w:ascii="仿宋_GB2312" w:eastAsia="仿宋_GB2312"/>
          <w:sz w:val="32"/>
          <w:szCs w:val="32"/>
        </w:rPr>
        <w:t>%。</w:t>
      </w:r>
    </w:p>
    <w:p>
      <w:pPr>
        <w:spacing w:line="600" w:lineRule="exact"/>
        <w:ind w:firstLine="640" w:firstLineChars="200"/>
        <w:rPr>
          <w:rFonts w:hint="eastAsia" w:ascii="仿宋_GB2312" w:eastAsia="仿宋_GB2312"/>
          <w:color w:val="000000"/>
          <w:sz w:val="32"/>
          <w:szCs w:val="32"/>
        </w:rPr>
      </w:pPr>
      <w:r>
        <w:rPr>
          <w:rFonts w:hint="eastAsia" w:ascii="仿宋_GB2312" w:eastAsia="仿宋_GB2312"/>
          <w:color w:val="000000"/>
          <w:sz w:val="32"/>
          <w:szCs w:val="32"/>
        </w:rPr>
        <w:t>（三）一般公共预算财政拨款支出决算具体情况</w:t>
      </w:r>
    </w:p>
    <w:p>
      <w:pPr>
        <w:spacing w:line="600" w:lineRule="exact"/>
        <w:ind w:firstLine="643" w:firstLineChars="200"/>
        <w:rPr>
          <w:rFonts w:hint="eastAsia" w:ascii="仿宋_GB2312" w:eastAsia="仿宋_GB2312"/>
          <w:sz w:val="32"/>
          <w:szCs w:val="32"/>
        </w:rPr>
      </w:pPr>
      <w:r>
        <w:rPr>
          <w:rStyle w:val="10"/>
          <w:rFonts w:hint="eastAsia" w:ascii="仿宋_GB2312" w:eastAsia="仿宋_GB2312"/>
          <w:sz w:val="32"/>
          <w:szCs w:val="32"/>
        </w:rPr>
        <w:t>1.一般公共服务:</w:t>
      </w:r>
      <w:r>
        <w:rPr>
          <w:rStyle w:val="10"/>
          <w:rFonts w:hint="eastAsia" w:ascii="仿宋_GB2312" w:eastAsia="仿宋_GB2312"/>
          <w:sz w:val="32"/>
          <w:szCs w:val="32"/>
          <w:lang w:eastAsia="zh-CN"/>
        </w:rPr>
        <w:t>：</w:t>
      </w:r>
      <w:r>
        <w:rPr>
          <w:rFonts w:hint="eastAsia" w:ascii="仿宋_GB2312" w:eastAsia="仿宋_GB2312"/>
          <w:sz w:val="32"/>
          <w:szCs w:val="32"/>
        </w:rPr>
        <w:t>一般公共服务201（类）</w:t>
      </w:r>
      <w:r>
        <w:rPr>
          <w:rFonts w:hint="eastAsia" w:ascii="仿宋_GB2312" w:eastAsia="仿宋_GB2312"/>
          <w:sz w:val="32"/>
          <w:szCs w:val="32"/>
          <w:lang w:eastAsia="zh-CN"/>
        </w:rPr>
        <w:t>民族</w:t>
      </w:r>
      <w:r>
        <w:rPr>
          <w:rFonts w:hint="eastAsia" w:ascii="仿宋_GB2312" w:eastAsia="仿宋_GB2312"/>
          <w:sz w:val="32"/>
          <w:szCs w:val="32"/>
        </w:rPr>
        <w:t>事务</w:t>
      </w:r>
      <w:r>
        <w:rPr>
          <w:rFonts w:hint="eastAsia" w:ascii="仿宋_GB2312" w:eastAsia="仿宋_GB2312"/>
          <w:sz w:val="32"/>
          <w:szCs w:val="32"/>
          <w:lang w:val="en-US" w:eastAsia="zh-CN"/>
        </w:rPr>
        <w:t>23</w:t>
      </w:r>
      <w:r>
        <w:rPr>
          <w:rFonts w:hint="eastAsia" w:ascii="仿宋_GB2312" w:eastAsia="仿宋_GB2312"/>
          <w:sz w:val="32"/>
          <w:szCs w:val="32"/>
        </w:rPr>
        <w:t>（款）行政运行01（项）：</w:t>
      </w:r>
      <w:r>
        <w:rPr>
          <w:rFonts w:hint="eastAsia" w:ascii="仿宋_GB2312" w:eastAsia="仿宋_GB2312"/>
          <w:sz w:val="32"/>
          <w:szCs w:val="32"/>
          <w:lang w:eastAsia="zh-CN"/>
        </w:rPr>
        <w:t>2018</w:t>
      </w:r>
      <w:r>
        <w:rPr>
          <w:rFonts w:hint="eastAsia" w:ascii="仿宋_GB2312" w:eastAsia="仿宋_GB2312"/>
          <w:sz w:val="32"/>
          <w:szCs w:val="32"/>
        </w:rPr>
        <w:t>年决算数为236.18万元；一般公共服务201（类）</w:t>
      </w:r>
      <w:r>
        <w:rPr>
          <w:rFonts w:hint="eastAsia" w:ascii="仿宋_GB2312" w:eastAsia="仿宋_GB2312"/>
          <w:sz w:val="32"/>
          <w:szCs w:val="32"/>
          <w:lang w:eastAsia="zh-CN"/>
        </w:rPr>
        <w:t>民族</w:t>
      </w:r>
      <w:r>
        <w:rPr>
          <w:rFonts w:hint="eastAsia" w:ascii="仿宋_GB2312" w:eastAsia="仿宋_GB2312"/>
          <w:sz w:val="32"/>
          <w:szCs w:val="32"/>
        </w:rPr>
        <w:t>事务</w:t>
      </w:r>
      <w:r>
        <w:rPr>
          <w:rFonts w:hint="eastAsia" w:ascii="仿宋_GB2312" w:eastAsia="仿宋_GB2312"/>
          <w:sz w:val="32"/>
          <w:szCs w:val="32"/>
          <w:lang w:val="en-US" w:eastAsia="zh-CN"/>
        </w:rPr>
        <w:t>23</w:t>
      </w:r>
      <w:r>
        <w:rPr>
          <w:rFonts w:hint="eastAsia" w:ascii="仿宋_GB2312" w:eastAsia="仿宋_GB2312"/>
          <w:sz w:val="32"/>
          <w:szCs w:val="32"/>
        </w:rPr>
        <w:t>（款）民族工作专项0</w:t>
      </w:r>
      <w:r>
        <w:rPr>
          <w:rFonts w:hint="eastAsia" w:ascii="仿宋_GB2312" w:eastAsia="仿宋_GB2312"/>
          <w:sz w:val="32"/>
          <w:szCs w:val="32"/>
          <w:lang w:val="en-US" w:eastAsia="zh-CN"/>
        </w:rPr>
        <w:t>4</w:t>
      </w:r>
      <w:r>
        <w:rPr>
          <w:rFonts w:hint="eastAsia" w:ascii="仿宋_GB2312" w:eastAsia="仿宋_GB2312"/>
          <w:sz w:val="32"/>
          <w:szCs w:val="32"/>
        </w:rPr>
        <w:t>（项目）：2018年决算数为28.82万元；一般公共服务201（类）</w:t>
      </w:r>
      <w:r>
        <w:rPr>
          <w:rFonts w:hint="eastAsia" w:ascii="仿宋_GB2312" w:eastAsia="仿宋_GB2312"/>
          <w:sz w:val="32"/>
          <w:szCs w:val="32"/>
          <w:lang w:eastAsia="zh-CN"/>
        </w:rPr>
        <w:t>民族</w:t>
      </w:r>
      <w:r>
        <w:rPr>
          <w:rFonts w:hint="eastAsia" w:ascii="仿宋_GB2312" w:eastAsia="仿宋_GB2312"/>
          <w:sz w:val="32"/>
          <w:szCs w:val="32"/>
        </w:rPr>
        <w:t>事务</w:t>
      </w:r>
      <w:r>
        <w:rPr>
          <w:rFonts w:hint="eastAsia" w:ascii="仿宋_GB2312" w:eastAsia="仿宋_GB2312"/>
          <w:sz w:val="32"/>
          <w:szCs w:val="32"/>
          <w:lang w:val="en-US" w:eastAsia="zh-CN"/>
        </w:rPr>
        <w:t>23</w:t>
      </w:r>
      <w:r>
        <w:rPr>
          <w:rFonts w:hint="eastAsia" w:ascii="仿宋_GB2312" w:eastAsia="仿宋_GB2312"/>
          <w:sz w:val="32"/>
          <w:szCs w:val="32"/>
        </w:rPr>
        <w:t>（款）</w:t>
      </w:r>
      <w:r>
        <w:rPr>
          <w:rFonts w:hint="eastAsia" w:ascii="仿宋_GB2312" w:eastAsia="仿宋_GB2312"/>
          <w:sz w:val="32"/>
          <w:szCs w:val="32"/>
          <w:lang w:eastAsia="zh-CN"/>
        </w:rPr>
        <w:t xml:space="preserve"> 其他民族事务支出</w:t>
      </w:r>
      <w:r>
        <w:rPr>
          <w:rFonts w:hint="eastAsia" w:ascii="仿宋_GB2312" w:eastAsia="仿宋_GB2312"/>
          <w:sz w:val="32"/>
          <w:szCs w:val="32"/>
          <w:lang w:val="en-US" w:eastAsia="zh-CN"/>
        </w:rPr>
        <w:t>99</w:t>
      </w:r>
      <w:r>
        <w:rPr>
          <w:rFonts w:hint="eastAsia" w:ascii="仿宋_GB2312" w:eastAsia="仿宋_GB2312"/>
          <w:sz w:val="32"/>
          <w:szCs w:val="32"/>
        </w:rPr>
        <w:t>（项）：</w:t>
      </w:r>
      <w:r>
        <w:rPr>
          <w:rFonts w:hint="eastAsia" w:ascii="仿宋_GB2312" w:eastAsia="仿宋_GB2312"/>
          <w:sz w:val="32"/>
          <w:szCs w:val="32"/>
          <w:lang w:eastAsia="zh-CN"/>
        </w:rPr>
        <w:t>2018</w:t>
      </w:r>
      <w:r>
        <w:rPr>
          <w:rFonts w:hint="eastAsia" w:ascii="仿宋_GB2312" w:eastAsia="仿宋_GB2312"/>
          <w:sz w:val="32"/>
          <w:szCs w:val="32"/>
        </w:rPr>
        <w:t>年决算数为30万元；一般公共服务201（类）</w:t>
      </w:r>
      <w:r>
        <w:rPr>
          <w:rFonts w:hint="eastAsia" w:ascii="仿宋_GB2312" w:eastAsia="仿宋_GB2312"/>
          <w:sz w:val="32"/>
          <w:szCs w:val="32"/>
          <w:lang w:eastAsia="zh-CN"/>
        </w:rPr>
        <w:t xml:space="preserve"> 宗教事务</w:t>
      </w:r>
      <w:r>
        <w:rPr>
          <w:rFonts w:hint="eastAsia" w:ascii="仿宋_GB2312" w:eastAsia="仿宋_GB2312"/>
          <w:sz w:val="32"/>
          <w:szCs w:val="32"/>
          <w:lang w:val="en-US" w:eastAsia="zh-CN"/>
        </w:rPr>
        <w:t>24</w:t>
      </w:r>
      <w:r>
        <w:rPr>
          <w:rFonts w:hint="eastAsia" w:ascii="仿宋_GB2312" w:eastAsia="仿宋_GB2312"/>
          <w:sz w:val="32"/>
          <w:szCs w:val="32"/>
        </w:rPr>
        <w:t>（款）一般行政管理事务0</w:t>
      </w:r>
      <w:r>
        <w:rPr>
          <w:rFonts w:hint="eastAsia" w:ascii="仿宋_GB2312" w:eastAsia="仿宋_GB2312"/>
          <w:sz w:val="32"/>
          <w:szCs w:val="32"/>
          <w:lang w:val="en-US" w:eastAsia="zh-CN"/>
        </w:rPr>
        <w:t>2</w:t>
      </w:r>
      <w:r>
        <w:rPr>
          <w:rFonts w:hint="eastAsia" w:ascii="仿宋_GB2312" w:eastAsia="仿宋_GB2312"/>
          <w:sz w:val="32"/>
          <w:szCs w:val="32"/>
        </w:rPr>
        <w:t>（项）</w:t>
      </w:r>
      <w:r>
        <w:rPr>
          <w:rFonts w:hint="eastAsia" w:ascii="仿宋_GB2312" w:eastAsia="仿宋_GB2312"/>
          <w:sz w:val="32"/>
          <w:szCs w:val="32"/>
          <w:lang w:eastAsia="zh-CN"/>
        </w:rPr>
        <w:t>：2018</w:t>
      </w:r>
      <w:r>
        <w:rPr>
          <w:rFonts w:hint="eastAsia" w:ascii="仿宋_GB2312" w:eastAsia="仿宋_GB2312"/>
          <w:sz w:val="32"/>
          <w:szCs w:val="32"/>
        </w:rPr>
        <w:t>年决算数为</w:t>
      </w:r>
      <w:r>
        <w:rPr>
          <w:rFonts w:hint="eastAsia" w:ascii="仿宋_GB2312" w:eastAsia="仿宋_GB2312"/>
          <w:sz w:val="32"/>
          <w:szCs w:val="32"/>
          <w:lang w:eastAsia="zh-CN"/>
        </w:rPr>
        <w:t>11.92万元；</w:t>
      </w:r>
      <w:r>
        <w:rPr>
          <w:rFonts w:hint="eastAsia" w:ascii="仿宋_GB2312" w:eastAsia="仿宋_GB2312"/>
          <w:sz w:val="32"/>
          <w:szCs w:val="32"/>
        </w:rPr>
        <w:t>一般公共服务201（类）</w:t>
      </w:r>
      <w:r>
        <w:rPr>
          <w:rFonts w:hint="eastAsia" w:ascii="仿宋_GB2312" w:eastAsia="仿宋_GB2312"/>
          <w:sz w:val="32"/>
          <w:szCs w:val="32"/>
          <w:lang w:eastAsia="zh-CN"/>
        </w:rPr>
        <w:t xml:space="preserve"> 宗教事务</w:t>
      </w:r>
      <w:r>
        <w:rPr>
          <w:rFonts w:hint="eastAsia" w:ascii="仿宋_GB2312" w:eastAsia="仿宋_GB2312"/>
          <w:sz w:val="32"/>
          <w:szCs w:val="32"/>
          <w:lang w:val="en-US" w:eastAsia="zh-CN"/>
        </w:rPr>
        <w:t>24</w:t>
      </w:r>
      <w:r>
        <w:rPr>
          <w:rFonts w:hint="eastAsia" w:ascii="仿宋_GB2312" w:eastAsia="仿宋_GB2312"/>
          <w:sz w:val="32"/>
          <w:szCs w:val="32"/>
        </w:rPr>
        <w:t>（款）其他宗教事务支出</w:t>
      </w:r>
      <w:r>
        <w:rPr>
          <w:rFonts w:hint="eastAsia" w:ascii="仿宋_GB2312" w:eastAsia="仿宋_GB2312"/>
          <w:sz w:val="32"/>
          <w:szCs w:val="32"/>
          <w:lang w:val="en-US" w:eastAsia="zh-CN"/>
        </w:rPr>
        <w:t>99</w:t>
      </w:r>
      <w:r>
        <w:rPr>
          <w:rFonts w:hint="eastAsia" w:ascii="仿宋_GB2312" w:eastAsia="仿宋_GB2312"/>
          <w:sz w:val="32"/>
          <w:szCs w:val="32"/>
        </w:rPr>
        <w:t>（项）</w:t>
      </w:r>
      <w:r>
        <w:rPr>
          <w:rFonts w:hint="eastAsia" w:ascii="仿宋_GB2312" w:eastAsia="仿宋_GB2312"/>
          <w:sz w:val="32"/>
          <w:szCs w:val="32"/>
          <w:lang w:eastAsia="zh-CN"/>
        </w:rPr>
        <w:t>：2018</w:t>
      </w:r>
      <w:r>
        <w:rPr>
          <w:rFonts w:hint="eastAsia" w:ascii="仿宋_GB2312" w:eastAsia="仿宋_GB2312"/>
          <w:sz w:val="32"/>
          <w:szCs w:val="32"/>
        </w:rPr>
        <w:t>年决算数为</w:t>
      </w:r>
      <w:r>
        <w:rPr>
          <w:rFonts w:hint="eastAsia" w:ascii="仿宋_GB2312" w:eastAsia="仿宋_GB2312"/>
          <w:sz w:val="32"/>
          <w:szCs w:val="32"/>
          <w:lang w:val="en-US" w:eastAsia="zh-CN"/>
        </w:rPr>
        <w:t>8</w:t>
      </w:r>
      <w:r>
        <w:rPr>
          <w:rFonts w:hint="eastAsia" w:ascii="仿宋_GB2312" w:eastAsia="仿宋_GB2312"/>
          <w:sz w:val="32"/>
          <w:szCs w:val="32"/>
          <w:lang w:eastAsia="zh-CN"/>
        </w:rPr>
        <w:t>万元；</w:t>
      </w:r>
      <w:r>
        <w:rPr>
          <w:rFonts w:hint="eastAsia" w:ascii="仿宋_GB2312" w:eastAsia="仿宋_GB2312"/>
          <w:sz w:val="32"/>
          <w:szCs w:val="32"/>
        </w:rPr>
        <w:t>一般公共服务201（类）其他一般公共服务支出</w:t>
      </w:r>
      <w:r>
        <w:rPr>
          <w:rFonts w:hint="eastAsia" w:ascii="仿宋_GB2312" w:eastAsia="仿宋_GB2312"/>
          <w:sz w:val="32"/>
          <w:szCs w:val="32"/>
          <w:lang w:val="en-US" w:eastAsia="zh-CN"/>
        </w:rPr>
        <w:t>99（款）其他一般公共服务支出99（项）：</w:t>
      </w:r>
      <w:r>
        <w:rPr>
          <w:rFonts w:hint="eastAsia" w:ascii="仿宋_GB2312" w:eastAsia="仿宋_GB2312"/>
          <w:sz w:val="32"/>
          <w:szCs w:val="32"/>
          <w:lang w:eastAsia="zh-CN"/>
        </w:rPr>
        <w:t>2018</w:t>
      </w:r>
      <w:r>
        <w:rPr>
          <w:rFonts w:hint="eastAsia" w:ascii="仿宋_GB2312" w:eastAsia="仿宋_GB2312"/>
          <w:sz w:val="32"/>
          <w:szCs w:val="32"/>
        </w:rPr>
        <w:t>年决算数为</w:t>
      </w:r>
      <w:r>
        <w:rPr>
          <w:rFonts w:hint="eastAsia" w:ascii="仿宋_GB2312" w:eastAsia="仿宋_GB2312"/>
          <w:sz w:val="32"/>
          <w:szCs w:val="32"/>
          <w:lang w:val="en-US" w:eastAsia="zh-CN"/>
        </w:rPr>
        <w:t>0.9万元。</w:t>
      </w:r>
      <w:r>
        <w:rPr>
          <w:rFonts w:hint="eastAsia" w:ascii="仿宋_GB2312" w:eastAsia="仿宋_GB2312"/>
          <w:sz w:val="32"/>
          <w:szCs w:val="32"/>
        </w:rPr>
        <w:t>合计315.82万元，完成预算100%。</w:t>
      </w:r>
    </w:p>
    <w:p>
      <w:pPr>
        <w:numPr>
          <w:ilvl w:val="0"/>
          <w:numId w:val="1"/>
        </w:numPr>
        <w:spacing w:line="600" w:lineRule="exact"/>
        <w:ind w:firstLine="643" w:firstLineChars="200"/>
        <w:rPr>
          <w:rFonts w:hint="eastAsia" w:ascii="仿宋_GB2312" w:eastAsia="仿宋_GB2312"/>
          <w:b/>
          <w:color w:val="000000"/>
          <w:sz w:val="32"/>
          <w:szCs w:val="32"/>
          <w:lang w:eastAsia="zh-CN"/>
        </w:rPr>
      </w:pPr>
      <w:r>
        <w:rPr>
          <w:rFonts w:hint="eastAsia" w:ascii="仿宋_GB2312" w:eastAsia="仿宋_GB2312"/>
          <w:b/>
          <w:color w:val="000000"/>
          <w:sz w:val="32"/>
          <w:szCs w:val="32"/>
        </w:rPr>
        <w:t>教育支出</w:t>
      </w:r>
      <w:r>
        <w:rPr>
          <w:rFonts w:hint="eastAsia" w:ascii="仿宋_GB2312" w:eastAsia="仿宋_GB2312"/>
          <w:b/>
          <w:color w:val="000000"/>
          <w:sz w:val="32"/>
          <w:szCs w:val="32"/>
          <w:lang w:eastAsia="zh-CN"/>
        </w:rPr>
        <w:t>：</w:t>
      </w:r>
    </w:p>
    <w:p>
      <w:pPr>
        <w:pStyle w:val="2"/>
        <w:numPr>
          <w:ilvl w:val="0"/>
          <w:numId w:val="0"/>
        </w:numPr>
        <w:ind w:left="420" w:leftChars="0"/>
        <w:rPr>
          <w:rFonts w:hint="default"/>
          <w:lang w:val="en-US" w:eastAsia="zh-CN"/>
        </w:rPr>
      </w:pPr>
      <w:r>
        <w:rPr>
          <w:rFonts w:hint="eastAsia"/>
          <w:lang w:val="en-US" w:eastAsia="zh-CN"/>
        </w:rPr>
        <w:t xml:space="preserve">     </w:t>
      </w:r>
      <w:r>
        <w:rPr>
          <w:rFonts w:hint="eastAsia" w:ascii="仿宋_GB2312" w:hAnsi="Calibri" w:eastAsia="仿宋_GB2312" w:cs="Times New Roman"/>
          <w:kern w:val="2"/>
          <w:sz w:val="32"/>
          <w:szCs w:val="32"/>
          <w:lang w:val="en-US" w:eastAsia="zh-CN" w:bidi="ar-SA"/>
        </w:rPr>
        <w:t xml:space="preserve">  教育支出</w:t>
      </w:r>
      <w:r>
        <w:rPr>
          <w:rFonts w:hint="eastAsia" w:ascii="仿宋_GB2312" w:eastAsia="仿宋_GB2312" w:cs="Times New Roman"/>
          <w:kern w:val="2"/>
          <w:sz w:val="32"/>
          <w:szCs w:val="32"/>
          <w:lang w:val="en-US" w:eastAsia="zh-CN" w:bidi="ar-SA"/>
        </w:rPr>
        <w:t>205（类）进修及培训08（款）培训支出03（项）</w:t>
      </w:r>
      <w:r>
        <w:rPr>
          <w:rFonts w:hint="eastAsia" w:ascii="仿宋_GB2312" w:eastAsia="仿宋_GB2312"/>
          <w:sz w:val="32"/>
          <w:szCs w:val="32"/>
          <w:lang w:eastAsia="zh-CN"/>
        </w:rPr>
        <w:t>2018</w:t>
      </w:r>
      <w:r>
        <w:rPr>
          <w:rFonts w:hint="eastAsia" w:ascii="仿宋_GB2312" w:eastAsia="仿宋_GB2312"/>
          <w:sz w:val="32"/>
          <w:szCs w:val="32"/>
        </w:rPr>
        <w:t>年决算数为</w:t>
      </w:r>
      <w:r>
        <w:rPr>
          <w:rFonts w:hint="eastAsia" w:ascii="仿宋_GB2312" w:eastAsia="仿宋_GB2312"/>
          <w:sz w:val="32"/>
          <w:szCs w:val="32"/>
          <w:lang w:val="en-US" w:eastAsia="zh-CN"/>
        </w:rPr>
        <w:t>8万元。</w:t>
      </w:r>
      <w:r>
        <w:rPr>
          <w:rFonts w:hint="eastAsia" w:ascii="仿宋_GB2312" w:eastAsia="仿宋_GB2312"/>
          <w:sz w:val="32"/>
          <w:szCs w:val="32"/>
        </w:rPr>
        <w:t>合计</w:t>
      </w:r>
      <w:r>
        <w:rPr>
          <w:rFonts w:hint="eastAsia" w:ascii="仿宋_GB2312" w:eastAsia="仿宋_GB2312"/>
          <w:sz w:val="32"/>
          <w:szCs w:val="32"/>
          <w:lang w:val="en-US" w:eastAsia="zh-CN"/>
        </w:rPr>
        <w:t>8</w:t>
      </w:r>
      <w:r>
        <w:rPr>
          <w:rFonts w:hint="eastAsia" w:ascii="仿宋_GB2312" w:eastAsia="仿宋_GB2312"/>
          <w:sz w:val="32"/>
          <w:szCs w:val="32"/>
        </w:rPr>
        <w:t>万元，完成预算100%。</w:t>
      </w:r>
    </w:p>
    <w:p>
      <w:pPr>
        <w:spacing w:line="600" w:lineRule="exact"/>
        <w:ind w:firstLine="643" w:firstLineChars="200"/>
        <w:rPr>
          <w:rFonts w:hint="eastAsia" w:ascii="仿宋_GB2312" w:eastAsia="仿宋_GB2312"/>
          <w:b/>
          <w:color w:val="000000"/>
          <w:sz w:val="32"/>
          <w:szCs w:val="32"/>
        </w:rPr>
      </w:pPr>
      <w:r>
        <w:rPr>
          <w:rFonts w:hint="eastAsia" w:ascii="仿宋_GB2312" w:eastAsia="仿宋_GB2312"/>
          <w:b/>
          <w:color w:val="000000"/>
          <w:sz w:val="32"/>
          <w:szCs w:val="32"/>
          <w:lang w:val="en-US" w:eastAsia="zh-CN"/>
        </w:rPr>
        <w:t>3、</w:t>
      </w:r>
      <w:r>
        <w:rPr>
          <w:rFonts w:hint="eastAsia" w:ascii="仿宋_GB2312" w:eastAsia="仿宋_GB2312"/>
          <w:b/>
          <w:color w:val="000000"/>
          <w:sz w:val="32"/>
          <w:szCs w:val="32"/>
        </w:rPr>
        <w:t>社会保障和就业支出</w:t>
      </w:r>
    </w:p>
    <w:p>
      <w:pPr>
        <w:spacing w:line="600" w:lineRule="exact"/>
        <w:ind w:firstLine="640" w:firstLineChars="200"/>
        <w:rPr>
          <w:rFonts w:hint="eastAsia" w:ascii="仿宋_GB2312" w:eastAsia="仿宋_GB2312"/>
          <w:sz w:val="32"/>
          <w:szCs w:val="32"/>
        </w:rPr>
      </w:pPr>
      <w:r>
        <w:rPr>
          <w:rFonts w:hint="eastAsia" w:ascii="仿宋_GB2312" w:eastAsia="仿宋_GB2312"/>
          <w:color w:val="000000"/>
          <w:sz w:val="32"/>
          <w:szCs w:val="32"/>
        </w:rPr>
        <w:t>社会保障和就业支出</w:t>
      </w:r>
      <w:r>
        <w:rPr>
          <w:rFonts w:hint="eastAsia" w:ascii="仿宋_GB2312" w:eastAsia="仿宋_GB2312"/>
          <w:color w:val="000000"/>
          <w:sz w:val="32"/>
          <w:szCs w:val="32"/>
          <w:lang w:val="en-US" w:eastAsia="zh-CN"/>
        </w:rPr>
        <w:t>2</w:t>
      </w:r>
      <w:r>
        <w:rPr>
          <w:rFonts w:hint="eastAsia" w:ascii="仿宋_GB2312" w:eastAsia="仿宋_GB2312"/>
          <w:color w:val="000000"/>
          <w:sz w:val="32"/>
          <w:szCs w:val="32"/>
        </w:rPr>
        <w:t>0</w:t>
      </w:r>
      <w:r>
        <w:rPr>
          <w:rFonts w:hint="eastAsia" w:ascii="仿宋_GB2312" w:eastAsia="仿宋_GB2312"/>
          <w:color w:val="000000"/>
          <w:sz w:val="32"/>
          <w:szCs w:val="32"/>
          <w:lang w:val="en-US" w:eastAsia="zh-CN"/>
        </w:rPr>
        <w:t>8</w:t>
      </w:r>
      <w:r>
        <w:rPr>
          <w:rFonts w:hint="eastAsia" w:ascii="仿宋_GB2312" w:eastAsia="仿宋_GB2312"/>
          <w:color w:val="000000"/>
          <w:sz w:val="32"/>
          <w:szCs w:val="32"/>
        </w:rPr>
        <w:t>（类）行政事业单位离退休0</w:t>
      </w:r>
      <w:r>
        <w:rPr>
          <w:rFonts w:hint="eastAsia" w:ascii="仿宋_GB2312" w:eastAsia="仿宋_GB2312"/>
          <w:color w:val="000000"/>
          <w:sz w:val="32"/>
          <w:szCs w:val="32"/>
          <w:lang w:val="en-US" w:eastAsia="zh-CN"/>
        </w:rPr>
        <w:t>5</w:t>
      </w:r>
      <w:r>
        <w:rPr>
          <w:rFonts w:hint="eastAsia" w:ascii="仿宋_GB2312" w:eastAsia="仿宋_GB2312"/>
          <w:color w:val="000000"/>
          <w:sz w:val="32"/>
          <w:szCs w:val="32"/>
        </w:rPr>
        <w:t>（款）机关事业单位基本养老保险缴费支出0</w:t>
      </w:r>
      <w:r>
        <w:rPr>
          <w:rFonts w:hint="eastAsia" w:ascii="仿宋_GB2312" w:eastAsia="仿宋_GB2312"/>
          <w:color w:val="000000"/>
          <w:sz w:val="32"/>
          <w:szCs w:val="32"/>
          <w:lang w:val="en-US" w:eastAsia="zh-CN"/>
        </w:rPr>
        <w:t>5</w:t>
      </w:r>
      <w:r>
        <w:rPr>
          <w:rFonts w:hint="eastAsia" w:ascii="仿宋_GB2312" w:eastAsia="仿宋_GB2312"/>
          <w:color w:val="000000"/>
          <w:sz w:val="32"/>
          <w:szCs w:val="32"/>
        </w:rPr>
        <w:t>（项）：</w:t>
      </w:r>
      <w:r>
        <w:rPr>
          <w:rFonts w:hint="eastAsia" w:ascii="仿宋_GB2312" w:eastAsia="仿宋_GB2312"/>
          <w:sz w:val="32"/>
          <w:szCs w:val="32"/>
          <w:lang w:eastAsia="zh-CN"/>
        </w:rPr>
        <w:t>2018</w:t>
      </w:r>
      <w:r>
        <w:rPr>
          <w:rFonts w:hint="eastAsia" w:ascii="仿宋_GB2312" w:eastAsia="仿宋_GB2312"/>
          <w:sz w:val="32"/>
          <w:szCs w:val="32"/>
        </w:rPr>
        <w:t>年决算数为30.48万元，机关事业单位职业年金缴费支出06（项）：</w:t>
      </w:r>
      <w:r>
        <w:rPr>
          <w:rFonts w:hint="eastAsia" w:ascii="仿宋_GB2312" w:eastAsia="仿宋_GB2312"/>
          <w:sz w:val="32"/>
          <w:szCs w:val="32"/>
          <w:lang w:eastAsia="zh-CN"/>
        </w:rPr>
        <w:t>2018</w:t>
      </w:r>
      <w:r>
        <w:rPr>
          <w:rFonts w:hint="eastAsia" w:ascii="仿宋_GB2312" w:eastAsia="仿宋_GB2312"/>
          <w:sz w:val="32"/>
          <w:szCs w:val="32"/>
        </w:rPr>
        <w:t>年决算数为12.19万元，</w:t>
      </w:r>
      <w:r>
        <w:rPr>
          <w:rFonts w:hint="eastAsia" w:ascii="仿宋_GB2312" w:eastAsia="仿宋_GB2312"/>
          <w:sz w:val="32"/>
          <w:szCs w:val="32"/>
          <w:lang w:eastAsia="zh-CN"/>
        </w:rPr>
        <w:t>合计42.67万元。</w:t>
      </w:r>
      <w:r>
        <w:rPr>
          <w:rFonts w:hint="eastAsia" w:ascii="仿宋_GB2312" w:eastAsia="仿宋_GB2312"/>
          <w:sz w:val="32"/>
          <w:szCs w:val="32"/>
        </w:rPr>
        <w:t>完成预算100%。</w:t>
      </w:r>
      <w:r>
        <w:rPr>
          <w:rFonts w:hint="eastAsia" w:ascii="仿宋_GB2312" w:eastAsia="仿宋_GB2312"/>
          <w:sz w:val="32"/>
          <w:szCs w:val="32"/>
        </w:rPr>
        <w:br w:type="textWrapping"/>
      </w:r>
      <w:r>
        <w:rPr>
          <w:rFonts w:hint="eastAsia" w:ascii="仿宋_GB2312" w:eastAsia="仿宋_GB2312"/>
          <w:color w:val="FF6600"/>
          <w:sz w:val="32"/>
          <w:szCs w:val="32"/>
        </w:rPr>
        <w:t>　</w:t>
      </w:r>
      <w:r>
        <w:rPr>
          <w:rFonts w:hint="eastAsia" w:ascii="仿宋_GB2312" w:eastAsia="仿宋_GB2312"/>
          <w:sz w:val="32"/>
          <w:szCs w:val="32"/>
        </w:rPr>
        <w:t>　</w:t>
      </w:r>
      <w:r>
        <w:rPr>
          <w:rFonts w:hint="eastAsia" w:ascii="仿宋_GB2312" w:eastAsia="仿宋_GB2312"/>
          <w:sz w:val="32"/>
          <w:szCs w:val="32"/>
          <w:lang w:val="en-US" w:eastAsia="zh-CN"/>
        </w:rPr>
        <w:t>4</w:t>
      </w:r>
      <w:r>
        <w:rPr>
          <w:rFonts w:hint="eastAsia" w:ascii="仿宋_GB2312" w:eastAsia="仿宋_GB2312"/>
          <w:b/>
          <w:color w:val="000000"/>
          <w:sz w:val="32"/>
          <w:szCs w:val="32"/>
        </w:rPr>
        <w:t>、</w:t>
      </w:r>
      <w:r>
        <w:rPr>
          <w:rStyle w:val="10"/>
          <w:rFonts w:hint="eastAsia" w:ascii="仿宋_GB2312" w:eastAsia="仿宋_GB2312"/>
          <w:sz w:val="32"/>
          <w:szCs w:val="32"/>
        </w:rPr>
        <w:t>医疗卫生与计划生育:</w:t>
      </w:r>
      <w:r>
        <w:rPr>
          <w:rStyle w:val="10"/>
          <w:rFonts w:hint="eastAsia" w:ascii="仿宋_GB2312" w:eastAsia="仿宋_GB2312"/>
          <w:sz w:val="32"/>
          <w:szCs w:val="32"/>
          <w:lang w:eastAsia="zh-CN"/>
        </w:rPr>
        <w:t>：</w:t>
      </w:r>
      <w:r>
        <w:rPr>
          <w:rFonts w:hint="eastAsia" w:ascii="仿宋_GB2312" w:eastAsia="仿宋_GB2312"/>
          <w:color w:val="000000"/>
          <w:sz w:val="32"/>
          <w:szCs w:val="32"/>
        </w:rPr>
        <w:t>医疗卫生与计划生育支出210（类）医疗保障11（款）行政单位医疗01（项）：</w:t>
      </w:r>
      <w:r>
        <w:rPr>
          <w:rFonts w:hint="eastAsia" w:ascii="仿宋_GB2312" w:eastAsia="仿宋_GB2312"/>
          <w:sz w:val="32"/>
          <w:szCs w:val="32"/>
        </w:rPr>
        <w:t xml:space="preserve"> </w:t>
      </w:r>
      <w:r>
        <w:rPr>
          <w:rFonts w:hint="eastAsia" w:ascii="仿宋_GB2312" w:eastAsia="仿宋_GB2312"/>
          <w:sz w:val="32"/>
          <w:szCs w:val="32"/>
          <w:lang w:eastAsia="zh-CN"/>
        </w:rPr>
        <w:t>2018</w:t>
      </w:r>
      <w:r>
        <w:rPr>
          <w:rFonts w:hint="eastAsia" w:ascii="仿宋_GB2312" w:eastAsia="仿宋_GB2312"/>
          <w:sz w:val="32"/>
          <w:szCs w:val="32"/>
        </w:rPr>
        <w:t>年决算数为12.58万元，完成预算100%。</w:t>
      </w:r>
    </w:p>
    <w:p>
      <w:pPr>
        <w:numPr>
          <w:ilvl w:val="0"/>
          <w:numId w:val="0"/>
        </w:numPr>
        <w:spacing w:line="600" w:lineRule="exact"/>
        <w:ind w:firstLine="643" w:firstLineChars="200"/>
        <w:rPr>
          <w:rStyle w:val="10"/>
          <w:rFonts w:hint="eastAsia" w:ascii="仿宋_GB2312" w:eastAsia="仿宋_GB2312"/>
          <w:sz w:val="32"/>
          <w:szCs w:val="32"/>
          <w:lang w:eastAsia="zh-CN"/>
        </w:rPr>
      </w:pPr>
      <w:r>
        <w:rPr>
          <w:rStyle w:val="10"/>
          <w:rFonts w:hint="eastAsia" w:ascii="仿宋_GB2312" w:eastAsia="仿宋_GB2312"/>
          <w:sz w:val="32"/>
          <w:szCs w:val="32"/>
          <w:lang w:val="en-US" w:eastAsia="zh-CN"/>
        </w:rPr>
        <w:t>5.</w:t>
      </w:r>
      <w:r>
        <w:rPr>
          <w:rStyle w:val="10"/>
          <w:rFonts w:hint="eastAsia" w:ascii="仿宋_GB2312" w:eastAsia="仿宋_GB2312"/>
          <w:sz w:val="32"/>
          <w:szCs w:val="32"/>
        </w:rPr>
        <w:t>农林水支出</w:t>
      </w:r>
      <w:r>
        <w:rPr>
          <w:rStyle w:val="10"/>
          <w:rFonts w:hint="eastAsia" w:ascii="仿宋_GB2312" w:eastAsia="仿宋_GB2312"/>
          <w:sz w:val="32"/>
          <w:szCs w:val="32"/>
          <w:lang w:eastAsia="zh-CN"/>
        </w:rPr>
        <w:t>：</w:t>
      </w:r>
    </w:p>
    <w:p>
      <w:pPr>
        <w:spacing w:line="600" w:lineRule="exact"/>
        <w:ind w:firstLine="640" w:firstLineChars="200"/>
        <w:rPr>
          <w:rFonts w:hint="default" w:ascii="仿宋_GB2312" w:hAnsi="Calibri" w:eastAsia="仿宋_GB2312" w:cs="Times New Roman"/>
          <w:color w:val="000000"/>
          <w:kern w:val="2"/>
          <w:sz w:val="32"/>
          <w:szCs w:val="32"/>
          <w:lang w:val="en-US" w:eastAsia="zh-CN" w:bidi="ar-SA"/>
        </w:rPr>
      </w:pPr>
      <w:r>
        <w:rPr>
          <w:rFonts w:hint="eastAsia" w:ascii="仿宋_GB2312" w:hAnsi="Calibri" w:eastAsia="仿宋_GB2312" w:cs="Times New Roman"/>
          <w:color w:val="000000"/>
          <w:kern w:val="2"/>
          <w:sz w:val="32"/>
          <w:szCs w:val="32"/>
          <w:lang w:val="en-US" w:eastAsia="zh-CN" w:bidi="ar-SA"/>
        </w:rPr>
        <w:t>农林水支出</w:t>
      </w:r>
      <w:r>
        <w:rPr>
          <w:rFonts w:hint="eastAsia" w:ascii="仿宋_GB2312" w:eastAsia="仿宋_GB2312" w:cs="Times New Roman"/>
          <w:color w:val="000000"/>
          <w:kern w:val="2"/>
          <w:sz w:val="32"/>
          <w:szCs w:val="32"/>
          <w:lang w:val="en-US" w:eastAsia="zh-CN" w:bidi="ar-SA"/>
        </w:rPr>
        <w:t>213（类）扶贫05（款）农村基础设施建设04（项）：</w:t>
      </w:r>
      <w:r>
        <w:rPr>
          <w:rFonts w:hint="eastAsia" w:ascii="仿宋_GB2312" w:eastAsia="仿宋_GB2312"/>
          <w:sz w:val="32"/>
          <w:szCs w:val="32"/>
        </w:rPr>
        <w:t xml:space="preserve"> </w:t>
      </w:r>
      <w:r>
        <w:rPr>
          <w:rFonts w:hint="eastAsia" w:ascii="仿宋_GB2312" w:eastAsia="仿宋_GB2312"/>
          <w:sz w:val="32"/>
          <w:szCs w:val="32"/>
          <w:lang w:eastAsia="zh-CN"/>
        </w:rPr>
        <w:t>2018</w:t>
      </w:r>
      <w:r>
        <w:rPr>
          <w:rFonts w:hint="eastAsia" w:ascii="仿宋_GB2312" w:eastAsia="仿宋_GB2312"/>
          <w:sz w:val="32"/>
          <w:szCs w:val="32"/>
        </w:rPr>
        <w:t>年决算数为</w:t>
      </w:r>
      <w:r>
        <w:rPr>
          <w:rFonts w:hint="eastAsia" w:ascii="仿宋_GB2312" w:eastAsia="仿宋_GB2312" w:cs="Times New Roman"/>
          <w:color w:val="000000"/>
          <w:kern w:val="2"/>
          <w:sz w:val="32"/>
          <w:szCs w:val="32"/>
          <w:lang w:val="en-US" w:eastAsia="zh-CN" w:bidi="ar-SA"/>
        </w:rPr>
        <w:t>22.5</w:t>
      </w:r>
      <w:r>
        <w:rPr>
          <w:rFonts w:hint="eastAsia" w:ascii="仿宋_GB2312" w:eastAsia="仿宋_GB2312"/>
          <w:sz w:val="32"/>
          <w:szCs w:val="32"/>
        </w:rPr>
        <w:t>万元，完成预算100%。</w:t>
      </w:r>
    </w:p>
    <w:p>
      <w:pPr>
        <w:spacing w:line="600" w:lineRule="exact"/>
        <w:ind w:firstLine="630" w:firstLineChars="196"/>
        <w:rPr>
          <w:rStyle w:val="10"/>
          <w:rFonts w:hint="eastAsia" w:ascii="仿宋_GB2312" w:eastAsia="仿宋_GB2312"/>
          <w:sz w:val="32"/>
          <w:szCs w:val="32"/>
        </w:rPr>
      </w:pPr>
      <w:r>
        <w:rPr>
          <w:rStyle w:val="10"/>
          <w:rFonts w:hint="eastAsia" w:ascii="仿宋_GB2312" w:eastAsia="仿宋_GB2312"/>
          <w:sz w:val="32"/>
          <w:szCs w:val="32"/>
          <w:lang w:val="en-US" w:eastAsia="zh-CN"/>
        </w:rPr>
        <w:t>6.</w:t>
      </w:r>
      <w:r>
        <w:rPr>
          <w:rStyle w:val="10"/>
          <w:rFonts w:hint="eastAsia" w:ascii="仿宋_GB2312" w:eastAsia="仿宋_GB2312"/>
          <w:sz w:val="32"/>
          <w:szCs w:val="32"/>
        </w:rPr>
        <w:t>住房保障支出</w:t>
      </w:r>
      <w:r>
        <w:rPr>
          <w:rStyle w:val="10"/>
          <w:rFonts w:hint="eastAsia" w:ascii="仿宋_GB2312" w:eastAsia="仿宋_GB2312"/>
          <w:sz w:val="32"/>
          <w:szCs w:val="32"/>
          <w:lang w:eastAsia="zh-CN"/>
        </w:rPr>
        <w:t>：</w:t>
      </w:r>
    </w:p>
    <w:p>
      <w:pPr>
        <w:spacing w:line="600" w:lineRule="exact"/>
        <w:ind w:firstLine="640" w:firstLineChars="200"/>
        <w:rPr>
          <w:rFonts w:hint="eastAsia" w:ascii="仿宋_GB2312" w:eastAsia="仿宋_GB2312"/>
          <w:sz w:val="32"/>
          <w:szCs w:val="32"/>
        </w:rPr>
      </w:pPr>
      <w:r>
        <w:rPr>
          <w:rFonts w:hint="eastAsia" w:ascii="仿宋_GB2312" w:eastAsia="仿宋_GB2312"/>
          <w:color w:val="000000"/>
          <w:sz w:val="32"/>
          <w:szCs w:val="32"/>
        </w:rPr>
        <w:t>住房保障支出221（类）住房改革支出02（款）住房公积金01（项）</w:t>
      </w:r>
      <w:r>
        <w:rPr>
          <w:rFonts w:hint="eastAsia" w:ascii="仿宋_GB2312" w:eastAsia="仿宋_GB2312"/>
          <w:sz w:val="32"/>
          <w:szCs w:val="32"/>
        </w:rPr>
        <w:t xml:space="preserve">： </w:t>
      </w:r>
      <w:r>
        <w:rPr>
          <w:rFonts w:hint="eastAsia" w:ascii="仿宋_GB2312" w:eastAsia="仿宋_GB2312"/>
          <w:sz w:val="32"/>
          <w:szCs w:val="32"/>
          <w:lang w:eastAsia="zh-CN"/>
        </w:rPr>
        <w:t>2018</w:t>
      </w:r>
      <w:r>
        <w:rPr>
          <w:rFonts w:hint="eastAsia" w:ascii="仿宋_GB2312" w:eastAsia="仿宋_GB2312"/>
          <w:sz w:val="32"/>
          <w:szCs w:val="32"/>
        </w:rPr>
        <w:t>年决算数为22.64万元，完成预算100%；</w:t>
      </w:r>
    </w:p>
    <w:p>
      <w:pPr>
        <w:pStyle w:val="2"/>
        <w:numPr>
          <w:ilvl w:val="0"/>
          <w:numId w:val="2"/>
        </w:numPr>
        <w:ind w:left="0" w:leftChars="0" w:firstLine="643" w:firstLineChars="200"/>
        <w:rPr>
          <w:rStyle w:val="10"/>
          <w:rFonts w:hint="eastAsia" w:ascii="仿宋_GB2312" w:eastAsia="仿宋_GB2312" w:hAnsiTheme="minorHAnsi" w:cstheme="minorBidi"/>
          <w:kern w:val="2"/>
          <w:sz w:val="32"/>
          <w:szCs w:val="32"/>
          <w:lang w:val="en-US" w:eastAsia="zh-CN" w:bidi="ar-SA"/>
        </w:rPr>
      </w:pPr>
      <w:r>
        <w:rPr>
          <w:rStyle w:val="10"/>
          <w:rFonts w:hint="eastAsia" w:ascii="仿宋_GB2312" w:eastAsia="仿宋_GB2312" w:hAnsiTheme="minorHAnsi" w:cstheme="minorBidi"/>
          <w:kern w:val="2"/>
          <w:sz w:val="32"/>
          <w:szCs w:val="32"/>
          <w:lang w:val="en-US" w:eastAsia="zh-CN" w:bidi="ar-SA"/>
        </w:rPr>
        <w:t>其他支出：</w:t>
      </w:r>
    </w:p>
    <w:p>
      <w:pPr>
        <w:spacing w:line="600" w:lineRule="exact"/>
        <w:ind w:firstLine="640" w:firstLineChars="200"/>
        <w:rPr>
          <w:rFonts w:hint="default" w:ascii="仿宋_GB2312" w:eastAsia="仿宋_GB2312"/>
          <w:sz w:val="32"/>
          <w:szCs w:val="32"/>
          <w:lang w:val="en-US" w:eastAsia="zh-CN"/>
        </w:rPr>
      </w:pPr>
      <w:r>
        <w:rPr>
          <w:rFonts w:hint="default" w:ascii="仿宋_GB2312" w:eastAsia="仿宋_GB2312"/>
          <w:sz w:val="32"/>
          <w:szCs w:val="32"/>
          <w:lang w:val="en-US" w:eastAsia="zh-CN"/>
        </w:rPr>
        <w:t>其他支出</w:t>
      </w:r>
      <w:r>
        <w:rPr>
          <w:rFonts w:hint="eastAsia" w:ascii="仿宋_GB2312" w:eastAsia="仿宋_GB2312"/>
          <w:sz w:val="32"/>
          <w:szCs w:val="32"/>
          <w:lang w:val="en-US" w:eastAsia="zh-CN"/>
        </w:rPr>
        <w:t>229（类）其他支出99（款）其他支出（项）：2</w:t>
      </w:r>
      <w:r>
        <w:rPr>
          <w:rFonts w:hint="eastAsia" w:ascii="仿宋_GB2312" w:eastAsia="仿宋_GB2312"/>
          <w:sz w:val="32"/>
          <w:szCs w:val="32"/>
          <w:lang w:eastAsia="zh-CN"/>
        </w:rPr>
        <w:t>018</w:t>
      </w:r>
      <w:r>
        <w:rPr>
          <w:rFonts w:hint="eastAsia" w:ascii="仿宋_GB2312" w:eastAsia="仿宋_GB2312"/>
          <w:sz w:val="32"/>
          <w:szCs w:val="32"/>
        </w:rPr>
        <w:t>年决算数为985.07万元，完成预算100%；</w:t>
      </w:r>
    </w:p>
    <w:p>
      <w:pPr>
        <w:spacing w:line="600" w:lineRule="exact"/>
        <w:ind w:firstLine="640"/>
        <w:outlineLvl w:val="0"/>
        <w:rPr>
          <w:rFonts w:hint="eastAsia" w:ascii="黑体" w:eastAsia="黑体"/>
          <w:b/>
          <w:bCs/>
          <w:color w:val="000000"/>
          <w:sz w:val="32"/>
          <w:szCs w:val="32"/>
        </w:rPr>
      </w:pPr>
      <w:bookmarkStart w:id="45" w:name="_Toc29215"/>
      <w:bookmarkStart w:id="46" w:name="_Toc10154"/>
      <w:bookmarkStart w:id="47" w:name="_Toc7658"/>
      <w:r>
        <w:rPr>
          <w:rFonts w:hint="eastAsia" w:ascii="黑体" w:eastAsia="黑体"/>
          <w:b/>
          <w:bCs/>
          <w:color w:val="000000"/>
          <w:sz w:val="32"/>
          <w:szCs w:val="32"/>
        </w:rPr>
        <w:t>四、“三公”经费财政拨款支出决算情况</w:t>
      </w:r>
      <w:bookmarkEnd w:id="39"/>
      <w:bookmarkEnd w:id="40"/>
      <w:bookmarkEnd w:id="45"/>
      <w:bookmarkEnd w:id="46"/>
      <w:bookmarkEnd w:id="47"/>
    </w:p>
    <w:p>
      <w:pPr>
        <w:spacing w:line="600" w:lineRule="exact"/>
        <w:ind w:firstLine="640"/>
        <w:outlineLvl w:val="1"/>
        <w:rPr>
          <w:rFonts w:hint="eastAsia" w:ascii="楷体" w:hAnsi="楷体" w:eastAsia="楷体" w:cs="楷体"/>
          <w:b/>
          <w:color w:val="000000"/>
          <w:sz w:val="30"/>
          <w:szCs w:val="30"/>
        </w:rPr>
      </w:pPr>
      <w:bookmarkStart w:id="48" w:name="_Toc6872"/>
      <w:bookmarkStart w:id="49" w:name="_Toc32088"/>
      <w:bookmarkStart w:id="50" w:name="_Toc31772"/>
      <w:r>
        <w:rPr>
          <w:rFonts w:hint="eastAsia" w:ascii="楷体" w:hAnsi="楷体" w:eastAsia="楷体" w:cs="楷体"/>
          <w:b/>
          <w:color w:val="000000"/>
          <w:sz w:val="30"/>
          <w:szCs w:val="30"/>
        </w:rPr>
        <w:t>（一）“三公”经费财政拨款支出决算总体情况说明</w:t>
      </w:r>
      <w:bookmarkEnd w:id="48"/>
      <w:bookmarkEnd w:id="49"/>
      <w:bookmarkEnd w:id="50"/>
    </w:p>
    <w:p>
      <w:pPr>
        <w:spacing w:line="600" w:lineRule="exact"/>
        <w:ind w:firstLine="640"/>
        <w:rPr>
          <w:rFonts w:hint="eastAsia" w:ascii="仿宋_GB2312" w:eastAsia="仿宋_GB2312"/>
          <w:color w:val="333333"/>
          <w:sz w:val="32"/>
          <w:szCs w:val="32"/>
        </w:rPr>
      </w:pPr>
      <w:bookmarkStart w:id="51" w:name="_Toc2762"/>
      <w:r>
        <w:rPr>
          <w:rFonts w:hint="eastAsia" w:ascii="仿宋_GB2312" w:eastAsia="仿宋_GB2312"/>
          <w:color w:val="333333"/>
          <w:sz w:val="32"/>
          <w:szCs w:val="32"/>
        </w:rPr>
        <w:t>县</w:t>
      </w:r>
      <w:r>
        <w:rPr>
          <w:rFonts w:hint="eastAsia" w:ascii="仿宋_GB2312" w:eastAsia="仿宋_GB2312"/>
          <w:color w:val="333333"/>
          <w:sz w:val="32"/>
          <w:szCs w:val="32"/>
          <w:lang w:eastAsia="zh-CN"/>
        </w:rPr>
        <w:t>民宗</w:t>
      </w:r>
      <w:r>
        <w:rPr>
          <w:rFonts w:hint="eastAsia" w:ascii="仿宋_GB2312" w:eastAsia="仿宋_GB2312"/>
          <w:color w:val="333333"/>
          <w:sz w:val="32"/>
          <w:szCs w:val="32"/>
        </w:rPr>
        <w:t>局</w:t>
      </w:r>
      <w:r>
        <w:rPr>
          <w:rFonts w:hint="eastAsia" w:ascii="仿宋_GB2312" w:eastAsia="仿宋_GB2312"/>
          <w:color w:val="333333"/>
          <w:sz w:val="32"/>
          <w:szCs w:val="32"/>
          <w:lang w:eastAsia="zh-CN"/>
        </w:rPr>
        <w:t>2018</w:t>
      </w:r>
      <w:r>
        <w:rPr>
          <w:rFonts w:hint="eastAsia" w:ascii="仿宋_GB2312" w:eastAsia="仿宋_GB2312"/>
          <w:color w:val="333333"/>
          <w:sz w:val="32"/>
          <w:szCs w:val="32"/>
        </w:rPr>
        <w:t>年度“三公”经费财政拨款支出决算为</w:t>
      </w:r>
      <w:r>
        <w:rPr>
          <w:rFonts w:hint="eastAsia" w:ascii="仿宋_GB2312" w:eastAsia="仿宋_GB2312"/>
          <w:color w:val="333333"/>
          <w:sz w:val="32"/>
          <w:szCs w:val="32"/>
          <w:lang w:val="en-US" w:eastAsia="zh-CN"/>
        </w:rPr>
        <w:t>9.43</w:t>
      </w:r>
      <w:r>
        <w:rPr>
          <w:rFonts w:hint="eastAsia" w:ascii="仿宋_GB2312" w:eastAsia="仿宋_GB2312"/>
          <w:color w:val="333333"/>
          <w:sz w:val="32"/>
          <w:szCs w:val="32"/>
        </w:rPr>
        <w:t>万元，完成预算100%，其中：无因公出国（境）费支出；公务用车运行维护费支出决算为</w:t>
      </w:r>
      <w:r>
        <w:rPr>
          <w:rFonts w:hint="eastAsia" w:ascii="仿宋_GB2312" w:eastAsia="仿宋_GB2312"/>
          <w:color w:val="333333"/>
          <w:sz w:val="32"/>
          <w:szCs w:val="32"/>
          <w:lang w:val="en-US" w:eastAsia="zh-CN"/>
        </w:rPr>
        <w:t>9</w:t>
      </w:r>
      <w:r>
        <w:rPr>
          <w:rFonts w:hint="eastAsia" w:ascii="仿宋_GB2312" w:eastAsia="仿宋_GB2312"/>
          <w:color w:val="333333"/>
          <w:sz w:val="32"/>
          <w:szCs w:val="32"/>
        </w:rPr>
        <w:t>万元，完成预算100%；公务接待费支出决算为0.</w:t>
      </w:r>
      <w:r>
        <w:rPr>
          <w:rFonts w:hint="eastAsia" w:ascii="仿宋_GB2312" w:eastAsia="仿宋_GB2312"/>
          <w:color w:val="333333"/>
          <w:sz w:val="32"/>
          <w:szCs w:val="32"/>
          <w:lang w:val="en-US" w:eastAsia="zh-CN"/>
        </w:rPr>
        <w:t>43</w:t>
      </w:r>
      <w:r>
        <w:rPr>
          <w:rFonts w:hint="eastAsia" w:ascii="仿宋_GB2312" w:eastAsia="仿宋_GB2312"/>
          <w:color w:val="333333"/>
          <w:sz w:val="32"/>
          <w:szCs w:val="32"/>
        </w:rPr>
        <w:t xml:space="preserve">万元。完成预算100%。 </w:t>
      </w:r>
    </w:p>
    <w:p>
      <w:pPr>
        <w:spacing w:line="600" w:lineRule="exact"/>
        <w:ind w:firstLine="640" w:firstLineChars="200"/>
        <w:outlineLvl w:val="1"/>
        <w:rPr>
          <w:rFonts w:hint="eastAsia" w:ascii="仿宋_GB2312" w:eastAsia="仿宋_GB2312"/>
          <w:color w:val="000000"/>
          <w:sz w:val="32"/>
          <w:szCs w:val="32"/>
        </w:rPr>
      </w:pPr>
      <w:bookmarkStart w:id="52" w:name="_Toc7664"/>
      <w:bookmarkStart w:id="53" w:name="_Toc17598"/>
      <w:r>
        <w:rPr>
          <w:rFonts w:hint="eastAsia" w:ascii="仿宋_GB2312" w:eastAsia="仿宋_GB2312"/>
          <w:color w:val="000000"/>
          <w:sz w:val="32"/>
          <w:szCs w:val="32"/>
          <w:lang w:eastAsia="zh-CN"/>
        </w:rPr>
        <w:t>2018</w:t>
      </w:r>
      <w:r>
        <w:rPr>
          <w:rFonts w:hint="eastAsia" w:ascii="仿宋_GB2312" w:eastAsia="仿宋_GB2312"/>
          <w:color w:val="000000"/>
          <w:sz w:val="32"/>
          <w:szCs w:val="32"/>
        </w:rPr>
        <w:t>年度“三公”经费财政拨款支出决算数比201</w:t>
      </w:r>
      <w:r>
        <w:rPr>
          <w:rFonts w:hint="eastAsia" w:ascii="仿宋_GB2312" w:eastAsia="仿宋_GB2312"/>
          <w:color w:val="000000"/>
          <w:sz w:val="32"/>
          <w:szCs w:val="32"/>
          <w:lang w:val="en-US" w:eastAsia="zh-CN"/>
        </w:rPr>
        <w:t>7</w:t>
      </w:r>
      <w:r>
        <w:rPr>
          <w:rFonts w:hint="eastAsia" w:ascii="仿宋_GB2312" w:eastAsia="仿宋_GB2312"/>
          <w:color w:val="000000"/>
          <w:sz w:val="32"/>
          <w:szCs w:val="32"/>
        </w:rPr>
        <w:t>年减少了</w:t>
      </w:r>
      <w:r>
        <w:rPr>
          <w:rFonts w:hint="eastAsia" w:ascii="仿宋_GB2312" w:eastAsia="仿宋_GB2312"/>
          <w:color w:val="000000"/>
          <w:sz w:val="32"/>
          <w:szCs w:val="32"/>
          <w:lang w:val="en-US" w:eastAsia="zh-CN"/>
        </w:rPr>
        <w:t>4</w:t>
      </w:r>
      <w:r>
        <w:rPr>
          <w:rFonts w:hint="eastAsia" w:ascii="仿宋_GB2312" w:eastAsia="仿宋_GB2312"/>
          <w:color w:val="000000"/>
          <w:sz w:val="32"/>
          <w:szCs w:val="32"/>
        </w:rPr>
        <w:t>万元，减少</w:t>
      </w:r>
      <w:r>
        <w:rPr>
          <w:rFonts w:hint="eastAsia" w:ascii="Times New Roman" w:hAnsi="Times New Roman" w:eastAsia="仿宋_GB2312"/>
          <w:sz w:val="32"/>
          <w:szCs w:val="32"/>
        </w:rPr>
        <w:t>30.77</w:t>
      </w:r>
      <w:r>
        <w:rPr>
          <w:rFonts w:ascii="Times New Roman" w:hAnsi="Times New Roman" w:eastAsia="仿宋_GB2312"/>
          <w:sz w:val="32"/>
          <w:szCs w:val="32"/>
        </w:rPr>
        <w:t>%</w:t>
      </w:r>
      <w:r>
        <w:rPr>
          <w:rFonts w:hint="eastAsia" w:ascii="仿宋_GB2312" w:eastAsia="仿宋_GB2312"/>
          <w:color w:val="000000"/>
          <w:sz w:val="32"/>
          <w:szCs w:val="32"/>
        </w:rPr>
        <w:t>，其中：无因公出国（境）费支出；公务用车运行维护费支出决算数</w:t>
      </w:r>
      <w:r>
        <w:rPr>
          <w:rFonts w:hint="eastAsia" w:ascii="仿宋_GB2312" w:eastAsia="仿宋_GB2312"/>
          <w:color w:val="000000"/>
          <w:sz w:val="32"/>
          <w:szCs w:val="32"/>
          <w:lang w:val="en-US" w:eastAsia="zh-CN"/>
        </w:rPr>
        <w:t>4</w:t>
      </w:r>
      <w:r>
        <w:rPr>
          <w:rFonts w:hint="eastAsia" w:ascii="仿宋_GB2312" w:eastAsia="仿宋_GB2312"/>
          <w:color w:val="000000"/>
          <w:sz w:val="32"/>
          <w:szCs w:val="32"/>
        </w:rPr>
        <w:t>万元，减少了</w:t>
      </w:r>
      <w:r>
        <w:rPr>
          <w:rFonts w:hint="eastAsia" w:ascii="Times New Roman" w:hAnsi="Times New Roman" w:eastAsia="仿宋_GB2312"/>
          <w:sz w:val="32"/>
          <w:szCs w:val="32"/>
        </w:rPr>
        <w:t>30.77</w:t>
      </w:r>
      <w:r>
        <w:rPr>
          <w:rFonts w:hint="eastAsia" w:ascii="仿宋_GB2312" w:eastAsia="仿宋_GB2312"/>
          <w:color w:val="000000"/>
          <w:sz w:val="32"/>
          <w:szCs w:val="32"/>
        </w:rPr>
        <w:t xml:space="preserve">%； </w:t>
      </w:r>
      <w:r>
        <w:rPr>
          <w:rFonts w:hint="eastAsia" w:ascii="仿宋_GB2312" w:eastAsia="仿宋_GB2312"/>
          <w:color w:val="000000"/>
          <w:sz w:val="32"/>
          <w:szCs w:val="32"/>
          <w:lang w:eastAsia="zh-CN"/>
        </w:rPr>
        <w:t>2018</w:t>
      </w:r>
      <w:r>
        <w:rPr>
          <w:rFonts w:hint="eastAsia" w:ascii="仿宋_GB2312" w:eastAsia="仿宋_GB2312"/>
          <w:color w:val="000000"/>
          <w:sz w:val="32"/>
          <w:szCs w:val="32"/>
        </w:rPr>
        <w:t>年公务接待费支出</w:t>
      </w:r>
      <w:r>
        <w:rPr>
          <w:rFonts w:hint="eastAsia" w:ascii="Times New Roman" w:hAnsi="Times New Roman" w:eastAsia="仿宋_GB2312"/>
          <w:sz w:val="32"/>
          <w:szCs w:val="32"/>
        </w:rPr>
        <w:t>与上年一样持平</w:t>
      </w:r>
      <w:r>
        <w:rPr>
          <w:rFonts w:hint="eastAsia" w:ascii="仿宋_GB2312" w:eastAsia="仿宋_GB2312"/>
          <w:color w:val="000000"/>
          <w:sz w:val="32"/>
          <w:szCs w:val="32"/>
        </w:rPr>
        <w:t>。</w:t>
      </w:r>
      <w:bookmarkEnd w:id="52"/>
      <w:bookmarkEnd w:id="53"/>
      <w:r>
        <w:rPr>
          <w:rFonts w:hint="eastAsia" w:ascii="仿宋_GB2312" w:eastAsia="仿宋_GB2312"/>
          <w:color w:val="000000"/>
          <w:sz w:val="32"/>
          <w:szCs w:val="32"/>
        </w:rPr>
        <w:t xml:space="preserve"> </w:t>
      </w:r>
    </w:p>
    <w:p>
      <w:pPr>
        <w:spacing w:line="600" w:lineRule="exact"/>
        <w:ind w:firstLine="602" w:firstLineChars="200"/>
        <w:outlineLvl w:val="1"/>
        <w:rPr>
          <w:rFonts w:hint="eastAsia" w:ascii="楷体" w:hAnsi="楷体" w:eastAsia="楷体" w:cs="楷体"/>
          <w:b/>
          <w:color w:val="333333"/>
          <w:sz w:val="30"/>
          <w:szCs w:val="30"/>
        </w:rPr>
      </w:pPr>
      <w:bookmarkStart w:id="54" w:name="_Toc14855"/>
      <w:bookmarkStart w:id="55" w:name="_Toc23081"/>
      <w:r>
        <w:rPr>
          <w:rFonts w:hint="eastAsia" w:ascii="楷体" w:hAnsi="楷体" w:eastAsia="楷体" w:cs="楷体"/>
          <w:b/>
          <w:color w:val="333333"/>
          <w:sz w:val="30"/>
          <w:szCs w:val="30"/>
        </w:rPr>
        <w:t>（二）“三公”经费财政拨款支出决算具体情况说明</w:t>
      </w:r>
      <w:bookmarkEnd w:id="51"/>
      <w:bookmarkEnd w:id="54"/>
      <w:bookmarkEnd w:id="55"/>
    </w:p>
    <w:p>
      <w:pPr>
        <w:spacing w:line="600" w:lineRule="exact"/>
        <w:ind w:firstLine="640"/>
        <w:rPr>
          <w:rFonts w:hint="eastAsia" w:ascii="仿宋_GB2312" w:eastAsia="仿宋_GB2312"/>
          <w:color w:val="000000"/>
          <w:sz w:val="32"/>
          <w:szCs w:val="32"/>
        </w:rPr>
      </w:pPr>
      <w:r>
        <w:rPr>
          <w:rFonts w:hint="eastAsia" w:ascii="仿宋_GB2312" w:eastAsia="仿宋_GB2312"/>
          <w:color w:val="333333"/>
          <w:sz w:val="32"/>
          <w:szCs w:val="32"/>
          <w:lang w:eastAsia="zh-CN"/>
        </w:rPr>
        <w:t>2018</w:t>
      </w:r>
      <w:r>
        <w:rPr>
          <w:rFonts w:hint="eastAsia" w:ascii="仿宋_GB2312" w:eastAsia="仿宋_GB2312"/>
          <w:color w:val="333333"/>
          <w:sz w:val="32"/>
          <w:szCs w:val="32"/>
        </w:rPr>
        <w:t>年度“三公”经费财政拨款支出决算中，无因公出国（境）费支出；公务用车购置及运行维护费支出决算</w:t>
      </w:r>
      <w:r>
        <w:rPr>
          <w:rFonts w:hint="eastAsia" w:ascii="仿宋_GB2312" w:eastAsia="仿宋_GB2312"/>
          <w:color w:val="333333"/>
          <w:sz w:val="32"/>
          <w:szCs w:val="32"/>
          <w:lang w:val="en-US" w:eastAsia="zh-CN"/>
        </w:rPr>
        <w:t>9</w:t>
      </w:r>
      <w:r>
        <w:rPr>
          <w:rFonts w:hint="eastAsia" w:ascii="仿宋_GB2312" w:eastAsia="仿宋_GB2312"/>
          <w:color w:val="333333"/>
          <w:sz w:val="32"/>
          <w:szCs w:val="32"/>
        </w:rPr>
        <w:t>万元，</w:t>
      </w:r>
      <w:r>
        <w:rPr>
          <w:rFonts w:hint="eastAsia" w:ascii="仿宋_GB2312" w:eastAsia="仿宋_GB2312"/>
          <w:color w:val="000000"/>
          <w:sz w:val="32"/>
          <w:szCs w:val="32"/>
        </w:rPr>
        <w:t>占</w:t>
      </w:r>
      <w:r>
        <w:rPr>
          <w:rFonts w:hint="eastAsia" w:ascii="仿宋_GB2312" w:eastAsia="仿宋_GB2312"/>
          <w:color w:val="000000"/>
          <w:sz w:val="32"/>
          <w:szCs w:val="32"/>
          <w:lang w:val="en-US" w:eastAsia="zh-CN"/>
        </w:rPr>
        <w:t>95.44</w:t>
      </w:r>
      <w:r>
        <w:rPr>
          <w:rFonts w:hint="eastAsia" w:ascii="仿宋_GB2312" w:eastAsia="仿宋_GB2312"/>
          <w:color w:val="000000"/>
          <w:sz w:val="32"/>
          <w:szCs w:val="32"/>
        </w:rPr>
        <w:t>%</w:t>
      </w:r>
      <w:r>
        <w:rPr>
          <w:rFonts w:hint="eastAsia" w:ascii="仿宋_GB2312" w:eastAsia="仿宋_GB2312"/>
          <w:color w:val="333333"/>
          <w:sz w:val="32"/>
          <w:szCs w:val="32"/>
        </w:rPr>
        <w:t>；公务接待费支出决算0.</w:t>
      </w:r>
      <w:r>
        <w:rPr>
          <w:rFonts w:hint="eastAsia" w:ascii="仿宋_GB2312" w:eastAsia="仿宋_GB2312"/>
          <w:color w:val="333333"/>
          <w:sz w:val="32"/>
          <w:szCs w:val="32"/>
          <w:lang w:val="en-US" w:eastAsia="zh-CN"/>
        </w:rPr>
        <w:t>43</w:t>
      </w:r>
      <w:r>
        <w:rPr>
          <w:rFonts w:hint="eastAsia" w:ascii="仿宋_GB2312" w:eastAsia="仿宋_GB2312"/>
          <w:color w:val="333333"/>
          <w:sz w:val="32"/>
          <w:szCs w:val="32"/>
        </w:rPr>
        <w:t>万元，</w:t>
      </w:r>
      <w:r>
        <w:rPr>
          <w:rFonts w:hint="eastAsia" w:ascii="仿宋_GB2312" w:eastAsia="仿宋_GB2312"/>
          <w:color w:val="000000"/>
          <w:sz w:val="32"/>
          <w:szCs w:val="32"/>
        </w:rPr>
        <w:t>占</w:t>
      </w:r>
      <w:r>
        <w:rPr>
          <w:rFonts w:hint="eastAsia" w:ascii="仿宋_GB2312" w:eastAsia="仿宋_GB2312"/>
          <w:color w:val="000000"/>
          <w:sz w:val="32"/>
          <w:szCs w:val="32"/>
          <w:lang w:val="en-US" w:eastAsia="zh-CN"/>
        </w:rPr>
        <w:t>4.56</w:t>
      </w:r>
      <w:r>
        <w:rPr>
          <w:rFonts w:hint="eastAsia" w:ascii="仿宋_GB2312" w:eastAsia="仿宋_GB2312"/>
          <w:color w:val="000000"/>
          <w:sz w:val="32"/>
          <w:szCs w:val="32"/>
        </w:rPr>
        <w:t>%。具体情况如下：</w:t>
      </w:r>
    </w:p>
    <w:p>
      <w:pPr>
        <w:spacing w:line="600" w:lineRule="exact"/>
        <w:ind w:firstLine="643" w:firstLineChars="200"/>
        <w:rPr>
          <w:rFonts w:ascii="仿宋_GB2312" w:eastAsia="仿宋_GB2312"/>
          <w:b/>
          <w:color w:val="000000"/>
          <w:sz w:val="32"/>
          <w:szCs w:val="32"/>
        </w:rPr>
      </w:pPr>
      <w:r>
        <w:rPr>
          <w:rFonts w:hint="eastAsia" w:ascii="仿宋_GB2312" w:eastAsia="仿宋_GB2312"/>
          <w:b/>
          <w:color w:val="000000"/>
          <w:sz w:val="32"/>
          <w:szCs w:val="32"/>
        </w:rPr>
        <w:t>1.因公出国（境）经费</w:t>
      </w:r>
    </w:p>
    <w:p>
      <w:pPr>
        <w:spacing w:line="600" w:lineRule="exact"/>
        <w:ind w:firstLine="640"/>
        <w:rPr>
          <w:rFonts w:hint="eastAsia" w:ascii="仿宋_GB2312" w:eastAsia="仿宋_GB2312"/>
          <w:color w:val="000000"/>
          <w:sz w:val="32"/>
          <w:szCs w:val="32"/>
        </w:rPr>
      </w:pPr>
      <w:r>
        <w:rPr>
          <w:rFonts w:hint="eastAsia" w:ascii="仿宋_GB2312" w:eastAsia="仿宋_GB2312"/>
          <w:color w:val="000000"/>
          <w:sz w:val="32"/>
          <w:szCs w:val="32"/>
          <w:lang w:eastAsia="zh-CN"/>
        </w:rPr>
        <w:t>2018</w:t>
      </w:r>
      <w:r>
        <w:rPr>
          <w:rFonts w:hint="eastAsia" w:ascii="仿宋_GB2312" w:eastAsia="仿宋_GB2312"/>
          <w:color w:val="000000"/>
          <w:sz w:val="32"/>
          <w:szCs w:val="32"/>
        </w:rPr>
        <w:t>年无因公出国（境）费。</w:t>
      </w:r>
    </w:p>
    <w:p>
      <w:pPr>
        <w:spacing w:line="600" w:lineRule="exact"/>
        <w:ind w:firstLine="643" w:firstLineChars="200"/>
        <w:rPr>
          <w:rFonts w:hint="eastAsia" w:ascii="仿宋_GB2312" w:eastAsia="仿宋_GB2312"/>
          <w:b/>
          <w:color w:val="000000"/>
          <w:sz w:val="32"/>
          <w:szCs w:val="32"/>
        </w:rPr>
      </w:pPr>
      <w:r>
        <w:rPr>
          <w:rFonts w:hint="eastAsia" w:ascii="仿宋_GB2312" w:eastAsia="仿宋_GB2312"/>
          <w:b/>
          <w:color w:val="000000"/>
          <w:sz w:val="32"/>
          <w:szCs w:val="32"/>
        </w:rPr>
        <w:t>2.公务用车购置及运行维护费</w:t>
      </w:r>
    </w:p>
    <w:p>
      <w:pPr>
        <w:spacing w:line="600" w:lineRule="exact"/>
        <w:ind w:firstLine="640"/>
        <w:rPr>
          <w:rFonts w:hint="eastAsia" w:ascii="仿宋_GB2312" w:eastAsia="仿宋_GB2312"/>
          <w:color w:val="000000"/>
          <w:sz w:val="32"/>
          <w:szCs w:val="32"/>
        </w:rPr>
      </w:pPr>
      <w:r>
        <w:rPr>
          <w:rFonts w:hint="eastAsia" w:ascii="仿宋_GB2312" w:eastAsia="仿宋_GB2312"/>
          <w:color w:val="000000"/>
          <w:sz w:val="32"/>
          <w:szCs w:val="32"/>
          <w:lang w:eastAsia="zh-CN"/>
        </w:rPr>
        <w:t>2018</w:t>
      </w:r>
      <w:r>
        <w:rPr>
          <w:rFonts w:hint="eastAsia" w:ascii="仿宋_GB2312" w:eastAsia="仿宋_GB2312"/>
          <w:color w:val="000000"/>
          <w:sz w:val="32"/>
          <w:szCs w:val="32"/>
        </w:rPr>
        <w:t>年公务用车购置及运行维护费</w:t>
      </w:r>
      <w:r>
        <w:rPr>
          <w:rFonts w:hint="eastAsia" w:ascii="仿宋_GB2312" w:eastAsia="仿宋_GB2312"/>
          <w:color w:val="000000"/>
          <w:sz w:val="32"/>
          <w:szCs w:val="32"/>
          <w:lang w:val="en-US" w:eastAsia="zh-CN"/>
        </w:rPr>
        <w:t>9</w:t>
      </w:r>
      <w:r>
        <w:rPr>
          <w:rFonts w:hint="eastAsia" w:ascii="仿宋_GB2312" w:eastAsia="仿宋_GB2312"/>
          <w:color w:val="000000"/>
          <w:sz w:val="32"/>
          <w:szCs w:val="32"/>
        </w:rPr>
        <w:t>万元</w:t>
      </w:r>
      <w:r>
        <w:rPr>
          <w:rFonts w:hint="eastAsia" w:ascii="仿宋_GB2312" w:eastAsia="仿宋_GB2312"/>
          <w:color w:val="000000"/>
          <w:sz w:val="32"/>
          <w:szCs w:val="32"/>
          <w:lang w:eastAsia="zh-CN"/>
        </w:rPr>
        <w:t>，</w:t>
      </w:r>
      <w:r>
        <w:rPr>
          <w:rFonts w:hint="eastAsia" w:ascii="仿宋_GB2312" w:eastAsia="仿宋_GB2312"/>
          <w:color w:val="000000"/>
          <w:sz w:val="32"/>
          <w:szCs w:val="32"/>
        </w:rPr>
        <w:t>其中：</w:t>
      </w:r>
    </w:p>
    <w:p>
      <w:pPr>
        <w:spacing w:line="600" w:lineRule="exact"/>
        <w:ind w:firstLine="640"/>
        <w:rPr>
          <w:rFonts w:ascii="仿宋_GB2312" w:eastAsia="仿宋_GB2312"/>
          <w:color w:val="000000"/>
          <w:sz w:val="32"/>
          <w:szCs w:val="32"/>
        </w:rPr>
      </w:pPr>
      <w:r>
        <w:rPr>
          <w:rFonts w:hint="eastAsia" w:ascii="仿宋_GB2312" w:eastAsia="仿宋_GB2312"/>
          <w:color w:val="000000"/>
          <w:sz w:val="32"/>
          <w:szCs w:val="32"/>
        </w:rPr>
        <w:t>公务用车运行维护费支出</w:t>
      </w:r>
      <w:r>
        <w:rPr>
          <w:rFonts w:hint="eastAsia" w:ascii="仿宋_GB2312" w:eastAsia="仿宋_GB2312"/>
          <w:color w:val="000000"/>
          <w:sz w:val="32"/>
          <w:szCs w:val="32"/>
          <w:lang w:val="en-US" w:eastAsia="zh-CN"/>
        </w:rPr>
        <w:t>9</w:t>
      </w:r>
      <w:r>
        <w:rPr>
          <w:rFonts w:hint="eastAsia" w:ascii="仿宋_GB2312" w:eastAsia="仿宋_GB2312"/>
          <w:color w:val="000000"/>
          <w:sz w:val="32"/>
          <w:szCs w:val="32"/>
        </w:rPr>
        <w:t>万元。主要用于开展各项财政工作所需的公务用车燃料费、维修费、过路过桥费、保险费等支出。</w:t>
      </w:r>
    </w:p>
    <w:p>
      <w:pPr>
        <w:spacing w:line="600" w:lineRule="exact"/>
        <w:ind w:firstLine="643" w:firstLineChars="200"/>
        <w:rPr>
          <w:rFonts w:ascii="楷体_GB2312" w:eastAsia="楷体_GB2312"/>
          <w:b/>
          <w:color w:val="000000"/>
          <w:sz w:val="32"/>
          <w:szCs w:val="32"/>
        </w:rPr>
      </w:pPr>
      <w:r>
        <w:rPr>
          <w:rFonts w:hint="eastAsia" w:ascii="仿宋_GB2312" w:eastAsia="仿宋_GB2312"/>
          <w:b/>
          <w:color w:val="000000"/>
          <w:sz w:val="32"/>
          <w:szCs w:val="32"/>
        </w:rPr>
        <w:t>3.公务接待费</w:t>
      </w:r>
    </w:p>
    <w:p>
      <w:pPr>
        <w:spacing w:line="600" w:lineRule="exact"/>
        <w:ind w:firstLine="640"/>
        <w:rPr>
          <w:rFonts w:ascii="仿宋_GB2312" w:eastAsia="仿宋_GB2312"/>
          <w:color w:val="000000"/>
          <w:sz w:val="32"/>
          <w:szCs w:val="32"/>
        </w:rPr>
      </w:pPr>
      <w:r>
        <w:rPr>
          <w:rFonts w:hint="eastAsia" w:ascii="仿宋_GB2312" w:eastAsia="仿宋_GB2312"/>
          <w:color w:val="000000"/>
          <w:sz w:val="32"/>
          <w:szCs w:val="32"/>
          <w:lang w:eastAsia="zh-CN"/>
        </w:rPr>
        <w:t>2018</w:t>
      </w:r>
      <w:r>
        <w:rPr>
          <w:rFonts w:hint="eastAsia" w:ascii="仿宋_GB2312" w:eastAsia="仿宋_GB2312"/>
          <w:color w:val="000000"/>
          <w:sz w:val="32"/>
          <w:szCs w:val="32"/>
        </w:rPr>
        <w:t>年公务接待费0.</w:t>
      </w:r>
      <w:r>
        <w:rPr>
          <w:rFonts w:hint="eastAsia" w:ascii="仿宋_GB2312" w:eastAsia="仿宋_GB2312"/>
          <w:color w:val="000000"/>
          <w:sz w:val="32"/>
          <w:szCs w:val="32"/>
          <w:lang w:val="en-US" w:eastAsia="zh-CN"/>
        </w:rPr>
        <w:t>43</w:t>
      </w:r>
      <w:r>
        <w:rPr>
          <w:rFonts w:hint="eastAsia" w:ascii="仿宋_GB2312" w:eastAsia="仿宋_GB2312"/>
          <w:color w:val="000000"/>
          <w:sz w:val="32"/>
          <w:szCs w:val="32"/>
        </w:rPr>
        <w:t>万元。</w:t>
      </w:r>
    </w:p>
    <w:p>
      <w:pPr>
        <w:snapToGrid w:val="0"/>
        <w:spacing w:line="520" w:lineRule="exact"/>
        <w:ind w:firstLine="643" w:firstLineChars="200"/>
        <w:outlineLvl w:val="0"/>
        <w:rPr>
          <w:rFonts w:hint="eastAsia" w:ascii="黑体" w:hAnsi="黑体" w:eastAsia="黑体"/>
          <w:b/>
          <w:bCs/>
          <w:sz w:val="32"/>
          <w:szCs w:val="32"/>
        </w:rPr>
      </w:pPr>
      <w:bookmarkStart w:id="56" w:name="_Toc585"/>
      <w:bookmarkStart w:id="57" w:name="_Toc31036"/>
      <w:bookmarkStart w:id="58" w:name="_Toc7579"/>
      <w:bookmarkStart w:id="59" w:name="_Toc31631"/>
      <w:bookmarkStart w:id="60" w:name="_Toc9133"/>
      <w:bookmarkStart w:id="61" w:name="YS060103"/>
      <w:r>
        <w:rPr>
          <w:rFonts w:hint="eastAsia" w:ascii="黑体" w:hAnsi="黑体" w:eastAsia="黑体"/>
          <w:b/>
          <w:bCs/>
          <w:sz w:val="32"/>
          <w:szCs w:val="32"/>
        </w:rPr>
        <w:t>五、资产负债情况分析</w:t>
      </w:r>
      <w:bookmarkEnd w:id="56"/>
      <w:bookmarkEnd w:id="57"/>
      <w:bookmarkEnd w:id="58"/>
      <w:bookmarkEnd w:id="59"/>
      <w:bookmarkEnd w:id="60"/>
    </w:p>
    <w:bookmarkEnd w:id="61"/>
    <w:p>
      <w:pPr>
        <w:snapToGrid w:val="0"/>
        <w:spacing w:line="520" w:lineRule="exact"/>
        <w:ind w:firstLine="640" w:firstLineChars="200"/>
        <w:rPr>
          <w:rFonts w:hint="eastAsia" w:ascii="仿宋_GB2312" w:hAnsi="仿宋" w:eastAsia="仿宋_GB2312"/>
          <w:sz w:val="32"/>
          <w:szCs w:val="32"/>
        </w:rPr>
      </w:pPr>
      <w:r>
        <w:rPr>
          <w:rFonts w:ascii="Times New Roman" w:hAnsi="Times New Roman" w:eastAsia="仿宋_GB2312"/>
          <w:sz w:val="32"/>
          <w:szCs w:val="32"/>
        </w:rPr>
        <w:t>201</w:t>
      </w:r>
      <w:r>
        <w:rPr>
          <w:rFonts w:hint="eastAsia" w:ascii="Times New Roman" w:hAnsi="Times New Roman" w:eastAsia="仿宋_GB2312"/>
          <w:sz w:val="32"/>
          <w:szCs w:val="32"/>
        </w:rPr>
        <w:t>8</w:t>
      </w:r>
      <w:r>
        <w:rPr>
          <w:rFonts w:ascii="Times New Roman" w:hAnsi="Times New Roman" w:eastAsia="仿宋_GB2312"/>
          <w:sz w:val="32"/>
          <w:szCs w:val="32"/>
        </w:rPr>
        <w:t>年年末资产</w:t>
      </w:r>
      <w:r>
        <w:rPr>
          <w:rFonts w:hint="eastAsia" w:ascii="Times New Roman" w:hAnsi="Times New Roman" w:eastAsia="仿宋_GB2312"/>
          <w:sz w:val="32"/>
          <w:szCs w:val="32"/>
        </w:rPr>
        <w:t>2357.74</w:t>
      </w:r>
      <w:r>
        <w:rPr>
          <w:rFonts w:ascii="Times New Roman" w:hAnsi="Times New Roman" w:eastAsia="仿宋_GB2312"/>
          <w:sz w:val="32"/>
          <w:szCs w:val="32"/>
        </w:rPr>
        <w:t>万元，其中固定资产</w:t>
      </w:r>
      <w:r>
        <w:rPr>
          <w:rFonts w:hint="eastAsia" w:ascii="Times New Roman" w:hAnsi="Times New Roman" w:eastAsia="仿宋_GB2312"/>
          <w:sz w:val="32"/>
          <w:szCs w:val="32"/>
        </w:rPr>
        <w:t>59.42</w:t>
      </w:r>
      <w:r>
        <w:rPr>
          <w:rFonts w:ascii="Times New Roman" w:hAnsi="Times New Roman" w:eastAsia="仿宋_GB2312"/>
          <w:sz w:val="32"/>
          <w:szCs w:val="32"/>
        </w:rPr>
        <w:t>万元、银行存款</w:t>
      </w:r>
      <w:r>
        <w:rPr>
          <w:rFonts w:hint="eastAsia" w:ascii="Times New Roman" w:hAnsi="Times New Roman" w:eastAsia="仿宋_GB2312"/>
          <w:sz w:val="32"/>
          <w:szCs w:val="32"/>
        </w:rPr>
        <w:t>12.67</w:t>
      </w:r>
      <w:r>
        <w:rPr>
          <w:rFonts w:ascii="Times New Roman" w:hAnsi="Times New Roman" w:eastAsia="仿宋_GB2312"/>
          <w:sz w:val="32"/>
          <w:szCs w:val="32"/>
        </w:rPr>
        <w:t>万元、财政应返还额度</w:t>
      </w:r>
      <w:r>
        <w:rPr>
          <w:rFonts w:hint="eastAsia" w:ascii="Times New Roman" w:hAnsi="Times New Roman" w:eastAsia="仿宋_GB2312"/>
          <w:sz w:val="32"/>
          <w:szCs w:val="32"/>
        </w:rPr>
        <w:t>2285.64</w:t>
      </w:r>
      <w:r>
        <w:rPr>
          <w:rFonts w:ascii="Times New Roman" w:hAnsi="Times New Roman" w:eastAsia="仿宋_GB2312"/>
          <w:sz w:val="32"/>
          <w:szCs w:val="32"/>
        </w:rPr>
        <w:t>万元；2017年年末资产1083.99万元，其中固定资产45.13万元、银行存款3.24万元、财政应返还额度1035.62万元。201</w:t>
      </w:r>
      <w:r>
        <w:rPr>
          <w:rFonts w:hint="eastAsia" w:ascii="Times New Roman" w:hAnsi="Times New Roman" w:eastAsia="仿宋_GB2312"/>
          <w:sz w:val="32"/>
          <w:szCs w:val="32"/>
        </w:rPr>
        <w:t>8</w:t>
      </w:r>
      <w:r>
        <w:rPr>
          <w:rFonts w:ascii="Times New Roman" w:hAnsi="Times New Roman" w:eastAsia="仿宋_GB2312"/>
          <w:sz w:val="32"/>
          <w:szCs w:val="32"/>
        </w:rPr>
        <w:t>年较201</w:t>
      </w:r>
      <w:r>
        <w:rPr>
          <w:rFonts w:hint="eastAsia" w:ascii="Times New Roman" w:hAnsi="Times New Roman" w:eastAsia="仿宋_GB2312"/>
          <w:sz w:val="32"/>
          <w:szCs w:val="32"/>
        </w:rPr>
        <w:t>7</w:t>
      </w:r>
      <w:r>
        <w:rPr>
          <w:rFonts w:ascii="Times New Roman" w:hAnsi="Times New Roman" w:eastAsia="仿宋_GB2312"/>
          <w:sz w:val="32"/>
          <w:szCs w:val="32"/>
        </w:rPr>
        <w:t>年固定资产</w:t>
      </w:r>
      <w:r>
        <w:rPr>
          <w:rFonts w:hint="eastAsia" w:ascii="Times New Roman" w:hAnsi="Times New Roman" w:eastAsia="仿宋_GB2312"/>
          <w:sz w:val="32"/>
          <w:szCs w:val="32"/>
        </w:rPr>
        <w:t>增加14.29万元，是因为2018年采购了两批办公设备，并对26项固定资产进行重置成本</w:t>
      </w:r>
      <w:r>
        <w:rPr>
          <w:rFonts w:ascii="Times New Roman" w:hAnsi="Times New Roman" w:eastAsia="仿宋_GB2312"/>
          <w:sz w:val="32"/>
          <w:szCs w:val="32"/>
        </w:rPr>
        <w:t>；201</w:t>
      </w:r>
      <w:r>
        <w:rPr>
          <w:rFonts w:hint="eastAsia" w:ascii="Times New Roman" w:hAnsi="Times New Roman" w:eastAsia="仿宋_GB2312"/>
          <w:sz w:val="32"/>
          <w:szCs w:val="32"/>
        </w:rPr>
        <w:t>8</w:t>
      </w:r>
      <w:r>
        <w:rPr>
          <w:rFonts w:ascii="Times New Roman" w:hAnsi="Times New Roman" w:eastAsia="仿宋_GB2312"/>
          <w:sz w:val="32"/>
          <w:szCs w:val="32"/>
        </w:rPr>
        <w:t>年较201</w:t>
      </w:r>
      <w:r>
        <w:rPr>
          <w:rFonts w:hint="eastAsia" w:ascii="Times New Roman" w:hAnsi="Times New Roman" w:eastAsia="仿宋_GB2312"/>
          <w:sz w:val="32"/>
          <w:szCs w:val="32"/>
        </w:rPr>
        <w:t>7</w:t>
      </w:r>
      <w:r>
        <w:rPr>
          <w:rFonts w:ascii="Times New Roman" w:hAnsi="Times New Roman" w:eastAsia="仿宋_GB2312"/>
          <w:sz w:val="32"/>
          <w:szCs w:val="32"/>
        </w:rPr>
        <w:t>年银行存款增加是因为</w:t>
      </w:r>
      <w:r>
        <w:rPr>
          <w:rFonts w:hint="eastAsia" w:ascii="Times New Roman" w:hAnsi="Times New Roman" w:eastAsia="仿宋_GB2312"/>
          <w:sz w:val="32"/>
          <w:szCs w:val="32"/>
          <w:lang w:eastAsia="zh-CN"/>
        </w:rPr>
        <w:t>专项经费增加</w:t>
      </w:r>
      <w:r>
        <w:rPr>
          <w:rFonts w:ascii="Times New Roman" w:hAnsi="Times New Roman" w:eastAsia="仿宋_GB2312"/>
          <w:sz w:val="32"/>
          <w:szCs w:val="32"/>
        </w:rPr>
        <w:t>。201</w:t>
      </w:r>
      <w:r>
        <w:rPr>
          <w:rFonts w:hint="eastAsia" w:ascii="Times New Roman" w:hAnsi="Times New Roman" w:eastAsia="仿宋_GB2312"/>
          <w:sz w:val="32"/>
          <w:szCs w:val="32"/>
        </w:rPr>
        <w:t>8</w:t>
      </w:r>
      <w:r>
        <w:rPr>
          <w:rFonts w:ascii="Times New Roman" w:hAnsi="Times New Roman" w:eastAsia="仿宋_GB2312"/>
          <w:sz w:val="32"/>
          <w:szCs w:val="32"/>
        </w:rPr>
        <w:t>年较201</w:t>
      </w:r>
      <w:r>
        <w:rPr>
          <w:rFonts w:hint="eastAsia" w:ascii="Times New Roman" w:hAnsi="Times New Roman" w:eastAsia="仿宋_GB2312"/>
          <w:sz w:val="32"/>
          <w:szCs w:val="32"/>
        </w:rPr>
        <w:t>7</w:t>
      </w:r>
      <w:r>
        <w:rPr>
          <w:rFonts w:ascii="Times New Roman" w:hAnsi="Times New Roman" w:eastAsia="仿宋_GB2312"/>
          <w:sz w:val="32"/>
          <w:szCs w:val="32"/>
        </w:rPr>
        <w:t>年财政应返还额度</w:t>
      </w:r>
      <w:r>
        <w:rPr>
          <w:rFonts w:hint="eastAsia" w:ascii="Times New Roman" w:hAnsi="Times New Roman" w:eastAsia="仿宋_GB2312"/>
          <w:sz w:val="32"/>
          <w:szCs w:val="32"/>
        </w:rPr>
        <w:t>增加</w:t>
      </w:r>
      <w:r>
        <w:rPr>
          <w:rFonts w:ascii="Times New Roman" w:hAnsi="Times New Roman" w:eastAsia="仿宋_GB2312"/>
          <w:sz w:val="32"/>
          <w:szCs w:val="32"/>
        </w:rPr>
        <w:t>是因为201</w:t>
      </w:r>
      <w:r>
        <w:rPr>
          <w:rFonts w:hint="eastAsia" w:ascii="Times New Roman" w:hAnsi="Times New Roman" w:eastAsia="仿宋_GB2312"/>
          <w:sz w:val="32"/>
          <w:szCs w:val="32"/>
        </w:rPr>
        <w:t>8</w:t>
      </w:r>
      <w:r>
        <w:rPr>
          <w:rFonts w:ascii="Times New Roman" w:hAnsi="Times New Roman" w:eastAsia="仿宋_GB2312"/>
          <w:sz w:val="32"/>
          <w:szCs w:val="32"/>
        </w:rPr>
        <w:t>年</w:t>
      </w:r>
      <w:r>
        <w:rPr>
          <w:rFonts w:hint="eastAsia" w:ascii="Times New Roman" w:hAnsi="Times New Roman" w:eastAsia="仿宋_GB2312"/>
          <w:sz w:val="32"/>
          <w:szCs w:val="32"/>
        </w:rPr>
        <w:t>项目金额大，未支完，列为财返资金</w:t>
      </w:r>
      <w:r>
        <w:rPr>
          <w:rFonts w:ascii="Times New Roman" w:hAnsi="Times New Roman" w:eastAsia="仿宋_GB2312"/>
          <w:sz w:val="32"/>
          <w:szCs w:val="32"/>
        </w:rPr>
        <w:t>。</w:t>
      </w:r>
    </w:p>
    <w:p>
      <w:pPr>
        <w:spacing w:line="600" w:lineRule="exact"/>
        <w:ind w:firstLine="640"/>
        <w:outlineLvl w:val="0"/>
        <w:rPr>
          <w:rFonts w:hint="eastAsia" w:ascii="黑体" w:hAnsi="黑体" w:eastAsia="黑体" w:cs="黑体"/>
          <w:b/>
          <w:bCs/>
          <w:color w:val="000000"/>
          <w:sz w:val="32"/>
          <w:szCs w:val="32"/>
        </w:rPr>
      </w:pPr>
      <w:bookmarkStart w:id="62" w:name="_Toc18759"/>
      <w:bookmarkStart w:id="63" w:name="_Toc7698"/>
      <w:bookmarkStart w:id="64" w:name="_Toc18022"/>
      <w:bookmarkStart w:id="65" w:name="_Toc6898"/>
      <w:bookmarkStart w:id="66" w:name="_Toc9116"/>
      <w:r>
        <w:rPr>
          <w:rFonts w:hint="eastAsia" w:ascii="黑体" w:hAnsi="黑体" w:eastAsia="黑体" w:cs="黑体"/>
          <w:b/>
          <w:bCs/>
          <w:color w:val="000000"/>
          <w:sz w:val="32"/>
          <w:szCs w:val="32"/>
        </w:rPr>
        <w:t>六、政府性基金预算财政拨款支出决算情况</w:t>
      </w:r>
      <w:bookmarkEnd w:id="62"/>
      <w:bookmarkEnd w:id="63"/>
      <w:bookmarkEnd w:id="64"/>
      <w:bookmarkEnd w:id="65"/>
      <w:bookmarkEnd w:id="66"/>
    </w:p>
    <w:p>
      <w:pPr>
        <w:spacing w:line="600" w:lineRule="exact"/>
        <w:ind w:firstLine="640"/>
        <w:rPr>
          <w:rFonts w:hint="eastAsia"/>
          <w:lang w:eastAsia="zh-CN"/>
        </w:rPr>
      </w:pPr>
      <w:r>
        <w:rPr>
          <w:rFonts w:hint="eastAsia" w:ascii="仿宋_GB2312" w:eastAsia="仿宋_GB2312"/>
          <w:color w:val="000000"/>
          <w:sz w:val="32"/>
          <w:szCs w:val="32"/>
        </w:rPr>
        <w:t>县</w:t>
      </w:r>
      <w:r>
        <w:rPr>
          <w:rFonts w:hint="eastAsia" w:ascii="仿宋_GB2312" w:eastAsia="仿宋_GB2312"/>
          <w:color w:val="000000"/>
          <w:sz w:val="32"/>
          <w:szCs w:val="32"/>
          <w:lang w:eastAsia="zh-CN"/>
        </w:rPr>
        <w:t>民宗</w:t>
      </w:r>
      <w:r>
        <w:rPr>
          <w:rFonts w:hint="eastAsia" w:ascii="仿宋_GB2312" w:eastAsia="仿宋_GB2312"/>
          <w:color w:val="000000"/>
          <w:sz w:val="32"/>
          <w:szCs w:val="32"/>
        </w:rPr>
        <w:t>局</w:t>
      </w:r>
      <w:r>
        <w:rPr>
          <w:rFonts w:hint="eastAsia" w:ascii="仿宋_GB2312" w:eastAsia="仿宋_GB2312"/>
          <w:color w:val="000000"/>
          <w:sz w:val="32"/>
          <w:szCs w:val="32"/>
          <w:lang w:eastAsia="zh-CN"/>
        </w:rPr>
        <w:t>2018</w:t>
      </w:r>
      <w:r>
        <w:rPr>
          <w:rFonts w:hint="eastAsia" w:ascii="仿宋_GB2312" w:eastAsia="仿宋_GB2312"/>
          <w:color w:val="000000"/>
          <w:sz w:val="32"/>
          <w:szCs w:val="32"/>
        </w:rPr>
        <w:t>年无政府性基金预算财政拨款支出。</w:t>
      </w:r>
    </w:p>
    <w:p>
      <w:pPr>
        <w:spacing w:line="600" w:lineRule="exact"/>
        <w:ind w:firstLine="643" w:firstLineChars="200"/>
        <w:outlineLvl w:val="0"/>
        <w:rPr>
          <w:rFonts w:ascii="黑体" w:eastAsia="黑体"/>
          <w:b/>
          <w:bCs/>
          <w:color w:val="000000"/>
          <w:sz w:val="32"/>
          <w:szCs w:val="32"/>
        </w:rPr>
      </w:pPr>
      <w:bookmarkStart w:id="67" w:name="_Toc7019"/>
      <w:bookmarkStart w:id="68" w:name="_Toc9772"/>
      <w:bookmarkStart w:id="69" w:name="_Toc19111"/>
      <w:r>
        <w:rPr>
          <w:rFonts w:hint="eastAsia" w:ascii="黑体" w:eastAsia="黑体"/>
          <w:b/>
          <w:bCs/>
          <w:color w:val="000000"/>
          <w:sz w:val="32"/>
          <w:szCs w:val="32"/>
        </w:rPr>
        <w:t>七、其他重要事项的情况说明</w:t>
      </w:r>
      <w:bookmarkEnd w:id="67"/>
      <w:bookmarkEnd w:id="68"/>
      <w:bookmarkEnd w:id="69"/>
    </w:p>
    <w:p>
      <w:pPr>
        <w:spacing w:line="600" w:lineRule="exact"/>
        <w:ind w:firstLine="602" w:firstLineChars="200"/>
        <w:outlineLvl w:val="1"/>
        <w:rPr>
          <w:rFonts w:hint="eastAsia" w:ascii="楷体" w:hAnsi="楷体" w:eastAsia="楷体" w:cs="楷体"/>
          <w:b/>
          <w:color w:val="000000"/>
          <w:sz w:val="30"/>
          <w:szCs w:val="30"/>
        </w:rPr>
      </w:pPr>
      <w:bookmarkStart w:id="70" w:name="_Toc26120"/>
      <w:bookmarkStart w:id="71" w:name="_Toc5714"/>
      <w:bookmarkStart w:id="72" w:name="_Toc4355"/>
      <w:r>
        <w:rPr>
          <w:rFonts w:hint="eastAsia" w:ascii="楷体" w:hAnsi="楷体" w:eastAsia="楷体" w:cs="楷体"/>
          <w:b/>
          <w:color w:val="000000"/>
          <w:sz w:val="30"/>
          <w:szCs w:val="30"/>
        </w:rPr>
        <w:t>（一）机关运行经费支出情况</w:t>
      </w:r>
      <w:bookmarkEnd w:id="70"/>
      <w:bookmarkEnd w:id="71"/>
      <w:bookmarkEnd w:id="72"/>
    </w:p>
    <w:p>
      <w:pPr>
        <w:spacing w:line="600" w:lineRule="exact"/>
        <w:ind w:firstLine="640" w:firstLineChars="200"/>
        <w:rPr>
          <w:rFonts w:hint="eastAsia" w:ascii="仿宋_GB2312" w:eastAsia="仿宋_GB2312"/>
          <w:color w:val="000000"/>
          <w:sz w:val="30"/>
          <w:szCs w:val="30"/>
        </w:rPr>
      </w:pPr>
      <w:r>
        <w:rPr>
          <w:rFonts w:hint="eastAsia" w:ascii="仿宋_GB2312" w:eastAsia="仿宋_GB2312"/>
          <w:color w:val="000000"/>
          <w:sz w:val="32"/>
          <w:szCs w:val="32"/>
        </w:rPr>
        <w:t>201</w:t>
      </w:r>
      <w:r>
        <w:rPr>
          <w:rFonts w:hint="eastAsia" w:ascii="仿宋_GB2312" w:eastAsia="仿宋_GB2312"/>
          <w:color w:val="000000"/>
          <w:sz w:val="32"/>
          <w:szCs w:val="32"/>
          <w:lang w:val="en-US" w:eastAsia="zh-CN"/>
        </w:rPr>
        <w:t>8</w:t>
      </w:r>
      <w:r>
        <w:rPr>
          <w:rFonts w:hint="eastAsia" w:ascii="仿宋_GB2312" w:eastAsia="仿宋_GB2312"/>
          <w:color w:val="000000"/>
          <w:sz w:val="32"/>
          <w:szCs w:val="32"/>
        </w:rPr>
        <w:t>年度，县</w:t>
      </w:r>
      <w:r>
        <w:rPr>
          <w:rFonts w:hint="eastAsia" w:ascii="仿宋_GB2312" w:eastAsia="仿宋_GB2312"/>
          <w:color w:val="000000"/>
          <w:sz w:val="32"/>
          <w:szCs w:val="32"/>
          <w:lang w:eastAsia="zh-CN"/>
        </w:rPr>
        <w:t>民宗</w:t>
      </w:r>
      <w:r>
        <w:rPr>
          <w:rFonts w:hint="eastAsia" w:ascii="仿宋_GB2312" w:eastAsia="仿宋_GB2312"/>
          <w:color w:val="000000"/>
          <w:sz w:val="32"/>
          <w:szCs w:val="32"/>
        </w:rPr>
        <w:t>局机关运行经费支出314.08万元。</w:t>
      </w:r>
    </w:p>
    <w:p>
      <w:pPr>
        <w:autoSpaceDE w:val="0"/>
        <w:autoSpaceDN w:val="0"/>
        <w:adjustRightInd w:val="0"/>
        <w:spacing w:line="600" w:lineRule="exact"/>
        <w:ind w:firstLine="602" w:firstLineChars="200"/>
        <w:jc w:val="left"/>
        <w:outlineLvl w:val="1"/>
        <w:rPr>
          <w:rFonts w:hint="eastAsia" w:ascii="楷体" w:hAnsi="楷体" w:eastAsia="楷体" w:cs="楷体"/>
          <w:b/>
          <w:color w:val="000000"/>
          <w:sz w:val="30"/>
          <w:szCs w:val="30"/>
        </w:rPr>
      </w:pPr>
      <w:bookmarkStart w:id="73" w:name="_Toc10821"/>
      <w:bookmarkStart w:id="74" w:name="_Toc17192"/>
      <w:bookmarkStart w:id="75" w:name="_Toc4348"/>
      <w:r>
        <w:rPr>
          <w:rFonts w:hint="eastAsia" w:ascii="楷体" w:hAnsi="楷体" w:eastAsia="楷体" w:cs="楷体"/>
          <w:b/>
          <w:color w:val="000000"/>
          <w:sz w:val="30"/>
          <w:szCs w:val="30"/>
        </w:rPr>
        <w:t>（二）政府采购支出情况</w:t>
      </w:r>
      <w:bookmarkEnd w:id="73"/>
      <w:bookmarkEnd w:id="74"/>
      <w:bookmarkEnd w:id="75"/>
    </w:p>
    <w:p>
      <w:pPr>
        <w:autoSpaceDE w:val="0"/>
        <w:autoSpaceDN w:val="0"/>
        <w:adjustRightInd w:val="0"/>
        <w:spacing w:line="600" w:lineRule="exact"/>
        <w:ind w:firstLine="640" w:firstLineChars="200"/>
        <w:jc w:val="left"/>
        <w:outlineLvl w:val="1"/>
        <w:rPr>
          <w:rFonts w:hint="eastAsia" w:ascii="仿宋_GB2312" w:eastAsia="仿宋_GB2312"/>
          <w:color w:val="000000"/>
          <w:sz w:val="32"/>
          <w:szCs w:val="32"/>
        </w:rPr>
      </w:pPr>
      <w:bookmarkStart w:id="76" w:name="_Toc701"/>
      <w:bookmarkStart w:id="77" w:name="_Toc4915"/>
      <w:bookmarkStart w:id="78" w:name="_Toc8299"/>
      <w:r>
        <w:rPr>
          <w:rFonts w:hint="eastAsia" w:ascii="仿宋_GB2312" w:eastAsia="仿宋_GB2312"/>
          <w:color w:val="000000"/>
          <w:sz w:val="32"/>
          <w:szCs w:val="32"/>
        </w:rPr>
        <w:t>201</w:t>
      </w:r>
      <w:r>
        <w:rPr>
          <w:rFonts w:hint="eastAsia" w:ascii="仿宋_GB2312" w:eastAsia="仿宋_GB2312"/>
          <w:color w:val="000000"/>
          <w:sz w:val="32"/>
          <w:szCs w:val="32"/>
          <w:lang w:val="en-US" w:eastAsia="zh-CN"/>
        </w:rPr>
        <w:t>8</w:t>
      </w:r>
      <w:r>
        <w:rPr>
          <w:rFonts w:hint="eastAsia" w:ascii="仿宋_GB2312" w:eastAsia="仿宋_GB2312"/>
          <w:color w:val="000000"/>
          <w:sz w:val="32"/>
          <w:szCs w:val="32"/>
        </w:rPr>
        <w:t>年度，县</w:t>
      </w:r>
      <w:r>
        <w:rPr>
          <w:rFonts w:hint="eastAsia" w:ascii="仿宋_GB2312" w:eastAsia="仿宋_GB2312"/>
          <w:color w:val="000000"/>
          <w:sz w:val="32"/>
          <w:szCs w:val="32"/>
          <w:lang w:eastAsia="zh-CN"/>
        </w:rPr>
        <w:t>民宗</w:t>
      </w:r>
      <w:r>
        <w:rPr>
          <w:rFonts w:hint="eastAsia" w:ascii="仿宋_GB2312" w:eastAsia="仿宋_GB2312"/>
          <w:color w:val="000000"/>
          <w:sz w:val="32"/>
          <w:szCs w:val="32"/>
        </w:rPr>
        <w:t>局采购支出</w:t>
      </w:r>
      <w:r>
        <w:rPr>
          <w:rFonts w:hint="eastAsia" w:ascii="仿宋_GB2312" w:eastAsia="仿宋_GB2312"/>
          <w:color w:val="000000"/>
          <w:sz w:val="32"/>
          <w:szCs w:val="32"/>
          <w:lang w:val="en-US" w:eastAsia="zh-CN"/>
        </w:rPr>
        <w:t>27.09万元</w:t>
      </w:r>
      <w:r>
        <w:rPr>
          <w:rFonts w:hint="eastAsia" w:ascii="仿宋_GB2312" w:eastAsia="仿宋_GB2312"/>
          <w:color w:val="000000"/>
          <w:sz w:val="32"/>
          <w:szCs w:val="32"/>
        </w:rPr>
        <w:t>。</w:t>
      </w:r>
      <w:bookmarkEnd w:id="76"/>
      <w:bookmarkEnd w:id="77"/>
    </w:p>
    <w:p>
      <w:pPr>
        <w:autoSpaceDE w:val="0"/>
        <w:autoSpaceDN w:val="0"/>
        <w:adjustRightInd w:val="0"/>
        <w:spacing w:line="600" w:lineRule="exact"/>
        <w:ind w:firstLine="602" w:firstLineChars="200"/>
        <w:jc w:val="left"/>
        <w:outlineLvl w:val="1"/>
        <w:rPr>
          <w:rFonts w:hint="eastAsia" w:ascii="楷体" w:hAnsi="楷体" w:eastAsia="楷体" w:cs="楷体"/>
          <w:b/>
          <w:color w:val="000000"/>
          <w:sz w:val="30"/>
          <w:szCs w:val="30"/>
        </w:rPr>
      </w:pPr>
      <w:bookmarkStart w:id="79" w:name="_Toc21599"/>
      <w:bookmarkStart w:id="80" w:name="_Toc5497"/>
      <w:r>
        <w:rPr>
          <w:rFonts w:hint="eastAsia" w:ascii="楷体" w:hAnsi="楷体" w:eastAsia="楷体" w:cs="楷体"/>
          <w:b/>
          <w:color w:val="000000"/>
          <w:sz w:val="30"/>
          <w:szCs w:val="30"/>
        </w:rPr>
        <w:t>（三）国有资产占有使用情况</w:t>
      </w:r>
      <w:bookmarkEnd w:id="78"/>
      <w:bookmarkEnd w:id="79"/>
      <w:bookmarkEnd w:id="80"/>
    </w:p>
    <w:p>
      <w:pPr>
        <w:autoSpaceDE w:val="0"/>
        <w:autoSpaceDN w:val="0"/>
        <w:adjustRightInd w:val="0"/>
        <w:spacing w:line="600" w:lineRule="exact"/>
        <w:ind w:firstLine="640" w:firstLineChars="200"/>
        <w:jc w:val="left"/>
        <w:rPr>
          <w:rFonts w:hint="eastAsia" w:ascii="仿宋_GB2312" w:eastAsia="仿宋_GB2312"/>
          <w:color w:val="000000"/>
          <w:sz w:val="32"/>
          <w:szCs w:val="32"/>
        </w:rPr>
      </w:pPr>
      <w:bookmarkStart w:id="81" w:name="_Toc8700"/>
      <w:r>
        <w:rPr>
          <w:rFonts w:hint="eastAsia" w:ascii="仿宋_GB2312" w:eastAsia="仿宋_GB2312"/>
          <w:color w:val="000000"/>
          <w:sz w:val="32"/>
          <w:szCs w:val="32"/>
        </w:rPr>
        <w:t>截至201</w:t>
      </w:r>
      <w:r>
        <w:rPr>
          <w:rFonts w:hint="eastAsia" w:ascii="仿宋_GB2312" w:eastAsia="仿宋_GB2312"/>
          <w:color w:val="000000"/>
          <w:sz w:val="32"/>
          <w:szCs w:val="32"/>
          <w:lang w:val="en-US" w:eastAsia="zh-CN"/>
        </w:rPr>
        <w:t>8</w:t>
      </w:r>
      <w:r>
        <w:rPr>
          <w:rFonts w:hint="eastAsia" w:ascii="仿宋_GB2312" w:eastAsia="仿宋_GB2312"/>
          <w:color w:val="000000"/>
          <w:sz w:val="32"/>
          <w:szCs w:val="32"/>
        </w:rPr>
        <w:t>年12月31日，我局有</w:t>
      </w:r>
      <w:r>
        <w:rPr>
          <w:rFonts w:hint="eastAsia" w:ascii="仿宋_GB2312" w:eastAsia="仿宋_GB2312"/>
          <w:color w:val="000000"/>
          <w:sz w:val="32"/>
          <w:szCs w:val="32"/>
          <w:lang w:eastAsia="zh-CN"/>
        </w:rPr>
        <w:t>公务用车</w:t>
      </w:r>
      <w:bookmarkStart w:id="95" w:name="_GoBack"/>
      <w:bookmarkEnd w:id="95"/>
      <w:r>
        <w:rPr>
          <w:rFonts w:hint="eastAsia" w:ascii="仿宋_GB2312" w:eastAsia="仿宋_GB2312"/>
          <w:color w:val="000000"/>
          <w:sz w:val="32"/>
          <w:szCs w:val="32"/>
        </w:rPr>
        <w:t>1辆，均为一般公务用车。</w:t>
      </w:r>
    </w:p>
    <w:p>
      <w:pPr>
        <w:autoSpaceDE w:val="0"/>
        <w:autoSpaceDN w:val="0"/>
        <w:adjustRightInd w:val="0"/>
        <w:spacing w:line="600" w:lineRule="exact"/>
        <w:ind w:firstLine="643" w:firstLineChars="200"/>
        <w:jc w:val="left"/>
        <w:outlineLvl w:val="1"/>
        <w:rPr>
          <w:rFonts w:hint="eastAsia" w:ascii="楷体" w:hAnsi="楷体" w:eastAsia="楷体" w:cs="楷体"/>
          <w:b/>
          <w:color w:val="000000"/>
          <w:sz w:val="32"/>
          <w:szCs w:val="32"/>
        </w:rPr>
      </w:pPr>
      <w:bookmarkStart w:id="82" w:name="_Toc7702"/>
      <w:bookmarkStart w:id="83" w:name="_Toc9676"/>
      <w:r>
        <w:rPr>
          <w:rFonts w:hint="eastAsia" w:ascii="楷体" w:hAnsi="楷体" w:eastAsia="楷体" w:cs="楷体"/>
          <w:b/>
          <w:color w:val="000000"/>
          <w:sz w:val="32"/>
          <w:szCs w:val="32"/>
        </w:rPr>
        <w:t>（四）预算绩效情况</w:t>
      </w:r>
      <w:bookmarkEnd w:id="81"/>
      <w:bookmarkEnd w:id="82"/>
      <w:bookmarkEnd w:id="83"/>
    </w:p>
    <w:p>
      <w:pPr>
        <w:spacing w:line="600" w:lineRule="atLeast"/>
        <w:ind w:firstLine="640" w:firstLineChars="200"/>
        <w:rPr>
          <w:rFonts w:hint="eastAsia" w:ascii="仿宋_GB2312" w:eastAsia="仿宋_GB2312"/>
          <w:sz w:val="32"/>
          <w:szCs w:val="32"/>
        </w:rPr>
      </w:pPr>
      <w:bookmarkStart w:id="84" w:name="_Toc13295"/>
      <w:r>
        <w:rPr>
          <w:rFonts w:hint="eastAsia" w:ascii="仿宋_GB2312" w:eastAsia="仿宋_GB2312"/>
          <w:sz w:val="32"/>
          <w:szCs w:val="32"/>
        </w:rPr>
        <w:t>按照预算绩效管理要求，本部门对201</w:t>
      </w:r>
      <w:r>
        <w:rPr>
          <w:rFonts w:hint="eastAsia" w:ascii="仿宋_GB2312" w:eastAsia="仿宋_GB2312"/>
          <w:sz w:val="32"/>
          <w:szCs w:val="32"/>
          <w:lang w:val="en-US" w:eastAsia="zh-CN"/>
        </w:rPr>
        <w:t>8</w:t>
      </w:r>
      <w:r>
        <w:rPr>
          <w:rFonts w:hint="eastAsia" w:ascii="仿宋_GB2312" w:eastAsia="仿宋_GB2312"/>
          <w:sz w:val="32"/>
          <w:szCs w:val="32"/>
        </w:rPr>
        <w:t>年整体支出开展绩效自评，</w:t>
      </w:r>
      <w:r>
        <w:rPr>
          <w:rFonts w:hint="eastAsia" w:ascii="仿宋_GB2312" w:eastAsia="仿宋_GB2312"/>
          <w:sz w:val="32"/>
          <w:szCs w:val="32"/>
          <w:lang w:eastAsia="zh-CN"/>
        </w:rPr>
        <w:t>民宗</w:t>
      </w:r>
      <w:r>
        <w:rPr>
          <w:rFonts w:hint="eastAsia" w:ascii="仿宋_GB2312" w:eastAsia="仿宋_GB2312"/>
          <w:sz w:val="32"/>
          <w:szCs w:val="32"/>
        </w:rPr>
        <w:t>局部门预算执行情况良好，无不良记录及违规违纪行为，预算支出和决算支出情况相符。自评得分88分。</w:t>
      </w:r>
    </w:p>
    <w:p>
      <w:pPr>
        <w:spacing w:line="600" w:lineRule="atLeast"/>
        <w:ind w:firstLine="602" w:firstLineChars="200"/>
        <w:outlineLvl w:val="2"/>
        <w:rPr>
          <w:rFonts w:hint="eastAsia" w:ascii="楷体" w:hAnsi="楷体" w:eastAsia="楷体" w:cs="楷体"/>
          <w:b/>
          <w:bCs/>
          <w:sz w:val="30"/>
          <w:szCs w:val="30"/>
        </w:rPr>
      </w:pPr>
      <w:bookmarkStart w:id="85" w:name="_Toc11054"/>
      <w:r>
        <w:rPr>
          <w:rFonts w:hint="eastAsia" w:ascii="楷体" w:hAnsi="楷体" w:eastAsia="楷体" w:cs="楷体"/>
          <w:b/>
          <w:bCs/>
          <w:sz w:val="30"/>
          <w:szCs w:val="30"/>
        </w:rPr>
        <w:t>1、评价结论</w:t>
      </w:r>
      <w:bookmarkEnd w:id="84"/>
      <w:bookmarkEnd w:id="85"/>
    </w:p>
    <w:p>
      <w:pPr>
        <w:spacing w:line="600" w:lineRule="atLeast"/>
        <w:ind w:firstLine="600" w:firstLineChars="200"/>
        <w:rPr>
          <w:rFonts w:hint="eastAsia" w:ascii="仿宋_GB2312" w:eastAsia="仿宋_GB2312"/>
          <w:sz w:val="30"/>
          <w:szCs w:val="30"/>
        </w:rPr>
      </w:pPr>
      <w:r>
        <w:rPr>
          <w:rFonts w:hint="eastAsia" w:ascii="仿宋_GB2312" w:eastAsia="仿宋_GB2312"/>
          <w:sz w:val="30"/>
          <w:szCs w:val="30"/>
        </w:rPr>
        <w:t>部门预算执行情况良好，无不良记录及违规违纪行为，预算支出和决算支出基本情况相符。</w:t>
      </w:r>
    </w:p>
    <w:p>
      <w:pPr>
        <w:spacing w:line="600" w:lineRule="atLeast"/>
        <w:ind w:firstLine="602" w:firstLineChars="200"/>
        <w:outlineLvl w:val="2"/>
        <w:rPr>
          <w:rFonts w:hint="eastAsia" w:ascii="楷体" w:hAnsi="楷体" w:eastAsia="楷体" w:cs="楷体"/>
          <w:b/>
          <w:bCs/>
          <w:sz w:val="30"/>
          <w:szCs w:val="30"/>
        </w:rPr>
      </w:pPr>
      <w:bookmarkStart w:id="86" w:name="_Toc21013"/>
      <w:bookmarkStart w:id="87" w:name="_Toc20320"/>
      <w:r>
        <w:rPr>
          <w:rFonts w:hint="eastAsia" w:ascii="楷体" w:hAnsi="楷体" w:eastAsia="楷体" w:cs="楷体"/>
          <w:b/>
          <w:bCs/>
          <w:sz w:val="30"/>
          <w:szCs w:val="30"/>
        </w:rPr>
        <w:t>2、存在问题</w:t>
      </w:r>
      <w:bookmarkEnd w:id="86"/>
      <w:bookmarkEnd w:id="87"/>
    </w:p>
    <w:p>
      <w:pPr>
        <w:spacing w:line="600" w:lineRule="atLeast"/>
        <w:ind w:firstLine="640" w:firstLineChars="200"/>
        <w:rPr>
          <w:rFonts w:hint="eastAsia" w:ascii="仿宋_GB2312" w:eastAsia="仿宋_GB2312"/>
          <w:sz w:val="32"/>
          <w:szCs w:val="32"/>
        </w:rPr>
      </w:pPr>
      <w:bookmarkStart w:id="88" w:name="_Toc29651"/>
      <w:r>
        <w:rPr>
          <w:rFonts w:hint="eastAsia" w:ascii="仿宋_GB2312" w:eastAsia="仿宋_GB2312"/>
          <w:sz w:val="32"/>
          <w:szCs w:val="32"/>
        </w:rPr>
        <w:t>一是预算经费支出进度较缓；二是部门决算上报处理效率还需继续提升。</w:t>
      </w:r>
    </w:p>
    <w:p>
      <w:pPr>
        <w:spacing w:line="600" w:lineRule="atLeast"/>
        <w:ind w:firstLine="602" w:firstLineChars="200"/>
        <w:outlineLvl w:val="2"/>
        <w:rPr>
          <w:rFonts w:hint="eastAsia" w:ascii="楷体" w:hAnsi="楷体" w:eastAsia="楷体" w:cs="楷体"/>
          <w:b/>
          <w:bCs/>
          <w:sz w:val="30"/>
          <w:szCs w:val="30"/>
        </w:rPr>
      </w:pPr>
      <w:bookmarkStart w:id="89" w:name="_Toc8654"/>
      <w:r>
        <w:rPr>
          <w:rFonts w:hint="eastAsia" w:ascii="楷体" w:hAnsi="楷体" w:eastAsia="楷体" w:cs="楷体"/>
          <w:b/>
          <w:bCs/>
          <w:sz w:val="30"/>
          <w:szCs w:val="30"/>
        </w:rPr>
        <w:t>3、改进建议</w:t>
      </w:r>
      <w:bookmarkEnd w:id="88"/>
      <w:bookmarkEnd w:id="89"/>
    </w:p>
    <w:p>
      <w:pPr>
        <w:spacing w:line="600" w:lineRule="atLeast"/>
        <w:ind w:firstLine="640" w:firstLineChars="200"/>
        <w:rPr>
          <w:rFonts w:hint="eastAsia" w:ascii="仿宋_GB2312" w:eastAsia="仿宋_GB2312"/>
          <w:sz w:val="32"/>
          <w:szCs w:val="32"/>
        </w:rPr>
      </w:pPr>
      <w:bookmarkStart w:id="90" w:name="_Toc29051"/>
      <w:bookmarkStart w:id="91" w:name="_Toc22034"/>
      <w:r>
        <w:rPr>
          <w:rFonts w:hint="eastAsia" w:ascii="仿宋_GB2312" w:eastAsia="仿宋_GB2312"/>
          <w:sz w:val="32"/>
          <w:szCs w:val="32"/>
        </w:rPr>
        <w:t>加快完成机关财务管理规章制度建设、加强会计核算和财务管理能力，及时与县财政局相关科室对接工作，提升工作效率。</w:t>
      </w:r>
    </w:p>
    <w:p>
      <w:pPr>
        <w:autoSpaceDE w:val="0"/>
        <w:autoSpaceDN w:val="0"/>
        <w:adjustRightInd w:val="0"/>
        <w:spacing w:line="600" w:lineRule="exact"/>
        <w:ind w:firstLine="643" w:firstLineChars="200"/>
        <w:jc w:val="left"/>
        <w:outlineLvl w:val="0"/>
        <w:rPr>
          <w:rFonts w:hint="eastAsia" w:ascii="黑体" w:eastAsia="黑体"/>
          <w:b/>
          <w:bCs/>
          <w:color w:val="000000"/>
          <w:sz w:val="32"/>
          <w:szCs w:val="32"/>
        </w:rPr>
      </w:pPr>
      <w:bookmarkStart w:id="92" w:name="_Toc1130"/>
      <w:bookmarkStart w:id="93" w:name="_Toc18730"/>
      <w:bookmarkStart w:id="94" w:name="_Toc5775"/>
      <w:r>
        <w:rPr>
          <w:rFonts w:hint="eastAsia" w:ascii="黑体" w:eastAsia="黑体"/>
          <w:b/>
          <w:bCs/>
          <w:color w:val="000000"/>
          <w:sz w:val="32"/>
          <w:szCs w:val="32"/>
        </w:rPr>
        <w:t>八、名词解释</w:t>
      </w:r>
      <w:bookmarkEnd w:id="90"/>
      <w:bookmarkEnd w:id="91"/>
      <w:bookmarkEnd w:id="92"/>
      <w:bookmarkEnd w:id="93"/>
      <w:bookmarkEnd w:id="94"/>
    </w:p>
    <w:p>
      <w:pPr>
        <w:pStyle w:val="11"/>
        <w:spacing w:line="560" w:lineRule="exact"/>
        <w:ind w:firstLine="600" w:firstLineChars="200"/>
        <w:rPr>
          <w:rFonts w:ascii="仿宋_GB2312" w:eastAsia="仿宋_GB2312"/>
          <w:sz w:val="30"/>
          <w:szCs w:val="30"/>
        </w:rPr>
      </w:pPr>
      <w:r>
        <w:rPr>
          <w:rFonts w:hint="eastAsia" w:ascii="仿宋_GB2312" w:eastAsia="仿宋_GB2312"/>
          <w:sz w:val="30"/>
          <w:szCs w:val="30"/>
        </w:rPr>
        <w:t xml:space="preserve">1.财政拨款收入：指县级财政当年拨付的资金。 </w:t>
      </w:r>
    </w:p>
    <w:p>
      <w:pPr>
        <w:pStyle w:val="11"/>
        <w:spacing w:line="560" w:lineRule="exact"/>
        <w:ind w:firstLine="600" w:firstLineChars="200"/>
        <w:rPr>
          <w:rFonts w:ascii="仿宋_GB2312" w:eastAsia="仿宋_GB2312"/>
          <w:sz w:val="30"/>
          <w:szCs w:val="30"/>
        </w:rPr>
      </w:pPr>
      <w:r>
        <w:rPr>
          <w:rFonts w:hint="eastAsia" w:ascii="仿宋_GB2312" w:eastAsia="仿宋_GB2312"/>
          <w:sz w:val="30"/>
          <w:szCs w:val="30"/>
        </w:rPr>
        <w:t xml:space="preserve">2.年初结转和结余：指以前年度尚未完成、结转到本年按有关规定继续使用的资金。 </w:t>
      </w:r>
    </w:p>
    <w:p>
      <w:pPr>
        <w:ind w:firstLine="600" w:firstLineChars="200"/>
        <w:rPr>
          <w:rFonts w:ascii="仿宋_GB2312" w:eastAsia="仿宋_GB2312"/>
          <w:color w:val="000000"/>
          <w:sz w:val="30"/>
          <w:szCs w:val="30"/>
        </w:rPr>
      </w:pPr>
      <w:r>
        <w:rPr>
          <w:rFonts w:hint="eastAsia" w:ascii="仿宋_GB2312" w:eastAsia="仿宋_GB2312"/>
          <w:color w:val="000000"/>
          <w:sz w:val="30"/>
          <w:szCs w:val="30"/>
        </w:rPr>
        <w:t>3. 一般公共服务201（类）党委办公厅（室）及相关机构事务31（款）行政运行01（项）：指反映行政人员的基本支出。</w:t>
      </w:r>
    </w:p>
    <w:p>
      <w:pPr>
        <w:ind w:firstLine="600" w:firstLineChars="200"/>
        <w:rPr>
          <w:rFonts w:ascii="仿宋_GB2312" w:eastAsia="仿宋_GB2312"/>
          <w:color w:val="000000"/>
          <w:w w:val="90"/>
          <w:sz w:val="30"/>
          <w:szCs w:val="30"/>
        </w:rPr>
      </w:pPr>
      <w:r>
        <w:rPr>
          <w:rFonts w:hint="eastAsia" w:ascii="仿宋_GB2312" w:eastAsia="仿宋_GB2312"/>
          <w:color w:val="000000"/>
          <w:sz w:val="30"/>
          <w:szCs w:val="30"/>
        </w:rPr>
        <w:t>4.一般公共服务201（类）其他一般公共服务99（款）其他</w:t>
      </w:r>
      <w:r>
        <w:rPr>
          <w:rFonts w:hint="eastAsia" w:ascii="仿宋_GB2312" w:eastAsia="仿宋_GB2312"/>
          <w:color w:val="000000"/>
          <w:w w:val="90"/>
          <w:sz w:val="30"/>
          <w:szCs w:val="30"/>
        </w:rPr>
        <w:t>一般公共服务99（项）</w:t>
      </w:r>
      <w:r>
        <w:rPr>
          <w:rFonts w:hint="eastAsia" w:ascii="仿宋_GB2312" w:eastAsia="仿宋_GB2312"/>
          <w:w w:val="90"/>
          <w:sz w:val="30"/>
          <w:szCs w:val="30"/>
        </w:rPr>
        <w:t>：</w:t>
      </w:r>
      <w:r>
        <w:rPr>
          <w:rFonts w:hint="eastAsia" w:ascii="仿宋_GB2312" w:eastAsia="仿宋_GB2312"/>
          <w:color w:val="000000"/>
          <w:w w:val="90"/>
          <w:sz w:val="30"/>
          <w:szCs w:val="30"/>
        </w:rPr>
        <w:t>指反映县级领导全州绩效考核后的目标奖。</w:t>
      </w:r>
    </w:p>
    <w:p>
      <w:pPr>
        <w:ind w:firstLine="600" w:firstLineChars="200"/>
        <w:rPr>
          <w:rFonts w:ascii="仿宋_GB2312" w:eastAsia="仿宋_GB2312"/>
          <w:color w:val="000000"/>
          <w:sz w:val="30"/>
          <w:szCs w:val="30"/>
        </w:rPr>
      </w:pPr>
      <w:r>
        <w:rPr>
          <w:rFonts w:hint="eastAsia" w:ascii="仿宋_GB2312" w:eastAsia="仿宋_GB2312"/>
          <w:color w:val="000000"/>
          <w:sz w:val="30"/>
          <w:szCs w:val="30"/>
        </w:rPr>
        <w:t>5.社会保障和就业208行政事业单位离退休05机关事业单位基本养老保险缴费支出05：指机关事业单位实施养老保险制度由单位缴纳的基本养老保险费支出。</w:t>
      </w:r>
    </w:p>
    <w:p>
      <w:pPr>
        <w:ind w:firstLine="600" w:firstLineChars="200"/>
        <w:rPr>
          <w:rFonts w:ascii="仿宋_GB2312" w:eastAsia="仿宋_GB2312"/>
          <w:color w:val="000000"/>
          <w:sz w:val="30"/>
          <w:szCs w:val="30"/>
        </w:rPr>
      </w:pPr>
      <w:r>
        <w:rPr>
          <w:rFonts w:hint="eastAsia" w:ascii="仿宋_GB2312" w:eastAsia="仿宋_GB2312"/>
          <w:color w:val="000000"/>
          <w:sz w:val="30"/>
          <w:szCs w:val="30"/>
        </w:rPr>
        <w:t>6.社会保障和就业208行政事业单位离退休05机关事业单位职业年金缴费支出06：指机关事业单位实施养老保险制度由单位缴纳的职业年金支出。</w:t>
      </w:r>
    </w:p>
    <w:p>
      <w:pPr>
        <w:ind w:firstLine="600" w:firstLineChars="200"/>
        <w:rPr>
          <w:rFonts w:ascii="仿宋_GB2312" w:eastAsia="仿宋_GB2312"/>
          <w:color w:val="000000"/>
          <w:sz w:val="30"/>
          <w:szCs w:val="30"/>
        </w:rPr>
      </w:pPr>
      <w:r>
        <w:rPr>
          <w:rFonts w:hint="eastAsia" w:ascii="仿宋_GB2312" w:eastAsia="仿宋_GB2312"/>
          <w:color w:val="000000"/>
          <w:sz w:val="30"/>
          <w:szCs w:val="30"/>
        </w:rPr>
        <w:t>7.医疗卫生与计划生育支出210医疗保障05行政单位医疗01：指行政单位基本医疗保险缴费。</w:t>
      </w:r>
    </w:p>
    <w:p>
      <w:pPr>
        <w:ind w:firstLine="600" w:firstLineChars="200"/>
        <w:rPr>
          <w:rFonts w:ascii="仿宋_GB2312" w:eastAsia="仿宋_GB2312"/>
          <w:color w:val="000000"/>
          <w:sz w:val="30"/>
          <w:szCs w:val="30"/>
        </w:rPr>
      </w:pPr>
      <w:r>
        <w:rPr>
          <w:rFonts w:hint="eastAsia" w:ascii="仿宋_GB2312" w:eastAsia="仿宋_GB2312"/>
          <w:color w:val="000000"/>
          <w:sz w:val="30"/>
          <w:szCs w:val="30"/>
        </w:rPr>
        <w:t>8.住房保障支出221住房改革支出02住房公积金01：指反映行政事业单位按人力资源和社会保障部、财政部规定的基本工资和津贴补贴以及规定比例为职工缴纳的住房公积金。</w:t>
      </w:r>
    </w:p>
    <w:p>
      <w:pPr>
        <w:ind w:firstLine="600" w:firstLineChars="200"/>
        <w:rPr>
          <w:rFonts w:ascii="仿宋_GB2312" w:eastAsia="仿宋_GB2312"/>
          <w:color w:val="000000"/>
          <w:sz w:val="30"/>
          <w:szCs w:val="30"/>
        </w:rPr>
      </w:pPr>
      <w:r>
        <w:rPr>
          <w:rFonts w:hint="eastAsia" w:ascii="仿宋_GB2312" w:eastAsia="仿宋_GB2312"/>
          <w:color w:val="000000"/>
          <w:sz w:val="30"/>
          <w:szCs w:val="30"/>
        </w:rPr>
        <w:t>9.其他支出229其他支出99其他支出01：指其他不能划分到具体功能科目中的支出项目。</w:t>
      </w:r>
    </w:p>
    <w:p>
      <w:pPr>
        <w:ind w:firstLine="600" w:firstLineChars="200"/>
        <w:rPr>
          <w:rFonts w:ascii="仿宋_GB2312" w:eastAsia="仿宋_GB2312"/>
          <w:color w:val="000000"/>
          <w:sz w:val="30"/>
          <w:szCs w:val="30"/>
        </w:rPr>
      </w:pPr>
      <w:r>
        <w:rPr>
          <w:rFonts w:hint="eastAsia" w:ascii="仿宋_GB2312" w:eastAsia="仿宋_GB2312"/>
          <w:color w:val="000000"/>
          <w:sz w:val="30"/>
          <w:szCs w:val="30"/>
        </w:rPr>
        <w:t>10.年末结转和结余：指本年度或以前年度预算安排、因客观条件发生变化无法按原计划实施，需延迟到以后年度按有关规定继续使用的资金。</w:t>
      </w:r>
    </w:p>
    <w:p>
      <w:pPr>
        <w:ind w:firstLine="600" w:firstLineChars="200"/>
        <w:rPr>
          <w:rFonts w:ascii="仿宋_GB2312" w:eastAsia="仿宋_GB2312"/>
          <w:color w:val="000000"/>
          <w:sz w:val="30"/>
          <w:szCs w:val="30"/>
        </w:rPr>
      </w:pPr>
      <w:r>
        <w:rPr>
          <w:rFonts w:hint="eastAsia" w:ascii="仿宋_GB2312" w:eastAsia="仿宋_GB2312"/>
          <w:color w:val="000000"/>
          <w:sz w:val="30"/>
          <w:szCs w:val="30"/>
        </w:rPr>
        <w:t>11.基本支出：指为保障机构正常运转、完成日常工作任务而发生的人员支出和公用支出。</w:t>
      </w:r>
    </w:p>
    <w:p>
      <w:pPr>
        <w:ind w:firstLine="600" w:firstLineChars="200"/>
        <w:rPr>
          <w:rFonts w:ascii="仿宋_GB2312" w:eastAsia="仿宋_GB2312"/>
          <w:color w:val="000000"/>
          <w:sz w:val="30"/>
          <w:szCs w:val="30"/>
        </w:rPr>
      </w:pPr>
      <w:r>
        <w:rPr>
          <w:rFonts w:hint="eastAsia" w:ascii="仿宋_GB2312" w:eastAsia="仿宋_GB2312"/>
          <w:color w:val="000000"/>
          <w:sz w:val="30"/>
          <w:szCs w:val="30"/>
        </w:rPr>
        <w:t xml:space="preserve">12.项目支出：指在基本支出之外为完成特定行政任务和事业发展目标所发生的支出。 </w:t>
      </w:r>
    </w:p>
    <w:p>
      <w:pPr>
        <w:pStyle w:val="11"/>
        <w:spacing w:line="560" w:lineRule="exact"/>
        <w:ind w:firstLine="600" w:firstLineChars="200"/>
        <w:rPr>
          <w:rFonts w:ascii="仿宋_GB2312" w:eastAsia="仿宋_GB2312"/>
          <w:sz w:val="30"/>
          <w:szCs w:val="30"/>
        </w:rPr>
      </w:pPr>
      <w:r>
        <w:rPr>
          <w:rFonts w:hint="eastAsia" w:ascii="仿宋_GB2312" w:eastAsia="仿宋_GB2312"/>
          <w:sz w:val="30"/>
          <w:szCs w:val="30"/>
        </w:rPr>
        <w:t>13.“三公”经费：纳入县级财政预决算管理的“三公”经费，是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安全奖励费用等支出；公务接待费反映单位按规定开支的各类公务接待（含外宾接待）支出。</w:t>
      </w:r>
    </w:p>
    <w:p>
      <w:pPr>
        <w:numPr>
          <w:ilvl w:val="0"/>
          <w:numId w:val="0"/>
        </w:numPr>
        <w:ind w:leftChars="0" w:firstLine="600" w:firstLineChars="200"/>
        <w:rPr>
          <w:rFonts w:hint="default"/>
          <w:lang w:val="en-US" w:eastAsia="zh-CN"/>
        </w:rPr>
      </w:pPr>
      <w:r>
        <w:rPr>
          <w:rFonts w:hint="eastAsia" w:ascii="仿宋_GB2312" w:eastAsia="仿宋_GB2312"/>
          <w:sz w:val="30"/>
          <w:szCs w:val="30"/>
        </w:rPr>
        <w:t>14.机关运行经费：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方正小标宋简体">
    <w:panose1 w:val="03000509000000000000"/>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4"/>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pPr>
                      <w:pStyle w:val="4"/>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none" w:color="auto" w:sz="0" w:space="0"/>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3FE8CAD"/>
    <w:multiLevelType w:val="singleLevel"/>
    <w:tmpl w:val="A3FE8CAD"/>
    <w:lvl w:ilvl="0" w:tentative="0">
      <w:start w:val="2"/>
      <w:numFmt w:val="decimal"/>
      <w:suff w:val="nothing"/>
      <w:lvlText w:val="%1、"/>
      <w:lvlJc w:val="left"/>
    </w:lvl>
  </w:abstractNum>
  <w:abstractNum w:abstractNumId="1">
    <w:nsid w:val="2B352399"/>
    <w:multiLevelType w:val="singleLevel"/>
    <w:tmpl w:val="2B352399"/>
    <w:lvl w:ilvl="0" w:tentative="0">
      <w:start w:val="7"/>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59C007C"/>
    <w:rsid w:val="3C9E576C"/>
    <w:rsid w:val="55DB2A0C"/>
    <w:rsid w:val="64E43B9A"/>
    <w:rsid w:val="759C00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qFormat="1"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9">
    <w:name w:val="Default Paragraph Font"/>
    <w:semiHidden/>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table of figures"/>
    <w:basedOn w:val="1"/>
    <w:next w:val="1"/>
    <w:qFormat/>
    <w:uiPriority w:val="0"/>
    <w:pPr>
      <w:ind w:leftChars="200" w:hanging="200" w:hangingChars="200"/>
    </w:pPr>
  </w:style>
  <w:style w:type="paragraph" w:styleId="3">
    <w:name w:val="toc 3"/>
    <w:basedOn w:val="1"/>
    <w:next w:val="1"/>
    <w:qFormat/>
    <w:uiPriority w:val="0"/>
    <w:pPr>
      <w:ind w:left="840" w:leftChars="400"/>
    </w:pPr>
  </w:style>
  <w:style w:type="paragraph" w:styleId="4">
    <w:name w:val="footer"/>
    <w:basedOn w:val="1"/>
    <w:qFormat/>
    <w:uiPriority w:val="0"/>
    <w:pPr>
      <w:tabs>
        <w:tab w:val="center" w:pos="4153"/>
        <w:tab w:val="right" w:pos="8306"/>
      </w:tabs>
      <w:snapToGrid w:val="0"/>
      <w:jc w:val="left"/>
    </w:pPr>
    <w:rPr>
      <w:sz w:val="18"/>
      <w:szCs w:val="18"/>
    </w:rPr>
  </w:style>
  <w:style w:type="paragraph" w:styleId="5">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6">
    <w:name w:val="toc 1"/>
    <w:basedOn w:val="1"/>
    <w:next w:val="1"/>
    <w:unhideWhenUsed/>
    <w:qFormat/>
    <w:uiPriority w:val="39"/>
    <w:pPr>
      <w:tabs>
        <w:tab w:val="right" w:leader="dot" w:pos="8296"/>
      </w:tabs>
      <w:spacing w:before="93"/>
      <w:jc w:val="center"/>
    </w:pPr>
    <w:rPr>
      <w:rFonts w:ascii="仿宋" w:hAnsi="仿宋" w:eastAsia="仿宋"/>
      <w:sz w:val="28"/>
      <w:szCs w:val="28"/>
    </w:rPr>
  </w:style>
  <w:style w:type="paragraph" w:styleId="7">
    <w:name w:val="toc 2"/>
    <w:basedOn w:val="1"/>
    <w:next w:val="1"/>
    <w:qFormat/>
    <w:uiPriority w:val="0"/>
    <w:pPr>
      <w:ind w:left="420" w:leftChars="200"/>
    </w:pPr>
  </w:style>
  <w:style w:type="character" w:styleId="10">
    <w:name w:val="Strong"/>
    <w:qFormat/>
    <w:uiPriority w:val="0"/>
    <w:rPr>
      <w:b/>
      <w:bCs/>
    </w:rPr>
  </w:style>
  <w:style w:type="paragraph" w:customStyle="1" w:styleId="11">
    <w:name w:val="Default"/>
    <w:qFormat/>
    <w:uiPriority w:val="0"/>
    <w:pPr>
      <w:widowControl w:val="0"/>
      <w:autoSpaceDE w:val="0"/>
      <w:autoSpaceDN w:val="0"/>
      <w:adjustRightInd w:val="0"/>
    </w:pPr>
    <w:rPr>
      <w:rFonts w:ascii="仿宋" w:hAnsi="Calibri" w:eastAsia="仿宋" w:cs="仿宋"/>
      <w:color w:val="000000"/>
      <w:sz w:val="24"/>
      <w:szCs w:val="24"/>
      <w:lang w:val="en-US" w:eastAsia="zh-CN" w:bidi="ar-SA"/>
    </w:rPr>
  </w:style>
  <w:style w:type="paragraph" w:customStyle="1" w:styleId="12">
    <w:name w:val="WPSOffice手动目录 1"/>
    <w:qFormat/>
    <w:uiPriority w:val="0"/>
    <w:pPr>
      <w:ind w:leftChars="0"/>
    </w:pPr>
    <w:rPr>
      <w:rFonts w:asciiTheme="minorHAnsi" w:hAnsiTheme="minorHAnsi" w:eastAsiaTheme="minorEastAsia" w:cstheme="minorBidi"/>
      <w:sz w:val="20"/>
      <w:szCs w:val="20"/>
    </w:rPr>
  </w:style>
  <w:style w:type="paragraph" w:customStyle="1" w:styleId="13">
    <w:name w:val="WPSOffice手动目录 2"/>
    <w:qFormat/>
    <w:uiPriority w:val="0"/>
    <w:pPr>
      <w:ind w:leftChars="200"/>
    </w:pPr>
    <w:rPr>
      <w:rFonts w:asciiTheme="minorHAnsi" w:hAnsiTheme="minorHAnsi" w:eastAsiaTheme="minorEastAsia" w:cstheme="minorBidi"/>
      <w:sz w:val="20"/>
      <w:szCs w:val="20"/>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emf"/><Relationship Id="rId6" Type="http://schemas.openxmlformats.org/officeDocument/2006/relationships/oleObject" Target="embeddings/oleObject1.bin"/><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TotalTime>
  <ScaleCrop>false</ScaleCrop>
  <LinksUpToDate>false</LinksUpToDate>
  <CharactersWithSpaces>0</CharactersWithSpaces>
  <Application>WPS Office_11.1.0.10495_F1E327BC-269C-435d-A152-05C5408002CA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2021-05-20T08:55:00Z</dcterms:created>
  <dc:creator>7先生</dc:creator>
  <cp:lastModifiedBy>不改</cp:lastModifiedBy>
  <cp:lastPrinted>2021-05-21T02:04:00Z</cp:lastPrinted>
  <dcterms:modified xsi:type="dcterms:W3CDTF">2021-06-07T03:45:30Z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2052-11.1.0.10495</vt:lpwstr>
  </property>
  <property fmtid="{D5CDD505-2E9C-101B-9397-08002B2CF9AE}" pid="3" name="ICV">
    <vt:lpwstr>7263FBB5AC8043A7887E4BA0BDFD27DF</vt:lpwstr>
  </property>
</Properties>
</file>