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keepNext w:val="0"/>
        <w:keepLines w:val="0"/>
        <w:pageBreakBefore w:val="0"/>
        <w:widowControl w:val="0"/>
        <w:kinsoku/>
        <w:wordWrap/>
        <w:overflowPunct/>
        <w:topLinePunct w:val="0"/>
        <w:autoSpaceDE/>
        <w:autoSpaceDN/>
        <w:bidi w:val="0"/>
        <w:adjustRightInd/>
        <w:snapToGrid/>
        <w:spacing w:line="536" w:lineRule="exact"/>
        <w:jc w:val="center"/>
        <w:textAlignment w:val="auto"/>
        <w:rPr>
          <w:rFonts w:ascii="方正小标宋简体" w:eastAsia="方正小标宋简体" w:cs="方正小标宋简体" w:hint="eastAsia"/>
          <w:sz w:val="44"/>
          <w:szCs w:val="44"/>
          <w:lang w:val="en-US" w:eastAsia="zh-CN"/>
        </w:rPr>
      </w:pPr>
      <w:r>
        <w:rPr>
          <w:rFonts w:ascii="方正小标宋简体" w:eastAsia="方正小标宋简体" w:cs="方正小标宋简体" w:hint="eastAsia"/>
          <w:sz w:val="44"/>
          <w:szCs w:val="44"/>
          <w:lang w:eastAsia="zh-CN"/>
        </w:rPr>
        <w:t>金川县</w:t>
      </w:r>
      <w:r>
        <w:rPr>
          <w:rFonts w:ascii="方正小标宋简体" w:eastAsia="方正小标宋简体" w:cs="方正小标宋简体" w:hint="eastAsia"/>
          <w:sz w:val="44"/>
          <w:szCs w:val="44"/>
          <w:lang w:val="en-US" w:eastAsia="zh-CN"/>
        </w:rPr>
        <w:t>2026年畜牧兽医服务中心</w:t>
      </w:r>
    </w:p>
    <w:p>
      <w:pPr>
        <w:keepNext w:val="0"/>
        <w:keepLines w:val="0"/>
        <w:pageBreakBefore w:val="0"/>
        <w:widowControl w:val="0"/>
        <w:kinsoku/>
        <w:wordWrap/>
        <w:overflowPunct/>
        <w:topLinePunct w:val="0"/>
        <w:autoSpaceDE/>
        <w:autoSpaceDN/>
        <w:bidi w:val="0"/>
        <w:adjustRightInd/>
        <w:snapToGrid/>
        <w:spacing w:line="536" w:lineRule="exact"/>
        <w:jc w:val="center"/>
        <w:textAlignment w:val="auto"/>
        <w:rPr>
          <w:rFonts w:ascii="方正小标宋简体" w:eastAsia="方正小标宋简体" w:cs="方正小标宋简体"/>
          <w:sz w:val="44"/>
          <w:szCs w:val="44"/>
        </w:rPr>
      </w:pPr>
      <w:r>
        <w:rPr>
          <w:rFonts w:ascii="方正小标宋简体" w:eastAsia="方正小标宋简体" w:cs="方正小标宋简体" w:hint="eastAsia"/>
          <w:sz w:val="44"/>
          <w:szCs w:val="44"/>
        </w:rPr>
        <w:t>预算绩效目标情况说明</w:t>
      </w:r>
    </w:p>
    <w:p>
      <w:pPr>
        <w:pStyle w:val="15"/>
        <w:keepNext w:val="0"/>
        <w:keepLines w:val="0"/>
        <w:pageBreakBefore w:val="0"/>
        <w:widowControl w:val="0"/>
        <w:bidi w:val="0"/>
      </w:pPr>
      <w:bookmarkStart w:id="0" w:name="_GoBack"/>
      <w:bookmarkEnd w:id="0"/>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2026年，我单位部门预算810.08万元 ，均严格按绩效管理要求实现项目绩效目标管理，其中重点项目预算1个，现将情况说明如下：</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黑体" w:eastAsia="黑体" w:cs="黑体" w:hint="eastAsia"/>
          <w:sz w:val="32"/>
          <w:szCs w:val="32"/>
          <w:lang w:val="en-US" w:eastAsia="zh-CN"/>
        </w:rPr>
      </w:pPr>
      <w:r>
        <w:rPr>
          <w:rFonts w:ascii="黑体" w:eastAsia="黑体" w:cs="黑体" w:hint="eastAsia"/>
          <w:sz w:val="32"/>
          <w:szCs w:val="32"/>
          <w:lang w:val="en-US" w:eastAsia="zh-CN"/>
        </w:rPr>
        <w:t>一、单位预算绩效管理工作开展情况。</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完成了2026年本级部门预算整体绩效目标申报和1个重点项目预算绩效目标申报，并编报了1个重点项目预算事前绩效评估报告。</w:t>
      </w:r>
    </w:p>
    <w:p>
      <w:pPr>
        <w:keepNext w:val="0"/>
        <w:keepLines w:val="0"/>
        <w:pageBreakBefore w:val="0"/>
        <w:widowControl w:val="0"/>
        <w:numPr>
          <w:ilvl w:val="0"/>
          <w:numId w:val="1"/>
        </w:numPr>
        <w:kinsoku/>
        <w:wordWrap/>
        <w:overflowPunct/>
        <w:topLinePunct w:val="0"/>
        <w:autoSpaceDE/>
        <w:autoSpaceDN/>
        <w:bidi w:val="0"/>
        <w:adjustRightInd/>
        <w:spacing w:line="520" w:lineRule="exact"/>
        <w:ind w:left="0" w:firstLineChars="200" w:firstLine="640"/>
        <w:textAlignment w:val="auto"/>
        <w:rPr>
          <w:rFonts w:ascii="黑体" w:eastAsia="黑体" w:cs="黑体" w:hint="eastAsia"/>
          <w:sz w:val="32"/>
          <w:szCs w:val="32"/>
          <w:lang w:val="en-US" w:eastAsia="zh-CN"/>
        </w:rPr>
      </w:pPr>
      <w:r>
        <w:rPr>
          <w:rFonts w:ascii="黑体" w:eastAsia="黑体" w:cs="黑体" w:hint="eastAsia"/>
          <w:sz w:val="32"/>
          <w:szCs w:val="32"/>
          <w:lang w:val="en-US" w:eastAsia="zh-CN"/>
        </w:rPr>
        <w:t>单位整体绩效目标。</w:t>
      </w:r>
    </w:p>
    <w:p>
      <w:pPr>
        <w:keepNext w:val="0"/>
        <w:keepLines w:val="0"/>
        <w:pageBreakBefore w:val="0"/>
        <w:widowControl w:val="0"/>
        <w:kinsoku/>
        <w:wordWrap/>
        <w:overflowPunct/>
        <w:topLinePunct w:val="0"/>
        <w:autoSpaceDE/>
        <w:autoSpaceDN/>
        <w:bidi w:val="0"/>
        <w:adjustRightInd/>
        <w:snapToGrid/>
        <w:spacing w:line="520" w:lineRule="exact"/>
        <w:ind w:left="0" w:firstLineChars="200" w:firstLine="640"/>
        <w:jc w:val="both"/>
        <w:textAlignment w:val="auto"/>
        <w:rPr>
          <w:rFonts w:ascii="黑体" w:eastAsia="黑体" w:cs="黑体" w:hint="eastAsia"/>
          <w:sz w:val="32"/>
          <w:szCs w:val="32"/>
          <w:lang w:val="en-US" w:eastAsia="zh-CN"/>
        </w:rPr>
      </w:pPr>
      <w:r>
        <w:rPr>
          <w:rFonts w:ascii="仿宋_GB2312" w:eastAsia="仿宋_GB2312" w:cs="仿宋_GB2312" w:hint="eastAsia"/>
          <w:color w:val="000000"/>
          <w:kern w:val="0"/>
          <w:sz w:val="32"/>
          <w:szCs w:val="32"/>
          <w:lang w:val="en-US" w:eastAsia="zh-CN"/>
        </w:rPr>
        <w:t>县畜牧兽医服务中心属独立编制机构和独立核算的参公事业单位。人员机构编制情况：编制数34人，实有在职数34人。独立核算机构2个，独立编制机构数4个。</w:t>
      </w:r>
    </w:p>
    <w:tbl>
      <w:tblPr>
        <w:jc w:val="center"/>
        <w:tblW w:w="10037"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76"/>
        <w:gridCol w:w="1051"/>
        <w:gridCol w:w="1057"/>
        <w:gridCol w:w="1479"/>
        <w:gridCol w:w="1611"/>
        <w:gridCol w:w="1078"/>
        <w:gridCol w:w="1263"/>
        <w:gridCol w:w="846"/>
        <w:gridCol w:w="1076"/>
      </w:tblGrid>
      <w:tr>
        <w:trPr>
          <w:trHeight w:val="297"/>
        </w:trPr>
        <w:tc>
          <w:tcPr>
            <w:tcW w:w="1003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kern w:val="0"/>
                <w:sz w:val="18"/>
                <w:szCs w:val="18"/>
                <w:u w:val="none"/>
                <w:lang w:val="en-US" w:eastAsia="zh-CN"/>
              </w:rPr>
            </w:pPr>
            <w:r>
              <w:rPr>
                <w:rFonts w:ascii="宋体" w:eastAsia="宋体" w:cs="宋体" w:hint="eastAsia"/>
                <w:b/>
                <w:bCs/>
                <w:i w:val="0"/>
                <w:iCs w:val="0"/>
                <w:color w:val="000000"/>
                <w:kern w:val="0"/>
                <w:sz w:val="18"/>
                <w:szCs w:val="18"/>
                <w:u w:val="none"/>
                <w:lang w:val="en-US" w:eastAsia="zh-CN"/>
              </w:rPr>
              <w:t>2026年部门整体绩效</w:t>
            </w:r>
          </w:p>
        </w:tc>
      </w:tr>
      <w:tr>
        <w:trPr>
          <w:trHeight w:val="297"/>
        </w:trPr>
        <w:tc>
          <w:tcPr>
            <w:tcW w:w="268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kern w:val="0"/>
                <w:sz w:val="18"/>
                <w:szCs w:val="18"/>
                <w:u w:val="none"/>
                <w:lang w:val="en-US" w:eastAsia="zh-CN"/>
              </w:rPr>
            </w:pPr>
            <w:r>
              <w:rPr>
                <w:rFonts w:ascii="宋体" w:eastAsia="宋体" w:cs="宋体" w:hint="eastAsia"/>
                <w:b/>
                <w:bCs/>
                <w:i w:val="0"/>
                <w:iCs w:val="0"/>
                <w:color w:val="000000"/>
                <w:kern w:val="0"/>
                <w:sz w:val="18"/>
                <w:szCs w:val="18"/>
                <w:u w:val="none"/>
                <w:lang w:val="en-US" w:eastAsia="zh-CN"/>
              </w:rPr>
              <w:t>年度部门整体预算</w:t>
            </w:r>
          </w:p>
        </w:tc>
        <w:tc>
          <w:tcPr>
            <w:tcW w:w="309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kern w:val="0"/>
                <w:sz w:val="18"/>
                <w:szCs w:val="18"/>
                <w:u w:val="none"/>
                <w:lang w:val="en-US" w:eastAsia="zh-CN"/>
              </w:rPr>
            </w:pPr>
            <w:r>
              <w:rPr>
                <w:rFonts w:ascii="宋体" w:eastAsia="宋体" w:cs="宋体" w:hint="eastAsia"/>
                <w:b/>
                <w:bCs/>
                <w:i w:val="0"/>
                <w:iCs w:val="0"/>
                <w:color w:val="000000"/>
                <w:kern w:val="0"/>
                <w:sz w:val="18"/>
                <w:szCs w:val="18"/>
                <w:u w:val="none"/>
                <w:lang w:val="en-US" w:eastAsia="zh-CN"/>
              </w:rPr>
              <w:t>资金总额</w:t>
            </w:r>
          </w:p>
        </w:tc>
        <w:tc>
          <w:tcPr>
            <w:tcW w:w="2341"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kern w:val="0"/>
                <w:sz w:val="18"/>
                <w:szCs w:val="18"/>
                <w:u w:val="none"/>
                <w:lang w:val="en-US" w:eastAsia="zh-CN"/>
              </w:rPr>
            </w:pPr>
            <w:r>
              <w:rPr>
                <w:rFonts w:ascii="宋体" w:eastAsia="宋体" w:cs="宋体" w:hint="eastAsia"/>
                <w:b/>
                <w:bCs/>
                <w:i w:val="0"/>
                <w:iCs w:val="0"/>
                <w:color w:val="000000"/>
                <w:kern w:val="0"/>
                <w:sz w:val="18"/>
                <w:szCs w:val="18"/>
                <w:u w:val="none"/>
                <w:lang w:val="en-US" w:eastAsia="zh-CN"/>
              </w:rPr>
              <w:t>财政拨款</w:t>
            </w:r>
          </w:p>
        </w:tc>
        <w:tc>
          <w:tcPr>
            <w:tcW w:w="192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kern w:val="0"/>
                <w:sz w:val="18"/>
                <w:szCs w:val="18"/>
                <w:u w:val="none"/>
                <w:lang w:val="en-US" w:eastAsia="zh-CN"/>
              </w:rPr>
            </w:pPr>
            <w:r>
              <w:rPr>
                <w:rFonts w:ascii="宋体" w:eastAsia="宋体" w:cs="宋体" w:hint="eastAsia"/>
                <w:b/>
                <w:bCs/>
                <w:i w:val="0"/>
                <w:iCs w:val="0"/>
                <w:color w:val="000000"/>
                <w:kern w:val="0"/>
                <w:sz w:val="18"/>
                <w:szCs w:val="18"/>
                <w:u w:val="none"/>
                <w:lang w:val="en-US" w:eastAsia="zh-CN"/>
              </w:rPr>
              <w:t>其他资金</w:t>
            </w:r>
          </w:p>
        </w:tc>
      </w:tr>
      <w:tr>
        <w:trPr>
          <w:trHeight w:val="297"/>
        </w:trPr>
        <w:tc>
          <w:tcPr>
            <w:tcW w:w="268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收入预算</w:t>
            </w:r>
          </w:p>
        </w:tc>
        <w:tc>
          <w:tcPr>
            <w:tcW w:w="309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lang w:val="en-US"/>
              </w:rPr>
            </w:pPr>
            <w:r>
              <w:rPr>
                <w:rFonts w:ascii="宋体" w:eastAsia="宋体" w:cs="宋体" w:hint="eastAsia"/>
                <w:i w:val="0"/>
                <w:iCs w:val="0"/>
                <w:color w:val="000000"/>
                <w:kern w:val="0"/>
                <w:sz w:val="18"/>
                <w:szCs w:val="18"/>
                <w:u w:val="none"/>
                <w:lang w:val="en-US" w:eastAsia="zh-CN"/>
              </w:rPr>
              <w:t>810.08</w:t>
            </w:r>
          </w:p>
        </w:tc>
        <w:tc>
          <w:tcPr>
            <w:tcW w:w="2341"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810.08</w:t>
            </w:r>
          </w:p>
        </w:tc>
        <w:tc>
          <w:tcPr>
            <w:tcW w:w="192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w:t>
            </w:r>
          </w:p>
        </w:tc>
      </w:tr>
      <w:tr>
        <w:trPr>
          <w:trHeight w:val="297"/>
        </w:trPr>
        <w:tc>
          <w:tcPr>
            <w:tcW w:w="268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支出预算</w:t>
            </w:r>
          </w:p>
        </w:tc>
        <w:tc>
          <w:tcPr>
            <w:tcW w:w="309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810.08</w:t>
            </w:r>
          </w:p>
        </w:tc>
        <w:tc>
          <w:tcPr>
            <w:tcW w:w="2341"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810.08</w:t>
            </w:r>
          </w:p>
        </w:tc>
        <w:tc>
          <w:tcPr>
            <w:tcW w:w="192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w:t>
            </w:r>
          </w:p>
        </w:tc>
      </w:tr>
      <w:tr>
        <w:trPr>
          <w:trHeight w:val="1981"/>
        </w:trPr>
        <w:tc>
          <w:tcPr>
            <w:tcW w:w="268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年度总体目标</w:t>
            </w:r>
          </w:p>
        </w:tc>
        <w:tc>
          <w:tcPr>
            <w:tcW w:w="7353"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拟定全县畜牧、兽医发展的政策、法规、规划、计划，并组织实施；负责指导畜牧业规模化养殖、标准化生产和产业化经营，引导畜牧产业结构的调整、畜牧业资源的有效配置和产品品质的改善；负责地方畜禽遗传资源的保护利用和外引良种的管理，组织开展畜禽新品种繁育和生产新技术的推广；负责畜产品质量安全监督管理工作，组织开展畜产品质量安全监督管理，指导畜牧业生态环境保护与治理；负责全县动物防疫、检疫、兽医医政、兽药药政及畜牧兽医器械管理工作；负责动物疫病监测及预警预报工作；负责兽药、饲料及畜产品质量安全监督抽检工作；负责畜牧兽医体系建设和管理工作，承担全县畜牧兽医人才开发工作；组织开展畜牧兽医交流与合作；负责农牧业巡防工作；负责生猪定点屠宰监督管理；承担上级交办的其他事项。</w:t>
            </w:r>
          </w:p>
        </w:tc>
      </w:tr>
      <w:tr>
        <w:trPr>
          <w:trHeight w:val="276"/>
        </w:trPr>
        <w:tc>
          <w:tcPr>
            <w:tcW w:w="1003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管理效率</w:t>
            </w:r>
          </w:p>
        </w:tc>
      </w:tr>
      <w:tr>
        <w:trPr>
          <w:trHeight w:val="255"/>
        </w:trPr>
        <w:tc>
          <w:tcPr>
            <w:tcW w:w="57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序号</w:t>
            </w:r>
          </w:p>
        </w:tc>
        <w:tc>
          <w:tcPr>
            <w:tcW w:w="105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一级指标</w:t>
            </w:r>
          </w:p>
        </w:tc>
        <w:tc>
          <w:tcPr>
            <w:tcW w:w="105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二级指标</w:t>
            </w:r>
          </w:p>
        </w:tc>
        <w:tc>
          <w:tcPr>
            <w:tcW w:w="147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三级指标</w:t>
            </w:r>
          </w:p>
        </w:tc>
        <w:tc>
          <w:tcPr>
            <w:tcW w:w="161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指标值</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指标参考值</w:t>
            </w:r>
          </w:p>
        </w:tc>
      </w:tr>
      <w:tr>
        <w:trPr>
          <w:trHeight w:val="255"/>
        </w:trPr>
        <w:tc>
          <w:tcPr>
            <w:tcW w:w="5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5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5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1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三年均值</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2023</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lang w:val="en-US"/>
              </w:rPr>
            </w:pPr>
            <w:r>
              <w:rPr>
                <w:rFonts w:ascii="宋体" w:eastAsia="宋体" w:cs="宋体" w:hint="eastAsia"/>
                <w:b/>
                <w:bCs/>
                <w:i w:val="0"/>
                <w:iCs w:val="0"/>
                <w:color w:val="000000"/>
                <w:kern w:val="0"/>
                <w:sz w:val="18"/>
                <w:szCs w:val="18"/>
                <w:u w:val="none"/>
                <w:lang w:val="en-US" w:eastAsia="zh-CN"/>
              </w:rPr>
              <w:t>2024</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lang w:val="en-US"/>
              </w:rPr>
            </w:pPr>
            <w:r>
              <w:rPr>
                <w:rFonts w:ascii="宋体" w:eastAsia="宋体" w:cs="宋体" w:hint="eastAsia"/>
                <w:b/>
                <w:bCs/>
                <w:i w:val="0"/>
                <w:iCs w:val="0"/>
                <w:color w:val="000000"/>
                <w:kern w:val="0"/>
                <w:sz w:val="18"/>
                <w:szCs w:val="18"/>
                <w:u w:val="none"/>
                <w:lang w:val="en-US" w:eastAsia="zh-CN"/>
              </w:rPr>
              <w:t>2025</w:t>
            </w:r>
          </w:p>
        </w:tc>
      </w:tr>
      <w:tr>
        <w:trPr>
          <w:trHeight w:val="502"/>
        </w:trPr>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w:t>
            </w:r>
          </w:p>
        </w:tc>
        <w:tc>
          <w:tcPr>
            <w:tcW w:w="10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成本指标</w:t>
            </w:r>
          </w:p>
        </w:tc>
        <w:tc>
          <w:tcPr>
            <w:tcW w:w="10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预算管理</w:t>
            </w:r>
          </w:p>
        </w:tc>
        <w:tc>
          <w:tcPr>
            <w:tcW w:w="1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财政拨款预算偏离度</w:t>
            </w:r>
          </w:p>
        </w:tc>
        <w:tc>
          <w:tcPr>
            <w:tcW w:w="16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255.01%</w:t>
            </w:r>
          </w:p>
        </w:tc>
        <w:tc>
          <w:tcPr>
            <w:tcW w:w="10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255.01%</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218.25%</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238%</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308.78%</w:t>
            </w:r>
          </w:p>
        </w:tc>
      </w:tr>
      <w:tr>
        <w:trPr>
          <w:trHeight w:val="255"/>
        </w:trPr>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w:t>
            </w:r>
          </w:p>
        </w:tc>
        <w:tc>
          <w:tcPr>
            <w:tcW w:w="10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成本指标</w:t>
            </w:r>
          </w:p>
        </w:tc>
        <w:tc>
          <w:tcPr>
            <w:tcW w:w="10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预算管理</w:t>
            </w:r>
          </w:p>
        </w:tc>
        <w:tc>
          <w:tcPr>
            <w:tcW w:w="1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预算年终结余率</w:t>
            </w:r>
          </w:p>
        </w:tc>
        <w:tc>
          <w:tcPr>
            <w:tcW w:w="16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10.6%</w:t>
            </w:r>
          </w:p>
        </w:tc>
        <w:tc>
          <w:tcPr>
            <w:tcW w:w="10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10.6%</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13.86%</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5.02%</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12.91%</w:t>
            </w:r>
          </w:p>
        </w:tc>
      </w:tr>
      <w:tr>
        <w:trPr>
          <w:trHeight w:val="255"/>
        </w:trPr>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w:t>
            </w:r>
          </w:p>
        </w:tc>
        <w:tc>
          <w:tcPr>
            <w:tcW w:w="10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成本指标</w:t>
            </w:r>
          </w:p>
        </w:tc>
        <w:tc>
          <w:tcPr>
            <w:tcW w:w="10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预算管理</w:t>
            </w:r>
          </w:p>
        </w:tc>
        <w:tc>
          <w:tcPr>
            <w:tcW w:w="1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一般性支出金额</w:t>
            </w:r>
          </w:p>
        </w:tc>
        <w:tc>
          <w:tcPr>
            <w:tcW w:w="16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15.03万元</w:t>
            </w:r>
          </w:p>
        </w:tc>
        <w:tc>
          <w:tcPr>
            <w:tcW w:w="10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15.03万元</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15.03万元</w:t>
            </w:r>
          </w:p>
        </w:tc>
      </w:tr>
      <w:tr>
        <w:trPr>
          <w:trHeight w:val="255"/>
        </w:trPr>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w:t>
            </w:r>
          </w:p>
        </w:tc>
        <w:tc>
          <w:tcPr>
            <w:tcW w:w="10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成本指标</w:t>
            </w:r>
          </w:p>
        </w:tc>
        <w:tc>
          <w:tcPr>
            <w:tcW w:w="10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财务管理</w:t>
            </w:r>
          </w:p>
        </w:tc>
        <w:tc>
          <w:tcPr>
            <w:tcW w:w="1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财务管理规范</w:t>
            </w:r>
          </w:p>
        </w:tc>
        <w:tc>
          <w:tcPr>
            <w:tcW w:w="16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优</w:t>
            </w:r>
          </w:p>
        </w:tc>
        <w:tc>
          <w:tcPr>
            <w:tcW w:w="10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r>
      <w:tr>
        <w:trPr>
          <w:trHeight w:val="255"/>
        </w:trPr>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w:t>
            </w:r>
          </w:p>
        </w:tc>
        <w:tc>
          <w:tcPr>
            <w:tcW w:w="10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成本指标</w:t>
            </w:r>
          </w:p>
        </w:tc>
        <w:tc>
          <w:tcPr>
            <w:tcW w:w="10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采购管理</w:t>
            </w:r>
          </w:p>
        </w:tc>
        <w:tc>
          <w:tcPr>
            <w:tcW w:w="1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采购执行率</w:t>
            </w:r>
          </w:p>
        </w:tc>
        <w:tc>
          <w:tcPr>
            <w:tcW w:w="16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0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100.00%</w:t>
            </w:r>
          </w:p>
        </w:tc>
        <w:tc>
          <w:tcPr>
            <w:tcW w:w="12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r>
      <w:tr>
        <w:trPr>
          <w:trHeight w:val="269"/>
        </w:trPr>
        <w:tc>
          <w:tcPr>
            <w:tcW w:w="10037"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履职效能</w:t>
            </w:r>
          </w:p>
        </w:tc>
      </w:tr>
      <w:tr>
        <w:trPr>
          <w:trHeight w:val="502"/>
        </w:trPr>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序号</w:t>
            </w:r>
          </w:p>
        </w:tc>
        <w:tc>
          <w:tcPr>
            <w:tcW w:w="10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一级指标</w:t>
            </w:r>
          </w:p>
        </w:tc>
        <w:tc>
          <w:tcPr>
            <w:tcW w:w="10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二级指标</w:t>
            </w:r>
          </w:p>
        </w:tc>
        <w:tc>
          <w:tcPr>
            <w:tcW w:w="309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18"/>
                <w:szCs w:val="18"/>
                <w:u w:val="none"/>
              </w:rPr>
            </w:pPr>
            <w:r>
              <w:rPr>
                <w:rFonts w:ascii="宋体" w:eastAsia="宋体" w:cs="宋体" w:hint="eastAsia"/>
                <w:b/>
                <w:bCs/>
                <w:i w:val="0"/>
                <w:iCs w:val="0"/>
                <w:color w:val="000000"/>
                <w:kern w:val="0"/>
                <w:sz w:val="18"/>
                <w:szCs w:val="18"/>
                <w:u w:val="none"/>
                <w:lang w:val="en-US" w:eastAsia="zh-CN"/>
              </w:rPr>
              <w:t>三级指标</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b/>
                <w:bCs/>
                <w:i w:val="0"/>
                <w:iCs w:val="0"/>
                <w:color w:val="000000"/>
                <w:sz w:val="18"/>
                <w:szCs w:val="18"/>
                <w:u w:val="none"/>
              </w:rPr>
            </w:pPr>
            <w:r>
              <w:rPr>
                <w:rFonts w:ascii="宋体" w:eastAsia="宋体" w:cs="宋体"/>
                <w:b/>
                <w:bCs/>
                <w:i w:val="0"/>
                <w:iCs w:val="0"/>
                <w:color w:val="000000"/>
                <w:kern w:val="0"/>
                <w:sz w:val="18"/>
                <w:szCs w:val="18"/>
                <w:u w:val="none"/>
                <w:lang w:val="en-US" w:eastAsia="zh-CN"/>
              </w:rPr>
              <w:t>指标值（包括数字及文字描述）</w:t>
            </w:r>
          </w:p>
        </w:tc>
      </w:tr>
      <w:tr>
        <w:trPr>
          <w:trHeight w:val="502"/>
        </w:trPr>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w:t>
            </w:r>
          </w:p>
        </w:tc>
        <w:tc>
          <w:tcPr>
            <w:tcW w:w="10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产出指标</w:t>
            </w:r>
          </w:p>
        </w:tc>
        <w:tc>
          <w:tcPr>
            <w:tcW w:w="10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时效指标</w:t>
            </w:r>
          </w:p>
        </w:tc>
        <w:tc>
          <w:tcPr>
            <w:tcW w:w="309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拟订全县畜牧、兽医和草业发展的政策、法规、规划、计划，并组织</w:t>
            </w:r>
            <w:r>
              <w:rPr>
                <w:rFonts w:ascii="宋体" w:eastAsia="宋体" w:cs="宋体" w:hint="eastAsia"/>
                <w:i w:val="0"/>
                <w:iCs w:val="0"/>
                <w:color w:val="000000"/>
                <w:kern w:val="0"/>
                <w:sz w:val="18"/>
                <w:szCs w:val="18"/>
                <w:u w:val="none"/>
                <w:lang w:val="en-US" w:eastAsia="zh-CN"/>
              </w:rPr>
              <w:t>实施</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1年</w:t>
            </w:r>
          </w:p>
        </w:tc>
      </w:tr>
      <w:tr>
        <w:trPr>
          <w:trHeight w:val="255"/>
        </w:trPr>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w:t>
            </w:r>
          </w:p>
        </w:tc>
        <w:tc>
          <w:tcPr>
            <w:tcW w:w="10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产出指标</w:t>
            </w:r>
          </w:p>
        </w:tc>
        <w:tc>
          <w:tcPr>
            <w:tcW w:w="10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309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负责牧业巡防工作</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常规巡防</w:t>
            </w:r>
          </w:p>
        </w:tc>
      </w:tr>
      <w:tr>
        <w:trPr>
          <w:trHeight w:val="502"/>
        </w:trPr>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w:t>
            </w:r>
          </w:p>
        </w:tc>
        <w:tc>
          <w:tcPr>
            <w:tcW w:w="10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产出指标</w:t>
            </w:r>
          </w:p>
        </w:tc>
        <w:tc>
          <w:tcPr>
            <w:tcW w:w="10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309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负责全县动物防疫、检疫、兽医医政、兽药药政及畜牧兽医器械管理工作；</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春秋季常规免疫</w:t>
            </w:r>
          </w:p>
        </w:tc>
      </w:tr>
      <w:tr>
        <w:trPr>
          <w:trHeight w:val="255"/>
        </w:trPr>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w:t>
            </w:r>
          </w:p>
        </w:tc>
        <w:tc>
          <w:tcPr>
            <w:tcW w:w="10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产出指标</w:t>
            </w:r>
          </w:p>
        </w:tc>
        <w:tc>
          <w:tcPr>
            <w:tcW w:w="10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309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负责动物疫病监测及预警预报工作</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春秋季常规免疫</w:t>
            </w:r>
          </w:p>
        </w:tc>
      </w:tr>
      <w:tr>
        <w:trPr>
          <w:trHeight w:val="748"/>
        </w:trPr>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w:t>
            </w:r>
          </w:p>
        </w:tc>
        <w:tc>
          <w:tcPr>
            <w:tcW w:w="10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产出指标</w:t>
            </w:r>
          </w:p>
        </w:tc>
        <w:tc>
          <w:tcPr>
            <w:tcW w:w="10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309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本县动物防疫、检疫、动物产品安全监管和畜产品加工企业驻厂检疫等行政工作</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宣传≥2次，培训≥2次</w:t>
            </w:r>
          </w:p>
        </w:tc>
      </w:tr>
      <w:tr>
        <w:trPr>
          <w:trHeight w:val="748"/>
        </w:trPr>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6</w:t>
            </w:r>
          </w:p>
        </w:tc>
        <w:tc>
          <w:tcPr>
            <w:tcW w:w="10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产出指标</w:t>
            </w:r>
          </w:p>
        </w:tc>
        <w:tc>
          <w:tcPr>
            <w:tcW w:w="10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309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负责畜牧兽医体系建设和管理工作，承担全县畜牧兽医人才开发工作；组织开展畜牧兽医交流与合作</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兽医管理培训覆盖率100%</w:t>
            </w:r>
          </w:p>
        </w:tc>
      </w:tr>
      <w:tr>
        <w:trPr>
          <w:trHeight w:val="502"/>
        </w:trPr>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7</w:t>
            </w:r>
          </w:p>
        </w:tc>
        <w:tc>
          <w:tcPr>
            <w:tcW w:w="10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产出指标</w:t>
            </w:r>
          </w:p>
        </w:tc>
        <w:tc>
          <w:tcPr>
            <w:tcW w:w="10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309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负责兽药、饲料及畜产品质量安全监督抽检工作</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兽药管理覆盖率100%</w:t>
            </w:r>
          </w:p>
        </w:tc>
      </w:tr>
      <w:tr>
        <w:trPr>
          <w:trHeight w:val="502"/>
        </w:trPr>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8</w:t>
            </w:r>
          </w:p>
        </w:tc>
        <w:tc>
          <w:tcPr>
            <w:tcW w:w="10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产出指标</w:t>
            </w:r>
          </w:p>
        </w:tc>
        <w:tc>
          <w:tcPr>
            <w:tcW w:w="10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309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负责动物疫病监测及预警预报工作</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负责全县动物防疫检疫，抗体合格率达到70%，动物强制免疫密度达到90%</w:t>
            </w:r>
          </w:p>
        </w:tc>
      </w:tr>
      <w:tr>
        <w:trPr>
          <w:trHeight w:val="748"/>
        </w:trPr>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w:t>
            </w:r>
          </w:p>
        </w:tc>
        <w:tc>
          <w:tcPr>
            <w:tcW w:w="10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产出指标</w:t>
            </w:r>
          </w:p>
        </w:tc>
        <w:tc>
          <w:tcPr>
            <w:tcW w:w="10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309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负责畜产品质量安全监督管理工作，组织开展畜产品质量安全监督管理，指导畜牧</w:t>
            </w:r>
            <w:r>
              <w:rPr>
                <w:rFonts w:ascii="宋体" w:eastAsia="宋体" w:cs="宋体" w:hint="eastAsia"/>
                <w:i w:val="0"/>
                <w:iCs w:val="0"/>
                <w:color w:val="000000"/>
                <w:kern w:val="0"/>
                <w:sz w:val="18"/>
                <w:szCs w:val="18"/>
                <w:u w:val="none"/>
                <w:lang w:val="en-US" w:eastAsia="zh-CN"/>
              </w:rPr>
              <w:t>生态环境保护</w:t>
            </w:r>
            <w:r>
              <w:rPr>
                <w:rFonts w:ascii="宋体" w:eastAsia="宋体" w:cs="宋体"/>
                <w:i w:val="0"/>
                <w:iCs w:val="0"/>
                <w:color w:val="000000"/>
                <w:kern w:val="0"/>
                <w:sz w:val="18"/>
                <w:szCs w:val="18"/>
                <w:u w:val="none"/>
                <w:lang w:val="en-US" w:eastAsia="zh-CN"/>
              </w:rPr>
              <w:t>与治理</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覆盖率100%</w:t>
            </w:r>
          </w:p>
        </w:tc>
      </w:tr>
      <w:tr>
        <w:trPr>
          <w:trHeight w:val="255"/>
        </w:trPr>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w:t>
            </w:r>
          </w:p>
        </w:tc>
        <w:tc>
          <w:tcPr>
            <w:tcW w:w="10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产出指标</w:t>
            </w:r>
          </w:p>
        </w:tc>
        <w:tc>
          <w:tcPr>
            <w:tcW w:w="10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309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负责生猪定点屠宰监督管理</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生猪完成定点屠宰100%</w:t>
            </w:r>
          </w:p>
        </w:tc>
      </w:tr>
      <w:tr>
        <w:trPr>
          <w:trHeight w:val="995"/>
        </w:trPr>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11</w:t>
            </w:r>
          </w:p>
        </w:tc>
        <w:tc>
          <w:tcPr>
            <w:tcW w:w="10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效益指标</w:t>
            </w:r>
          </w:p>
        </w:tc>
        <w:tc>
          <w:tcPr>
            <w:tcW w:w="10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可持续发展指标</w:t>
            </w:r>
          </w:p>
        </w:tc>
        <w:tc>
          <w:tcPr>
            <w:tcW w:w="309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负责指导畜牧业规模化养殖、标准化生产和产业化经营，引导畜牧产业结构的调整、畜牧业资源的有效配置和产品品质的改善</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畜牧业良好发展</w:t>
            </w:r>
          </w:p>
        </w:tc>
      </w:tr>
      <w:tr>
        <w:trPr>
          <w:trHeight w:val="756"/>
        </w:trPr>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12</w:t>
            </w:r>
          </w:p>
        </w:tc>
        <w:tc>
          <w:tcPr>
            <w:tcW w:w="10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效益指标</w:t>
            </w:r>
          </w:p>
        </w:tc>
        <w:tc>
          <w:tcPr>
            <w:tcW w:w="10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社会效益指标</w:t>
            </w:r>
          </w:p>
        </w:tc>
        <w:tc>
          <w:tcPr>
            <w:tcW w:w="309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负责地方畜禽遗传资源的保护利用和外引良种的管理，组织开展畜禽新品种繁育和生产新技术的推广</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畜禽遗传资源保护利用良好发展</w:t>
            </w:r>
          </w:p>
        </w:tc>
      </w:tr>
    </w:tbl>
    <w:p>
      <w:pPr>
        <w:pStyle w:val="16"/>
        <w:keepNext w:val="0"/>
        <w:keepLines w:val="0"/>
        <w:pageBreakBefore w:val="0"/>
        <w:widowControl w:val="0"/>
        <w:tabs>
          <w:tab w:val="center" w:pos="4153"/>
          <w:tab w:val="right" w:pos="8306"/>
        </w:tabs>
        <w:kinsoku/>
        <w:wordWrap/>
        <w:overflowPunct/>
        <w:topLinePunct w:val="0"/>
        <w:autoSpaceDE/>
        <w:autoSpaceDN/>
        <w:bidi w:val="0"/>
        <w:adjustRightInd/>
        <w:snapToGrid w:val="0"/>
        <w:spacing w:line="520" w:lineRule="exact"/>
        <w:ind w:left="0" w:firstLineChars="200" w:firstLine="640"/>
        <w:textAlignment w:val="auto"/>
        <w:rPr>
          <w:rFonts w:ascii="仿宋_GB2312" w:eastAsia="仿宋_GB2312" w:cs="仿宋_GB2312" w:hint="eastAsia"/>
          <w:sz w:val="32"/>
          <w:szCs w:val="32"/>
          <w:lang w:val="en-US" w:eastAsia="zh-CN"/>
        </w:rPr>
      </w:pP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黑体" w:eastAsia="黑体" w:cs="黑体" w:hint="eastAsia"/>
          <w:sz w:val="32"/>
          <w:szCs w:val="32"/>
          <w:lang w:val="en-US" w:eastAsia="zh-CN"/>
        </w:rPr>
      </w:pPr>
      <w:r>
        <w:rPr>
          <w:rFonts w:ascii="黑体" w:eastAsia="黑体" w:cs="黑体" w:hint="eastAsia"/>
          <w:sz w:val="32"/>
          <w:szCs w:val="32"/>
          <w:lang w:val="en-US" w:eastAsia="zh-CN"/>
        </w:rPr>
        <w:t>三、重点项目绩效目标。</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仿宋_GB2312" w:hint="eastAsia"/>
          <w:kern w:val="2"/>
          <w:sz w:val="32"/>
          <w:szCs w:val="32"/>
          <w:lang w:val="en-US" w:eastAsia="zh-CN" w:bidi="ar-SA"/>
        </w:rPr>
      </w:pPr>
      <w:r>
        <w:rPr>
          <w:rFonts w:ascii="仿宋_GB2312" w:eastAsia="仿宋_GB2312" w:cs="仿宋_GB2312" w:hint="eastAsia"/>
          <w:sz w:val="32"/>
          <w:szCs w:val="32"/>
          <w:lang w:val="en-US" w:eastAsia="zh-CN"/>
        </w:rPr>
        <w:t>重点项目：2026年</w:t>
      </w:r>
      <w:r>
        <w:rPr>
          <w:rFonts w:ascii="仿宋_GB2312" w:eastAsia="仿宋_GB2312" w:cs="仿宋_GB2312" w:hint="eastAsia"/>
          <w:kern w:val="2"/>
          <w:sz w:val="32"/>
          <w:szCs w:val="32"/>
          <w:lang w:val="zh-TW" w:eastAsia="zh-TW" w:bidi="ar-SA"/>
        </w:rPr>
        <w:t>村级动物防疫员补助经费项目</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仿宋_GB2312" w:hint="eastAsia"/>
          <w:kern w:val="2"/>
          <w:sz w:val="32"/>
          <w:szCs w:val="32"/>
          <w:lang w:val="en-US" w:eastAsia="zh-CN" w:bidi="ar-SA"/>
        </w:rPr>
      </w:pPr>
      <w:r>
        <w:rPr>
          <w:rFonts w:ascii="仿宋_GB2312" w:eastAsia="仿宋_GB2312" w:cs="仿宋_GB2312" w:hint="eastAsia"/>
          <w:sz w:val="32"/>
          <w:szCs w:val="32"/>
          <w:lang w:val="en-US" w:eastAsia="zh-CN"/>
        </w:rPr>
        <w:t>项目年度绩效目标：</w:t>
      </w:r>
      <w:r>
        <w:rPr>
          <w:rFonts w:ascii="仿宋_GB2312" w:eastAsia="仿宋_GB2312" w:cs="仿宋_GB2312" w:hint="eastAsia"/>
          <w:kern w:val="2"/>
          <w:sz w:val="32"/>
          <w:szCs w:val="32"/>
          <w:lang w:val="zh-TW" w:eastAsia="zh-TW" w:bidi="ar-SA"/>
        </w:rPr>
        <w:t>认真贯彻落实农业农村部和省、州重大动物疫病防控指挥部有关文件精神，紧紧围绕高致病性禽流感、口蹄疫、小反刍兽疫、布病、</w:t>
      </w:r>
      <w:r>
        <w:rPr>
          <w:rFonts w:ascii="仿宋_GB2312" w:eastAsia="仿宋_GB2312" w:cs="仿宋_GB2312" w:hint="eastAsia"/>
          <w:kern w:val="2"/>
          <w:sz w:val="32"/>
          <w:szCs w:val="32"/>
          <w:lang w:val="zh-TW" w:eastAsia="zh-CN" w:bidi="ar-SA"/>
        </w:rPr>
        <w:t>棘球蚴病</w:t>
      </w:r>
      <w:r>
        <w:rPr>
          <w:rFonts w:ascii="仿宋_GB2312" w:eastAsia="仿宋_GB2312" w:cs="仿宋_GB2312" w:hint="eastAsia"/>
          <w:kern w:val="2"/>
          <w:sz w:val="32"/>
          <w:szCs w:val="32"/>
          <w:lang w:val="zh-TW" w:eastAsia="zh-TW" w:bidi="ar-SA"/>
        </w:rPr>
        <w:t>等防控工作重点，狠抓强制免疫、疫情监测、检疫监管等工作环节，落实强制免疫村级防疫保障，确保我县无重大动物疫情发生，促进养殖业健康稳定高质量发展和人民群众身体健康。</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hint="eastAsia"/>
          <w:lang w:val="zh-TW" w:eastAsia="zh-TW"/>
        </w:rPr>
      </w:pPr>
      <w:r>
        <w:rPr>
          <w:rFonts w:ascii="仿宋_GB2312" w:eastAsia="仿宋_GB2312" w:cs="仿宋_GB2312" w:hint="eastAsia"/>
          <w:kern w:val="2"/>
          <w:sz w:val="32"/>
          <w:szCs w:val="32"/>
          <w:lang w:val="zh-TW" w:eastAsia="zh-TW" w:bidi="ar-SA"/>
        </w:rPr>
        <w:t>项目绩效目标情况具体如下：</w:t>
      </w:r>
      <w:r>
        <w:rPr>
          <w:rFonts w:ascii="仿宋_GB2312" w:eastAsia="仿宋_GB2312" w:cs="仿宋_GB2312" w:hint="eastAsia"/>
          <w:kern w:val="2"/>
          <w:sz w:val="32"/>
          <w:szCs w:val="32"/>
          <w:lang w:val="en-US" w:eastAsia="zh-TW" w:bidi="ar-SA"/>
        </w:rPr>
        <w:t>1</w:t>
      </w:r>
      <w:r>
        <w:rPr>
          <w:rFonts w:ascii="仿宋_GB2312" w:eastAsia="仿宋_GB2312" w:cs="仿宋_GB2312" w:hint="eastAsia"/>
          <w:kern w:val="2"/>
          <w:sz w:val="32"/>
          <w:szCs w:val="32"/>
          <w:lang w:val="zh-TW" w:eastAsia="zh-TW" w:bidi="ar-SA"/>
        </w:rPr>
        <w:t>、时效目标：所有项目在</w:t>
      </w:r>
      <w:r>
        <w:rPr>
          <w:rFonts w:ascii="仿宋_GB2312" w:eastAsia="仿宋_GB2312" w:cs="仿宋_GB2312" w:hint="eastAsia"/>
          <w:kern w:val="2"/>
          <w:sz w:val="32"/>
          <w:szCs w:val="32"/>
          <w:lang w:val="en-US" w:eastAsia="zh-CN" w:bidi="ar-SA"/>
        </w:rPr>
        <w:t>2026</w:t>
      </w:r>
      <w:r>
        <w:rPr>
          <w:rFonts w:ascii="仿宋_GB2312" w:eastAsia="仿宋_GB2312" w:cs="仿宋_GB2312" w:hint="eastAsia"/>
          <w:kern w:val="2"/>
          <w:sz w:val="32"/>
          <w:szCs w:val="32"/>
          <w:lang w:val="zh-TW" w:eastAsia="zh-TW" w:bidi="ar-SA"/>
        </w:rPr>
        <w:t>年底前完成。</w:t>
      </w:r>
      <w:r>
        <w:rPr>
          <w:rFonts w:ascii="仿宋_GB2312" w:eastAsia="仿宋_GB2312" w:cs="仿宋_GB2312" w:hint="eastAsia"/>
          <w:kern w:val="2"/>
          <w:sz w:val="32"/>
          <w:szCs w:val="32"/>
          <w:lang w:val="en-US" w:eastAsia="zh-TW" w:bidi="ar-SA"/>
        </w:rPr>
        <w:t>2</w:t>
      </w:r>
      <w:r>
        <w:rPr>
          <w:rFonts w:ascii="仿宋_GB2312" w:eastAsia="仿宋_GB2312" w:cs="仿宋_GB2312" w:hint="eastAsia"/>
          <w:kern w:val="2"/>
          <w:sz w:val="32"/>
          <w:szCs w:val="32"/>
          <w:lang w:val="zh-TW" w:eastAsia="zh-TW" w:bidi="ar-SA"/>
        </w:rPr>
        <w:t>、成本目标：</w:t>
      </w:r>
      <w:r>
        <w:rPr>
          <w:rFonts w:ascii="仿宋_GB2312" w:eastAsia="仿宋_GB2312" w:cs="仿宋_GB2312" w:hint="eastAsia"/>
          <w:kern w:val="2"/>
          <w:sz w:val="32"/>
          <w:szCs w:val="32"/>
          <w:lang w:val="en-US" w:eastAsia="zh-CN" w:bidi="ar-SA"/>
        </w:rPr>
        <w:t>2026</w:t>
      </w:r>
      <w:r>
        <w:rPr>
          <w:rFonts w:ascii="仿宋_GB2312" w:eastAsia="仿宋_GB2312" w:cs="仿宋_GB2312" w:hint="eastAsia"/>
          <w:kern w:val="2"/>
          <w:sz w:val="32"/>
          <w:szCs w:val="32"/>
          <w:lang w:val="zh-TW" w:eastAsia="zh-TW" w:bidi="ar-SA"/>
        </w:rPr>
        <w:t>县级财政资金</w:t>
      </w:r>
      <w:r>
        <w:rPr>
          <w:rFonts w:ascii="仿宋_GB2312" w:eastAsia="仿宋_GB2312" w:cs="仿宋_GB2312" w:hint="eastAsia"/>
          <w:kern w:val="2"/>
          <w:sz w:val="32"/>
          <w:szCs w:val="32"/>
          <w:lang w:val="en-US" w:eastAsia="zh-TW" w:bidi="ar-SA"/>
        </w:rPr>
        <w:t>10.464</w:t>
      </w:r>
      <w:r>
        <w:rPr>
          <w:rFonts w:ascii="仿宋_GB2312" w:eastAsia="仿宋_GB2312" w:cs="仿宋_GB2312" w:hint="eastAsia"/>
          <w:kern w:val="2"/>
          <w:sz w:val="32"/>
          <w:szCs w:val="32"/>
          <w:lang w:val="zh-TW" w:eastAsia="zh-TW" w:bidi="ar-SA"/>
        </w:rPr>
        <w:t>万元。经费用于</w:t>
      </w:r>
      <w:r>
        <w:rPr>
          <w:rFonts w:ascii="仿宋_GB2312" w:eastAsia="仿宋_GB2312" w:cs="仿宋_GB2312" w:hint="eastAsia"/>
          <w:kern w:val="2"/>
          <w:sz w:val="32"/>
          <w:szCs w:val="32"/>
          <w:lang w:val="en-US" w:eastAsia="zh-CN" w:bidi="ar-SA"/>
        </w:rPr>
        <w:t>2026</w:t>
      </w:r>
      <w:r>
        <w:rPr>
          <w:rFonts w:ascii="仿宋_GB2312" w:eastAsia="仿宋_GB2312" w:cs="仿宋_GB2312" w:hint="eastAsia"/>
          <w:kern w:val="2"/>
          <w:sz w:val="32"/>
          <w:szCs w:val="32"/>
          <w:lang w:val="zh-TW" w:eastAsia="zh-TW" w:bidi="ar-SA"/>
        </w:rPr>
        <w:t>年动物疫病防控村防疫员生活补助费。</w:t>
      </w:r>
      <w:r>
        <w:rPr>
          <w:rFonts w:ascii="仿宋_GB2312" w:eastAsia="仿宋_GB2312" w:cs="仿宋_GB2312" w:hint="eastAsia"/>
          <w:kern w:val="2"/>
          <w:sz w:val="32"/>
          <w:szCs w:val="32"/>
          <w:lang w:val="en-US" w:eastAsia="zh-TW" w:bidi="ar-SA"/>
        </w:rPr>
        <w:t>3</w:t>
      </w:r>
      <w:r>
        <w:rPr>
          <w:rFonts w:ascii="仿宋_GB2312" w:eastAsia="仿宋_GB2312" w:cs="仿宋_GB2312" w:hint="eastAsia"/>
          <w:kern w:val="2"/>
          <w:sz w:val="32"/>
          <w:szCs w:val="32"/>
          <w:lang w:val="zh-TW" w:eastAsia="zh-TW" w:bidi="ar-SA"/>
        </w:rPr>
        <w:t>、数量目标：完成全县</w:t>
      </w:r>
      <w:r>
        <w:rPr>
          <w:rFonts w:ascii="仿宋_GB2312" w:eastAsia="仿宋_GB2312" w:cs="仿宋_GB2312" w:hint="eastAsia"/>
          <w:kern w:val="2"/>
          <w:sz w:val="32"/>
          <w:szCs w:val="32"/>
          <w:lang w:val="en-US" w:eastAsia="zh-TW" w:bidi="ar-SA"/>
        </w:rPr>
        <w:t>85</w:t>
      </w:r>
      <w:r>
        <w:rPr>
          <w:rFonts w:ascii="仿宋_GB2312" w:eastAsia="仿宋_GB2312" w:cs="仿宋_GB2312" w:hint="eastAsia"/>
          <w:kern w:val="2"/>
          <w:sz w:val="32"/>
          <w:szCs w:val="32"/>
          <w:lang w:val="zh-TW" w:eastAsia="zh-TW" w:bidi="ar-SA"/>
        </w:rPr>
        <w:t>个村（</w:t>
      </w:r>
      <w:r>
        <w:rPr>
          <w:rFonts w:ascii="仿宋_GB2312" w:eastAsia="仿宋_GB2312" w:cs="仿宋_GB2312" w:hint="eastAsia"/>
          <w:kern w:val="2"/>
          <w:sz w:val="32"/>
          <w:szCs w:val="32"/>
          <w:lang w:val="en-US" w:eastAsia="zh-TW" w:bidi="ar-SA"/>
        </w:rPr>
        <w:t>109</w:t>
      </w:r>
      <w:r>
        <w:rPr>
          <w:rFonts w:ascii="仿宋_GB2312" w:eastAsia="仿宋_GB2312" w:cs="仿宋_GB2312" w:hint="eastAsia"/>
          <w:kern w:val="2"/>
          <w:sz w:val="32"/>
          <w:szCs w:val="32"/>
          <w:lang w:val="zh-TW" w:eastAsia="zh-TW" w:bidi="ar-SA"/>
        </w:rPr>
        <w:t>个点）重大动物疫病防疫工作。</w:t>
      </w:r>
    </w:p>
    <w:p>
      <w:pPr>
        <w:pStyle w:val="20"/>
        <w:spacing w:line="560" w:lineRule="exact"/>
        <w:ind w:left="0" w:firstLineChars="200" w:firstLine="640"/>
        <w:jc w:val="both"/>
        <w:rPr>
          <w:rFonts w:ascii="仿宋_GB2312" w:eastAsia="仿宋_GB2312" w:cs="仿宋_GB2312" w:hint="eastAsia"/>
          <w:kern w:val="2"/>
          <w:sz w:val="32"/>
          <w:szCs w:val="32"/>
          <w:lang w:val="zh-TW" w:eastAsia="zh-TW" w:bidi="ar-SA"/>
        </w:rPr>
      </w:pPr>
      <w:r>
        <w:rPr>
          <w:rFonts w:ascii="仿宋_GB2312" w:eastAsia="仿宋_GB2312" w:cs="仿宋_GB2312" w:hint="eastAsia"/>
          <w:kern w:val="2"/>
          <w:sz w:val="32"/>
          <w:szCs w:val="32"/>
          <w:lang w:val="zh-TW" w:eastAsia="zh-TW" w:bidi="ar-SA"/>
        </w:rPr>
        <w:t>项目绩效目标全面完整，契合习近平总书记关于加强国家生物安全风险防控和治理体系建设指示精神，坚持人病兽防、关口前移，从源头前端阻断人畜共患病的传播路径的防控理念，预计区域内农牧民满意度达</w:t>
      </w:r>
      <w:r>
        <w:rPr>
          <w:rFonts w:ascii="仿宋_GB2312" w:eastAsia="仿宋_GB2312" w:cs="仿宋_GB2312" w:hint="eastAsia"/>
          <w:kern w:val="2"/>
          <w:sz w:val="32"/>
          <w:szCs w:val="32"/>
          <w:lang w:val="en-US" w:eastAsia="zh-TW" w:bidi="ar-SA"/>
        </w:rPr>
        <w:t>9</w:t>
      </w:r>
      <w:r>
        <w:rPr>
          <w:rFonts w:ascii="仿宋_GB2312" w:eastAsia="仿宋_GB2312" w:cs="仿宋_GB2312" w:hint="eastAsia"/>
          <w:kern w:val="2"/>
          <w:sz w:val="32"/>
          <w:szCs w:val="32"/>
          <w:lang w:val="en-US" w:eastAsia="zh-CN" w:bidi="ar-SA"/>
        </w:rPr>
        <w:t>5</w:t>
      </w:r>
      <w:r>
        <w:rPr>
          <w:rFonts w:ascii="仿宋_GB2312" w:eastAsia="仿宋_GB2312" w:cs="仿宋_GB2312" w:hint="eastAsia"/>
          <w:kern w:val="2"/>
          <w:sz w:val="32"/>
          <w:szCs w:val="32"/>
          <w:lang w:val="en-US" w:eastAsia="zh-TW" w:bidi="ar-SA"/>
        </w:rPr>
        <w:t>%</w:t>
      </w:r>
      <w:r>
        <w:rPr>
          <w:rFonts w:ascii="仿宋_GB2312" w:eastAsia="仿宋_GB2312" w:cs="仿宋_GB2312" w:hint="eastAsia"/>
          <w:kern w:val="2"/>
          <w:sz w:val="32"/>
          <w:szCs w:val="32"/>
          <w:lang w:val="zh-TW" w:eastAsia="zh-TW" w:bidi="ar-SA"/>
        </w:rPr>
        <w:t>以上。</w:t>
      </w:r>
    </w:p>
    <w:p>
      <w:pPr>
        <w:pStyle w:val="20"/>
        <w:spacing w:line="560" w:lineRule="exact"/>
        <w:ind w:left="0" w:firstLineChars="200" w:firstLine="640"/>
        <w:jc w:val="center"/>
        <w:rPr>
          <w:rFonts w:ascii="仿宋_GB2312" w:eastAsia="仿宋_GB2312" w:cs="仿宋_GB2312" w:hint="eastAsia"/>
          <w:sz w:val="32"/>
          <w:szCs w:val="32"/>
          <w:lang w:val="en-US" w:eastAsia="zh-CN"/>
        </w:rPr>
      </w:pPr>
      <w:r>
        <w:rPr>
          <w:rFonts w:ascii="仿宋" w:eastAsia="仿宋" w:cs="仿宋"/>
          <w:lang w:val="zh-TW" w:eastAsia="zh-TW"/>
        </w:rPr>
        <w:t>村级动物防疫员补助经费</w:t>
      </w:r>
      <w:r>
        <w:rPr>
          <w:rFonts w:ascii="仿宋_GB2312" w:eastAsia="仿宋_GB2312" w:hint="eastAsia"/>
        </w:rPr>
        <w:t>项目绩效目标表</w:t>
      </w:r>
    </w:p>
    <w:tbl>
      <w:tblPr>
        <w:jc w:val="center"/>
        <w:tblW w:w="8548"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662"/>
        <w:gridCol w:w="1093"/>
        <w:gridCol w:w="1227"/>
        <w:gridCol w:w="1457"/>
        <w:gridCol w:w="2237"/>
        <w:gridCol w:w="468"/>
        <w:gridCol w:w="1404"/>
      </w:tblGrid>
      <w:tr>
        <w:trPr>
          <w:trHeight w:val="540"/>
        </w:trPr>
        <w:tc>
          <w:tcPr>
            <w:tcW w:w="175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项目名称</w:t>
            </w:r>
          </w:p>
        </w:tc>
        <w:tc>
          <w:tcPr>
            <w:tcW w:w="2684"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hint="eastAsia"/>
                <w:i w:val="0"/>
                <w:iCs w:val="0"/>
                <w:color w:val="000000"/>
                <w:kern w:val="0"/>
                <w:sz w:val="20"/>
                <w:szCs w:val="20"/>
                <w:u w:val="none"/>
                <w:lang w:val="en-US" w:eastAsia="zh-CN"/>
              </w:rPr>
              <w:t>2026年</w:t>
            </w:r>
            <w:r>
              <w:rPr>
                <w:rFonts w:ascii="Times New Roman" w:eastAsia="宋体" w:cs="Times New Roman" w:hAnsi="Times New Roman"/>
                <w:i w:val="0"/>
                <w:iCs w:val="0"/>
                <w:color w:val="000000"/>
                <w:kern w:val="0"/>
                <w:sz w:val="20"/>
                <w:szCs w:val="20"/>
                <w:u w:val="none"/>
                <w:lang w:val="en-US" w:eastAsia="zh-CN"/>
              </w:rPr>
              <w:t>村防疫员州级财政补助经费项目</w:t>
            </w:r>
          </w:p>
        </w:tc>
        <w:tc>
          <w:tcPr>
            <w:tcW w:w="223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项目负责人及联系电话</w:t>
            </w:r>
          </w:p>
        </w:tc>
        <w:tc>
          <w:tcPr>
            <w:tcW w:w="1872"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张爽 17336803860</w:t>
            </w:r>
          </w:p>
        </w:tc>
      </w:tr>
      <w:tr>
        <w:trPr>
          <w:trHeight w:val="499"/>
        </w:trPr>
        <w:tc>
          <w:tcPr>
            <w:tcW w:w="175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主管部门</w:t>
            </w:r>
          </w:p>
        </w:tc>
        <w:tc>
          <w:tcPr>
            <w:tcW w:w="2684"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金川县科学技术和农业畜牧局</w:t>
            </w:r>
          </w:p>
        </w:tc>
        <w:tc>
          <w:tcPr>
            <w:tcW w:w="223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实施单位</w:t>
            </w:r>
          </w:p>
        </w:tc>
        <w:tc>
          <w:tcPr>
            <w:tcW w:w="1872"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金川县畜牧兽医服务中心</w:t>
            </w:r>
          </w:p>
        </w:tc>
      </w:tr>
      <w:tr>
        <w:trPr>
          <w:trHeight w:val="319"/>
        </w:trPr>
        <w:tc>
          <w:tcPr>
            <w:tcW w:w="1755"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资金情况</w:t>
              <w:br/>
              <w:t>（万元）</w:t>
            </w:r>
          </w:p>
        </w:tc>
        <w:tc>
          <w:tcPr>
            <w:tcW w:w="2684"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年度资金总额：</w:t>
            </w:r>
          </w:p>
        </w:tc>
        <w:tc>
          <w:tcPr>
            <w:tcW w:w="4109" w:type="dxa"/>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Times New Roman" w:eastAsia="宋体" w:cs="Times New Roman" w:hAnsi="Times New Roman"/>
                <w:i w:val="0"/>
                <w:iCs w:val="0"/>
                <w:color w:val="000000"/>
                <w:sz w:val="20"/>
                <w:szCs w:val="20"/>
                <w:u w:val="none"/>
                <w:lang w:val="en-US"/>
              </w:rPr>
            </w:pPr>
            <w:r>
              <w:rPr>
                <w:rFonts w:ascii="Times New Roman" w:eastAsia="宋体" w:cs="Times New Roman" w:hAnsi="Times New Roman"/>
                <w:i w:val="0"/>
                <w:iCs w:val="0"/>
                <w:color w:val="000000"/>
                <w:kern w:val="0"/>
                <w:sz w:val="20"/>
                <w:szCs w:val="20"/>
                <w:u w:val="none"/>
                <w:lang w:val="en-US" w:eastAsia="zh-CN"/>
              </w:rPr>
              <w:t>10.464</w:t>
            </w:r>
          </w:p>
        </w:tc>
      </w:tr>
      <w:tr>
        <w:trPr>
          <w:trHeight w:val="520"/>
        </w:trPr>
        <w:tc>
          <w:tcPr>
            <w:tcW w:w="1755" w:type="dxa"/>
            <w:gridSpan w:val="2"/>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c>
          <w:tcPr>
            <w:tcW w:w="2684"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其中：财政拨款</w:t>
            </w:r>
          </w:p>
        </w:tc>
        <w:tc>
          <w:tcPr>
            <w:tcW w:w="4109" w:type="dxa"/>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Times New Roman" w:eastAsia="宋体" w:cs="Times New Roman" w:hAnsi="Times New Roman"/>
                <w:i w:val="0"/>
                <w:iCs w:val="0"/>
                <w:color w:val="000000"/>
                <w:sz w:val="20"/>
                <w:szCs w:val="20"/>
                <w:u w:val="none"/>
                <w:lang w:val="en-US"/>
              </w:rPr>
            </w:pPr>
            <w:r>
              <w:rPr>
                <w:rFonts w:ascii="Times New Roman" w:eastAsia="宋体" w:cs="Times New Roman" w:hAnsi="Times New Roman"/>
                <w:i w:val="0"/>
                <w:iCs w:val="0"/>
                <w:color w:val="000000"/>
                <w:kern w:val="0"/>
                <w:sz w:val="20"/>
                <w:szCs w:val="20"/>
                <w:u w:val="none"/>
                <w:lang w:val="en-US" w:eastAsia="zh-CN"/>
              </w:rPr>
              <w:t>10.464</w:t>
            </w:r>
          </w:p>
        </w:tc>
      </w:tr>
      <w:tr>
        <w:trPr>
          <w:trHeight w:val="319"/>
        </w:trPr>
        <w:tc>
          <w:tcPr>
            <w:tcW w:w="1755" w:type="dxa"/>
            <w:gridSpan w:val="2"/>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c>
          <w:tcPr>
            <w:tcW w:w="2684"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 xml:space="preserve">             其他资金</w:t>
            </w:r>
          </w:p>
        </w:tc>
        <w:tc>
          <w:tcPr>
            <w:tcW w:w="4109" w:type="dxa"/>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0</w:t>
            </w:r>
          </w:p>
        </w:tc>
      </w:tr>
      <w:tr>
        <w:trPr>
          <w:trHeight w:val="319"/>
        </w:trPr>
        <w:tc>
          <w:tcPr>
            <w:tcW w:w="662"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总</w:t>
              <w:br/>
              <w:t>体</w:t>
              <w:br/>
              <w:t>目</w:t>
              <w:br/>
              <w:t>标</w:t>
            </w:r>
          </w:p>
        </w:tc>
        <w:tc>
          <w:tcPr>
            <w:tcW w:w="7886" w:type="dxa"/>
            <w:gridSpan w:val="6"/>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年度目标</w:t>
            </w:r>
          </w:p>
        </w:tc>
      </w:tr>
      <w:tr>
        <w:trPr>
          <w:trHeight w:val="856"/>
        </w:trPr>
        <w:tc>
          <w:tcPr>
            <w:tcW w:w="662"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c>
          <w:tcPr>
            <w:tcW w:w="7886" w:type="dxa"/>
            <w:gridSpan w:val="6"/>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高致病性禽流感、口蹄疫、小反刍兽疫、布病、</w:t>
            </w:r>
            <w:r>
              <w:rPr>
                <w:rFonts w:ascii="Times New Roman" w:eastAsia="宋体" w:cs="Times New Roman" w:hAnsi="Times New Roman" w:hint="eastAsia"/>
                <w:i w:val="0"/>
                <w:iCs w:val="0"/>
                <w:color w:val="000000"/>
                <w:kern w:val="0"/>
                <w:sz w:val="20"/>
                <w:szCs w:val="20"/>
                <w:u w:val="none"/>
                <w:lang w:val="en-US" w:eastAsia="zh-CN"/>
              </w:rPr>
              <w:t>棘球蚴病</w:t>
            </w:r>
            <w:r>
              <w:rPr>
                <w:rFonts w:ascii="Times New Roman" w:eastAsia="宋体" w:cs="Times New Roman" w:hAnsi="Times New Roman"/>
                <w:i w:val="0"/>
                <w:iCs w:val="0"/>
                <w:color w:val="000000"/>
                <w:kern w:val="0"/>
                <w:sz w:val="20"/>
                <w:szCs w:val="20"/>
                <w:u w:val="none"/>
                <w:lang w:val="en-US" w:eastAsia="zh-CN"/>
              </w:rPr>
              <w:t>等应免畜禽免疫密度达90%以上；抗体合格率达70%以上；完成</w:t>
            </w:r>
            <w:r>
              <w:rPr>
                <w:rFonts w:ascii="Times New Roman" w:eastAsia="宋体" w:cs="Times New Roman" w:hAnsi="Times New Roman" w:hint="eastAsia"/>
                <w:i w:val="0"/>
                <w:iCs w:val="0"/>
                <w:color w:val="000000"/>
                <w:kern w:val="0"/>
                <w:sz w:val="20"/>
                <w:szCs w:val="20"/>
                <w:u w:val="none"/>
                <w:lang w:val="en-US" w:eastAsia="zh-CN"/>
              </w:rPr>
              <w:t>棘球蚴病</w:t>
            </w:r>
            <w:r>
              <w:rPr>
                <w:rFonts w:ascii="Times New Roman" w:eastAsia="宋体" w:cs="Times New Roman" w:hAnsi="Times New Roman"/>
                <w:i w:val="0"/>
                <w:iCs w:val="0"/>
                <w:color w:val="000000"/>
                <w:kern w:val="0"/>
                <w:sz w:val="20"/>
                <w:szCs w:val="20"/>
                <w:u w:val="none"/>
                <w:lang w:val="en-US" w:eastAsia="zh-CN"/>
              </w:rPr>
              <w:t>犬驱虫，病死畜禽100%实现无害化处理。</w:t>
            </w:r>
          </w:p>
        </w:tc>
      </w:tr>
      <w:tr>
        <w:trPr>
          <w:trHeight w:val="312"/>
        </w:trPr>
        <w:tc>
          <w:tcPr>
            <w:tcW w:w="662"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绩</w:t>
              <w:br/>
              <w:t>效</w:t>
              <w:br/>
              <w:t>指</w:t>
              <w:br/>
              <w:t>标</w:t>
            </w:r>
          </w:p>
        </w:tc>
        <w:tc>
          <w:tcPr>
            <w:tcW w:w="109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一级指标</w:t>
            </w:r>
          </w:p>
        </w:tc>
        <w:tc>
          <w:tcPr>
            <w:tcW w:w="12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二级指标</w:t>
            </w:r>
          </w:p>
        </w:tc>
        <w:tc>
          <w:tcPr>
            <w:tcW w:w="4162" w:type="dxa"/>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三级指标</w:t>
            </w:r>
          </w:p>
        </w:tc>
        <w:tc>
          <w:tcPr>
            <w:tcW w:w="1404"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指标值</w:t>
            </w:r>
          </w:p>
        </w:tc>
      </w:tr>
      <w:tr>
        <w:trPr>
          <w:trHeight w:val="460"/>
        </w:trPr>
        <w:tc>
          <w:tcPr>
            <w:tcW w:w="662"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c>
          <w:tcPr>
            <w:tcW w:w="1093" w:type="dxa"/>
            <w:vMerge w:val="restart"/>
            <w:tcBorders>
              <w:top w:val="nil"/>
              <w:left w:val="single" w:sz="4" w:space="0" w:color="000000"/>
              <w:bottom w:val="nil"/>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产出指标</w:t>
            </w:r>
          </w:p>
        </w:tc>
        <w:tc>
          <w:tcPr>
            <w:tcW w:w="1227"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数量指标</w:t>
            </w:r>
          </w:p>
        </w:tc>
        <w:tc>
          <w:tcPr>
            <w:tcW w:w="416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完成全县牲畜的重大动物疫病免疫工作</w:t>
            </w:r>
          </w:p>
        </w:tc>
        <w:tc>
          <w:tcPr>
            <w:tcW w:w="1404"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400" w:lineRule="exact"/>
              <w:jc w:val="center"/>
              <w:rPr>
                <w:rFonts w:ascii="Times New Roman" w:eastAsia="宋体" w:cs="Times New Roman" w:hAnsi="Times New Roman"/>
                <w:i w:val="0"/>
                <w:iCs w:val="0"/>
                <w:color w:val="000000"/>
                <w:sz w:val="20"/>
                <w:szCs w:val="20"/>
                <w:u w:val="none"/>
                <w:lang w:val="en-US" w:eastAsia="zh-CN"/>
              </w:rPr>
            </w:pPr>
            <w:r>
              <w:rPr>
                <w:rFonts w:eastAsia="宋体" w:cs="Times New Roman" w:hint="eastAsia"/>
                <w:i w:val="0"/>
                <w:iCs w:val="0"/>
                <w:color w:val="000000"/>
                <w:sz w:val="20"/>
                <w:szCs w:val="20"/>
                <w:u w:val="none"/>
                <w:lang w:val="en-US" w:eastAsia="zh-CN"/>
              </w:rPr>
              <w:t>100%</w:t>
            </w:r>
          </w:p>
        </w:tc>
      </w:tr>
      <w:tr>
        <w:trPr>
          <w:trHeight w:val="312"/>
        </w:trPr>
        <w:tc>
          <w:tcPr>
            <w:tcW w:w="662"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c>
          <w:tcPr>
            <w:tcW w:w="1093" w:type="dxa"/>
            <w:vMerge/>
            <w:tcBorders>
              <w:top w:val="nil"/>
              <w:left w:val="single" w:sz="4" w:space="0" w:color="000000"/>
              <w:bottom w:val="nil"/>
              <w:right w:val="single" w:sz="4" w:space="0" w:color="000000"/>
            </w:tcBorders>
            <w:shd w:val="clear" w:color="auto" w:fill="FFFFFF"/>
            <w:noWrap/>
            <w:vAlign w:val="center"/>
          </w:tcPr>
          <w:p/>
        </w:tc>
        <w:tc>
          <w:tcPr>
            <w:tcW w:w="1227"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c>
          <w:tcPr>
            <w:tcW w:w="416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Times New Roman" w:eastAsia="宋体" w:cs="Times New Roman" w:hAnsi="Times New Roman"/>
                <w:i w:val="0"/>
                <w:iCs w:val="0"/>
                <w:color w:val="000000"/>
                <w:sz w:val="20"/>
                <w:szCs w:val="20"/>
                <w:u w:val="none"/>
                <w:lang w:val="en-US" w:eastAsia="zh-CN"/>
              </w:rPr>
            </w:pPr>
            <w:r>
              <w:rPr>
                <w:rFonts w:ascii="Times New Roman" w:eastAsia="宋体" w:cs="Times New Roman" w:hAnsi="Times New Roman"/>
                <w:i w:val="0"/>
                <w:iCs w:val="0"/>
                <w:color w:val="000000"/>
                <w:kern w:val="0"/>
                <w:sz w:val="20"/>
                <w:szCs w:val="20"/>
                <w:u w:val="none"/>
                <w:lang w:val="en-US" w:eastAsia="zh-CN"/>
              </w:rPr>
              <w:t>完成</w:t>
            </w:r>
            <w:r>
              <w:rPr>
                <w:rFonts w:ascii="Times New Roman" w:eastAsia="宋体" w:cs="Times New Roman" w:hAnsi="Times New Roman" w:hint="eastAsia"/>
                <w:i w:val="0"/>
                <w:iCs w:val="0"/>
                <w:color w:val="000000"/>
                <w:kern w:val="0"/>
                <w:sz w:val="20"/>
                <w:szCs w:val="20"/>
                <w:u w:val="none"/>
                <w:lang w:val="en-US" w:eastAsia="zh-CN"/>
              </w:rPr>
              <w:t>棘球蚴病</w:t>
            </w:r>
            <w:r>
              <w:rPr>
                <w:rFonts w:ascii="Times New Roman" w:eastAsia="宋体" w:cs="Times New Roman" w:hAnsi="Times New Roman"/>
                <w:i w:val="0"/>
                <w:iCs w:val="0"/>
                <w:color w:val="000000"/>
                <w:kern w:val="0"/>
                <w:sz w:val="20"/>
                <w:szCs w:val="20"/>
                <w:u w:val="none"/>
                <w:lang w:val="en-US" w:eastAsia="zh-CN"/>
              </w:rPr>
              <w:t>犬只驱虫工作、羊</w:t>
            </w:r>
            <w:r>
              <w:rPr>
                <w:rFonts w:ascii="Times New Roman" w:eastAsia="宋体" w:cs="Times New Roman" w:hAnsi="Times New Roman" w:hint="eastAsia"/>
                <w:i w:val="0"/>
                <w:iCs w:val="0"/>
                <w:color w:val="000000"/>
                <w:kern w:val="0"/>
                <w:sz w:val="20"/>
                <w:szCs w:val="20"/>
                <w:u w:val="none"/>
                <w:lang w:val="en-US" w:eastAsia="zh-CN"/>
              </w:rPr>
              <w:t>棘球蚴病</w:t>
            </w:r>
            <w:r>
              <w:rPr>
                <w:rFonts w:ascii="Times New Roman" w:eastAsia="宋体" w:cs="Times New Roman" w:hAnsi="Times New Roman"/>
                <w:i w:val="0"/>
                <w:iCs w:val="0"/>
                <w:color w:val="000000"/>
                <w:kern w:val="0"/>
                <w:sz w:val="20"/>
                <w:szCs w:val="20"/>
                <w:u w:val="none"/>
                <w:lang w:val="en-US" w:eastAsia="zh-CN"/>
              </w:rPr>
              <w:t>免疫工作</w:t>
            </w:r>
          </w:p>
        </w:tc>
        <w:tc>
          <w:tcPr>
            <w:tcW w:w="14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center"/>
              <w:rPr>
                <w:rFonts w:ascii="Times New Roman" w:eastAsia="宋体" w:cs="Times New Roman" w:hAnsi="Times New Roman"/>
                <w:i w:val="0"/>
                <w:iCs w:val="0"/>
                <w:color w:val="000000"/>
                <w:sz w:val="20"/>
                <w:szCs w:val="20"/>
                <w:u w:val="none"/>
                <w:lang w:val="en-US" w:eastAsia="zh-CN"/>
              </w:rPr>
            </w:pPr>
            <w:r>
              <w:rPr>
                <w:rFonts w:eastAsia="宋体" w:cs="Times New Roman" w:hint="eastAsia"/>
                <w:i w:val="0"/>
                <w:iCs w:val="0"/>
                <w:color w:val="000000"/>
                <w:sz w:val="20"/>
                <w:szCs w:val="20"/>
                <w:u w:val="none"/>
                <w:lang w:val="en-US" w:eastAsia="zh-CN"/>
              </w:rPr>
              <w:t>4293</w:t>
            </w:r>
          </w:p>
        </w:tc>
      </w:tr>
      <w:tr>
        <w:trPr>
          <w:trHeight w:val="402"/>
        </w:trPr>
        <w:tc>
          <w:tcPr>
            <w:tcW w:w="662"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c>
          <w:tcPr>
            <w:tcW w:w="1093" w:type="dxa"/>
            <w:vMerge/>
            <w:tcBorders>
              <w:top w:val="nil"/>
              <w:left w:val="single" w:sz="4" w:space="0" w:color="000000"/>
              <w:bottom w:val="nil"/>
              <w:right w:val="single" w:sz="4" w:space="0" w:color="000000"/>
            </w:tcBorders>
            <w:shd w:val="clear" w:color="auto" w:fill="FFFFFF"/>
            <w:noWrap/>
            <w:vAlign w:val="center"/>
          </w:tcPr>
          <w:p/>
        </w:tc>
        <w:tc>
          <w:tcPr>
            <w:tcW w:w="1227" w:type="dxa"/>
            <w:vMerge w:val="restart"/>
            <w:tcBorders>
              <w:top w:val="nil"/>
              <w:left w:val="single" w:sz="4" w:space="0" w:color="000000"/>
              <w:bottom w:val="nil"/>
              <w:right w:val="single" w:sz="4" w:space="0" w:color="000000"/>
            </w:tcBorders>
            <w:shd w:val="clear" w:color="auto" w:fill="FFFFFF"/>
            <w:noWrap/>
            <w:vAlign w:val="center"/>
          </w:tcPr>
          <w:p>
            <w:pPr>
              <w:keepNext w:val="0"/>
              <w:keepLines w:val="0"/>
              <w:pageBreakBefore w:val="0"/>
              <w:widowControl w:val="0"/>
              <w:kinsoku/>
              <w:wordWrap/>
              <w:overflowPunct/>
              <w:topLinePunct w:val="0"/>
              <w:autoSpaceDE/>
              <w:autoSpaceDN/>
              <w:bidi w:val="0"/>
              <w:adjustRightInd/>
              <w:snapToGrid/>
              <w:spacing w:line="400" w:lineRule="exact"/>
              <w:jc w:val="center"/>
              <w:rPr>
                <w:rFonts w:ascii="Times New Roman" w:eastAsia="宋体" w:cs="Times New Roman" w:hAnsi="Times New Roman" w:hint="eastAsia"/>
                <w:i w:val="0"/>
                <w:iCs w:val="0"/>
                <w:color w:val="000000"/>
                <w:sz w:val="20"/>
                <w:szCs w:val="20"/>
                <w:u w:val="none"/>
                <w:lang w:val="en-US" w:eastAsia="zh-CN"/>
              </w:rPr>
            </w:pPr>
            <w:r>
              <w:rPr>
                <w:rFonts w:eastAsia="宋体" w:cs="Times New Roman" w:hint="eastAsia"/>
                <w:i w:val="0"/>
                <w:iCs w:val="0"/>
                <w:color w:val="000000"/>
                <w:sz w:val="20"/>
                <w:szCs w:val="20"/>
                <w:u w:val="none"/>
                <w:lang w:val="en-US" w:eastAsia="zh-CN"/>
              </w:rPr>
              <w:t>质量指标</w:t>
            </w:r>
          </w:p>
        </w:tc>
        <w:tc>
          <w:tcPr>
            <w:tcW w:w="416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突发重大疫病处置率</w:t>
            </w:r>
          </w:p>
        </w:tc>
        <w:tc>
          <w:tcPr>
            <w:tcW w:w="14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100%</w:t>
            </w:r>
          </w:p>
        </w:tc>
      </w:tr>
      <w:tr>
        <w:trPr>
          <w:trHeight w:val="402"/>
        </w:trPr>
        <w:tc>
          <w:tcPr>
            <w:tcW w:w="662"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c>
          <w:tcPr>
            <w:tcW w:w="1093" w:type="dxa"/>
            <w:vMerge/>
            <w:tcBorders>
              <w:top w:val="nil"/>
              <w:left w:val="single" w:sz="4" w:space="0" w:color="000000"/>
              <w:bottom w:val="nil"/>
              <w:right w:val="single" w:sz="4" w:space="0" w:color="000000"/>
            </w:tcBorders>
            <w:shd w:val="clear" w:color="auto" w:fill="FFFFFF"/>
            <w:noWrap/>
            <w:vAlign w:val="center"/>
          </w:tcPr>
          <w:p/>
        </w:tc>
        <w:tc>
          <w:tcPr>
            <w:tcW w:w="1227" w:type="dxa"/>
            <w:vMerge/>
            <w:tcBorders>
              <w:top w:val="nil"/>
              <w:left w:val="single" w:sz="4" w:space="0" w:color="000000"/>
              <w:bottom w:val="nil"/>
              <w:right w:val="single" w:sz="4" w:space="0" w:color="000000"/>
            </w:tcBorders>
            <w:shd w:val="clear" w:color="auto" w:fill="FFFFFF"/>
            <w:noWrap/>
            <w:vAlign w:val="center"/>
          </w:tcPr>
          <w:p/>
        </w:tc>
        <w:tc>
          <w:tcPr>
            <w:tcW w:w="416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重大动物疫病应免畜禽免疫率</w:t>
            </w:r>
          </w:p>
        </w:tc>
        <w:tc>
          <w:tcPr>
            <w:tcW w:w="14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100%</w:t>
            </w:r>
          </w:p>
        </w:tc>
      </w:tr>
      <w:tr>
        <w:trPr>
          <w:trHeight w:val="402"/>
        </w:trPr>
        <w:tc>
          <w:tcPr>
            <w:tcW w:w="662"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c>
          <w:tcPr>
            <w:tcW w:w="1093" w:type="dxa"/>
            <w:vMerge/>
            <w:tcBorders>
              <w:top w:val="nil"/>
              <w:left w:val="single" w:sz="4" w:space="0" w:color="000000"/>
              <w:bottom w:val="nil"/>
              <w:right w:val="single" w:sz="4" w:space="0" w:color="000000"/>
            </w:tcBorders>
            <w:shd w:val="clear" w:color="auto" w:fill="FFFFFF"/>
            <w:noWrap/>
            <w:vAlign w:val="center"/>
          </w:tcPr>
          <w:p/>
        </w:tc>
        <w:tc>
          <w:tcPr>
            <w:tcW w:w="1227" w:type="dxa"/>
            <w:vMerge/>
            <w:tcBorders>
              <w:top w:val="nil"/>
              <w:left w:val="single" w:sz="4" w:space="0" w:color="000000"/>
              <w:bottom w:val="nil"/>
              <w:right w:val="single" w:sz="4" w:space="0" w:color="000000"/>
            </w:tcBorders>
            <w:shd w:val="clear" w:color="auto" w:fill="FFFFFF"/>
            <w:noWrap/>
            <w:vAlign w:val="center"/>
          </w:tcPr>
          <w:p/>
        </w:tc>
        <w:tc>
          <w:tcPr>
            <w:tcW w:w="416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抗体合格率</w:t>
            </w:r>
          </w:p>
        </w:tc>
        <w:tc>
          <w:tcPr>
            <w:tcW w:w="14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70%</w:t>
            </w:r>
          </w:p>
        </w:tc>
      </w:tr>
      <w:tr>
        <w:trPr>
          <w:trHeight w:val="402"/>
        </w:trPr>
        <w:tc>
          <w:tcPr>
            <w:tcW w:w="662"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c>
          <w:tcPr>
            <w:tcW w:w="1093" w:type="dxa"/>
            <w:vMerge/>
            <w:tcBorders>
              <w:top w:val="nil"/>
              <w:left w:val="single" w:sz="4" w:space="0" w:color="000000"/>
              <w:bottom w:val="nil"/>
              <w:right w:val="single" w:sz="4" w:space="0" w:color="000000"/>
            </w:tcBorders>
            <w:shd w:val="clear" w:color="auto" w:fill="FFFFFF"/>
            <w:noWrap/>
            <w:vAlign w:val="center"/>
          </w:tcPr>
          <w:p/>
        </w:tc>
        <w:tc>
          <w:tcPr>
            <w:tcW w:w="1227" w:type="dxa"/>
            <w:vMerge/>
            <w:tcBorders>
              <w:top w:val="nil"/>
              <w:left w:val="single" w:sz="4" w:space="0" w:color="000000"/>
              <w:bottom w:val="nil"/>
              <w:right w:val="single" w:sz="4" w:space="0" w:color="000000"/>
            </w:tcBorders>
            <w:shd w:val="clear" w:color="auto" w:fill="FFFFFF"/>
            <w:noWrap/>
            <w:vAlign w:val="center"/>
          </w:tcPr>
          <w:p/>
        </w:tc>
        <w:tc>
          <w:tcPr>
            <w:tcW w:w="416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病死畜禽无害化处理</w:t>
            </w:r>
          </w:p>
        </w:tc>
        <w:tc>
          <w:tcPr>
            <w:tcW w:w="14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100%</w:t>
            </w:r>
          </w:p>
        </w:tc>
      </w:tr>
      <w:tr>
        <w:trPr>
          <w:trHeight w:val="312"/>
        </w:trPr>
        <w:tc>
          <w:tcPr>
            <w:tcW w:w="662"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c>
          <w:tcPr>
            <w:tcW w:w="1093" w:type="dxa"/>
            <w:vMerge/>
            <w:tcBorders>
              <w:top w:val="nil"/>
              <w:left w:val="single" w:sz="4" w:space="0" w:color="000000"/>
              <w:bottom w:val="nil"/>
              <w:right w:val="single" w:sz="4" w:space="0" w:color="000000"/>
            </w:tcBorders>
            <w:shd w:val="clear" w:color="auto" w:fill="FFFFFF"/>
            <w:noWrap/>
            <w:vAlign w:val="center"/>
          </w:tcPr>
          <w:p/>
        </w:tc>
        <w:tc>
          <w:tcPr>
            <w:tcW w:w="1227" w:type="dxa"/>
            <w:tcBorders>
              <w:top w:val="single" w:sz="4" w:space="0" w:color="000000"/>
              <w:left w:val="single" w:sz="4" w:space="0" w:color="000000"/>
              <w:bottom w:val="nil"/>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时效指标</w:t>
            </w:r>
          </w:p>
        </w:tc>
        <w:tc>
          <w:tcPr>
            <w:tcW w:w="4162" w:type="dxa"/>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重大动物疫病防控完成时限</w:t>
            </w:r>
          </w:p>
        </w:tc>
        <w:tc>
          <w:tcPr>
            <w:tcW w:w="1404"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hint="eastAsia"/>
                <w:i w:val="0"/>
                <w:iCs w:val="0"/>
                <w:color w:val="000000"/>
                <w:kern w:val="0"/>
                <w:sz w:val="20"/>
                <w:szCs w:val="20"/>
                <w:u w:val="none"/>
                <w:lang w:val="en-US" w:eastAsia="zh-CN"/>
              </w:rPr>
              <w:t>2026</w:t>
            </w:r>
            <w:r>
              <w:rPr>
                <w:rFonts w:ascii="Times New Roman" w:eastAsia="宋体" w:cs="Times New Roman" w:hAnsi="Times New Roman"/>
                <w:i w:val="0"/>
                <w:iCs w:val="0"/>
                <w:color w:val="000000"/>
                <w:kern w:val="0"/>
                <w:sz w:val="20"/>
                <w:szCs w:val="20"/>
                <w:u w:val="none"/>
                <w:lang w:val="en-US" w:eastAsia="zh-CN"/>
              </w:rPr>
              <w:t>年12月</w:t>
            </w:r>
          </w:p>
        </w:tc>
      </w:tr>
      <w:tr>
        <w:trPr>
          <w:trHeight w:val="288"/>
        </w:trPr>
        <w:tc>
          <w:tcPr>
            <w:tcW w:w="662"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c>
          <w:tcPr>
            <w:tcW w:w="1093" w:type="dxa"/>
            <w:vMerge/>
            <w:tcBorders>
              <w:top w:val="nil"/>
              <w:left w:val="single" w:sz="4" w:space="0" w:color="000000"/>
              <w:bottom w:val="nil"/>
              <w:right w:val="single" w:sz="4" w:space="0" w:color="000000"/>
            </w:tcBorders>
            <w:shd w:val="clear" w:color="auto" w:fill="FFFFFF"/>
            <w:noWrap/>
            <w:vAlign w:val="center"/>
          </w:tcPr>
          <w:p/>
        </w:tc>
        <w:tc>
          <w:tcPr>
            <w:tcW w:w="1227" w:type="dxa"/>
            <w:tcBorders>
              <w:top w:val="single" w:sz="4" w:space="0" w:color="000000"/>
              <w:left w:val="single" w:sz="4" w:space="0" w:color="000000"/>
              <w:bottom w:val="nil"/>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成本指标</w:t>
            </w:r>
          </w:p>
        </w:tc>
        <w:tc>
          <w:tcPr>
            <w:tcW w:w="4162" w:type="dxa"/>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村防疫员生活补助</w:t>
            </w:r>
          </w:p>
        </w:tc>
        <w:tc>
          <w:tcPr>
            <w:tcW w:w="1404"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Times New Roman" w:eastAsia="宋体" w:cs="Times New Roman" w:hAnsi="Times New Roman"/>
                <w:i w:val="0"/>
                <w:iCs w:val="0"/>
                <w:color w:val="000000"/>
                <w:sz w:val="20"/>
                <w:szCs w:val="20"/>
                <w:u w:val="none"/>
                <w:lang w:val="en-US"/>
              </w:rPr>
            </w:pPr>
            <w:r>
              <w:rPr>
                <w:rFonts w:ascii="Times New Roman" w:eastAsia="宋体" w:cs="Times New Roman" w:hAnsi="Times New Roman"/>
                <w:i w:val="0"/>
                <w:iCs w:val="0"/>
                <w:color w:val="000000"/>
                <w:kern w:val="0"/>
                <w:sz w:val="20"/>
                <w:szCs w:val="20"/>
                <w:u w:val="none"/>
                <w:lang w:val="en-US" w:eastAsia="zh-CN"/>
              </w:rPr>
              <w:t>10.464</w:t>
            </w:r>
          </w:p>
        </w:tc>
      </w:tr>
      <w:tr>
        <w:trPr>
          <w:trHeight w:val="312"/>
        </w:trPr>
        <w:tc>
          <w:tcPr>
            <w:tcW w:w="662"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c>
          <w:tcPr>
            <w:tcW w:w="109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效益指标</w:t>
            </w:r>
          </w:p>
        </w:tc>
        <w:tc>
          <w:tcPr>
            <w:tcW w:w="1227"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社会效益</w:t>
              <w:br/>
              <w:t>指标</w:t>
            </w:r>
          </w:p>
        </w:tc>
        <w:tc>
          <w:tcPr>
            <w:tcW w:w="416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Times New Roman" w:eastAsia="宋体" w:cs="Times New Roman" w:hAnsi="Times New Roman" w:hint="eastAsia"/>
                <w:i w:val="0"/>
                <w:iCs w:val="0"/>
                <w:color w:val="000000"/>
                <w:sz w:val="20"/>
                <w:szCs w:val="20"/>
                <w:u w:val="none"/>
                <w:lang w:val="en-US" w:eastAsia="zh-CN"/>
              </w:rPr>
            </w:pPr>
            <w:r>
              <w:rPr>
                <w:rFonts w:eastAsia="宋体" w:cs="Times New Roman" w:hint="eastAsia"/>
                <w:i w:val="0"/>
                <w:iCs w:val="0"/>
                <w:color w:val="000000"/>
                <w:sz w:val="20"/>
                <w:szCs w:val="20"/>
                <w:u w:val="none"/>
                <w:lang w:val="en-US" w:eastAsia="zh-CN"/>
              </w:rPr>
              <w:t>政策知晓率</w:t>
            </w:r>
          </w:p>
        </w:tc>
        <w:tc>
          <w:tcPr>
            <w:tcW w:w="14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Times New Roman" w:eastAsia="宋体" w:cs="Times New Roman" w:hAnsi="Times New Roman"/>
                <w:i w:val="0"/>
                <w:iCs w:val="0"/>
                <w:color w:val="000000"/>
                <w:sz w:val="20"/>
                <w:szCs w:val="20"/>
                <w:u w:val="none"/>
                <w:lang w:val="en-US"/>
              </w:rPr>
            </w:pPr>
            <w:r>
              <w:rPr>
                <w:rFonts w:eastAsia="宋体" w:cs="Times New Roman" w:hint="eastAsia"/>
                <w:i w:val="0"/>
                <w:iCs w:val="0"/>
                <w:color w:val="000000"/>
                <w:kern w:val="0"/>
                <w:sz w:val="20"/>
                <w:szCs w:val="20"/>
                <w:u w:val="none"/>
                <w:lang w:val="en-US" w:eastAsia="zh-CN"/>
              </w:rPr>
              <w:t>95%</w:t>
            </w:r>
          </w:p>
        </w:tc>
      </w:tr>
      <w:tr>
        <w:trPr>
          <w:trHeight w:val="312"/>
        </w:trPr>
        <w:tc>
          <w:tcPr>
            <w:tcW w:w="662"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c>
          <w:tcPr>
            <w:tcW w:w="109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c>
          <w:tcPr>
            <w:tcW w:w="1227"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c>
          <w:tcPr>
            <w:tcW w:w="416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项目覆盖村</w:t>
            </w:r>
          </w:p>
        </w:tc>
        <w:tc>
          <w:tcPr>
            <w:tcW w:w="14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Times New Roman" w:eastAsia="宋体" w:cs="Times New Roman" w:hAnsi="Times New Roman"/>
                <w:i w:val="0"/>
                <w:iCs w:val="0"/>
                <w:color w:val="000000"/>
                <w:sz w:val="20"/>
                <w:szCs w:val="20"/>
                <w:u w:val="none"/>
              </w:rPr>
            </w:pPr>
            <w:r>
              <w:rPr>
                <w:rFonts w:eastAsia="宋体" w:cs="Times New Roman" w:hint="eastAsia"/>
                <w:i w:val="0"/>
                <w:iCs w:val="0"/>
                <w:color w:val="000000"/>
                <w:kern w:val="0"/>
                <w:sz w:val="20"/>
                <w:szCs w:val="20"/>
                <w:u w:val="none"/>
                <w:lang w:val="en-US" w:eastAsia="zh-CN"/>
              </w:rPr>
              <w:t>85</w:t>
            </w:r>
            <w:r>
              <w:rPr>
                <w:rFonts w:ascii="Times New Roman" w:eastAsia="宋体" w:cs="Times New Roman" w:hAnsi="Times New Roman"/>
                <w:i w:val="0"/>
                <w:iCs w:val="0"/>
                <w:color w:val="000000"/>
                <w:kern w:val="0"/>
                <w:sz w:val="20"/>
                <w:szCs w:val="20"/>
                <w:u w:val="none"/>
                <w:lang w:val="en-US" w:eastAsia="zh-CN"/>
              </w:rPr>
              <w:t>个</w:t>
            </w:r>
          </w:p>
        </w:tc>
      </w:tr>
      <w:tr>
        <w:trPr>
          <w:trHeight w:val="960"/>
        </w:trPr>
        <w:tc>
          <w:tcPr>
            <w:tcW w:w="662"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c>
          <w:tcPr>
            <w:tcW w:w="109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c>
          <w:tcPr>
            <w:tcW w:w="122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可持续影响</w:t>
              <w:br/>
              <w:t>指标</w:t>
            </w:r>
          </w:p>
        </w:tc>
        <w:tc>
          <w:tcPr>
            <w:tcW w:w="416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科学防治，有效预防和控制重大动物疫情发生，确保不发生区域性重大动物疫病，保障畜牧业生产安全和人民群众的身体健康，为确保畜产品供应、保障公共卫生安全、构建和谐社会</w:t>
            </w:r>
            <w:r>
              <w:rPr>
                <w:rFonts w:ascii="Times New Roman" w:eastAsia="宋体" w:cs="Times New Roman" w:hAnsi="Times New Roman" w:hint="eastAsia"/>
                <w:i w:val="0"/>
                <w:iCs w:val="0"/>
                <w:color w:val="000000"/>
                <w:kern w:val="0"/>
                <w:sz w:val="20"/>
                <w:szCs w:val="20"/>
                <w:u w:val="none"/>
                <w:lang w:val="en-US" w:eastAsia="zh-CN"/>
              </w:rPr>
              <w:t>作出</w:t>
            </w:r>
            <w:r>
              <w:rPr>
                <w:rFonts w:ascii="Times New Roman" w:eastAsia="宋体" w:cs="Times New Roman" w:hAnsi="Times New Roman"/>
                <w:i w:val="0"/>
                <w:iCs w:val="0"/>
                <w:color w:val="000000"/>
                <w:kern w:val="0"/>
                <w:sz w:val="20"/>
                <w:szCs w:val="20"/>
                <w:u w:val="none"/>
                <w:lang w:val="en-US" w:eastAsia="zh-CN"/>
              </w:rPr>
              <w:t>新的成绩。</w:t>
            </w:r>
          </w:p>
        </w:tc>
        <w:tc>
          <w:tcPr>
            <w:tcW w:w="14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有效</w:t>
            </w:r>
          </w:p>
        </w:tc>
      </w:tr>
      <w:tr>
        <w:trPr>
          <w:trHeight w:val="282"/>
        </w:trPr>
        <w:tc>
          <w:tcPr>
            <w:tcW w:w="662"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c>
          <w:tcPr>
            <w:tcW w:w="109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满意度指标</w:t>
            </w:r>
          </w:p>
        </w:tc>
        <w:tc>
          <w:tcPr>
            <w:tcW w:w="1227"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服务对象</w:t>
              <w:br/>
              <w:t>满意度指标</w:t>
            </w:r>
          </w:p>
        </w:tc>
        <w:tc>
          <w:tcPr>
            <w:tcW w:w="416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区域内新型主体和农牧民满意度</w:t>
            </w:r>
          </w:p>
        </w:tc>
        <w:tc>
          <w:tcPr>
            <w:tcW w:w="14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Times New Roman" w:eastAsia="宋体" w:cs="Times New Roman" w:hAnsi="Times New Roman"/>
                <w:i w:val="0"/>
                <w:iCs w:val="0"/>
                <w:color w:val="000000"/>
                <w:sz w:val="20"/>
                <w:szCs w:val="20"/>
                <w:u w:val="none"/>
              </w:rPr>
            </w:pPr>
            <w:r>
              <w:rPr>
                <w:rFonts w:ascii="Times New Roman" w:eastAsia="宋体" w:cs="Times New Roman" w:hAnsi="Times New Roman"/>
                <w:i w:val="0"/>
                <w:iCs w:val="0"/>
                <w:color w:val="000000"/>
                <w:kern w:val="0"/>
                <w:sz w:val="20"/>
                <w:szCs w:val="20"/>
                <w:u w:val="none"/>
                <w:lang w:val="en-US" w:eastAsia="zh-CN"/>
              </w:rPr>
              <w:t>9</w:t>
            </w:r>
            <w:r>
              <w:rPr>
                <w:rFonts w:eastAsia="宋体" w:cs="Times New Roman" w:hint="eastAsia"/>
                <w:i w:val="0"/>
                <w:iCs w:val="0"/>
                <w:color w:val="000000"/>
                <w:kern w:val="0"/>
                <w:sz w:val="20"/>
                <w:szCs w:val="20"/>
                <w:u w:val="none"/>
                <w:lang w:val="en-US" w:eastAsia="zh-CN"/>
              </w:rPr>
              <w:t>0</w:t>
            </w:r>
            <w:r>
              <w:rPr>
                <w:rFonts w:ascii="Times New Roman" w:eastAsia="宋体" w:cs="Times New Roman" w:hAnsi="Times New Roman"/>
                <w:i w:val="0"/>
                <w:iCs w:val="0"/>
                <w:color w:val="000000"/>
                <w:kern w:val="0"/>
                <w:sz w:val="20"/>
                <w:szCs w:val="20"/>
                <w:u w:val="none"/>
                <w:lang w:val="en-US" w:eastAsia="zh-CN"/>
              </w:rPr>
              <w:t>%以上</w:t>
            </w:r>
          </w:p>
        </w:tc>
      </w:tr>
      <w:tr>
        <w:trPr>
          <w:trHeight w:val="282"/>
        </w:trPr>
        <w:tc>
          <w:tcPr>
            <w:tcW w:w="662"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c>
          <w:tcPr>
            <w:tcW w:w="109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c>
          <w:tcPr>
            <w:tcW w:w="1227"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c>
          <w:tcPr>
            <w:tcW w:w="416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left"/>
              <w:rPr>
                <w:rFonts w:ascii="Times New Roman" w:eastAsia="宋体" w:cs="Times New Roman" w:hAnsi="Times New Roman"/>
                <w:i w:val="0"/>
                <w:iCs w:val="0"/>
                <w:color w:val="000000"/>
                <w:sz w:val="20"/>
                <w:szCs w:val="20"/>
                <w:u w:val="none"/>
              </w:rPr>
            </w:pPr>
          </w:p>
        </w:tc>
        <w:tc>
          <w:tcPr>
            <w:tcW w:w="14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center"/>
              <w:rPr>
                <w:rFonts w:ascii="Times New Roman" w:eastAsia="宋体" w:cs="Times New Roman" w:hAnsi="Times New Roman"/>
                <w:i w:val="0"/>
                <w:iCs w:val="0"/>
                <w:color w:val="000000"/>
                <w:sz w:val="20"/>
                <w:szCs w:val="20"/>
                <w:u w:val="none"/>
              </w:rPr>
            </w:pPr>
          </w:p>
        </w:tc>
      </w:tr>
    </w:tbl>
    <w:p>
      <w:pPr>
        <w:pStyle w:val="20"/>
        <w:spacing w:line="560" w:lineRule="exact"/>
        <w:ind w:left="0" w:firstLineChars="200" w:firstLine="640"/>
        <w:jc w:val="center"/>
        <w:rPr>
          <w:rFonts w:ascii="仿宋_GB2312" w:eastAsia="仿宋_GB2312" w:cs="仿宋_GB2312" w:hint="eastAsia"/>
          <w:sz w:val="32"/>
          <w:szCs w:val="32"/>
          <w:lang w:val="en-US" w:eastAsia="zh-CN"/>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2010601030101010101"/>
    <w:charset w:val="86"/>
    <w:family w:val="auto"/>
    <w:pitch w:val="variable"/>
    <w:sig w:usb0="00000001" w:usb1="080E0000" w:usb2="00000000" w:usb3="00000000" w:csb0="00040000" w:csb1="00000000"/>
  </w:font>
  <w:font w:name="仿宋_GB2312">
    <w:altName w:val="仿宋"/>
    <w:panose1 w:val="02010609030101010101"/>
    <w:charset w:val="86"/>
    <w:family w:val="auto"/>
    <w:pitch w:val="variable"/>
    <w:sig w:usb0="00000000" w:usb1="00000000" w:usb2="00000000" w:usb3="00000000" w:csb0="00040000" w:csb1="00000000"/>
  </w:font>
  <w:font w:name="黑体">
    <w:panose1 w:val="02010609060101010101"/>
    <w:charset w:val="86"/>
    <w:family w:val="auto"/>
    <w:pitch w:val="variable"/>
    <w:sig w:usb0="800002BF" w:usb1="38CF7CFA" w:usb2="00000016" w:usb3="00000000" w:csb0="00040001" w:csb1="00000000"/>
  </w:font>
  <w:font w:name="宋体">
    <w:panose1 w:val="02010600030101010101"/>
    <w:charset w:val="7A"/>
    <w:family w:val="auto"/>
    <w:pitch w:val="variable"/>
    <w:sig w:usb0="00000003" w:usb1="288F0000" w:usb2="00000006" w:usb3="00000000" w:csb0="00040001" w:csb1="00000000"/>
  </w:font>
  <w:font w:name="仿宋">
    <w:altName w:val="仿宋_GB2312"/>
    <w:panose1 w:val="02010609060101010101"/>
    <w:charset w:val="86"/>
    <w:family w:val="auto"/>
    <w:pitch w:val="variable"/>
    <w:sig w:usb0="800002BF" w:usb1="38CF7CFA" w:usb2="00000016" w:usb3="00000000" w:csb0="00040001" w:csb1="00000000"/>
  </w:font>
  <w:font w:name="Times New Roman">
    <w:panose1 w:val="02020603050405020304"/>
    <w:charset w:val="86"/>
    <w:family w:val="auto"/>
    <w:pitch w:val="variable"/>
    <w:sig w:usb0="E0002AFF" w:usb1="C0007841" w:usb2="00000009" w:usb3="00000000" w:csb0="400001FF" w:csb1="FFFF0000"/>
  </w:font>
  <w:font w:name="Calibri">
    <w:altName w:val="Times New Roman"/>
    <w:panose1 w:val="020F0502020204030204"/>
    <w:charset w:val="00"/>
    <w:family w:val="swiss"/>
    <w:pitch w:val="variable"/>
    <w:sig w:usb0="E00002FF" w:usb1="4000ACFF" w:usb2="00000001" w:usb3="00000000" w:csb0="2000019F" w:csb1="00000000"/>
  </w:font>
  <w:font w:name="Arial">
    <w:altName w:val="DejaVu Sans"/>
    <w:panose1 w:val="020B0604020202020204"/>
    <w:charset w:val="01"/>
    <w:family w:val="swiss"/>
    <w:pitch w:val="variable"/>
    <w:sig w:usb0="E0002AFF" w:usb1="C0007843" w:usb2="00000009" w:usb3="00000000" w:csb0="400001FF" w:csb1="FFFF0000"/>
  </w:font>
  <w:font w:name="Luxi Sans">
    <w:altName w:val="DejaVu Sans"/>
    <w:panose1 w:val="00000000000000000000"/>
    <w:charset w:val="00"/>
    <w:family w:val="auto"/>
    <w:pitch w:val="variable"/>
    <w:sig w:usb0="00000000" w:usb1="00000000" w:usb2="00000000" w:usb3="00000000" w:csb0="0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E5FD0A63"/>
    <w:multiLevelType w:val="singleLevel"/>
    <w:tmpl w:val="E5FD0A63"/>
    <w:lvl w:ilvl="0">
      <w:start w:val="2"/>
      <w:numFmt w:val="chineseCounting"/>
      <w:lvlRestart w:val="0"/>
      <w:suff w:val="nothing"/>
      <w:lvlText w:val="%1、"/>
      <w:lvlJc w:val="left"/>
      <w:pPr>
        <w:tabs>
          <w:tab w:val="num" w:pos="0"/>
        </w:tabs>
        <w:ind w:left="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MmU1MDk4MWIzNDEyODQ2ODg3Y2MxMGQ4ZGYxY2QxN2E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Luxi Sans" w:eastAsia="黑体" w:hAnsi="Luxi Sans"/>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Normal Indent"/>
    <w:basedOn w:val="0"/>
    <w:pPr>
      <w:ind w:firstLine="420"/>
    </w:pPr>
    <w:rPr>
      <w:rFonts w:ascii="Times New Roman" w:cs="Times New Roman" w:hAnsi="Times New Roman"/>
    </w:rPr>
  </w:style>
  <w:style w:type="paragraph" w:styleId="16">
    <w:name w:val="footer"/>
    <w:basedOn w:val="0"/>
    <w:pPr>
      <w:tabs>
        <w:tab w:val="center" w:pos="4153"/>
        <w:tab w:val="right" w:pos="8306"/>
      </w:tabs>
      <w:snapToGrid w:val="0"/>
      <w:jc w:val="left"/>
    </w:pPr>
    <w:rPr>
      <w:sz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table of figures"/>
    <w:basedOn w:val="0"/>
    <w:next w:val="0"/>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bidi w:val="0"/>
      <w:adjustRightInd/>
      <w:snapToGrid/>
      <w:spacing w:before="100" w:beforeAutospacing="1" w:after="100" w:afterAutospacing="1" w:line="240" w:lineRule="auto"/>
      <w:ind w:leftChars="200" w:left="400" w:right="0" w:hangingChars="200" w:hanging="200"/>
      <w:jc w:val="both"/>
      <w:textAlignment w:val="auto"/>
      <w:outlineLvl w:val="9"/>
    </w:pPr>
    <w:rPr>
      <w:rFonts w:ascii="Calibri" w:eastAsia="宋体" w:cs="Times New Roman" w:hAnsi="Calibri"/>
      <w:snapToGrid/>
      <w:color w:val="auto"/>
      <w:spacing w:val="0"/>
      <w:w w:val="100"/>
      <w:kern w:val="2"/>
      <w:position w:val="0"/>
      <w:sz w:val="21"/>
      <w:szCs w:val="21"/>
      <w:u w:val="none" w:color="auto"/>
      <w:vertAlign w:val="baseline"/>
      <w:lang w:val="en-US" w:eastAsia="zh-CN" w:bidi="ar-SA"/>
    </w:rPr>
  </w:style>
  <w:style w:type="paragraph" w:styleId="19">
    <w:name w:val="Normal (Web)"/>
    <w:basedOn w:val="0"/>
    <w:pPr>
      <w:spacing w:before="0" w:beforeAutospacing="1" w:after="0" w:afterAutospacing="1"/>
      <w:ind w:left="0" w:right="0"/>
      <w:jc w:val="left"/>
    </w:pPr>
    <w:rPr>
      <w:kern w:val="0"/>
      <w:sz w:val="24"/>
      <w:lang w:val="en-US" w:eastAsia="zh-CN"/>
    </w:rPr>
  </w:style>
  <w:style w:type="paragraph" w:customStyle="1" w:styleId="20">
    <w:name w:val="NormalIndent"/>
    <w:next w:val="17"/>
    <w:pPr>
      <w:widowControl w:val="0"/>
      <w:ind w:firstLineChars="200" w:firstLine="200"/>
      <w:jc w:val="both"/>
    </w:pPr>
    <w:rPr>
      <w:rFonts w:ascii="Times New Roman" w:eastAsia="仿宋_GB2312" w:cs="Times New Roman" w:hAnsi="Times New Roman"/>
      <w:kern w:val="2"/>
      <w:sz w:val="32"/>
      <w:szCs w:val="3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7</TotalTime>
  <Application>Yozo_Office27021597764231179</Application>
  <Pages>4</Pages>
  <Words>2233</Words>
  <Characters>2462</Characters>
  <Lines>275</Lines>
  <Paragraphs>201</Paragraphs>
  <CharactersWithSpaces>2487</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user</cp:lastModifiedBy>
  <cp:revision>1</cp:revision>
  <dcterms:created xsi:type="dcterms:W3CDTF">2023-02-06T06:46:00Z</dcterms:created>
  <dcterms:modified xsi:type="dcterms:W3CDTF">2026-03-19T02:55:45Z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2052-12.1.0.25225</vt:lpwstr>
  </property>
  <property fmtid="{D5CDD505-2E9C-101B-9397-08002B2CF9AE}" pid="3" name="ICV">
    <vt:lpwstr>80B75FC57B694A25B8CA80B2EA78BC99_13</vt:lpwstr>
  </property>
  <property fmtid="{D5CDD505-2E9C-101B-9397-08002B2CF9AE}" pid="4" name="KSOTemplateDocerSaveRecord">
    <vt:lpwstr>eyJoZGlkIjoiMmU1MDk4MWIzNDEyODQ2ODg3Y2MxMGQ4ZGYxY2QxN2EiLCJ1c2VySWQiOiIyNDU5MDIyNzQifQ==</vt:lpwstr>
  </property>
</Properties>
</file>