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475"/>
      <w:bookmarkStart w:id="3" w:name="_Toc3443"/>
      <w:bookmarkStart w:id="4" w:name="_Toc15396597"/>
      <w:bookmarkStart w:id="5" w:name="_Toc15377425"/>
      <w:bookmarkStart w:id="6" w:name="_Toc15377193"/>
      <w:r>
        <w:rPr>
          <w:rFonts w:ascii="黑体" w:eastAsia="黑体" w:hint="eastAsia"/>
          <w:color w:val="000000"/>
          <w:sz w:val="72"/>
          <w:szCs w:val="72"/>
          <w:lang w:eastAsia="zh-CN"/>
        </w:rPr>
        <w:t>2024</w:t>
      </w:r>
      <w:r>
        <w:rPr>
          <w:rFonts w:ascii="方正小标宋简体" w:eastAsia="方正小标宋简体" w:hint="eastAsia"/>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eastAsia="方正小标宋简体"/>
          <w:color w:val="000000"/>
          <w:sz w:val="72"/>
          <w:szCs w:val="72"/>
        </w:rPr>
      </w:pPr>
      <w:bookmarkStart w:id="7" w:name="_Toc15377194"/>
      <w:bookmarkStart w:id="8" w:name="_Toc15378442"/>
      <w:bookmarkStart w:id="9" w:name="_Toc15396598"/>
      <w:bookmarkStart w:id="10" w:name="_Toc11098"/>
      <w:bookmarkStart w:id="11" w:name="_Toc15396476"/>
      <w:bookmarkStart w:id="12" w:name="_Toc15306268"/>
      <w:bookmarkStart w:id="13" w:name="_Toc15377426"/>
      <w:bookmarkEnd w:id="0"/>
      <w:r>
        <w:rPr>
          <w:rFonts w:ascii="方正小标宋简体" w:eastAsia="方正小标宋简体" w:hint="eastAsia"/>
          <w:color w:val="000000"/>
          <w:sz w:val="72"/>
          <w:szCs w:val="72"/>
        </w:rPr>
        <w:t>金川县畜牧兽医服务中心部门决算</w:t>
      </w:r>
      <w:bookmarkEnd w:id="7"/>
      <w:bookmarkEnd w:id="8"/>
      <w:bookmarkEnd w:id="9"/>
      <w:bookmarkEnd w:id="10"/>
      <w:bookmarkEnd w:id="11"/>
      <w:bookmarkEnd w:id="12"/>
      <w:bookmarkEnd w:id="13"/>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21"/>
        <w:tabs>
          <w:tab w:val="right" w:leader="dot" w:pos="8296"/>
        </w:tabs>
      </w:pPr>
      <w:r>
        <w:rPr>
          <w:rFonts w:hint="eastAsia"/>
        </w:rPr>
        <w:t>公开时间：</w:t>
      </w:r>
      <w:r>
        <w:t>202</w:t>
      </w:r>
      <w:r>
        <w:rPr>
          <w:rFonts w:hint="eastAsia"/>
          <w:lang w:val="en-US" w:eastAsia="zh-CN"/>
        </w:rPr>
        <w:t>5</w:t>
      </w:r>
      <w:r>
        <w:rPr>
          <w:rFonts w:hint="eastAsia"/>
        </w:rPr>
        <w:t>年</w:t>
      </w:r>
      <w:r>
        <w:rPr>
          <w:lang w:val="en-US" w:eastAsia="zh-CN"/>
        </w:rPr>
        <w:t>8</w:t>
      </w:r>
      <w:r>
        <w:rPr>
          <w:rFonts w:hint="eastAsia"/>
        </w:rPr>
        <w:t>月</w:t>
      </w:r>
      <w:r>
        <w:rPr>
          <w:lang w:val="en-US" w:eastAsia="zh-CN"/>
        </w:rPr>
        <w:t>20</w:t>
      </w:r>
      <w:r>
        <w:rPr>
          <w:rFonts w:hint="eastAsia"/>
        </w:rPr>
        <w:t>日</w:t>
      </w:r>
      <w:bookmarkStart w:id="14" w:name="_GoBack"/>
      <w:bookmarkEnd w:id="14"/>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fldChar w:fldCharType="end"/>
      </w:r>
    </w:p>
    <w:p>
      <w:pPr>
        <w:pStyle w:val="22"/>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lang w:val="en-US" w:eastAsia="zh-CN"/>
        </w:rPr>
        <w:t>4</w:t>
      </w:r>
      <w:r>
        <w:rPr>
          <w:rFonts w:ascii="仿宋" w:eastAsia="仿宋"/>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5</w:t>
      </w:r>
      <w:r>
        <w:rPr>
          <w:rFonts w:ascii="仿宋" w:eastAsia="仿宋"/>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fldChar w:fldCharType="end"/>
      </w:r>
    </w:p>
    <w:p>
      <w:pPr>
        <w:pStyle w:val="22"/>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5</w:t>
      </w:r>
      <w:r>
        <w:rPr>
          <w:rFonts w:ascii="仿宋" w:eastAsia="仿宋"/>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lang w:val="en-US" w:eastAsia="zh-CN"/>
        </w:rPr>
        <w:t>6</w:t>
      </w:r>
      <w:r>
        <w:rPr>
          <w:rFonts w:ascii="仿宋" w:eastAsia="仿宋"/>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lang w:val="en-US" w:eastAsia="zh-CN"/>
        </w:rPr>
        <w:t>6</w:t>
      </w:r>
      <w:r>
        <w:rPr>
          <w:rFonts w:ascii="仿宋" w:eastAsia="仿宋"/>
          <w:sz w:val="28"/>
          <w:szCs w:val="28"/>
        </w:rPr>
        <w:fldChar w:fldCharType="end"/>
      </w:r>
    </w:p>
    <w:p>
      <w:pPr>
        <w:pStyle w:val="22"/>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sz w:val="28"/>
          <w:szCs w:val="28"/>
        </w:rPr>
        <w:fldChar w:fldCharType="end"/>
      </w:r>
    </w:p>
    <w:p>
      <w:pPr>
        <w:pStyle w:val="22"/>
        <w:tabs>
          <w:tab w:val="right" w:leader="dot" w:pos="8296"/>
        </w:tabs>
        <w:rPr>
          <w:rFonts w:ascii="仿宋" w:eastAsia="仿宋"/>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8</w:t>
      </w:r>
      <w:r>
        <w:rPr>
          <w:rFonts w:ascii="仿宋" w:eastAsia="仿宋"/>
          <w:sz w:val="28"/>
          <w:szCs w:val="28"/>
        </w:rPr>
        <w:fldChar w:fldCharType="end"/>
      </w:r>
    </w:p>
    <w:p>
      <w:pPr>
        <w:ind w:firstLineChars="300" w:firstLine="840"/>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（一）一般公共预算财政拨款支出决算总体情况..........8</w:t>
      </w:r>
    </w:p>
    <w:p>
      <w:pPr>
        <w:ind w:firstLineChars="300" w:firstLine="840"/>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（二）一般公共预算财政拨款支出决算结构情况..........9</w:t>
      </w:r>
    </w:p>
    <w:p>
      <w:pPr>
        <w:ind w:firstLineChars="300" w:firstLine="840"/>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（三）一般公共预算财政拨款支出决算具体情况..........10</w:t>
      </w:r>
    </w:p>
    <w:p>
      <w:pPr>
        <w:pStyle w:val="22"/>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1</w:t>
      </w:r>
    </w:p>
    <w:p>
      <w:pPr>
        <w:pStyle w:val="22"/>
        <w:tabs>
          <w:tab w:val="right" w:leader="dot" w:pos="8296"/>
        </w:tabs>
        <w:rPr>
          <w:rFonts w:ascii="仿宋" w:eastAsia="仿宋"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lang w:val="en-US" w:eastAsia="zh-CN"/>
        </w:rPr>
        <w:t>1</w:t>
      </w:r>
      <w:r>
        <w:rPr>
          <w:rFonts w:ascii="仿宋" w:eastAsia="仿宋"/>
          <w:sz w:val="28"/>
          <w:szCs w:val="28"/>
        </w:rPr>
        <w:fldChar w:fldCharType="end"/>
      </w:r>
      <w:r>
        <w:rPr>
          <w:rFonts w:ascii="仿宋" w:eastAsia="仿宋" w:hint="eastAsia"/>
          <w:sz w:val="28"/>
          <w:szCs w:val="28"/>
          <w:lang w:val="en-US" w:eastAsia="zh-CN"/>
        </w:rPr>
        <w:t>2</w:t>
      </w:r>
    </w:p>
    <w:p>
      <w:pPr>
        <w:pStyle w:val="17"/>
        <w:tabs>
          <w:tab w:val="right" w:leader="dot" w:pos="8296"/>
        </w:tabs>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（一）“三公”经费财政拨款支出决算总体情况说明......12</w:t>
      </w:r>
    </w:p>
    <w:p>
      <w:pPr>
        <w:ind w:firstLineChars="300" w:firstLine="840"/>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（二）“三公”经费财政拨款支出决算具体情况说明......12</w:t>
      </w:r>
    </w:p>
    <w:p>
      <w:pPr>
        <w:pStyle w:val="22"/>
        <w:tabs>
          <w:tab w:val="right" w:leader="dot" w:pos="8296"/>
        </w:tabs>
        <w:rPr>
          <w:rFonts w:ascii="仿宋" w:eastAsia="仿宋" w:cs="Arial" w:hint="eastAsia"/>
          <w:sz w:val="28"/>
          <w:szCs w:val="28"/>
          <w:lang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t>1</w:t>
      </w:r>
      <w:r>
        <w:rPr>
          <w:rFonts w:ascii="仿宋" w:eastAsia="仿宋"/>
          <w:sz w:val="28"/>
          <w:szCs w:val="28"/>
        </w:rPr>
        <w:fldChar w:fldCharType="end"/>
      </w:r>
      <w:r>
        <w:rPr>
          <w:rFonts w:ascii="仿宋" w:eastAsia="仿宋" w:hint="eastAsia"/>
          <w:sz w:val="28"/>
          <w:szCs w:val="28"/>
          <w:lang w:val="en-US" w:eastAsia="zh-CN"/>
        </w:rPr>
        <w:t>4</w:t>
      </w:r>
    </w:p>
    <w:p>
      <w:pPr>
        <w:pStyle w:val="22"/>
        <w:tabs>
          <w:tab w:val="right" w:leader="dot" w:pos="8296"/>
        </w:tabs>
        <w:rPr>
          <w:rFonts w:ascii="仿宋" w:eastAsia="仿宋" w:hint="eastAsia"/>
          <w:sz w:val="28"/>
          <w:szCs w:val="28"/>
          <w:lang w:val="en-US" w:eastAsia="zh-CN"/>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sz w:val="28"/>
          <w:szCs w:val="28"/>
        </w:rPr>
        <w:t xml:space="preserve"> </w:t>
      </w:r>
      <w:r>
        <w:rPr>
          <w:rFonts w:ascii="仿宋" w:eastAsia="仿宋" w:hint="eastAsia"/>
          <w:sz w:val="28"/>
          <w:szCs w:val="28"/>
        </w:rPr>
        <w:t>国</w:t>
      </w:r>
      <w:r>
        <w:rPr>
          <w:rFonts w:ascii="仿宋" w:eastAsia="仿宋" w:hint="eastAsia"/>
          <w:bCs/>
          <w:sz w:val="28"/>
          <w:szCs w:val="28"/>
        </w:rPr>
        <w:t>有资本经营预算支出决算情况说明</w:t>
      </w:r>
      <w:r>
        <w:rPr>
          <w:rFonts w:ascii="仿宋" w:eastAsia="仿宋"/>
          <w:sz w:val="28"/>
          <w:szCs w:val="28"/>
        </w:rPr>
        <w:tab/>
        <w:t>1</w:t>
      </w:r>
      <w:r>
        <w:rPr>
          <w:rFonts w:ascii="仿宋" w:eastAsia="仿宋"/>
          <w:sz w:val="28"/>
          <w:szCs w:val="28"/>
        </w:rPr>
        <w:fldChar w:fldCharType="end"/>
      </w:r>
      <w:r>
        <w:rPr>
          <w:rFonts w:ascii="仿宋" w:eastAsia="仿宋" w:hint="eastAsia"/>
          <w:sz w:val="28"/>
          <w:szCs w:val="28"/>
          <w:lang w:val="en-US" w:eastAsia="zh-CN"/>
        </w:rPr>
        <w:t>4</w:t>
      </w:r>
    </w:p>
    <w:p>
      <w:pPr>
        <w:pStyle w:val="22"/>
        <w:tabs>
          <w:tab w:val="right" w:leader="dot" w:pos="8296"/>
        </w:tabs>
        <w:rPr>
          <w:rFonts w:ascii="仿宋" w:eastAsia="仿宋"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、其他重要事项的情况说明</w:t>
      </w:r>
      <w:r>
        <w:rPr>
          <w:rFonts w:ascii="仿宋" w:eastAsia="仿宋"/>
          <w:sz w:val="28"/>
          <w:szCs w:val="28"/>
        </w:rPr>
        <w:tab/>
        <w:t>1</w:t>
      </w:r>
      <w:r>
        <w:rPr>
          <w:rFonts w:ascii="仿宋" w:eastAsia="仿宋"/>
          <w:sz w:val="28"/>
          <w:szCs w:val="28"/>
        </w:rPr>
        <w:fldChar w:fldCharType="end"/>
      </w:r>
      <w:r>
        <w:rPr>
          <w:rFonts w:ascii="仿宋" w:eastAsia="仿宋" w:hint="eastAsia"/>
          <w:sz w:val="28"/>
          <w:szCs w:val="28"/>
          <w:lang w:val="en-US" w:eastAsia="zh-CN"/>
        </w:rPr>
        <w:t>4</w:t>
      </w:r>
    </w:p>
    <w:p>
      <w:pPr>
        <w:pStyle w:val="17"/>
        <w:tabs>
          <w:tab w:val="right" w:leader="dot" w:pos="8296"/>
        </w:tabs>
        <w:jc w:val="both"/>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（一）机关运行经费支出情况</w:t>
        <w:tab/>
        <w:t>14</w:t>
      </w:r>
    </w:p>
    <w:p>
      <w:pPr>
        <w:pStyle w:val="17"/>
        <w:tabs>
          <w:tab w:val="right" w:leader="dot" w:pos="8296"/>
        </w:tabs>
        <w:jc w:val="both"/>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（二）政府采购支出情况..............................14</w:t>
      </w:r>
    </w:p>
    <w:p>
      <w:pPr>
        <w:pStyle w:val="17"/>
        <w:tabs>
          <w:tab w:val="right" w:leader="dot" w:pos="8296"/>
        </w:tabs>
        <w:jc w:val="both"/>
        <w:rPr>
          <w:rFonts w:ascii="仿宋" w:eastAsia="仿宋" w:cs="Times New Roman"/>
          <w:bCs/>
          <w:kern w:val="2"/>
          <w:sz w:val="28"/>
          <w:szCs w:val="28"/>
          <w:lang w:val="en-US" w:eastAsia="zh-CN" w:bidi="ar-SA"/>
        </w:rPr>
      </w:pPr>
      <w:r>
        <w:rPr>
          <w:rFonts w:ascii="仿宋" w:eastAsia="仿宋" w:cs="Times New Roman" w:hint="eastAsia"/>
          <w:bCs/>
          <w:kern w:val="2"/>
          <w:sz w:val="28"/>
          <w:szCs w:val="28"/>
          <w:lang w:val="en-US" w:eastAsia="zh-CN" w:bidi="ar-SA"/>
        </w:rPr>
        <w:t>（三）国有资产占有使用情况</w:t>
        <w:tab/>
        <w:t>14</w:t>
      </w:r>
    </w:p>
    <w:p>
      <w:pPr>
        <w:pStyle w:val="17"/>
        <w:tabs>
          <w:tab w:val="right" w:leader="dot" w:pos="8296"/>
        </w:tabs>
        <w:jc w:val="both"/>
        <w:rPr>
          <w:lang w:val="en-US" w:eastAsia="zh-CN"/>
        </w:rPr>
      </w:pPr>
      <w:r>
        <w:rPr>
          <w:rFonts w:ascii="仿宋" w:eastAsia="仿宋" w:cs="Times New Roman" w:hint="eastAsia"/>
          <w:bCs/>
          <w:kern w:val="2"/>
          <w:sz w:val="28"/>
          <w:szCs w:val="28"/>
          <w:lang w:val="en-US" w:eastAsia="zh-CN" w:bidi="ar-SA"/>
        </w:rPr>
        <w:t>（四）预算绩效管理情况</w:t>
        <w:tab/>
        <w:t>14</w:t>
      </w:r>
    </w:p>
    <w:p>
      <w:pPr>
        <w:pStyle w:val="21"/>
        <w:tabs>
          <w:tab w:val="right" w:leader="dot" w:pos="8296"/>
        </w:tabs>
        <w:rPr>
          <w:rFonts w:eastAsia="仿宋" w:cs="Arial" w:hint="eastAsia"/>
          <w:lang w:val="en-US" w:eastAsia="zh-CN"/>
        </w:rPr>
      </w:pPr>
      <w:r>
        <w:fldChar w:fldCharType="begin"/>
      </w:r>
      <w:r>
        <w:instrText xml:space="preserve"> HYPERLINK \l "_Toc15396613" </w:instrText>
      </w:r>
      <w:r>
        <w:fldChar w:fldCharType="separate"/>
      </w:r>
      <w:r>
        <w:rPr>
          <w:rFonts w:hint="eastAsia"/>
          <w:bCs/>
          <w:kern w:val="44"/>
        </w:rPr>
        <w:t>第三部分</w:t>
      </w:r>
      <w:r>
        <w:t xml:space="preserve"> </w:t>
      </w:r>
      <w:r>
        <w:rPr>
          <w:rFonts w:hint="eastAsia"/>
        </w:rPr>
        <w:t>名</w:t>
      </w:r>
      <w:r>
        <w:rPr>
          <w:rFonts w:hint="eastAsia"/>
          <w:bCs/>
          <w:kern w:val="44"/>
        </w:rPr>
        <w:t>词解释</w:t>
      </w:r>
      <w:r>
        <w:tab/>
        <w:t>1</w:t>
      </w:r>
      <w:r>
        <w:fldChar w:fldCharType="end"/>
      </w:r>
      <w:r>
        <w:rPr>
          <w:rFonts w:hint="eastAsia"/>
          <w:lang w:val="en-US" w:eastAsia="zh-CN"/>
        </w:rPr>
        <w:t>5</w:t>
      </w:r>
    </w:p>
    <w:p>
      <w:pPr>
        <w:pStyle w:val="21"/>
        <w:tabs>
          <w:tab w:val="right" w:leader="dot" w:pos="8296"/>
        </w:tabs>
        <w:rPr>
          <w:rFonts w:eastAsia="仿宋" w:cs="Arial" w:hint="eastAsia"/>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t>1</w:t>
      </w:r>
      <w:r>
        <w:fldChar w:fldCharType="end"/>
      </w:r>
      <w:r>
        <w:rPr>
          <w:rFonts w:hint="eastAsia"/>
          <w:lang w:val="en-US" w:eastAsia="zh-CN"/>
        </w:rPr>
        <w:t>7</w:t>
      </w:r>
    </w:p>
    <w:p>
      <w:pPr>
        <w:widowControl/>
        <w:spacing w:line="576" w:lineRule="exact"/>
        <w:ind w:firstLineChars="100" w:firstLine="210"/>
        <w:jc w:val="both"/>
        <w:rPr>
          <w:rFonts w:ascii="仿宋" w:eastAsia="仿宋" w:cs="Times New Roman" w:hint="eastAsia"/>
          <w:kern w:val="2"/>
          <w:sz w:val="28"/>
          <w:szCs w:val="28"/>
          <w:lang w:val="en-US" w:eastAsia="zh-CN" w:bidi="ar-SA"/>
        </w:rPr>
      </w:pPr>
      <w:r>
        <w:fldChar w:fldCharType="begin"/>
      </w:r>
      <w:r>
        <w:instrText xml:space="preserve"> HYPERLINK \l "_Toc15396615" </w:instrText>
      </w:r>
      <w:r>
        <w:fldChar w:fldCharType="separate"/>
      </w:r>
      <w:r>
        <w:rPr>
          <w:rFonts w:ascii="仿宋" w:eastAsia="仿宋" w:cs="Times New Roman" w:hint="eastAsia"/>
          <w:kern w:val="2"/>
          <w:sz w:val="28"/>
          <w:szCs w:val="28"/>
          <w:lang w:val="en-US" w:eastAsia="zh-CN" w:bidi="ar-SA"/>
        </w:rPr>
        <w:t>金川县畜牧兽医服务中心2024年部门预算整体支出绩效报告</w:t>
      </w:r>
    </w:p>
    <w:p>
      <w:pPr>
        <w:widowControl/>
        <w:spacing w:line="576" w:lineRule="exact"/>
        <w:ind w:firstLineChars="100" w:firstLine="280"/>
        <w:jc w:val="both"/>
        <w:rPr>
          <w:rFonts w:ascii="仿宋" w:eastAsia="仿宋" w:hint="eastAsia"/>
          <w:sz w:val="28"/>
          <w:szCs w:val="28"/>
          <w:lang w:eastAsia="zh-CN"/>
        </w:rPr>
      </w:pPr>
      <w:r>
        <w:rPr>
          <w:rFonts w:ascii="仿宋" w:eastAsia="仿宋"/>
          <w:sz w:val="28"/>
          <w:szCs w:val="28"/>
        </w:rPr>
        <w:fldChar w:fldCharType="end"/>
      </w:r>
      <w:r>
        <w:rPr>
          <w:rFonts w:ascii="仿宋" w:eastAsia="仿宋" w:cs="Times New Roman" w:hint="eastAsia"/>
          <w:kern w:val="2"/>
          <w:sz w:val="28"/>
          <w:szCs w:val="28"/>
          <w:lang w:val="en-US" w:eastAsia="zh-CN" w:bidi="ar-SA"/>
        </w:rPr>
        <w:t>2024年专项预算项目支出绩效评价报告</w:t>
      </w:r>
    </w:p>
    <w:p>
      <w:pPr>
        <w:pStyle w:val="21"/>
        <w:tabs>
          <w:tab w:val="right" w:leader="dot" w:pos="8296"/>
        </w:tabs>
        <w:bidi w:val="0"/>
        <w:rPr>
          <w:lang w:val="en-US" w:eastAsia="zh-CN"/>
        </w:rPr>
      </w:pPr>
      <w:r>
        <w:rPr>
          <w:rFonts w:hint="eastAsia"/>
        </w:rPr>
        <w:t>第五部分 附表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一、收入支出决算总表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二、收入决算表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三、支出决算表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四、财政拨款收入支出决算总表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五、财政拨款支出决算明细表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六、一般公共预算财政拨款支出决算表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七、一般公共预算财政拨款支出决算明细表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八、一般公共预算财政拨款基本支出决算表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九、一般公共预算财政拨款项目支出决算表</w:t>
        <w:tab/>
      </w:r>
      <w:r>
        <w:rPr>
          <w:rFonts w:hint="eastAsia"/>
          <w:lang w:val="en-US" w:eastAsia="zh-CN"/>
        </w:rPr>
        <w:t xml:space="preserve">32    </w:t>
      </w:r>
    </w:p>
    <w:p>
      <w:pPr>
        <w:pStyle w:val="21"/>
        <w:tabs>
          <w:tab w:val="right" w:leader="dot" w:pos="8296"/>
        </w:tabs>
        <w:bidi w:val="0"/>
        <w:rPr>
          <w:lang w:val="en-US" w:eastAsia="zh-CN"/>
        </w:rPr>
      </w:pPr>
      <w:r>
        <w:rPr>
          <w:rFonts w:hint="eastAsia"/>
          <w:lang w:val="en-US" w:eastAsia="zh-CN"/>
        </w:rPr>
        <w:t xml:space="preserve">    </w:t>
      </w:r>
      <w:r>
        <w:rPr>
          <w:rFonts w:hint="eastAsia"/>
        </w:rPr>
        <w:t>十、政府性基金预算财政拨款收入支出决算表</w:t>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十</w:t>
      </w:r>
      <w:r>
        <w:rPr>
          <w:rFonts w:hint="eastAsia"/>
          <w:lang w:eastAsia="zh-CN"/>
        </w:rPr>
        <w:t>一</w:t>
      </w:r>
      <w:r>
        <w:rPr>
          <w:rFonts w:hint="eastAsia"/>
        </w:rPr>
        <w:t>、国有资本经营预算</w:t>
      </w:r>
      <w:r>
        <w:rPr>
          <w:rFonts w:ascii="仿宋_GB2312" w:eastAsia="仿宋_GB2312" w:cs="仿宋" w:hint="eastAsia"/>
          <w:b w:val="0"/>
          <w:bCs w:val="0"/>
          <w:color w:val="000000"/>
          <w:kern w:val="0"/>
          <w:sz w:val="32"/>
          <w:szCs w:val="32"/>
          <w:lang w:val="zh-CN" w:eastAsia="zh-CN" w:bidi="ar-SA"/>
        </w:rPr>
        <w:t>财政拨款收入支出决算表</w:t>
      </w:r>
      <w:r>
        <w:rPr>
          <w:rFonts w:hint="eastAsia"/>
        </w:rPr>
        <w:tab/>
      </w:r>
      <w:r>
        <w:rPr>
          <w:rFonts w:hint="eastAsia"/>
          <w:lang w:val="en-US" w:eastAsia="zh-CN"/>
        </w:rPr>
        <w:t>32</w:t>
      </w:r>
    </w:p>
    <w:p>
      <w:pPr>
        <w:pStyle w:val="21"/>
        <w:tabs>
          <w:tab w:val="right" w:leader="dot" w:pos="8296"/>
        </w:tabs>
        <w:bidi w:val="0"/>
        <w:rPr>
          <w:lang w:val="en-US" w:eastAsia="zh-CN"/>
        </w:rPr>
      </w:pPr>
      <w:r>
        <w:rPr>
          <w:rFonts w:hint="eastAsia"/>
          <w:lang w:val="en-US" w:eastAsia="zh-CN"/>
        </w:rPr>
        <w:t xml:space="preserve">    </w:t>
      </w:r>
      <w:r>
        <w:rPr>
          <w:rFonts w:hint="eastAsia"/>
        </w:rPr>
        <w:t>十</w:t>
      </w:r>
      <w:r>
        <w:rPr>
          <w:rFonts w:hint="eastAsia"/>
          <w:lang w:eastAsia="zh-CN"/>
        </w:rPr>
        <w:t>二</w:t>
      </w:r>
      <w:r>
        <w:rPr>
          <w:rFonts w:hint="eastAsia"/>
        </w:rPr>
        <w:t>、国有资本经营预算财政拨款支出决算表</w:t>
        <w:tab/>
      </w:r>
      <w:r>
        <w:rPr>
          <w:rFonts w:hint="eastAsia"/>
          <w:lang w:val="en-US" w:eastAsia="zh-CN"/>
        </w:rPr>
        <w:t>32</w:t>
      </w:r>
    </w:p>
    <w:p>
      <w:pPr>
        <w:pStyle w:val="21"/>
        <w:tabs>
          <w:tab w:val="right" w:leader="dot" w:pos="8296"/>
        </w:tabs>
        <w:rPr>
          <w:lang w:val="en-US"/>
        </w:rPr>
      </w:pPr>
      <w:r>
        <w:rPr>
          <w:rFonts w:hint="eastAsia"/>
          <w:lang w:val="en-US" w:eastAsia="zh-CN"/>
        </w:rPr>
        <w:t xml:space="preserve">    十三、</w:t>
      </w:r>
      <w:r>
        <w:rPr>
          <w:rFonts w:hint="eastAsia"/>
        </w:rPr>
        <w:t>财政拨款“三公”经费支出决算表</w:t>
        <w:tab/>
      </w:r>
      <w:r>
        <w:rPr>
          <w:rFonts w:hint="eastAsia"/>
          <w:lang w:val="en-US" w:eastAsia="zh-CN"/>
        </w:rPr>
        <w:t>32</w:t>
      </w:r>
    </w:p>
    <w:p>
      <w:pPr>
        <w:widowControl/>
        <w:jc w:val="left"/>
        <w:rPr>
          <w:rFonts w:ascii="仿宋" w:eastAsia="仿宋"/>
          <w:color w:val="000000"/>
          <w:sz w:val="24"/>
        </w:rPr>
      </w:pPr>
      <w:r>
        <w:rPr>
          <w:rFonts w:ascii="黑体" w:eastAsia="黑体"/>
          <w:color w:val="000000"/>
          <w:sz w:val="48"/>
          <w:szCs w:val="48"/>
        </w:rPr>
        <w:fldChar w:fldCharType="end"/>
      </w:r>
    </w:p>
    <w:p>
      <w:pPr>
        <w:widowControl/>
        <w:jc w:val="left"/>
        <w:rPr>
          <w:rFonts w:ascii="黑体" w:eastAsia="黑体"/>
          <w:bCs/>
          <w:kern w:val="44"/>
          <w:sz w:val="44"/>
          <w:szCs w:val="44"/>
        </w:rPr>
      </w:pPr>
      <w:bookmarkStart w:id="15" w:name="_Toc15377196"/>
      <w:bookmarkStart w:id="16" w:name="_Toc15396599"/>
      <w:r>
        <w:rPr>
          <w:rFonts w:ascii="黑体" w:eastAsia="黑体"/>
          <w:b/>
        </w:rPr>
        <w:br w:type="page"/>
      </w:r>
    </w:p>
    <w:p>
      <w:pPr>
        <w:pStyle w:val="1"/>
        <w:numPr>
          <w:ilvl w:val="0"/>
          <w:numId w:val="1"/>
        </w:numPr>
        <w:jc w:val="center"/>
        <w:rPr>
          <w:rStyle w:val="1Char"/>
          <w:rFonts w:ascii="黑体" w:eastAsia="黑体" w:hint="eastAsia"/>
          <w:b w:val="0"/>
          <w:bCs w:val="0"/>
        </w:rPr>
      </w:pPr>
      <w:bookmarkStart w:id="17" w:name="_Toc21035"/>
      <w:r>
        <w:rPr>
          <w:rStyle w:val="1Char"/>
          <w:rFonts w:ascii="黑体" w:eastAsia="黑体" w:hint="eastAsia"/>
          <w:b w:val="0"/>
          <w:bCs w:val="0"/>
        </w:rPr>
        <w:t>部门概况</w:t>
      </w:r>
      <w:bookmarkEnd w:id="15"/>
      <w:bookmarkEnd w:id="16"/>
      <w:bookmarkEnd w:id="17"/>
    </w:p>
    <w:p>
      <w:pPr>
        <w:widowControl w:val="0"/>
        <w:jc w:val="both"/>
      </w:pPr>
    </w:p>
    <w:p>
      <w:pPr>
        <w:pStyle w:val="2"/>
        <w:keepNext/>
        <w:keepLines/>
        <w:pageBreakBefore w:val="0"/>
        <w:widowControl w:val="0"/>
        <w:kinsoku/>
        <w:wordWrap/>
        <w:overflowPunct/>
        <w:topLinePunct w:val="0"/>
        <w:autoSpaceDE/>
        <w:autoSpaceDN/>
        <w:bidi w:val="0"/>
        <w:adjustRightInd/>
        <w:spacing w:before="0" w:after="0" w:line="520" w:lineRule="exact"/>
        <w:ind w:leftChars="304" w:left="638"/>
        <w:textAlignment w:val="auto"/>
        <w:rPr>
          <w:rStyle w:val="2Char"/>
          <w:rFonts w:ascii="黑体" w:eastAsia="黑体"/>
          <w:b w:val="0"/>
          <w:bCs w:val="0"/>
        </w:rPr>
      </w:pPr>
      <w:bookmarkStart w:id="18" w:name="_Toc17689"/>
      <w:bookmarkStart w:id="19" w:name="_Toc15396600"/>
      <w:bookmarkStart w:id="20" w:name="_Toc15377197"/>
      <w:r>
        <w:rPr>
          <w:rFonts w:ascii="黑体" w:eastAsia="黑体" w:hint="eastAsia"/>
          <w:b w:val="0"/>
          <w:color w:val="000000"/>
        </w:rPr>
        <w:t>一、基</w:t>
      </w:r>
      <w:r>
        <w:rPr>
          <w:rStyle w:val="2Char"/>
          <w:rFonts w:ascii="黑体" w:eastAsia="黑体" w:hint="eastAsia"/>
          <w:b w:val="0"/>
          <w:bCs w:val="0"/>
        </w:rPr>
        <w:t>本职能及主要工作</w:t>
      </w:r>
      <w:bookmarkStart w:id="21" w:name="_Toc15378445"/>
      <w:bookmarkStart w:id="22" w:name="_Toc15377198"/>
      <w:bookmarkEnd w:id="18"/>
      <w:bookmarkEnd w:id="19"/>
      <w:bookmarkEnd w:id="20"/>
    </w:p>
    <w:p>
      <w:pPr>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楷体_GB2312"/>
          <w:b/>
          <w:bCs/>
          <w:sz w:val="32"/>
          <w:szCs w:val="32"/>
        </w:rPr>
      </w:pPr>
      <w:r>
        <w:rPr>
          <w:rFonts w:ascii="楷体_GB2312" w:eastAsia="楷体_GB2312" w:cs="楷体_GB2312" w:hint="eastAsia"/>
          <w:b/>
          <w:bCs/>
          <w:sz w:val="32"/>
          <w:szCs w:val="32"/>
        </w:rPr>
        <w:t>（一）主要职能</w:t>
      </w:r>
      <w:bookmarkStart w:id="23" w:name="_Toc15378446"/>
      <w:bookmarkStart w:id="24" w:name="_Toc15377199"/>
      <w:bookmarkEnd w:id="21"/>
      <w:bookmarkEnd w:id="22"/>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1.</w:t>
      </w:r>
      <w:r>
        <w:rPr>
          <w:rFonts w:ascii="仿宋_GB2312" w:eastAsia="仿宋_GB2312" w:hint="eastAsia"/>
          <w:sz w:val="32"/>
          <w:szCs w:val="32"/>
        </w:rPr>
        <w:t>宣传贯彻执行</w:t>
      </w:r>
      <w:r>
        <w:rPr>
          <w:rFonts w:ascii="仿宋_GB2312" w:eastAsia="仿宋_GB2312" w:hint="eastAsia"/>
          <w:sz w:val="32"/>
          <w:szCs w:val="32"/>
          <w:lang w:eastAsia="zh-CN"/>
        </w:rPr>
        <w:t>中央</w:t>
      </w:r>
      <w:r>
        <w:rPr>
          <w:rFonts w:ascii="仿宋_GB2312" w:eastAsia="仿宋_GB2312" w:hint="eastAsia"/>
          <w:sz w:val="32"/>
          <w:szCs w:val="32"/>
        </w:rPr>
        <w:t>、省、州、县关于畜牧业发展的方针、政策、法律法规。</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2.</w:t>
      </w:r>
      <w:r>
        <w:rPr>
          <w:rFonts w:ascii="仿宋_GB2312" w:eastAsia="仿宋_GB2312" w:hint="eastAsia"/>
          <w:sz w:val="32"/>
          <w:szCs w:val="32"/>
        </w:rPr>
        <w:t>对畜牧业生产进行调查研究、统计和分析，并做好发展规划，为县委、县政府决策提供依据。</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3.</w:t>
      </w:r>
      <w:r>
        <w:rPr>
          <w:rFonts w:ascii="仿宋_GB2312" w:eastAsia="仿宋_GB2312" w:hint="eastAsia"/>
          <w:sz w:val="32"/>
          <w:szCs w:val="32"/>
        </w:rPr>
        <w:t>依照《中华人民共和国草原法》对全县草业规划、建设、生产使用实施</w:t>
      </w:r>
      <w:r>
        <w:rPr>
          <w:rFonts w:ascii="仿宋_GB2312" w:eastAsia="仿宋_GB2312" w:hint="eastAsia"/>
          <w:sz w:val="32"/>
          <w:szCs w:val="32"/>
          <w:lang w:eastAsia="zh-CN"/>
        </w:rPr>
        <w:t>生产、规划、建设监</w:t>
      </w:r>
      <w:r>
        <w:rPr>
          <w:rFonts w:ascii="仿宋_GB2312" w:eastAsia="仿宋_GB2312" w:hint="eastAsia"/>
          <w:sz w:val="32"/>
          <w:szCs w:val="32"/>
        </w:rPr>
        <w:t>督管理。</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4.</w:t>
      </w:r>
      <w:r>
        <w:rPr>
          <w:rFonts w:ascii="仿宋_GB2312" w:eastAsia="仿宋_GB2312" w:hint="eastAsia"/>
          <w:sz w:val="32"/>
          <w:szCs w:val="32"/>
        </w:rPr>
        <w:t>对全县草场建设、饲草、饲料生产进行技术指导。</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5.</w:t>
      </w:r>
      <w:r>
        <w:rPr>
          <w:rFonts w:ascii="仿宋_GB2312" w:eastAsia="仿宋_GB2312" w:hint="eastAsia"/>
          <w:sz w:val="32"/>
          <w:szCs w:val="32"/>
        </w:rPr>
        <w:t>依照《中华人民共和国畜牧法》对全县种畜禽实施监督管理。</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6.</w:t>
      </w:r>
      <w:r>
        <w:rPr>
          <w:rFonts w:ascii="仿宋_GB2312" w:eastAsia="仿宋_GB2312" w:hint="eastAsia"/>
          <w:sz w:val="32"/>
          <w:szCs w:val="32"/>
        </w:rPr>
        <w:t>对全县畜、禽品种改良、优良畜、禽品种引进和繁育实施技术指导。</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7.</w:t>
      </w:r>
      <w:r>
        <w:rPr>
          <w:rFonts w:ascii="仿宋_GB2312" w:eastAsia="仿宋_GB2312" w:hint="eastAsia"/>
          <w:sz w:val="32"/>
          <w:szCs w:val="32"/>
        </w:rPr>
        <w:t>依照《中华人民共和国动物防疫法》负责本县动物防疫、检疫、动物产品安全监管和畜产品加工企业驻厂检疫等行政执法工作；负责兽医医政和兽药药政管理。</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8.</w:t>
      </w:r>
      <w:r>
        <w:rPr>
          <w:rFonts w:ascii="仿宋_GB2312" w:eastAsia="仿宋_GB2312" w:hint="eastAsia"/>
          <w:sz w:val="32"/>
          <w:szCs w:val="32"/>
        </w:rPr>
        <w:t>计划并组织实施全县动物疫病预防工作。</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cs="宋体"/>
          <w:kern w:val="0"/>
          <w:sz w:val="32"/>
          <w:szCs w:val="32"/>
        </w:rPr>
      </w:pPr>
      <w:r>
        <w:rPr>
          <w:rFonts w:ascii="仿宋_GB2312" w:eastAsia="仿宋_GB2312" w:cs="宋体" w:hint="eastAsia"/>
          <w:kern w:val="0"/>
          <w:sz w:val="32"/>
          <w:szCs w:val="32"/>
          <w:lang w:eastAsia="zh-CN"/>
        </w:rPr>
        <w:t>9.</w:t>
      </w:r>
      <w:r>
        <w:rPr>
          <w:rFonts w:ascii="仿宋_GB2312" w:eastAsia="仿宋_GB2312" w:cs="宋体" w:hint="eastAsia"/>
          <w:kern w:val="0"/>
          <w:sz w:val="32"/>
          <w:szCs w:val="32"/>
        </w:rPr>
        <w:t>承担动物疫病监测、诊断、流行病学调查研究、技术推广工作</w:t>
      </w:r>
      <w:r>
        <w:rPr>
          <w:rFonts w:ascii="仿宋_GB2312" w:eastAsia="仿宋_GB2312" w:hint="eastAsia"/>
          <w:sz w:val="32"/>
          <w:szCs w:val="32"/>
        </w:rPr>
        <w:t>，对全县动物疫病防、治进行技术指导和服务</w:t>
      </w:r>
      <w:r>
        <w:rPr>
          <w:rFonts w:ascii="仿宋_GB2312" w:eastAsia="仿宋_GB2312" w:cs="宋体" w:hint="eastAsia"/>
          <w:kern w:val="0"/>
          <w:sz w:val="32"/>
          <w:szCs w:val="32"/>
        </w:rPr>
        <w:t>。</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仿宋_GB2312" w:eastAsia="仿宋_GB2312"/>
          <w:sz w:val="32"/>
          <w:szCs w:val="32"/>
        </w:rPr>
      </w:pPr>
      <w:r>
        <w:rPr>
          <w:rFonts w:ascii="仿宋_GB2312" w:eastAsia="仿宋_GB2312" w:cs="宋体" w:hint="eastAsia"/>
          <w:kern w:val="0"/>
          <w:sz w:val="32"/>
          <w:szCs w:val="32"/>
          <w:lang w:eastAsia="zh-CN"/>
        </w:rPr>
        <w:t>10.</w:t>
      </w:r>
      <w:r>
        <w:rPr>
          <w:rFonts w:ascii="仿宋_GB2312" w:eastAsia="仿宋_GB2312" w:hint="eastAsia"/>
          <w:sz w:val="32"/>
          <w:szCs w:val="32"/>
        </w:rPr>
        <w:t>负责乡镇畜牧兽医站的管理和指导。</w:t>
      </w:r>
    </w:p>
    <w:p>
      <w:pPr>
        <w:pageBreakBefore w:val="0"/>
        <w:widowControl w:val="0"/>
        <w:kinsoku/>
        <w:wordWrap/>
        <w:overflowPunct/>
        <w:topLinePunct w:val="0"/>
        <w:autoSpaceDE/>
        <w:autoSpaceDN/>
        <w:bidi w:val="0"/>
        <w:adjustRightInd/>
        <w:spacing w:line="520" w:lineRule="exact"/>
        <w:ind w:firstLineChars="200" w:firstLine="640"/>
        <w:textAlignment w:val="auto"/>
        <w:rPr>
          <w:rFonts w:ascii="楷体_GB2312" w:eastAsia="楷体_GB2312" w:cs="楷体_GB2312"/>
          <w:b/>
          <w:bCs/>
          <w:sz w:val="32"/>
          <w:szCs w:val="32"/>
        </w:rPr>
      </w:pPr>
      <w:r>
        <w:rPr>
          <w:rFonts w:ascii="楷体_GB2312" w:eastAsia="楷体_GB2312" w:cs="楷体_GB2312" w:hint="eastAsia"/>
          <w:b/>
          <w:bCs/>
          <w:sz w:val="32"/>
          <w:szCs w:val="32"/>
        </w:rPr>
        <w:t>（二）</w:t>
      </w:r>
      <w:r>
        <w:rPr>
          <w:rFonts w:ascii="楷体_GB2312" w:eastAsia="楷体_GB2312" w:cs="楷体_GB2312" w:hint="eastAsia"/>
          <w:b/>
          <w:bCs/>
          <w:sz w:val="32"/>
          <w:szCs w:val="32"/>
          <w:lang w:eastAsia="zh-CN"/>
        </w:rPr>
        <w:t>2024</w:t>
      </w:r>
      <w:r>
        <w:rPr>
          <w:rFonts w:ascii="楷体_GB2312" w:eastAsia="楷体_GB2312" w:cs="楷体_GB2312" w:hint="eastAsia"/>
          <w:b/>
          <w:bCs/>
          <w:sz w:val="32"/>
          <w:szCs w:val="32"/>
        </w:rPr>
        <w:t>年重点工作完成情况</w:t>
      </w:r>
      <w:bookmarkEnd w:id="23"/>
      <w:bookmarkEnd w:id="24"/>
    </w:p>
    <w:p>
      <w:pPr>
        <w:pageBreakBefore w:val="0"/>
        <w:widowControl w:val="0"/>
        <w:kinsoku/>
        <w:wordWrap/>
        <w:overflowPunct/>
        <w:topLinePunct w:val="0"/>
        <w:autoSpaceDE/>
        <w:autoSpaceDN/>
        <w:bidi w:val="0"/>
        <w:adjustRightInd/>
        <w:snapToGrid w:val="0"/>
        <w:spacing w:line="520" w:lineRule="exact"/>
        <w:ind w:firstLineChars="200" w:firstLine="640"/>
        <w:textAlignment w:val="auto"/>
        <w:rPr>
          <w:rFonts w:ascii="仿宋_GB2312" w:eastAsia="仿宋_GB2312"/>
          <w:bCs/>
          <w:color w:val="000000"/>
          <w:sz w:val="32"/>
          <w:szCs w:val="32"/>
        </w:rPr>
      </w:pPr>
      <w:bookmarkStart w:id="25" w:name="_Toc15396601"/>
      <w:bookmarkStart w:id="26" w:name="_Toc15377200"/>
      <w:r>
        <w:rPr>
          <w:rFonts w:ascii="仿宋_GB2312" w:eastAsia="仿宋_GB2312" w:hint="eastAsia"/>
          <w:bCs/>
          <w:color w:val="000000"/>
          <w:sz w:val="32"/>
          <w:szCs w:val="32"/>
          <w:lang w:eastAsia="zh-CN"/>
        </w:rPr>
        <w:t>1.</w:t>
      </w:r>
      <w:r>
        <w:rPr>
          <w:rFonts w:ascii="仿宋_GB2312" w:eastAsia="仿宋_GB2312" w:hint="eastAsia"/>
          <w:bCs/>
          <w:color w:val="000000"/>
          <w:sz w:val="32"/>
          <w:szCs w:val="32"/>
        </w:rPr>
        <w:t>完成今年农业资源及生态保护相关工作。</w:t>
      </w:r>
    </w:p>
    <w:p>
      <w:pPr>
        <w:pageBreakBefore w:val="0"/>
        <w:widowControl w:val="0"/>
        <w:kinsoku/>
        <w:wordWrap/>
        <w:overflowPunct/>
        <w:topLinePunct w:val="0"/>
        <w:autoSpaceDE/>
        <w:autoSpaceDN/>
        <w:bidi w:val="0"/>
        <w:adjustRightInd/>
        <w:snapToGrid w:val="0"/>
        <w:spacing w:line="520" w:lineRule="exact"/>
        <w:ind w:firstLineChars="200" w:firstLine="640"/>
        <w:textAlignment w:val="auto"/>
        <w:rPr>
          <w:rFonts w:ascii="仿宋_GB2312" w:eastAsia="仿宋_GB2312"/>
          <w:bCs/>
          <w:color w:val="000000"/>
          <w:sz w:val="32"/>
          <w:szCs w:val="32"/>
        </w:rPr>
      </w:pPr>
      <w:r>
        <w:rPr>
          <w:rFonts w:ascii="仿宋_GB2312" w:eastAsia="仿宋_GB2312" w:hint="eastAsia"/>
          <w:bCs/>
          <w:color w:val="000000"/>
          <w:sz w:val="32"/>
          <w:szCs w:val="32"/>
          <w:lang w:eastAsia="zh-CN"/>
        </w:rPr>
        <w:t>2.</w:t>
      </w:r>
      <w:r>
        <w:rPr>
          <w:rFonts w:ascii="仿宋_GB2312" w:eastAsia="仿宋_GB2312" w:hint="eastAsia"/>
          <w:bCs/>
          <w:color w:val="000000"/>
          <w:sz w:val="32"/>
          <w:szCs w:val="32"/>
        </w:rPr>
        <w:t>有效发展现代畜牧业，指导和协调畜</w:t>
      </w:r>
      <w:r>
        <w:rPr>
          <w:rFonts w:ascii="仿宋_GB2312" w:eastAsia="仿宋_GB2312" w:hint="eastAsia"/>
          <w:bCs/>
          <w:color w:val="000000"/>
          <w:sz w:val="32"/>
          <w:szCs w:val="32"/>
          <w:lang w:eastAsia="zh-CN"/>
        </w:rPr>
        <w:t>牧业</w:t>
      </w:r>
      <w:r>
        <w:rPr>
          <w:rFonts w:ascii="仿宋_GB2312" w:eastAsia="仿宋_GB2312" w:hint="eastAsia"/>
          <w:bCs/>
          <w:color w:val="000000"/>
          <w:sz w:val="32"/>
          <w:szCs w:val="32"/>
        </w:rPr>
        <w:t>发展保障和服务体系建设。</w:t>
      </w:r>
    </w:p>
    <w:p>
      <w:pPr>
        <w:pageBreakBefore w:val="0"/>
        <w:widowControl w:val="0"/>
        <w:kinsoku/>
        <w:wordWrap/>
        <w:overflowPunct/>
        <w:topLinePunct w:val="0"/>
        <w:autoSpaceDE/>
        <w:autoSpaceDN/>
        <w:bidi w:val="0"/>
        <w:adjustRightInd/>
        <w:snapToGrid w:val="0"/>
        <w:spacing w:line="520" w:lineRule="exact"/>
        <w:ind w:firstLineChars="200" w:firstLine="640"/>
        <w:textAlignment w:val="auto"/>
        <w:rPr>
          <w:rFonts w:ascii="仿宋_GB2312" w:eastAsia="仿宋_GB2312"/>
          <w:bCs/>
          <w:color w:val="000000"/>
          <w:sz w:val="32"/>
          <w:szCs w:val="32"/>
        </w:rPr>
      </w:pPr>
      <w:r>
        <w:rPr>
          <w:rFonts w:ascii="仿宋_GB2312" w:eastAsia="仿宋_GB2312" w:hint="eastAsia"/>
          <w:bCs/>
          <w:color w:val="000000"/>
          <w:sz w:val="32"/>
          <w:szCs w:val="32"/>
          <w:lang w:eastAsia="zh-CN"/>
        </w:rPr>
        <w:t>3.</w:t>
      </w:r>
      <w:r>
        <w:rPr>
          <w:rFonts w:ascii="仿宋_GB2312" w:eastAsia="仿宋_GB2312" w:hint="eastAsia"/>
          <w:bCs/>
          <w:color w:val="000000"/>
          <w:sz w:val="32"/>
          <w:szCs w:val="32"/>
        </w:rPr>
        <w:t>完成春防工作、寄生虫病的防治，指导和督促全县重大动物疫病防治工作，协调做好疫情监测、控制和组织扑灭疫情。</w:t>
      </w:r>
    </w:p>
    <w:p>
      <w:pPr>
        <w:pageBreakBefore w:val="0"/>
        <w:widowControl w:val="0"/>
        <w:kinsoku/>
        <w:wordWrap/>
        <w:overflowPunct/>
        <w:topLinePunct w:val="0"/>
        <w:autoSpaceDE/>
        <w:autoSpaceDN/>
        <w:bidi w:val="0"/>
        <w:adjustRightInd/>
        <w:snapToGrid w:val="0"/>
        <w:spacing w:line="520" w:lineRule="exact"/>
        <w:ind w:firstLineChars="200" w:firstLine="640"/>
        <w:textAlignment w:val="auto"/>
        <w:rPr>
          <w:rFonts w:ascii="仿宋_GB2312" w:eastAsia="仿宋_GB2312"/>
          <w:bCs/>
          <w:color w:val="000000"/>
          <w:sz w:val="32"/>
          <w:szCs w:val="32"/>
        </w:rPr>
      </w:pPr>
      <w:r>
        <w:rPr>
          <w:rFonts w:ascii="仿宋_GB2312" w:eastAsia="仿宋_GB2312" w:hint="eastAsia"/>
          <w:bCs/>
          <w:color w:val="000000"/>
          <w:sz w:val="32"/>
          <w:szCs w:val="32"/>
          <w:lang w:eastAsia="zh-CN"/>
        </w:rPr>
        <w:t>4.</w:t>
      </w:r>
      <w:r>
        <w:rPr>
          <w:rFonts w:ascii="仿宋_GB2312" w:eastAsia="仿宋_GB2312" w:hint="eastAsia"/>
          <w:bCs/>
          <w:color w:val="000000"/>
          <w:sz w:val="32"/>
          <w:szCs w:val="32"/>
        </w:rPr>
        <w:t>开展新技术、新品种的宣传、试验、示范和推广。</w:t>
      </w:r>
    </w:p>
    <w:p>
      <w:pPr>
        <w:pageBreakBefore w:val="0"/>
        <w:widowControl w:val="0"/>
        <w:kinsoku/>
        <w:wordWrap/>
        <w:overflowPunct/>
        <w:topLinePunct w:val="0"/>
        <w:autoSpaceDE/>
        <w:autoSpaceDN/>
        <w:bidi w:val="0"/>
        <w:adjustRightInd/>
        <w:spacing w:line="520" w:lineRule="exact"/>
        <w:ind w:firstLineChars="200" w:firstLine="640"/>
        <w:textAlignment w:val="auto"/>
        <w:rPr>
          <w:rStyle w:val="2Char"/>
          <w:b w:val="0"/>
          <w:bCs w:val="0"/>
        </w:rPr>
      </w:pPr>
      <w:bookmarkStart w:id="27" w:name="_Toc15199"/>
      <w:r>
        <w:rPr>
          <w:rStyle w:val="2Char"/>
          <w:rFonts w:ascii="黑体" w:eastAsia="黑体" w:hint="eastAsia"/>
          <w:b w:val="0"/>
          <w:bCs w:val="0"/>
        </w:rPr>
        <w:t>二、机构设置</w:t>
      </w:r>
      <w:bookmarkEnd w:id="25"/>
      <w:bookmarkEnd w:id="26"/>
    </w:p>
    <w:p>
      <w:pPr>
        <w:pageBreakBefore w:val="0"/>
        <w:widowControl/>
        <w:kinsoku/>
        <w:wordWrap/>
        <w:overflowPunct/>
        <w:topLinePunct w:val="0"/>
        <w:autoSpaceDE/>
        <w:autoSpaceDN/>
        <w:bidi w:val="0"/>
        <w:adjustRightInd/>
        <w:spacing w:line="520" w:lineRule="exact"/>
        <w:ind w:firstLineChars="200" w:firstLine="640"/>
        <w:jc w:val="left"/>
        <w:textAlignment w:val="auto"/>
        <w:rPr>
          <w:rFonts w:ascii="黑体" w:eastAsia="黑体" w:hint="eastAsia"/>
          <w:b w:val="0"/>
          <w:color w:val="000000"/>
        </w:rPr>
      </w:pPr>
      <w:bookmarkEnd w:id="27"/>
      <w:r>
        <w:rPr>
          <w:rFonts w:ascii="仿宋_GB2312" w:eastAsia="仿宋_GB2312" w:hint="eastAsia"/>
          <w:bCs/>
          <w:color w:val="000000"/>
          <w:sz w:val="32"/>
          <w:szCs w:val="32"/>
        </w:rPr>
        <w:t>金川县畜牧兽医服务中心设</w:t>
      </w:r>
      <w:r>
        <w:rPr>
          <w:rFonts w:ascii="仿宋_GB2312" w:eastAsia="仿宋_GB2312" w:hint="eastAsia"/>
          <w:color w:val="000000"/>
          <w:sz w:val="32"/>
          <w:szCs w:val="32"/>
        </w:rPr>
        <w:t>统一核算机构为</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个，其中：</w:t>
      </w:r>
      <w:r>
        <w:rPr>
          <w:rFonts w:ascii="仿宋" w:eastAsia="仿宋" w:cs="仿宋" w:hint="eastAsia"/>
          <w:color w:val="000000"/>
          <w:sz w:val="32"/>
          <w:szCs w:val="32"/>
          <w:lang w:eastAsia="zh-CN"/>
        </w:rPr>
        <w:t>参公</w:t>
      </w:r>
      <w:r>
        <w:rPr>
          <w:rFonts w:ascii="仿宋" w:eastAsia="仿宋" w:cs="仿宋" w:hint="eastAsia"/>
          <w:color w:val="000000"/>
          <w:sz w:val="32"/>
          <w:szCs w:val="32"/>
        </w:rPr>
        <w:t>单位</w:t>
      </w:r>
      <w:r>
        <w:rPr>
          <w:rFonts w:ascii="仿宋" w:eastAsia="仿宋" w:cs="仿宋" w:hint="eastAsia"/>
          <w:color w:val="000000"/>
          <w:sz w:val="32"/>
          <w:szCs w:val="32"/>
          <w:lang w:val="en-US" w:eastAsia="zh-CN"/>
        </w:rPr>
        <w:t>1</w:t>
      </w:r>
      <w:r>
        <w:rPr>
          <w:rFonts w:ascii="仿宋" w:eastAsia="仿宋" w:cs="仿宋" w:hint="eastAsia"/>
          <w:color w:val="000000"/>
          <w:sz w:val="32"/>
          <w:szCs w:val="32"/>
        </w:rPr>
        <w:t>个，</w:t>
      </w:r>
      <w:r>
        <w:rPr>
          <w:rFonts w:ascii="仿宋_GB2312" w:eastAsia="仿宋_GB2312" w:hint="eastAsia"/>
          <w:color w:val="000000"/>
          <w:sz w:val="32"/>
          <w:szCs w:val="32"/>
        </w:rPr>
        <w:t>事业单位</w:t>
      </w:r>
      <w:r>
        <w:rPr>
          <w:rFonts w:ascii="仿宋_GB2312" w:eastAsia="仿宋_GB2312"/>
          <w:color w:val="000000"/>
          <w:sz w:val="32"/>
          <w:szCs w:val="32"/>
        </w:rPr>
        <w:t>1</w:t>
      </w:r>
      <w:r>
        <w:rPr>
          <w:rFonts w:ascii="仿宋_GB2312" w:eastAsia="仿宋_GB2312" w:hint="eastAsia"/>
          <w:color w:val="000000"/>
          <w:sz w:val="32"/>
          <w:szCs w:val="32"/>
        </w:rPr>
        <w:t>个</w:t>
      </w:r>
      <w:r>
        <w:rPr>
          <w:rFonts w:ascii="仿宋_GB2312" w:eastAsia="仿宋_GB2312" w:hint="eastAsia"/>
          <w:color w:val="000000"/>
          <w:sz w:val="32"/>
          <w:szCs w:val="32"/>
          <w:lang w:eastAsia="zh-CN"/>
        </w:rPr>
        <w:t>；</w:t>
      </w:r>
      <w:r>
        <w:rPr>
          <w:rFonts w:ascii="仿宋_GB2312" w:eastAsia="仿宋_GB2312" w:hint="eastAsia"/>
          <w:color w:val="000000"/>
          <w:sz w:val="32"/>
          <w:szCs w:val="32"/>
        </w:rPr>
        <w:t>独立编制机构数</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个，分别为</w:t>
      </w:r>
      <w:r>
        <w:rPr>
          <w:rFonts w:ascii="仿宋_GB2312" w:eastAsia="仿宋_GB2312" w:hint="eastAsia"/>
          <w:color w:val="000000"/>
          <w:sz w:val="32"/>
          <w:szCs w:val="32"/>
          <w:lang w:val="en-US" w:eastAsia="zh-CN"/>
        </w:rPr>
        <w:t>畜牧中心</w:t>
      </w:r>
      <w:r>
        <w:rPr>
          <w:rFonts w:ascii="仿宋_GB2312" w:eastAsia="仿宋_GB2312" w:hint="eastAsia"/>
          <w:color w:val="000000"/>
          <w:sz w:val="32"/>
          <w:szCs w:val="32"/>
        </w:rPr>
        <w:t>、</w:t>
      </w:r>
      <w:r>
        <w:rPr>
          <w:rFonts w:ascii="仿宋_GB2312" w:eastAsia="仿宋_GB2312" w:hint="eastAsia"/>
          <w:sz w:val="32"/>
          <w:szCs w:val="32"/>
        </w:rPr>
        <w:t>县动物防疫监督站</w:t>
      </w:r>
      <w:r>
        <w:rPr>
          <w:rFonts w:ascii="仿宋_GB2312" w:eastAsia="仿宋_GB2312" w:hint="eastAsia"/>
          <w:sz w:val="32"/>
          <w:szCs w:val="32"/>
          <w:lang w:eastAsia="zh-CN"/>
        </w:rPr>
        <w:t>、</w:t>
      </w:r>
      <w:r>
        <w:rPr>
          <w:rFonts w:ascii="仿宋_GB2312" w:eastAsia="仿宋_GB2312" w:hint="eastAsia"/>
          <w:sz w:val="32"/>
          <w:szCs w:val="32"/>
        </w:rPr>
        <w:t>畜禽繁育改良站，县动物</w:t>
      </w:r>
      <w:r>
        <w:rPr>
          <w:rFonts w:ascii="仿宋_GB2312" w:eastAsia="仿宋_GB2312" w:hint="eastAsia"/>
          <w:sz w:val="32"/>
          <w:szCs w:val="32"/>
          <w:lang w:eastAsia="zh-CN"/>
        </w:rPr>
        <w:t>疫病预防控制中心</w:t>
      </w:r>
      <w:r>
        <w:rPr>
          <w:rFonts w:ascii="仿宋_GB2312" w:eastAsia="仿宋_GB2312" w:hint="eastAsia"/>
          <w:sz w:val="32"/>
          <w:szCs w:val="32"/>
        </w:rPr>
        <w:t>。</w:t>
      </w:r>
      <w:bookmarkStart w:id="28" w:name="_Toc7113"/>
      <w:bookmarkStart w:id="29" w:name="_Toc15377204"/>
      <w:bookmarkStart w:id="30" w:name="_Toc15396602"/>
    </w:p>
    <w:p>
      <w:pPr>
        <w:pStyle w:val="1"/>
        <w:ind w:right="440"/>
        <w:jc w:val="right"/>
      </w:pPr>
      <w:r>
        <w:rPr>
          <w:rFonts w:ascii="黑体" w:eastAsia="黑体" w:hint="eastAsia"/>
          <w:b w:val="0"/>
          <w:color w:val="000000"/>
        </w:rPr>
        <w:t>第二部分</w:t>
      </w:r>
      <w:r>
        <w:rPr>
          <w:rFonts w:ascii="黑体" w:eastAsia="黑体"/>
          <w:color w:val="000000"/>
        </w:rPr>
        <w:t xml:space="preserve"> </w:t>
      </w:r>
      <w:r>
        <w:rPr>
          <w:rStyle w:val="1Char"/>
          <w:rFonts w:ascii="黑体" w:eastAsia="黑体" w:hint="eastAsia"/>
          <w:b w:val="0"/>
          <w:bCs w:val="0"/>
        </w:rPr>
        <w:t>2024年度部门决算情况说明</w:t>
      </w:r>
      <w:bookmarkEnd w:id="28"/>
      <w:bookmarkEnd w:id="29"/>
      <w:bookmarkEnd w:id="30"/>
    </w:p>
    <w:p>
      <w:pPr>
        <w:pStyle w:val="28"/>
        <w:ind w:firstLineChars="0" w:firstLine="0"/>
        <w:outlineLvl w:val="1"/>
        <w:rPr>
          <w:rStyle w:val="2Char"/>
          <w:rFonts w:ascii="黑体" w:eastAsia="黑体"/>
          <w:b w:val="0"/>
        </w:rPr>
      </w:pPr>
      <w:bookmarkStart w:id="31" w:name="_Toc15377205"/>
      <w:bookmarkStart w:id="32" w:name="_Toc15396603"/>
      <w:r>
        <w:rPr>
          <w:rFonts w:ascii="黑体" w:eastAsia="黑体"/>
          <w:color w:val="000000"/>
          <w:sz w:val="32"/>
          <w:szCs w:val="32"/>
        </w:rPr>
        <w:t xml:space="preserve">    </w:t>
      </w:r>
      <w:bookmarkStart w:id="33" w:name="_Toc24455"/>
      <w:r>
        <w:rPr>
          <w:rFonts w:ascii="黑体" w:eastAsia="黑体" w:hint="eastAsia"/>
          <w:color w:val="000000"/>
          <w:sz w:val="32"/>
          <w:szCs w:val="32"/>
        </w:rPr>
        <w:t>一、收</w:t>
      </w:r>
      <w:r>
        <w:rPr>
          <w:rStyle w:val="2Char"/>
          <w:rFonts w:ascii="黑体" w:eastAsia="黑体" w:hint="eastAsia"/>
          <w:b w:val="0"/>
        </w:rPr>
        <w:t>入支出决算总体情况说明</w:t>
      </w:r>
      <w:bookmarkEnd w:id="31"/>
      <w:bookmarkEnd w:id="32"/>
      <w:bookmarkEnd w:id="33"/>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eastAsia="zh-CN"/>
        </w:rPr>
        <w:t>2024</w:t>
      </w:r>
      <w:r>
        <w:rPr>
          <w:rFonts w:ascii="仿宋_GB2312" w:eastAsia="仿宋_GB2312" w:hint="eastAsia"/>
          <w:sz w:val="32"/>
          <w:szCs w:val="32"/>
        </w:rPr>
        <w:t>年收入</w:t>
      </w:r>
      <w:r>
        <w:rPr>
          <w:rFonts w:ascii="仿宋_GB2312" w:eastAsia="仿宋_GB2312" w:hint="eastAsia"/>
          <w:sz w:val="32"/>
          <w:szCs w:val="32"/>
          <w:lang w:val="en-US" w:eastAsia="zh-CN"/>
        </w:rPr>
        <w:t>2216.19</w:t>
      </w:r>
      <w:r>
        <w:rPr>
          <w:rFonts w:ascii="仿宋_GB2312" w:eastAsia="仿宋_GB2312" w:hint="eastAsia"/>
          <w:sz w:val="32"/>
          <w:szCs w:val="32"/>
        </w:rPr>
        <w:t>万元，较上年支出</w:t>
      </w:r>
      <w:r>
        <w:rPr>
          <w:rFonts w:ascii="仿宋_GB2312" w:eastAsia="仿宋_GB2312" w:hint="eastAsia"/>
          <w:sz w:val="32"/>
          <w:szCs w:val="32"/>
          <w:lang w:eastAsia="zh-CN"/>
        </w:rPr>
        <w:t>增加</w:t>
      </w:r>
      <w:r>
        <w:rPr>
          <w:rFonts w:ascii="仿宋_GB2312" w:eastAsia="仿宋_GB2312" w:hint="eastAsia"/>
          <w:sz w:val="32"/>
          <w:szCs w:val="32"/>
          <w:lang w:val="en-US" w:eastAsia="zh-CN"/>
        </w:rPr>
        <w:t>190.43</w:t>
      </w:r>
      <w:r>
        <w:rPr>
          <w:rFonts w:ascii="仿宋_GB2312" w:eastAsia="仿宋_GB2312" w:hint="eastAsia"/>
          <w:sz w:val="32"/>
          <w:szCs w:val="32"/>
        </w:rPr>
        <w:t>万元</w:t>
      </w:r>
      <w:r>
        <w:rPr>
          <w:rFonts w:ascii="仿宋_GB2312" w:eastAsia="仿宋_GB2312" w:hint="eastAsia"/>
          <w:sz w:val="32"/>
          <w:szCs w:val="32"/>
          <w:lang w:eastAsia="zh-CN"/>
        </w:rPr>
        <w:t>，增加</w:t>
      </w:r>
      <w:r>
        <w:rPr>
          <w:rFonts w:ascii="仿宋_GB2312" w:eastAsia="仿宋_GB2312" w:hint="eastAsia"/>
          <w:sz w:val="32"/>
          <w:szCs w:val="32"/>
          <w:lang w:val="en-US" w:eastAsia="zh-CN"/>
        </w:rPr>
        <w:t>9.4</w:t>
      </w:r>
      <w:r>
        <w:rPr>
          <w:rFonts w:ascii="仿宋_GB2312" w:eastAsia="仿宋_GB2312"/>
          <w:sz w:val="32"/>
          <w:szCs w:val="32"/>
        </w:rPr>
        <w:t>%</w:t>
      </w:r>
      <w:r>
        <w:rPr>
          <w:rFonts w:ascii="仿宋_GB2312" w:eastAsia="仿宋_GB2312" w:hint="eastAsia"/>
          <w:sz w:val="32"/>
          <w:szCs w:val="32"/>
        </w:rPr>
        <w:t>。主要原因是当年部门预算安排资金较上年有所</w:t>
      </w:r>
      <w:r>
        <w:rPr>
          <w:rFonts w:ascii="仿宋_GB2312" w:eastAsia="仿宋_GB2312" w:hint="eastAsia"/>
          <w:sz w:val="32"/>
          <w:szCs w:val="32"/>
          <w:lang w:eastAsia="zh-CN"/>
        </w:rPr>
        <w:t>增加，</w:t>
      </w:r>
      <w:r>
        <w:rPr>
          <w:rFonts w:ascii="仿宋_GB2312" w:eastAsia="仿宋_GB2312" w:hint="eastAsia"/>
          <w:sz w:val="32"/>
          <w:szCs w:val="32"/>
          <w:lang w:val="en-US" w:eastAsia="zh-CN"/>
        </w:rPr>
        <w:t>人员变动，基数变动</w:t>
      </w:r>
      <w:r>
        <w:rPr>
          <w:rFonts w:ascii="仿宋_GB2312" w:eastAsia="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eastAsia="zh-CN"/>
        </w:rPr>
        <w:t>2024</w:t>
      </w:r>
      <w:r>
        <w:rPr>
          <w:rFonts w:ascii="仿宋_GB2312" w:eastAsia="仿宋_GB2312" w:hint="eastAsia"/>
          <w:sz w:val="32"/>
          <w:szCs w:val="32"/>
        </w:rPr>
        <w:t>年支出</w:t>
      </w:r>
      <w:r>
        <w:rPr>
          <w:rFonts w:ascii="仿宋_GB2312" w:eastAsia="仿宋_GB2312" w:hint="eastAsia"/>
          <w:sz w:val="32"/>
          <w:szCs w:val="32"/>
          <w:lang w:val="en-US" w:eastAsia="zh-CN"/>
        </w:rPr>
        <w:t>2216.19</w:t>
      </w:r>
      <w:r>
        <w:rPr>
          <w:rFonts w:ascii="仿宋_GB2312" w:eastAsia="仿宋_GB2312" w:hint="eastAsia"/>
          <w:sz w:val="32"/>
          <w:szCs w:val="32"/>
        </w:rPr>
        <w:t>万元，较上年支出</w:t>
      </w:r>
      <w:r>
        <w:rPr>
          <w:rFonts w:ascii="仿宋_GB2312" w:eastAsia="仿宋_GB2312" w:hint="eastAsia"/>
          <w:sz w:val="32"/>
          <w:szCs w:val="32"/>
          <w:lang w:eastAsia="zh-CN"/>
        </w:rPr>
        <w:t>增加</w:t>
      </w:r>
      <w:r>
        <w:rPr>
          <w:rFonts w:ascii="仿宋_GB2312" w:eastAsia="仿宋_GB2312" w:hint="eastAsia"/>
          <w:sz w:val="32"/>
          <w:szCs w:val="32"/>
          <w:lang w:val="en-US" w:eastAsia="zh-CN"/>
        </w:rPr>
        <w:t>190.43</w:t>
      </w:r>
      <w:r>
        <w:rPr>
          <w:rFonts w:ascii="仿宋_GB2312" w:eastAsia="仿宋_GB2312" w:hint="eastAsia"/>
          <w:sz w:val="32"/>
          <w:szCs w:val="32"/>
        </w:rPr>
        <w:t>万元</w:t>
      </w:r>
      <w:r>
        <w:rPr>
          <w:rFonts w:ascii="仿宋_GB2312" w:eastAsia="仿宋_GB2312" w:hint="eastAsia"/>
          <w:sz w:val="32"/>
          <w:szCs w:val="32"/>
          <w:lang w:eastAsia="zh-CN"/>
        </w:rPr>
        <w:t>，增加</w:t>
      </w:r>
      <w:r>
        <w:rPr>
          <w:rFonts w:ascii="仿宋_GB2312" w:eastAsia="仿宋_GB2312" w:hint="eastAsia"/>
          <w:sz w:val="32"/>
          <w:szCs w:val="32"/>
          <w:lang w:val="en-US" w:eastAsia="zh-CN"/>
        </w:rPr>
        <w:t>9.4</w:t>
      </w:r>
      <w:r>
        <w:rPr>
          <w:rFonts w:ascii="仿宋_GB2312" w:eastAsia="仿宋_GB2312"/>
          <w:sz w:val="32"/>
          <w:szCs w:val="32"/>
        </w:rPr>
        <w:t>%</w:t>
      </w:r>
      <w:r>
        <w:rPr>
          <w:rFonts w:ascii="仿宋_GB2312" w:eastAsia="仿宋_GB2312" w:hint="eastAsia"/>
          <w:sz w:val="32"/>
          <w:szCs w:val="32"/>
        </w:rPr>
        <w:t>。主要原因是当年部门预算安排资金较上年有所</w:t>
      </w:r>
      <w:r>
        <w:rPr>
          <w:rFonts w:ascii="仿宋_GB2312" w:eastAsia="仿宋_GB2312" w:hint="eastAsia"/>
          <w:sz w:val="32"/>
          <w:szCs w:val="32"/>
          <w:lang w:eastAsia="zh-CN"/>
        </w:rPr>
        <w:t>增加，</w:t>
      </w:r>
      <w:r>
        <w:rPr>
          <w:rFonts w:ascii="仿宋_GB2312" w:eastAsia="仿宋_GB2312" w:hint="eastAsia"/>
          <w:sz w:val="32"/>
          <w:szCs w:val="32"/>
          <w:lang w:val="en-US" w:eastAsia="zh-CN"/>
        </w:rPr>
        <w:t>人员变动，基数变动</w:t>
      </w:r>
      <w:r>
        <w:rPr>
          <w:rFonts w:ascii="仿宋_GB2312" w:eastAsia="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Chars="200" w:firstLine="420"/>
        <w:textAlignment w:val="auto"/>
        <w:rPr>
          <w:rFonts w:ascii="仿宋_GB2312" w:eastAsia="仿宋_GB2312"/>
          <w:sz w:val="32"/>
          <w:szCs w:val="32"/>
        </w:rPr>
      </w:pPr>
      <w:r>
        <w:drawing>
          <wp:anchor distT="0" distB="0" distL="114300" distR="114300" simplePos="0" relativeHeight="19" behindDoc="0" locked="0" layoutInCell="1" hidden="0" allowOverlap="1">
            <wp:simplePos x="0" y="0"/>
            <wp:positionH relativeFrom="column">
              <wp:posOffset>506094</wp:posOffset>
            </wp:positionH>
            <wp:positionV relativeFrom="paragraph">
              <wp:posOffset>109855</wp:posOffset>
            </wp:positionV>
            <wp:extent cx="4476749" cy="1949450"/>
            <wp:effectExtent l="0" t="0" r="0" b="0"/>
            <wp:wrapNone/>
            <wp:docPr id="1" name="图表 7" descr="7b0a202020202263686172745265734964223a20223230343736383432220a7d0a"/>
            <wp:cNvGraphicFramePr>
              <a:graphicFrameLocks noChangeAspect="0"/>
            </wp:cNvGraphicFramePr>
            <a:graphic>
              <a:graphicData uri="http://schemas.openxmlformats.org/drawingml/2006/chart">
                <c:chart xmlns:c="http://schemas.openxmlformats.org/drawingml/2006/chart" r:id="rId4"/>
              </a:graphicData>
            </a:graphic>
          </wp:anchor>
        </w:drawing>
      </w:r>
    </w:p>
    <w:p>
      <w:pPr>
        <w:snapToGrid w:val="0"/>
        <w:spacing w:line="520" w:lineRule="exact"/>
        <w:ind w:firstLineChars="200" w:firstLine="632"/>
        <w:rPr>
          <w:rFonts w:ascii="仿宋_GB2312" w:eastAsia="仿宋_GB2312"/>
          <w:spacing w:val="-2"/>
          <w:sz w:val="32"/>
          <w:szCs w:val="32"/>
        </w:rPr>
      </w:pPr>
    </w:p>
    <w:p>
      <w:pPr>
        <w:snapToGrid w:val="0"/>
        <w:spacing w:line="520" w:lineRule="exact"/>
        <w:ind w:firstLineChars="200" w:firstLine="632"/>
        <w:rPr>
          <w:rFonts w:ascii="仿宋_GB2312" w:eastAsia="仿宋_GB2312"/>
          <w:spacing w:val="-2"/>
          <w:sz w:val="32"/>
          <w:szCs w:val="32"/>
        </w:rPr>
      </w:pPr>
    </w:p>
    <w:p>
      <w:pPr>
        <w:spacing w:line="600" w:lineRule="exact"/>
        <w:ind w:firstLineChars="200" w:firstLine="640"/>
        <w:rPr>
          <w:rFonts w:ascii="黑体" w:eastAsia="黑体"/>
          <w:color w:val="000000"/>
          <w:sz w:val="32"/>
          <w:szCs w:val="32"/>
        </w:rPr>
      </w:pPr>
      <w:bookmarkStart w:id="34" w:name="_Toc15377206"/>
      <w:bookmarkStart w:id="35" w:name="_Toc15396604"/>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二、收入决</w:t>
      </w:r>
      <w:r>
        <w:rPr>
          <w:rStyle w:val="2Char"/>
          <w:rFonts w:ascii="黑体" w:eastAsia="黑体" w:hint="eastAsia"/>
          <w:b w:val="0"/>
        </w:rPr>
        <w:t>算情况说明</w:t>
      </w:r>
      <w:bookmarkEnd w:id="34"/>
      <w:bookmarkEnd w:id="35"/>
    </w:p>
    <w:p>
      <w:pPr>
        <w:spacing w:line="620" w:lineRule="exact"/>
        <w:ind w:firstLineChars="200" w:firstLine="640"/>
        <w:rPr>
          <w:rFonts w:ascii="仿宋_GB2312" w:eastAsia="仿宋_GB2312" w:hint="eastAsia"/>
          <w:sz w:val="32"/>
          <w:szCs w:val="32"/>
        </w:rPr>
      </w:pPr>
      <w:r>
        <w:rPr>
          <w:rFonts w:ascii="仿宋_GB2312" w:eastAsia="仿宋_GB2312" w:hint="eastAsia"/>
          <w:sz w:val="32"/>
          <w:szCs w:val="32"/>
          <w:lang w:eastAsia="zh-CN"/>
        </w:rPr>
        <w:t>2024</w:t>
      </w:r>
      <w:r>
        <w:rPr>
          <w:rFonts w:ascii="仿宋_GB2312" w:eastAsia="仿宋_GB2312" w:hint="eastAsia"/>
          <w:sz w:val="32"/>
          <w:szCs w:val="32"/>
        </w:rPr>
        <w:t>年收入</w:t>
      </w:r>
      <w:r>
        <w:rPr>
          <w:rFonts w:ascii="仿宋_GB2312" w:eastAsia="仿宋_GB2312" w:hint="eastAsia"/>
          <w:sz w:val="32"/>
          <w:szCs w:val="32"/>
          <w:lang w:val="en-US" w:eastAsia="zh-CN"/>
        </w:rPr>
        <w:t>2216.19</w:t>
      </w:r>
      <w:r>
        <w:rPr>
          <w:rFonts w:ascii="仿宋_GB2312" w:eastAsia="仿宋_GB2312" w:hint="eastAsia"/>
          <w:sz w:val="32"/>
          <w:szCs w:val="32"/>
        </w:rPr>
        <w:t>万元，其中：一般公共预算财政拨款收入</w:t>
      </w:r>
      <w:r>
        <w:rPr>
          <w:rFonts w:ascii="仿宋_GB2312" w:eastAsia="仿宋_GB2312" w:hint="eastAsia"/>
          <w:sz w:val="32"/>
          <w:szCs w:val="32"/>
          <w:lang w:val="en-US" w:eastAsia="zh-CN"/>
        </w:rPr>
        <w:t>2216.19</w:t>
      </w:r>
      <w:r>
        <w:rPr>
          <w:rFonts w:ascii="仿宋_GB2312" w:eastAsia="仿宋_GB2312" w:hint="eastAsia"/>
          <w:sz w:val="32"/>
          <w:szCs w:val="32"/>
        </w:rPr>
        <w:t>万元，占</w:t>
      </w:r>
      <w:r>
        <w:rPr>
          <w:rFonts w:ascii="仿宋_GB2312" w:eastAsia="仿宋_GB2312"/>
          <w:sz w:val="32"/>
          <w:szCs w:val="32"/>
        </w:rPr>
        <w:t>100%</w:t>
      </w:r>
      <w:r>
        <w:rPr>
          <w:rFonts w:ascii="仿宋_GB2312" w:eastAsia="仿宋_GB2312" w:hint="eastAsia"/>
          <w:sz w:val="32"/>
          <w:szCs w:val="32"/>
        </w:rPr>
        <w:t>；政府性基金预算财政拨款收入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；国有资本经营预算财政拨款收入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；事业收入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；经营收入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；附属单位上缴收入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；其他收入</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w:t>
      </w:r>
    </w:p>
    <w:p>
      <w:pPr>
        <w:pStyle w:val="15"/>
        <w:rPr>
          <w:rFonts w:ascii="仿宋_GB2312" w:eastAsia="仿宋_GB2312" w:hint="eastAsia"/>
          <w:sz w:val="32"/>
          <w:szCs w:val="32"/>
        </w:rPr>
      </w:pPr>
      <w:r>
        <w:drawing>
          <wp:anchor distT="0" distB="0" distL="114300" distR="114300" simplePos="0" relativeHeight="29" behindDoc="0" locked="0" layoutInCell="1" hidden="0" allowOverlap="1">
            <wp:simplePos x="0" y="0"/>
            <wp:positionH relativeFrom="column">
              <wp:posOffset>474344</wp:posOffset>
            </wp:positionH>
            <wp:positionV relativeFrom="paragraph">
              <wp:posOffset>5080</wp:posOffset>
            </wp:positionV>
            <wp:extent cx="4131309" cy="2133600"/>
            <wp:effectExtent l="0" t="0" r="0" b="0"/>
            <wp:wrapNone/>
            <wp:docPr id="2" name="图表 6" descr="7b0a202020202263686172745265734964223a20223230343736383432220a7d0a"/>
            <wp:cNvGraphicFramePr>
              <a:graphicFrameLocks noChangeAspect="0"/>
            </wp:cNvGraphicFramePr>
            <a:graphic>
              <a:graphicData uri="http://schemas.openxmlformats.org/drawingml/2006/chart">
                <c:chart xmlns:c="http://schemas.openxmlformats.org/drawingml/2006/chart" r:id="rId5"/>
              </a:graphicData>
            </a:graphic>
          </wp:anchor>
        </w:drawing>
      </w:r>
    </w:p>
    <w:p>
      <w:pPr>
        <w:pStyle w:val="15"/>
        <w:rPr>
          <w:rFonts w:ascii="仿宋_GB2312" w:eastAsia="仿宋_GB2312" w:hint="eastAsia"/>
          <w:sz w:val="32"/>
          <w:szCs w:val="32"/>
        </w:rPr>
      </w:pPr>
    </w:p>
    <w:p>
      <w:pPr>
        <w:pStyle w:val="15"/>
        <w:rPr>
          <w:rFonts w:ascii="仿宋_GB2312" w:eastAsia="仿宋_GB2312" w:hint="eastAsia"/>
          <w:sz w:val="32"/>
          <w:szCs w:val="32"/>
        </w:rPr>
      </w:pPr>
    </w:p>
    <w:p>
      <w:pPr>
        <w:pStyle w:val="15"/>
        <w:rPr>
          <w:rFonts w:ascii="仿宋_GB2312" w:eastAsia="仿宋_GB2312" w:hint="eastAsia"/>
          <w:sz w:val="32"/>
          <w:szCs w:val="32"/>
        </w:rPr>
      </w:pPr>
    </w:p>
    <w:p>
      <w:pPr>
        <w:pStyle w:val="15"/>
        <w:rPr>
          <w:rFonts w:ascii="仿宋_GB2312" w:eastAsia="仿宋_GB2312" w:hint="eastAsia"/>
          <w:sz w:val="32"/>
          <w:szCs w:val="32"/>
        </w:rPr>
      </w:pPr>
    </w:p>
    <w:p>
      <w:pPr>
        <w:spacing w:line="600" w:lineRule="exact"/>
        <w:ind w:firstLineChars="200" w:firstLine="640"/>
        <w:outlineLvl w:val="1"/>
        <w:rPr>
          <w:rFonts w:ascii="黑体" w:eastAsia="黑体" w:hint="eastAsia"/>
          <w:color w:val="000000"/>
          <w:sz w:val="32"/>
          <w:szCs w:val="32"/>
        </w:rPr>
      </w:pPr>
      <w:bookmarkStart w:id="36" w:name="_Toc6474"/>
      <w:bookmarkStart w:id="37" w:name="_Toc15396605"/>
      <w:bookmarkStart w:id="38" w:name="_Toc15377207"/>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三、支出决</w:t>
      </w:r>
      <w:r>
        <w:rPr>
          <w:rStyle w:val="2Char"/>
          <w:rFonts w:ascii="黑体" w:eastAsia="黑体" w:hint="eastAsia"/>
          <w:b w:val="0"/>
        </w:rPr>
        <w:t>算情况说明</w:t>
      </w:r>
      <w:bookmarkEnd w:id="36"/>
      <w:bookmarkEnd w:id="37"/>
      <w:bookmarkEnd w:id="38"/>
    </w:p>
    <w:p>
      <w:pPr>
        <w:spacing w:line="620" w:lineRule="exact"/>
        <w:ind w:firstLineChars="200" w:firstLine="640"/>
        <w:rPr>
          <w:rFonts w:ascii="仿宋_GB2312" w:eastAsia="仿宋_GB2312"/>
          <w:sz w:val="32"/>
          <w:szCs w:val="32"/>
        </w:rPr>
      </w:pPr>
      <w:r>
        <w:rPr>
          <w:rFonts w:ascii="仿宋_GB2312" w:eastAsia="仿宋_GB2312" w:hint="eastAsia"/>
          <w:sz w:val="32"/>
          <w:szCs w:val="32"/>
          <w:lang w:eastAsia="zh-CN"/>
        </w:rPr>
        <w:t>2024</w:t>
      </w:r>
      <w:r>
        <w:rPr>
          <w:rFonts w:ascii="仿宋_GB2312" w:eastAsia="仿宋_GB2312" w:hint="eastAsia"/>
          <w:sz w:val="32"/>
          <w:szCs w:val="32"/>
        </w:rPr>
        <w:t>年本年总支出</w:t>
      </w:r>
      <w:r>
        <w:rPr>
          <w:rFonts w:ascii="仿宋_GB2312" w:eastAsia="仿宋_GB2312" w:hint="eastAsia"/>
          <w:sz w:val="32"/>
          <w:szCs w:val="32"/>
          <w:lang w:val="en-US" w:eastAsia="zh-CN"/>
        </w:rPr>
        <w:t>2216.19</w:t>
      </w:r>
      <w:r>
        <w:rPr>
          <w:rFonts w:ascii="仿宋_GB2312" w:eastAsia="仿宋_GB2312" w:hint="eastAsia"/>
          <w:sz w:val="32"/>
          <w:szCs w:val="32"/>
        </w:rPr>
        <w:t>万元，其中：基本支出</w:t>
      </w:r>
      <w:r>
        <w:rPr>
          <w:rFonts w:ascii="仿宋_GB2312" w:eastAsia="仿宋_GB2312" w:hint="eastAsia"/>
          <w:sz w:val="32"/>
          <w:szCs w:val="32"/>
          <w:lang w:val="en-US" w:eastAsia="zh-CN"/>
        </w:rPr>
        <w:t>783.77</w:t>
      </w:r>
      <w:r>
        <w:rPr>
          <w:rFonts w:ascii="仿宋_GB2312" w:eastAsia="仿宋_GB2312" w:hint="eastAsia"/>
          <w:sz w:val="32"/>
          <w:szCs w:val="32"/>
        </w:rPr>
        <w:t>万元，占</w:t>
      </w:r>
      <w:r>
        <w:rPr>
          <w:rFonts w:ascii="仿宋_GB2312" w:eastAsia="仿宋_GB2312" w:hint="eastAsia"/>
          <w:sz w:val="32"/>
          <w:szCs w:val="32"/>
          <w:lang w:val="en-US" w:eastAsia="zh-CN"/>
        </w:rPr>
        <w:t>35.37</w:t>
      </w:r>
      <w:r>
        <w:rPr>
          <w:rFonts w:ascii="仿宋_GB2312" w:eastAsia="仿宋_GB2312"/>
          <w:sz w:val="32"/>
          <w:szCs w:val="32"/>
        </w:rPr>
        <w:t>%</w:t>
      </w:r>
      <w:r>
        <w:rPr>
          <w:rFonts w:ascii="仿宋_GB2312" w:eastAsia="仿宋_GB2312" w:hint="eastAsia"/>
          <w:sz w:val="32"/>
          <w:szCs w:val="32"/>
        </w:rPr>
        <w:t>；项目支出</w:t>
      </w:r>
      <w:r>
        <w:rPr>
          <w:rFonts w:ascii="仿宋_GB2312" w:eastAsia="仿宋_GB2312" w:hint="eastAsia"/>
          <w:sz w:val="32"/>
          <w:szCs w:val="32"/>
          <w:lang w:val="en-US" w:eastAsia="zh-CN"/>
        </w:rPr>
        <w:t>1432.42</w:t>
      </w:r>
      <w:r>
        <w:rPr>
          <w:rFonts w:ascii="仿宋_GB2312" w:eastAsia="仿宋_GB2312" w:hint="eastAsia"/>
          <w:sz w:val="32"/>
          <w:szCs w:val="32"/>
        </w:rPr>
        <w:t>万元，占</w:t>
      </w:r>
      <w:r>
        <w:rPr>
          <w:rFonts w:ascii="仿宋_GB2312" w:eastAsia="仿宋_GB2312" w:hint="eastAsia"/>
          <w:sz w:val="32"/>
          <w:szCs w:val="32"/>
          <w:lang w:val="en-US" w:eastAsia="zh-CN"/>
        </w:rPr>
        <w:t>64.63</w:t>
      </w:r>
      <w:r>
        <w:rPr>
          <w:rFonts w:ascii="仿宋_GB2312" w:eastAsia="仿宋_GB2312"/>
          <w:sz w:val="32"/>
          <w:szCs w:val="32"/>
        </w:rPr>
        <w:t>%</w:t>
      </w:r>
      <w:r>
        <w:rPr>
          <w:rFonts w:ascii="仿宋_GB2312" w:eastAsia="仿宋_GB2312" w:hint="eastAsia"/>
          <w:sz w:val="32"/>
          <w:szCs w:val="32"/>
        </w:rPr>
        <w:t>；上缴上级支出</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；经营支出</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；对附属单位补助支出</w:t>
      </w:r>
      <w:r>
        <w:rPr>
          <w:rFonts w:ascii="仿宋_GB2312" w:eastAsia="仿宋_GB2312"/>
          <w:sz w:val="32"/>
          <w:szCs w:val="32"/>
        </w:rPr>
        <w:t>0</w:t>
      </w:r>
      <w:r>
        <w:rPr>
          <w:rFonts w:ascii="仿宋_GB2312" w:eastAsia="仿宋_GB2312" w:hint="eastAsia"/>
          <w:sz w:val="32"/>
          <w:szCs w:val="32"/>
        </w:rPr>
        <w:t>万元，占</w:t>
      </w:r>
      <w:r>
        <w:rPr>
          <w:rFonts w:ascii="仿宋_GB2312" w:eastAsia="仿宋_GB2312"/>
          <w:sz w:val="32"/>
          <w:szCs w:val="32"/>
        </w:rPr>
        <w:t>0%</w:t>
      </w:r>
      <w:r>
        <w:rPr>
          <w:rFonts w:ascii="仿宋_GB2312" w:eastAsia="仿宋_GB2312" w:hint="eastAsia"/>
          <w:sz w:val="32"/>
          <w:szCs w:val="32"/>
        </w:rPr>
        <w:t>。</w:t>
      </w:r>
    </w:p>
    <w:p>
      <w:pPr>
        <w:spacing w:line="600" w:lineRule="exact"/>
        <w:ind w:firstLineChars="200" w:firstLine="420"/>
        <w:rPr>
          <w:rFonts w:ascii="仿宋_GB2312" w:eastAsia="仿宋_GB2312"/>
          <w:color w:val="FF0000"/>
          <w:sz w:val="32"/>
          <w:szCs w:val="32"/>
        </w:rPr>
      </w:pPr>
      <w:r>
        <w:drawing>
          <wp:anchor distT="0" distB="0" distL="114300" distR="114300" simplePos="0" relativeHeight="33" behindDoc="0" locked="0" layoutInCell="1" hidden="0" allowOverlap="1">
            <wp:simplePos x="0" y="0"/>
            <wp:positionH relativeFrom="column">
              <wp:posOffset>544830</wp:posOffset>
            </wp:positionH>
            <wp:positionV relativeFrom="paragraph">
              <wp:posOffset>55879</wp:posOffset>
            </wp:positionV>
            <wp:extent cx="4216400" cy="1745614"/>
            <wp:effectExtent l="0" t="0" r="0" b="0"/>
            <wp:wrapNone/>
            <wp:docPr id="3" name="图表 18" descr="7b0a202020202263686172745265734964223a20223230343736343536220a7d0a"/>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ind w:firstLineChars="200" w:firstLine="640"/>
        <w:rPr>
          <w:rFonts w:ascii="仿宋_GB2312" w:eastAsia="仿宋_GB2312"/>
          <w:color w:val="FF0000"/>
          <w:sz w:val="32"/>
          <w:szCs w:val="32"/>
        </w:rPr>
      </w:pPr>
    </w:p>
    <w:p>
      <w:pPr>
        <w:spacing w:line="600" w:lineRule="exact"/>
        <w:outlineLvl w:val="1"/>
        <w:rPr>
          <w:rFonts w:ascii="黑体" w:eastAsia="黑体"/>
          <w:color w:val="000000"/>
          <w:sz w:val="32"/>
          <w:szCs w:val="32"/>
        </w:rPr>
      </w:pPr>
      <w:bookmarkStart w:id="39" w:name="_Toc15396606"/>
      <w:bookmarkStart w:id="40" w:name="_Toc15377208"/>
    </w:p>
    <w:p>
      <w:pPr>
        <w:spacing w:line="600" w:lineRule="exact"/>
        <w:ind w:firstLineChars="200" w:firstLine="640"/>
        <w:outlineLvl w:val="1"/>
        <w:rPr>
          <w:rStyle w:val="2Char"/>
          <w:rFonts w:ascii="黑体" w:eastAsia="黑体"/>
          <w:b w:val="0"/>
        </w:rPr>
      </w:pPr>
      <w:bookmarkStart w:id="41" w:name="_Toc320"/>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9"/>
      <w:bookmarkEnd w:id="40"/>
      <w:bookmarkEnd w:id="41"/>
    </w:p>
    <w:p>
      <w:pPr>
        <w:spacing w:line="620" w:lineRule="exact"/>
        <w:ind w:firstLineChars="200" w:firstLine="640"/>
        <w:rPr>
          <w:rFonts w:ascii="仿宋_GB2312" w:eastAsia="仿宋_GB2312"/>
          <w:sz w:val="32"/>
          <w:szCs w:val="32"/>
        </w:rPr>
      </w:pPr>
      <w:r>
        <w:rPr>
          <w:rFonts w:ascii="仿宋_GB2312" w:eastAsia="仿宋_GB2312" w:hint="eastAsia"/>
          <w:sz w:val="32"/>
          <w:szCs w:val="32"/>
          <w:lang w:eastAsia="zh-CN"/>
        </w:rPr>
        <w:t>2024</w:t>
      </w:r>
      <w:r>
        <w:rPr>
          <w:rFonts w:ascii="仿宋_GB2312" w:eastAsia="仿宋_GB2312" w:hint="eastAsia"/>
          <w:sz w:val="32"/>
          <w:szCs w:val="32"/>
        </w:rPr>
        <w:t>年财政拨款收入</w:t>
      </w:r>
      <w:r>
        <w:rPr>
          <w:rFonts w:ascii="仿宋_GB2312" w:eastAsia="仿宋_GB2312" w:hint="eastAsia"/>
          <w:sz w:val="32"/>
          <w:szCs w:val="32"/>
          <w:lang w:val="en-US" w:eastAsia="zh-CN"/>
        </w:rPr>
        <w:t>2216.19</w:t>
      </w:r>
      <w:r>
        <w:rPr>
          <w:rFonts w:ascii="仿宋_GB2312" w:eastAsia="仿宋_GB2312" w:hint="eastAsia"/>
          <w:sz w:val="32"/>
          <w:szCs w:val="32"/>
        </w:rPr>
        <w:t>万元。与</w:t>
      </w:r>
      <w:r>
        <w:rPr>
          <w:rFonts w:ascii="仿宋_GB2312" w:eastAsia="仿宋_GB2312" w:hint="eastAsia"/>
          <w:sz w:val="32"/>
          <w:szCs w:val="32"/>
          <w:lang w:eastAsia="zh-CN"/>
        </w:rPr>
        <w:t>2023</w:t>
      </w:r>
      <w:r>
        <w:rPr>
          <w:rFonts w:ascii="仿宋_GB2312" w:eastAsia="仿宋_GB2312" w:hint="eastAsia"/>
          <w:sz w:val="32"/>
          <w:szCs w:val="32"/>
        </w:rPr>
        <w:t>年相比，一般公共预算财政拨款收入较上年</w:t>
      </w:r>
      <w:r>
        <w:rPr>
          <w:rFonts w:ascii="仿宋_GB2312" w:eastAsia="仿宋_GB2312" w:hint="eastAsia"/>
          <w:sz w:val="32"/>
          <w:szCs w:val="32"/>
          <w:lang w:eastAsia="zh-CN"/>
        </w:rPr>
        <w:t>增加</w:t>
      </w:r>
      <w:r>
        <w:rPr>
          <w:rFonts w:ascii="仿宋_GB2312" w:eastAsia="仿宋_GB2312" w:hint="eastAsia"/>
          <w:sz w:val="32"/>
          <w:szCs w:val="32"/>
          <w:lang w:val="en-US" w:eastAsia="zh-CN"/>
        </w:rPr>
        <w:t>190.43</w:t>
      </w:r>
      <w:r>
        <w:rPr>
          <w:rFonts w:ascii="仿宋_GB2312" w:eastAsia="仿宋_GB2312" w:hint="eastAsia"/>
          <w:sz w:val="32"/>
          <w:szCs w:val="32"/>
        </w:rPr>
        <w:t>万元，</w:t>
      </w:r>
      <w:r>
        <w:rPr>
          <w:rFonts w:ascii="仿宋_GB2312" w:eastAsia="仿宋_GB2312" w:hint="eastAsia"/>
          <w:sz w:val="32"/>
          <w:szCs w:val="32"/>
          <w:lang w:eastAsia="zh-CN"/>
        </w:rPr>
        <w:t>增加</w:t>
      </w:r>
      <w:r>
        <w:rPr>
          <w:rFonts w:ascii="仿宋_GB2312" w:eastAsia="仿宋_GB2312" w:hint="eastAsia"/>
          <w:sz w:val="32"/>
          <w:szCs w:val="32"/>
          <w:lang w:val="en-US" w:eastAsia="zh-CN"/>
        </w:rPr>
        <w:t>9.4</w:t>
      </w:r>
      <w:r>
        <w:rPr>
          <w:rFonts w:ascii="仿宋_GB2312" w:eastAsia="仿宋_GB2312"/>
          <w:sz w:val="32"/>
          <w:szCs w:val="32"/>
        </w:rPr>
        <w:t>%</w:t>
      </w:r>
      <w:r>
        <w:rPr>
          <w:rFonts w:ascii="仿宋_GB2312" w:eastAsia="仿宋_GB2312" w:hint="eastAsia"/>
          <w:sz w:val="32"/>
          <w:szCs w:val="32"/>
        </w:rPr>
        <w:t>。主要原因是当年部门预算安排资金较上年有所</w:t>
      </w:r>
      <w:r>
        <w:rPr>
          <w:rFonts w:ascii="仿宋_GB2312" w:eastAsia="仿宋_GB2312" w:hint="eastAsia"/>
          <w:sz w:val="32"/>
          <w:szCs w:val="32"/>
          <w:lang w:eastAsia="zh-CN"/>
        </w:rPr>
        <w:t>增加，</w:t>
      </w:r>
      <w:r>
        <w:rPr>
          <w:rFonts w:ascii="仿宋_GB2312" w:eastAsia="仿宋_GB2312" w:hint="eastAsia"/>
          <w:sz w:val="32"/>
          <w:szCs w:val="32"/>
          <w:lang w:val="en-US" w:eastAsia="zh-CN"/>
        </w:rPr>
        <w:t>人员变动，基数变动</w:t>
      </w:r>
      <w:r>
        <w:rPr>
          <w:rFonts w:ascii="仿宋_GB2312" w:eastAsia="仿宋_GB2312" w:hint="eastAsia"/>
          <w:sz w:val="32"/>
          <w:szCs w:val="32"/>
        </w:rPr>
        <w:t>。</w:t>
      </w:r>
      <w:r>
        <w:rPr>
          <w:rFonts w:ascii="仿宋_GB2312" w:eastAsia="仿宋_GB2312" w:hint="eastAsia"/>
          <w:sz w:val="32"/>
          <w:szCs w:val="32"/>
          <w:lang w:eastAsia="zh-CN"/>
        </w:rPr>
        <w:t>2024</w:t>
      </w:r>
      <w:r>
        <w:rPr>
          <w:rFonts w:ascii="仿宋_GB2312" w:eastAsia="仿宋_GB2312" w:hint="eastAsia"/>
          <w:sz w:val="32"/>
          <w:szCs w:val="32"/>
        </w:rPr>
        <w:t>年财政拨款支出</w:t>
      </w:r>
      <w:r>
        <w:rPr>
          <w:rFonts w:ascii="仿宋_GB2312" w:eastAsia="仿宋_GB2312" w:hint="eastAsia"/>
          <w:sz w:val="32"/>
          <w:szCs w:val="32"/>
          <w:lang w:val="en-US" w:eastAsia="zh-CN"/>
        </w:rPr>
        <w:t>2216.19</w:t>
      </w:r>
      <w:r>
        <w:rPr>
          <w:rFonts w:ascii="仿宋_GB2312" w:eastAsia="仿宋_GB2312" w:hint="eastAsia"/>
          <w:sz w:val="32"/>
          <w:szCs w:val="32"/>
        </w:rPr>
        <w:t>万元，较上年支出</w:t>
      </w:r>
      <w:r>
        <w:rPr>
          <w:rFonts w:ascii="仿宋_GB2312" w:eastAsia="仿宋_GB2312" w:hint="eastAsia"/>
          <w:sz w:val="32"/>
          <w:szCs w:val="32"/>
          <w:lang w:eastAsia="zh-CN"/>
        </w:rPr>
        <w:t>增加</w:t>
      </w:r>
      <w:r>
        <w:rPr>
          <w:rFonts w:ascii="仿宋_GB2312" w:eastAsia="仿宋_GB2312" w:hint="eastAsia"/>
          <w:sz w:val="32"/>
          <w:szCs w:val="32"/>
          <w:lang w:val="en-US" w:eastAsia="zh-CN"/>
        </w:rPr>
        <w:t>190.43</w:t>
      </w:r>
      <w:r>
        <w:rPr>
          <w:rFonts w:ascii="仿宋_GB2312" w:eastAsia="仿宋_GB2312" w:hint="eastAsia"/>
          <w:sz w:val="32"/>
          <w:szCs w:val="32"/>
        </w:rPr>
        <w:t>万元，</w:t>
      </w:r>
      <w:r>
        <w:rPr>
          <w:rFonts w:ascii="仿宋_GB2312" w:eastAsia="仿宋_GB2312" w:hint="eastAsia"/>
          <w:sz w:val="32"/>
          <w:szCs w:val="32"/>
          <w:lang w:eastAsia="zh-CN"/>
        </w:rPr>
        <w:t>增加</w:t>
      </w:r>
      <w:r>
        <w:rPr>
          <w:rFonts w:ascii="仿宋_GB2312" w:eastAsia="仿宋_GB2312" w:hint="eastAsia"/>
          <w:sz w:val="32"/>
          <w:szCs w:val="32"/>
          <w:lang w:val="en-US" w:eastAsia="zh-CN"/>
        </w:rPr>
        <w:t>9.4</w:t>
      </w:r>
      <w:r>
        <w:rPr>
          <w:rFonts w:ascii="仿宋_GB2312" w:eastAsia="仿宋_GB2312"/>
          <w:sz w:val="32"/>
          <w:szCs w:val="32"/>
        </w:rPr>
        <w:t>%</w:t>
      </w:r>
      <w:r>
        <w:rPr>
          <w:rFonts w:ascii="仿宋_GB2312" w:eastAsia="仿宋_GB2312" w:hint="eastAsia"/>
          <w:sz w:val="32"/>
          <w:szCs w:val="32"/>
        </w:rPr>
        <w:t>。主要原因是当年部门预算安排资金较上年有所</w:t>
      </w:r>
      <w:r>
        <w:rPr>
          <w:rFonts w:ascii="仿宋_GB2312" w:eastAsia="仿宋_GB2312" w:hint="eastAsia"/>
          <w:sz w:val="32"/>
          <w:szCs w:val="32"/>
          <w:lang w:eastAsia="zh-CN"/>
        </w:rPr>
        <w:t>增加，</w:t>
      </w:r>
      <w:r>
        <w:rPr>
          <w:rFonts w:ascii="仿宋_GB2312" w:eastAsia="仿宋_GB2312" w:hint="eastAsia"/>
          <w:sz w:val="32"/>
          <w:szCs w:val="32"/>
          <w:lang w:val="en-US" w:eastAsia="zh-CN"/>
        </w:rPr>
        <w:t>人员变动，基数变动</w:t>
      </w:r>
      <w:r>
        <w:rPr>
          <w:rFonts w:ascii="仿宋_GB2312" w:eastAsia="仿宋_GB2312" w:hint="eastAsia"/>
          <w:sz w:val="32"/>
          <w:szCs w:val="32"/>
        </w:rPr>
        <w:t>。</w:t>
      </w:r>
    </w:p>
    <w:p>
      <w:pPr>
        <w:spacing w:line="600" w:lineRule="exact"/>
        <w:ind w:firstLineChars="200" w:firstLine="420"/>
        <w:rPr>
          <w:rFonts w:ascii="黑体" w:eastAsia="黑体"/>
          <w:color w:val="000000"/>
          <w:sz w:val="32"/>
          <w:szCs w:val="32"/>
        </w:rPr>
      </w:pPr>
      <w:bookmarkStart w:id="42" w:name="_Toc15377209"/>
      <w:bookmarkStart w:id="43" w:name="_Toc15396607"/>
      <w:r>
        <w:drawing>
          <wp:anchor distT="0" distB="0" distL="114300" distR="114300" simplePos="0" relativeHeight="21" behindDoc="0" locked="0" layoutInCell="1" hidden="0" allowOverlap="1">
            <wp:simplePos x="0" y="0"/>
            <wp:positionH relativeFrom="column">
              <wp:posOffset>341630</wp:posOffset>
            </wp:positionH>
            <wp:positionV relativeFrom="paragraph">
              <wp:posOffset>67945</wp:posOffset>
            </wp:positionV>
            <wp:extent cx="4666614" cy="1848485"/>
            <wp:effectExtent l="0" t="0" r="0" b="0"/>
            <wp:wrapNone/>
            <wp:docPr id="4" name="图表 7" descr="7b0a202020202263686172745265734964223a20223230343736383432220a7d0a"/>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ind w:firstLineChars="200" w:firstLine="640"/>
        <w:rPr>
          <w:rFonts w:ascii="黑体" w:eastAsia="黑体"/>
          <w:color w:val="000000"/>
          <w:sz w:val="32"/>
          <w:szCs w:val="32"/>
        </w:rPr>
      </w:pPr>
    </w:p>
    <w:p>
      <w:pPr>
        <w:spacing w:line="600" w:lineRule="exact"/>
        <w:rPr>
          <w:rFonts w:ascii="黑体" w:eastAsia="黑体"/>
          <w:color w:val="000000"/>
          <w:sz w:val="32"/>
          <w:szCs w:val="32"/>
        </w:rPr>
      </w:pPr>
    </w:p>
    <w:p>
      <w:pPr>
        <w:spacing w:line="600" w:lineRule="exact"/>
        <w:ind w:firstLineChars="200" w:firstLine="640"/>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42"/>
      <w:bookmarkEnd w:id="43"/>
    </w:p>
    <w:p>
      <w:pPr>
        <w:spacing w:line="580" w:lineRule="exact"/>
        <w:ind w:firstLineChars="200" w:firstLine="640"/>
        <w:rPr>
          <w:rFonts w:ascii="楷体_GB2312" w:eastAsia="楷体_GB2312" w:cs="楷体_GB2312"/>
          <w:b/>
          <w:bCs/>
          <w:sz w:val="32"/>
          <w:szCs w:val="32"/>
        </w:rPr>
      </w:pPr>
      <w:bookmarkStart w:id="44" w:name="_Toc15377210"/>
      <w:r>
        <w:rPr>
          <w:rFonts w:ascii="楷体_GB2312" w:eastAsia="楷体_GB2312" w:cs="楷体_GB2312" w:hint="eastAsia"/>
          <w:b/>
          <w:bCs/>
          <w:sz w:val="32"/>
          <w:szCs w:val="32"/>
        </w:rPr>
        <w:t>（一）一般公共预算财政拨款支出决算总体情况</w:t>
      </w:r>
      <w:bookmarkEnd w:id="44"/>
    </w:p>
    <w:p>
      <w:pPr>
        <w:spacing w:line="620" w:lineRule="exact"/>
        <w:ind w:firstLineChars="200" w:firstLine="640"/>
        <w:rPr>
          <w:rFonts w:ascii="仿宋_GB2312" w:eastAsia="仿宋_GB2312"/>
          <w:sz w:val="32"/>
          <w:szCs w:val="32"/>
        </w:rPr>
      </w:pPr>
      <w:r>
        <w:rPr>
          <w:rFonts w:ascii="仿宋_GB2312" w:eastAsia="仿宋_GB2312" w:hint="eastAsia"/>
          <w:sz w:val="32"/>
          <w:szCs w:val="32"/>
          <w:lang w:eastAsia="zh-CN"/>
        </w:rPr>
        <w:t>2024</w:t>
      </w:r>
      <w:r>
        <w:rPr>
          <w:rFonts w:ascii="仿宋_GB2312" w:eastAsia="仿宋_GB2312" w:hint="eastAsia"/>
          <w:sz w:val="32"/>
          <w:szCs w:val="32"/>
        </w:rPr>
        <w:t>年总支出</w:t>
      </w:r>
      <w:r>
        <w:rPr>
          <w:rFonts w:ascii="仿宋_GB2312" w:eastAsia="仿宋_GB2312" w:hint="eastAsia"/>
          <w:sz w:val="32"/>
          <w:szCs w:val="32"/>
          <w:lang w:val="en-US" w:eastAsia="zh-CN"/>
        </w:rPr>
        <w:t>2216.19</w:t>
      </w:r>
      <w:r>
        <w:rPr>
          <w:rFonts w:ascii="仿宋_GB2312" w:eastAsia="仿宋_GB2312" w:hint="eastAsia"/>
          <w:sz w:val="32"/>
          <w:szCs w:val="32"/>
        </w:rPr>
        <w:t>万元，较上年支出</w:t>
      </w:r>
      <w:r>
        <w:rPr>
          <w:rFonts w:ascii="仿宋_GB2312" w:eastAsia="仿宋_GB2312" w:hint="eastAsia"/>
          <w:sz w:val="32"/>
          <w:szCs w:val="32"/>
          <w:lang w:eastAsia="zh-CN"/>
        </w:rPr>
        <w:t>增加</w:t>
      </w:r>
      <w:r>
        <w:rPr>
          <w:rFonts w:ascii="仿宋_GB2312" w:eastAsia="仿宋_GB2312" w:hint="eastAsia"/>
          <w:sz w:val="32"/>
          <w:szCs w:val="32"/>
          <w:lang w:val="en-US" w:eastAsia="zh-CN"/>
        </w:rPr>
        <w:t>190.43</w:t>
      </w:r>
      <w:r>
        <w:rPr>
          <w:rFonts w:ascii="仿宋_GB2312" w:eastAsia="仿宋_GB2312" w:hint="eastAsia"/>
          <w:sz w:val="32"/>
          <w:szCs w:val="32"/>
        </w:rPr>
        <w:t>万元</w:t>
      </w:r>
      <w:r>
        <w:rPr>
          <w:rFonts w:ascii="仿宋_GB2312" w:eastAsia="仿宋_GB2312" w:hint="eastAsia"/>
          <w:sz w:val="32"/>
          <w:szCs w:val="32"/>
          <w:lang w:eastAsia="zh-CN"/>
        </w:rPr>
        <w:t>，增加</w:t>
      </w:r>
      <w:r>
        <w:rPr>
          <w:rFonts w:ascii="仿宋_GB2312" w:eastAsia="仿宋_GB2312" w:hint="eastAsia"/>
          <w:sz w:val="32"/>
          <w:szCs w:val="32"/>
          <w:lang w:val="en-US" w:eastAsia="zh-CN"/>
        </w:rPr>
        <w:t>9.4</w:t>
      </w:r>
      <w:r>
        <w:rPr>
          <w:rFonts w:ascii="仿宋_GB2312" w:eastAsia="仿宋_GB2312"/>
          <w:sz w:val="32"/>
          <w:szCs w:val="32"/>
        </w:rPr>
        <w:t>%</w:t>
      </w:r>
      <w:r>
        <w:rPr>
          <w:rFonts w:ascii="仿宋_GB2312" w:eastAsia="仿宋_GB2312" w:hint="eastAsia"/>
          <w:sz w:val="32"/>
          <w:szCs w:val="32"/>
        </w:rPr>
        <w:t>。主要原因是当年部门预算安排资金较上年有所</w:t>
      </w:r>
      <w:r>
        <w:rPr>
          <w:rFonts w:ascii="仿宋_GB2312" w:eastAsia="仿宋_GB2312" w:hint="eastAsia"/>
          <w:sz w:val="32"/>
          <w:szCs w:val="32"/>
          <w:lang w:eastAsia="zh-CN"/>
        </w:rPr>
        <w:t>增加，</w:t>
      </w:r>
      <w:r>
        <w:rPr>
          <w:rFonts w:ascii="仿宋_GB2312" w:eastAsia="仿宋_GB2312" w:hint="eastAsia"/>
          <w:sz w:val="32"/>
          <w:szCs w:val="32"/>
          <w:lang w:val="en-US" w:eastAsia="zh-CN"/>
        </w:rPr>
        <w:t>人员变动，基数变动</w:t>
      </w:r>
      <w:r>
        <w:rPr>
          <w:rFonts w:ascii="仿宋_GB2312" w:eastAsia="仿宋_GB2312" w:hint="eastAsia"/>
          <w:sz w:val="32"/>
          <w:szCs w:val="32"/>
        </w:rPr>
        <w:t>。</w:t>
      </w:r>
    </w:p>
    <w:p>
      <w:pPr>
        <w:spacing w:line="620" w:lineRule="exact"/>
        <w:ind w:firstLineChars="200" w:firstLine="420"/>
        <w:rPr>
          <w:rFonts w:ascii="仿宋_GB2312" w:eastAsia="仿宋_GB2312"/>
          <w:sz w:val="32"/>
          <w:szCs w:val="32"/>
        </w:rPr>
      </w:pPr>
      <w:r>
        <w:drawing>
          <wp:anchor distT="0" distB="0" distL="114300" distR="114300" simplePos="0" relativeHeight="31" behindDoc="0" locked="0" layoutInCell="1" hidden="0" allowOverlap="1">
            <wp:simplePos x="0" y="0"/>
            <wp:positionH relativeFrom="column">
              <wp:posOffset>397509</wp:posOffset>
            </wp:positionH>
            <wp:positionV relativeFrom="paragraph">
              <wp:posOffset>198120</wp:posOffset>
            </wp:positionV>
            <wp:extent cx="4636134" cy="1816735"/>
            <wp:effectExtent l="0" t="0" r="0" b="0"/>
            <wp:wrapNone/>
            <wp:docPr id="5" name="图表 12" descr="7b0a202020202263686172745265734964223a20223230343736383038220a7d0a"/>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20" w:lineRule="exact"/>
        <w:ind w:firstLineChars="200" w:firstLine="640"/>
        <w:rPr>
          <w:rFonts w:ascii="仿宋_GB2312" w:eastAsia="仿宋_GB2312"/>
          <w:sz w:val="32"/>
          <w:szCs w:val="32"/>
        </w:rPr>
      </w:pPr>
    </w:p>
    <w:p>
      <w:pPr>
        <w:spacing w:line="620" w:lineRule="exact"/>
        <w:ind w:firstLineChars="200" w:firstLine="640"/>
        <w:rPr>
          <w:rFonts w:ascii="仿宋_GB2312" w:eastAsia="仿宋_GB2312"/>
          <w:sz w:val="32"/>
          <w:szCs w:val="32"/>
        </w:rPr>
      </w:pPr>
    </w:p>
    <w:p>
      <w:pPr>
        <w:spacing w:line="620" w:lineRule="exact"/>
        <w:ind w:firstLineChars="200" w:firstLine="640"/>
        <w:rPr>
          <w:rFonts w:ascii="仿宋_GB2312" w:eastAsia="仿宋_GB2312"/>
          <w:sz w:val="32"/>
          <w:szCs w:val="32"/>
        </w:rPr>
      </w:pPr>
    </w:p>
    <w:p>
      <w:pPr>
        <w:spacing w:line="580" w:lineRule="exact"/>
        <w:rPr>
          <w:rFonts w:ascii="楷体_GB2312" w:eastAsia="楷体_GB2312" w:cs="楷体_GB2312" w:hint="eastAsia"/>
          <w:b/>
          <w:bCs/>
          <w:sz w:val="32"/>
          <w:szCs w:val="32"/>
        </w:rPr>
      </w:pPr>
      <w:bookmarkStart w:id="45" w:name="_Toc15377211"/>
    </w:p>
    <w:p>
      <w:pPr>
        <w:spacing w:line="58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（二）一般公共预算财政拨款支出决算结构情况</w:t>
      </w:r>
      <w:bookmarkEnd w:id="45"/>
    </w:p>
    <w:p>
      <w:pPr>
        <w:spacing w:line="620" w:lineRule="exact"/>
        <w:ind w:firstLineChars="200" w:firstLine="640"/>
        <w:rPr>
          <w:rFonts w:ascii="仿宋_GB2312" w:eastAsia="仿宋_GB2312"/>
          <w:sz w:val="32"/>
          <w:szCs w:val="32"/>
        </w:rPr>
      </w:pPr>
      <w:r>
        <w:rPr>
          <w:rFonts w:ascii="仿宋_GB2312" w:eastAsia="仿宋_GB2312" w:hint="eastAsia"/>
          <w:sz w:val="32"/>
          <w:szCs w:val="32"/>
          <w:lang w:eastAsia="zh-CN"/>
        </w:rPr>
        <w:t>2024</w:t>
      </w:r>
      <w:r>
        <w:rPr>
          <w:rFonts w:ascii="仿宋_GB2312" w:eastAsia="仿宋_GB2312" w:hint="eastAsia"/>
          <w:sz w:val="32"/>
          <w:szCs w:val="32"/>
        </w:rPr>
        <w:t>年一般公共预算财政拨款支出</w:t>
      </w:r>
      <w:r>
        <w:rPr>
          <w:rFonts w:ascii="仿宋_GB2312" w:eastAsia="仿宋_GB2312" w:hint="eastAsia"/>
          <w:sz w:val="32"/>
          <w:szCs w:val="32"/>
          <w:lang w:val="en-US" w:eastAsia="zh-CN"/>
        </w:rPr>
        <w:t>2216.19</w:t>
      </w:r>
      <w:r>
        <w:rPr>
          <w:rFonts w:ascii="仿宋_GB2312" w:eastAsia="仿宋_GB2312" w:hint="eastAsia"/>
          <w:sz w:val="32"/>
          <w:szCs w:val="32"/>
        </w:rPr>
        <w:t>万元，主要用于以下方面：</w:t>
      </w:r>
      <w:r>
        <w:rPr>
          <w:rFonts w:ascii="仿宋_GB2312" w:eastAsia="仿宋_GB2312" w:hint="eastAsia"/>
          <w:b/>
          <w:bCs/>
          <w:sz w:val="32"/>
          <w:szCs w:val="32"/>
        </w:rPr>
        <w:t>教育支出（类）</w:t>
      </w:r>
      <w:r>
        <w:rPr>
          <w:rFonts w:ascii="仿宋_GB2312" w:eastAsia="仿宋_GB2312" w:hint="eastAsia"/>
          <w:sz w:val="32"/>
          <w:szCs w:val="32"/>
        </w:rPr>
        <w:t>支出</w:t>
      </w:r>
      <w:r>
        <w:rPr>
          <w:rFonts w:ascii="仿宋_GB2312" w:eastAsia="仿宋_GB2312"/>
          <w:sz w:val="32"/>
          <w:szCs w:val="32"/>
        </w:rPr>
        <w:t>0.</w:t>
      </w:r>
      <w:r>
        <w:rPr>
          <w:rFonts w:ascii="仿宋_GB2312" w:eastAsia="仿宋_GB2312" w:hint="eastAsia"/>
          <w:sz w:val="32"/>
          <w:szCs w:val="32"/>
          <w:lang w:val="en-US" w:eastAsia="zh-CN"/>
        </w:rPr>
        <w:t>84</w:t>
      </w:r>
      <w:r>
        <w:rPr>
          <w:rFonts w:ascii="仿宋_GB2312" w:eastAsia="仿宋_GB2312" w:hint="eastAsia"/>
          <w:sz w:val="32"/>
          <w:szCs w:val="32"/>
        </w:rPr>
        <w:t>万元，占</w:t>
      </w:r>
      <w:r>
        <w:rPr>
          <w:rFonts w:ascii="仿宋_GB2312" w:eastAsia="仿宋_GB2312"/>
          <w:sz w:val="32"/>
          <w:szCs w:val="32"/>
        </w:rPr>
        <w:t>0.03%</w:t>
      </w:r>
      <w:r>
        <w:rPr>
          <w:rFonts w:ascii="仿宋_GB2312" w:eastAsia="仿宋_GB2312" w:hint="eastAsia"/>
          <w:sz w:val="32"/>
          <w:szCs w:val="32"/>
        </w:rPr>
        <w:t>；</w:t>
      </w:r>
      <w:r>
        <w:rPr>
          <w:rFonts w:ascii="仿宋_GB2312" w:eastAsia="仿宋_GB2312" w:hint="eastAsia"/>
          <w:b/>
          <w:bCs/>
          <w:sz w:val="32"/>
          <w:szCs w:val="32"/>
        </w:rPr>
        <w:t>农林水支出（类）</w:t>
      </w:r>
      <w:r>
        <w:rPr>
          <w:rFonts w:ascii="仿宋_GB2312" w:eastAsia="仿宋_GB2312" w:hint="eastAsia"/>
          <w:sz w:val="32"/>
          <w:szCs w:val="32"/>
        </w:rPr>
        <w:t>支出</w:t>
      </w:r>
      <w:r>
        <w:rPr>
          <w:rFonts w:ascii="仿宋_GB2312" w:eastAsia="仿宋_GB2312" w:hint="eastAsia"/>
          <w:sz w:val="32"/>
          <w:szCs w:val="32"/>
          <w:lang w:val="en-US" w:eastAsia="zh-CN"/>
        </w:rPr>
        <w:t>1979.23</w:t>
      </w:r>
      <w:r>
        <w:rPr>
          <w:rFonts w:ascii="仿宋_GB2312" w:eastAsia="仿宋_GB2312" w:hint="eastAsia"/>
          <w:sz w:val="32"/>
          <w:szCs w:val="32"/>
        </w:rPr>
        <w:t>万元，占</w:t>
      </w:r>
      <w:r>
        <w:rPr>
          <w:rFonts w:ascii="仿宋_GB2312" w:eastAsia="仿宋_GB2312" w:hint="eastAsia"/>
          <w:sz w:val="32"/>
          <w:szCs w:val="32"/>
          <w:lang w:val="en-US" w:eastAsia="zh-CN"/>
        </w:rPr>
        <w:t>90.07</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b/>
          <w:bCs/>
          <w:sz w:val="32"/>
          <w:szCs w:val="32"/>
        </w:rPr>
        <w:t>社会保障和就业（类）</w:t>
      </w:r>
      <w:r>
        <w:rPr>
          <w:rFonts w:ascii="仿宋_GB2312" w:eastAsia="仿宋_GB2312" w:hint="eastAsia"/>
          <w:sz w:val="32"/>
          <w:szCs w:val="32"/>
        </w:rPr>
        <w:t>支出</w:t>
      </w:r>
      <w:r>
        <w:rPr>
          <w:rFonts w:ascii="仿宋_GB2312" w:eastAsia="仿宋_GB2312" w:hint="eastAsia"/>
          <w:sz w:val="32"/>
          <w:szCs w:val="32"/>
          <w:lang w:val="en-US" w:eastAsia="zh-CN"/>
        </w:rPr>
        <w:t>121.37</w:t>
      </w:r>
      <w:r>
        <w:rPr>
          <w:rFonts w:ascii="仿宋_GB2312" w:eastAsia="仿宋_GB2312" w:hint="eastAsia"/>
          <w:sz w:val="32"/>
          <w:szCs w:val="32"/>
        </w:rPr>
        <w:t>万元，占</w:t>
      </w:r>
      <w:r>
        <w:rPr>
          <w:rFonts w:ascii="仿宋_GB2312" w:eastAsia="仿宋_GB2312" w:hint="eastAsia"/>
          <w:sz w:val="32"/>
          <w:szCs w:val="32"/>
          <w:lang w:val="en-US" w:eastAsia="zh-CN"/>
        </w:rPr>
        <w:t>4.12</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b/>
          <w:bCs/>
          <w:sz w:val="32"/>
          <w:szCs w:val="32"/>
        </w:rPr>
        <w:t>卫生健康</w:t>
      </w:r>
      <w:r>
        <w:rPr>
          <w:rFonts w:ascii="仿宋_GB2312" w:eastAsia="仿宋_GB2312" w:hint="eastAsia"/>
          <w:sz w:val="32"/>
          <w:szCs w:val="32"/>
        </w:rPr>
        <w:t>支出</w:t>
      </w:r>
      <w:r>
        <w:rPr>
          <w:rFonts w:ascii="仿宋_GB2312" w:eastAsia="仿宋_GB2312" w:hint="eastAsia"/>
          <w:sz w:val="32"/>
          <w:szCs w:val="32"/>
          <w:lang w:val="en-US" w:eastAsia="zh-CN"/>
        </w:rPr>
        <w:t>57.54</w:t>
      </w:r>
      <w:r>
        <w:rPr>
          <w:rFonts w:ascii="仿宋_GB2312" w:eastAsia="仿宋_GB2312" w:hint="eastAsia"/>
          <w:sz w:val="32"/>
          <w:szCs w:val="32"/>
        </w:rPr>
        <w:t>万元，占</w:t>
      </w:r>
      <w:r>
        <w:rPr>
          <w:rFonts w:ascii="仿宋_GB2312" w:eastAsia="仿宋_GB2312" w:hint="eastAsia"/>
          <w:sz w:val="32"/>
          <w:szCs w:val="32"/>
          <w:lang w:val="en-US" w:eastAsia="zh-CN"/>
        </w:rPr>
        <w:t>2.45</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b/>
          <w:bCs/>
          <w:sz w:val="32"/>
          <w:szCs w:val="32"/>
        </w:rPr>
        <w:t>住房保障</w:t>
      </w:r>
      <w:r>
        <w:rPr>
          <w:rFonts w:ascii="仿宋_GB2312" w:eastAsia="仿宋_GB2312" w:hint="eastAsia"/>
          <w:sz w:val="32"/>
          <w:szCs w:val="32"/>
        </w:rPr>
        <w:t>支出</w:t>
      </w:r>
      <w:r>
        <w:rPr>
          <w:rFonts w:ascii="仿宋_GB2312" w:eastAsia="仿宋_GB2312" w:hint="eastAsia"/>
          <w:sz w:val="32"/>
          <w:szCs w:val="32"/>
          <w:lang w:val="en-US" w:eastAsia="zh-CN"/>
        </w:rPr>
        <w:t>57.22</w:t>
      </w:r>
      <w:r>
        <w:rPr>
          <w:rFonts w:ascii="仿宋_GB2312" w:eastAsia="仿宋_GB2312" w:hint="eastAsia"/>
          <w:sz w:val="32"/>
          <w:szCs w:val="32"/>
        </w:rPr>
        <w:t>万元，占</w:t>
      </w:r>
      <w:r>
        <w:rPr>
          <w:rFonts w:ascii="仿宋_GB2312" w:eastAsia="仿宋_GB2312"/>
          <w:sz w:val="32"/>
          <w:szCs w:val="32"/>
        </w:rPr>
        <w:t>2.</w:t>
      </w:r>
      <w:r>
        <w:rPr>
          <w:rFonts w:ascii="仿宋_GB2312" w:eastAsia="仿宋_GB2312" w:hint="eastAsia"/>
          <w:sz w:val="32"/>
          <w:szCs w:val="32"/>
          <w:lang w:val="en-US" w:eastAsia="zh-CN"/>
        </w:rPr>
        <w:t>16</w:t>
      </w:r>
      <w:r>
        <w:rPr>
          <w:rFonts w:ascii="仿宋_GB2312" w:eastAsia="仿宋_GB2312"/>
          <w:sz w:val="32"/>
          <w:szCs w:val="32"/>
        </w:rPr>
        <w:t>%</w:t>
      </w:r>
      <w:r>
        <w:rPr>
          <w:rFonts w:ascii="仿宋_GB2312" w:eastAsia="仿宋_GB2312" w:hint="eastAsia"/>
          <w:sz w:val="32"/>
          <w:szCs w:val="32"/>
        </w:rPr>
        <w:t>。</w:t>
      </w:r>
    </w:p>
    <w:p>
      <w:pPr>
        <w:tabs>
          <w:tab w:val="left" w:pos="533"/>
        </w:tabs>
        <w:spacing w:line="600" w:lineRule="exact"/>
        <w:outlineLvl w:val="2"/>
        <w:rPr>
          <w:rFonts w:ascii="仿宋" w:eastAsia="仿宋"/>
          <w:b/>
          <w:color w:val="000000"/>
          <w:sz w:val="32"/>
          <w:szCs w:val="32"/>
        </w:rPr>
      </w:pPr>
      <w:bookmarkStart w:id="46" w:name="_Toc15377444"/>
      <w:bookmarkStart w:id="47" w:name="_Toc15378460"/>
      <w:bookmarkStart w:id="48" w:name="_Toc15377213"/>
      <w:r>
        <w:drawing>
          <wp:anchor distT="0" distB="0" distL="114300" distR="114300" simplePos="0" relativeHeight="23" behindDoc="0" locked="0" layoutInCell="1" hidden="0" allowOverlap="1">
            <wp:simplePos x="0" y="0"/>
            <wp:positionH relativeFrom="column">
              <wp:posOffset>550544</wp:posOffset>
            </wp:positionH>
            <wp:positionV relativeFrom="paragraph">
              <wp:posOffset>194310</wp:posOffset>
            </wp:positionV>
            <wp:extent cx="4267200" cy="1677035"/>
            <wp:effectExtent l="0" t="0" r="0" b="0"/>
            <wp:wrapNone/>
            <wp:docPr id="6" name="图表 10" descr="7b0a202020202263686172745265734964223a20223230343736343536220a7d0a"/>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spacing w:line="580" w:lineRule="exact"/>
        <w:ind w:firstLineChars="200" w:firstLine="640"/>
        <w:rPr>
          <w:rFonts w:ascii="楷体_GB2312" w:eastAsia="楷体_GB2312" w:cs="楷体_GB2312"/>
          <w:b/>
          <w:bCs/>
          <w:sz w:val="32"/>
          <w:szCs w:val="32"/>
        </w:rPr>
      </w:pPr>
      <w:bookmarkStart w:id="49" w:name="_Toc15377212"/>
      <w:r>
        <w:rPr>
          <w:rFonts w:ascii="楷体_GB2312" w:eastAsia="楷体_GB2312" w:cs="楷体_GB2312" w:hint="eastAsia"/>
          <w:b/>
          <w:bCs/>
          <w:sz w:val="32"/>
          <w:szCs w:val="32"/>
        </w:rPr>
        <w:t>（三）一般公共预算财政拨款支出决算具体情况</w:t>
      </w:r>
      <w:bookmarkEnd w:id="49"/>
    </w:p>
    <w:p>
      <w:pPr>
        <w:spacing w:line="600" w:lineRule="exact"/>
        <w:outlineLvl w:val="2"/>
        <w:rPr>
          <w:rFonts w:ascii="仿宋" w:eastAsia="仿宋"/>
          <w:bCs/>
          <w:color w:val="000000"/>
          <w:sz w:val="32"/>
          <w:szCs w:val="32"/>
        </w:rPr>
      </w:pPr>
      <w:r>
        <w:rPr>
          <w:rFonts w:ascii="仿宋" w:eastAsia="仿宋"/>
          <w:bCs/>
          <w:color w:val="000000"/>
          <w:sz w:val="32"/>
          <w:szCs w:val="32"/>
        </w:rPr>
        <w:t xml:space="preserve">    </w:t>
      </w:r>
      <w:bookmarkStart w:id="50" w:name="_Toc21545"/>
      <w:r>
        <w:rPr>
          <w:rFonts w:ascii="仿宋" w:eastAsia="仿宋" w:hint="eastAsia"/>
          <w:bCs/>
          <w:color w:val="000000"/>
          <w:sz w:val="32"/>
          <w:szCs w:val="32"/>
          <w:lang w:eastAsia="zh-CN"/>
        </w:rPr>
        <w:t>2024</w:t>
      </w:r>
      <w:r>
        <w:rPr>
          <w:rFonts w:ascii="仿宋" w:eastAsia="仿宋" w:hint="eastAsia"/>
          <w:bCs/>
          <w:color w:val="000000"/>
          <w:sz w:val="32"/>
          <w:szCs w:val="32"/>
        </w:rPr>
        <w:t>年一般公共预算数为</w:t>
      </w:r>
      <w:r>
        <w:rPr>
          <w:rFonts w:ascii="仿宋_GB2312" w:eastAsia="仿宋_GB2312" w:hint="eastAsia"/>
          <w:sz w:val="32"/>
          <w:szCs w:val="32"/>
          <w:lang w:val="en-US" w:eastAsia="zh-CN"/>
        </w:rPr>
        <w:t>2216.19</w:t>
      </w:r>
      <w:r>
        <w:rPr>
          <w:rFonts w:ascii="仿宋" w:eastAsia="仿宋" w:hint="eastAsia"/>
          <w:bCs/>
          <w:color w:val="000000"/>
          <w:sz w:val="32"/>
          <w:szCs w:val="32"/>
        </w:rPr>
        <w:t>万元，财政应返还额度为</w:t>
      </w:r>
      <w:r>
        <w:rPr>
          <w:rFonts w:ascii="仿宋" w:eastAsia="仿宋" w:hint="eastAsia"/>
          <w:bCs/>
          <w:color w:val="000000"/>
          <w:sz w:val="32"/>
          <w:szCs w:val="32"/>
          <w:lang w:val="en-US" w:eastAsia="zh-CN"/>
        </w:rPr>
        <w:t>0</w:t>
      </w:r>
      <w:r>
        <w:rPr>
          <w:rFonts w:ascii="仿宋" w:eastAsia="仿宋" w:hint="eastAsia"/>
          <w:bCs/>
          <w:color w:val="000000"/>
          <w:sz w:val="32"/>
          <w:szCs w:val="32"/>
        </w:rPr>
        <w:t>万元，支出决算数为</w:t>
      </w:r>
      <w:r>
        <w:rPr>
          <w:rFonts w:ascii="仿宋_GB2312" w:eastAsia="仿宋_GB2312" w:hint="eastAsia"/>
          <w:sz w:val="32"/>
          <w:szCs w:val="32"/>
          <w:lang w:val="en-US" w:eastAsia="zh-CN"/>
        </w:rPr>
        <w:t>2216.19</w:t>
      </w:r>
      <w:r>
        <w:rPr>
          <w:rFonts w:ascii="仿宋" w:eastAsia="仿宋" w:hint="eastAsia"/>
          <w:bCs/>
          <w:color w:val="000000"/>
          <w:sz w:val="32"/>
          <w:szCs w:val="32"/>
        </w:rPr>
        <w:t>万元，完</w:t>
      </w:r>
      <w:r>
        <w:rPr>
          <w:rStyle w:val="25"/>
          <w:rFonts w:ascii="仿宋" w:eastAsia="仿宋" w:hint="eastAsia"/>
          <w:b w:val="0"/>
          <w:bCs/>
          <w:color w:val="000000"/>
          <w:sz w:val="32"/>
          <w:szCs w:val="32"/>
        </w:rPr>
        <w:t>成预算</w:t>
      </w:r>
      <w:r>
        <w:rPr>
          <w:rStyle w:val="25"/>
          <w:rFonts w:ascii="仿宋" w:eastAsia="仿宋"/>
          <w:b w:val="0"/>
          <w:bCs/>
          <w:color w:val="000000"/>
          <w:sz w:val="32"/>
          <w:szCs w:val="32"/>
        </w:rPr>
        <w:t>100%</w:t>
      </w:r>
      <w:r>
        <w:rPr>
          <w:rStyle w:val="25"/>
          <w:rFonts w:ascii="仿宋" w:eastAsia="仿宋" w:hint="eastAsia"/>
          <w:b w:val="0"/>
          <w:bCs/>
          <w:color w:val="000000"/>
          <w:sz w:val="32"/>
          <w:szCs w:val="32"/>
        </w:rPr>
        <w:t>。结转下年</w:t>
      </w:r>
      <w:r>
        <w:rPr>
          <w:rStyle w:val="25"/>
          <w:rFonts w:ascii="仿宋" w:eastAsia="仿宋"/>
          <w:b w:val="0"/>
          <w:bCs/>
          <w:color w:val="000000"/>
          <w:sz w:val="32"/>
          <w:szCs w:val="32"/>
        </w:rPr>
        <w:t>0</w:t>
      </w:r>
      <w:r>
        <w:rPr>
          <w:rStyle w:val="25"/>
          <w:rFonts w:ascii="仿宋" w:eastAsia="仿宋" w:hint="eastAsia"/>
          <w:b w:val="0"/>
          <w:bCs/>
          <w:color w:val="000000"/>
          <w:sz w:val="32"/>
          <w:szCs w:val="32"/>
        </w:rPr>
        <w:t>万元。其中：</w:t>
      </w:r>
      <w:bookmarkEnd w:id="46"/>
      <w:bookmarkEnd w:id="47"/>
      <w:bookmarkEnd w:id="48"/>
      <w:bookmarkEnd w:id="50"/>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农林水支出（类）农业农村（款）</w:t>
      </w:r>
      <w:r>
        <w:rPr>
          <w:rFonts w:ascii="仿宋_GB2312" w:eastAsia="仿宋_GB2312" w:hint="eastAsia"/>
          <w:color w:val="000000"/>
          <w:sz w:val="32"/>
          <w:szCs w:val="32"/>
          <w:lang w:eastAsia="zh-CN"/>
        </w:rPr>
        <w:t>行政</w:t>
      </w:r>
      <w:r>
        <w:rPr>
          <w:rFonts w:ascii="仿宋_GB2312" w:eastAsia="仿宋_GB2312" w:hint="eastAsia"/>
          <w:color w:val="000000"/>
          <w:sz w:val="32"/>
          <w:szCs w:val="32"/>
        </w:rPr>
        <w:t>运行（项）</w:t>
      </w:r>
      <w:r>
        <w:rPr>
          <w:rFonts w:ascii="仿宋_GB2312" w:eastAsia="仿宋_GB2312" w:hint="eastAsia"/>
          <w:color w:val="000000"/>
          <w:sz w:val="32"/>
          <w:szCs w:val="32"/>
          <w:lang w:eastAsia="zh-CN"/>
        </w:rPr>
        <w:t>：</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231.36</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农林水支出（类）农业农村（款）病虫害控制（项）</w:t>
      </w:r>
      <w:r>
        <w:rPr>
          <w:rFonts w:ascii="仿宋_GB2312" w:eastAsia="仿宋_GB2312" w:hint="eastAsia"/>
          <w:color w:val="000000"/>
          <w:sz w:val="32"/>
          <w:szCs w:val="32"/>
          <w:lang w:eastAsia="zh-CN"/>
        </w:rPr>
        <w:t>：</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10.46</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 xml:space="preserve"> 3. </w:t>
      </w:r>
      <w:r>
        <w:rPr>
          <w:rFonts w:ascii="仿宋_GB2312" w:eastAsia="仿宋_GB2312" w:hint="eastAsia"/>
          <w:color w:val="000000"/>
          <w:sz w:val="32"/>
          <w:szCs w:val="32"/>
        </w:rPr>
        <w:t>社会保障和就业（类）行政事业单位离退休（款）机关事业单位基本养老保险缴费支出（项）</w:t>
      </w:r>
      <w:r>
        <w:rPr>
          <w:rFonts w:ascii="仿宋_GB2312" w:eastAsia="仿宋_GB2312" w:hint="eastAsia"/>
          <w:color w:val="000000"/>
          <w:sz w:val="32"/>
          <w:szCs w:val="32"/>
          <w:lang w:eastAsia="zh-CN"/>
        </w:rPr>
        <w:t>：</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71.33</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4.</w:t>
      </w:r>
      <w:r>
        <w:rPr>
          <w:rFonts w:ascii="仿宋_GB2312" w:eastAsia="仿宋_GB2312" w:hint="eastAsia"/>
          <w:color w:val="000000"/>
          <w:sz w:val="32"/>
          <w:szCs w:val="32"/>
        </w:rPr>
        <w:t>社会保障和就业（类）行政事业单位离退休（款）机关事业单位基本职业年金缴费支出（项）：支出决算为</w:t>
      </w:r>
      <w:r>
        <w:rPr>
          <w:rFonts w:ascii="仿宋_GB2312" w:eastAsia="仿宋_GB2312" w:hint="eastAsia"/>
          <w:color w:val="000000"/>
          <w:sz w:val="32"/>
          <w:szCs w:val="32"/>
          <w:lang w:val="en-US" w:eastAsia="zh-CN"/>
        </w:rPr>
        <w:t>35.66</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5.</w:t>
      </w:r>
      <w:r>
        <w:rPr>
          <w:rFonts w:ascii="仿宋_GB2312" w:eastAsia="仿宋_GB2312" w:hint="eastAsia"/>
          <w:color w:val="000000"/>
          <w:sz w:val="32"/>
          <w:szCs w:val="32"/>
        </w:rPr>
        <w:t>卫生健康支出（类）行政事业单位医疗（款）行政单位医疗（项）：支出决算为</w:t>
      </w:r>
      <w:r>
        <w:rPr>
          <w:rFonts w:ascii="仿宋_GB2312" w:eastAsia="仿宋_GB2312" w:hint="eastAsia"/>
          <w:color w:val="000000"/>
          <w:sz w:val="32"/>
          <w:szCs w:val="32"/>
          <w:lang w:val="en-US" w:eastAsia="zh-CN"/>
        </w:rPr>
        <w:t>14.58</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6.</w:t>
      </w:r>
      <w:r>
        <w:rPr>
          <w:rFonts w:ascii="仿宋_GB2312" w:eastAsia="仿宋_GB2312" w:hint="eastAsia"/>
          <w:color w:val="000000"/>
          <w:sz w:val="32"/>
          <w:szCs w:val="32"/>
        </w:rPr>
        <w:t>卫生健康支出（类）行政事业单位医疗（款）</w:t>
      </w:r>
      <w:r>
        <w:rPr>
          <w:rFonts w:ascii="仿宋_GB2312" w:eastAsia="仿宋_GB2312" w:hint="eastAsia"/>
          <w:color w:val="000000"/>
          <w:sz w:val="32"/>
          <w:szCs w:val="32"/>
          <w:lang w:eastAsia="zh-CN"/>
        </w:rPr>
        <w:t>公务员医疗</w:t>
      </w:r>
      <w:r>
        <w:rPr>
          <w:rFonts w:ascii="仿宋_GB2312" w:eastAsia="仿宋_GB2312" w:hint="eastAsia"/>
          <w:color w:val="000000"/>
          <w:sz w:val="32"/>
          <w:szCs w:val="32"/>
        </w:rPr>
        <w:t>（项）：支出决算为</w:t>
      </w:r>
      <w:r>
        <w:rPr>
          <w:rFonts w:ascii="仿宋_GB2312" w:eastAsia="仿宋_GB2312" w:hint="eastAsia"/>
          <w:color w:val="000000"/>
          <w:sz w:val="32"/>
          <w:szCs w:val="32"/>
          <w:lang w:val="en-US" w:eastAsia="zh-CN"/>
        </w:rPr>
        <w:t>3.72</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bookmarkStart w:id="51" w:name="_Toc15396608"/>
      <w:bookmarkStart w:id="52" w:name="_Toc15377214"/>
      <w:r>
        <w:rPr>
          <w:rFonts w:ascii="仿宋_GB2312" w:eastAsia="仿宋_GB2312"/>
          <w:color w:val="000000"/>
          <w:sz w:val="32"/>
          <w:szCs w:val="32"/>
        </w:rPr>
        <w:t>7.</w:t>
      </w:r>
      <w:r>
        <w:rPr>
          <w:rFonts w:ascii="仿宋_GB2312" w:eastAsia="仿宋_GB2312" w:hint="eastAsia"/>
          <w:color w:val="000000"/>
          <w:sz w:val="32"/>
          <w:szCs w:val="32"/>
        </w:rPr>
        <w:t>住房保障（类）住房改革支出（款）住房公积金（项）：支出决算为</w:t>
      </w:r>
      <w:r>
        <w:rPr>
          <w:rFonts w:ascii="仿宋_GB2312" w:eastAsia="仿宋_GB2312" w:hint="eastAsia"/>
          <w:color w:val="000000"/>
          <w:sz w:val="32"/>
          <w:szCs w:val="32"/>
          <w:lang w:val="en-US" w:eastAsia="zh-CN"/>
        </w:rPr>
        <w:t>57.22</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ind w:firstLine="645"/>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hint="eastAsia"/>
          <w:color w:val="000000"/>
          <w:sz w:val="32"/>
          <w:szCs w:val="32"/>
        </w:rPr>
        <w:t>农林水支出（类）农业农村（款）农业生产发展（项）：支出决算为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农林水支出（类）农业农村（款）农业资源保护修复与利用（项）：支出决算为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农林水支出（类）农业农村（款）其他农业农村支出（项）：支出决算为</w:t>
      </w:r>
      <w:r>
        <w:rPr>
          <w:rFonts w:ascii="仿宋_GB2312" w:eastAsia="仿宋_GB2312" w:hint="eastAsia"/>
          <w:color w:val="000000"/>
          <w:sz w:val="32"/>
          <w:szCs w:val="32"/>
          <w:lang w:val="en-US" w:eastAsia="zh-CN"/>
        </w:rPr>
        <w:t>1189.58</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农林水支出（类）普惠金融发展支出（款）农业保险保费补贴（项）：支出决算为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教育支出（类）进修及培训（款）培训支出（项）：支出决算为</w:t>
      </w:r>
      <w:r>
        <w:rPr>
          <w:rFonts w:ascii="仿宋_GB2312" w:eastAsia="仿宋_GB2312"/>
          <w:color w:val="000000"/>
          <w:sz w:val="32"/>
          <w:szCs w:val="32"/>
        </w:rPr>
        <w:t>0.</w:t>
      </w:r>
      <w:r>
        <w:rPr>
          <w:rFonts w:ascii="仿宋_GB2312" w:eastAsia="仿宋_GB2312" w:hint="eastAsia"/>
          <w:color w:val="000000"/>
          <w:sz w:val="32"/>
          <w:szCs w:val="32"/>
          <w:lang w:val="en-US" w:eastAsia="zh-CN"/>
        </w:rPr>
        <w:t>84</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hint="eastAsia"/>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卫生健康支出（类）公共卫生（款）重大公共卫生服务（项）：支出决算为</w:t>
      </w:r>
      <w:r>
        <w:rPr>
          <w:rFonts w:ascii="仿宋_GB2312" w:eastAsia="仿宋_GB2312" w:hint="eastAsia"/>
          <w:color w:val="000000"/>
          <w:sz w:val="32"/>
          <w:szCs w:val="32"/>
          <w:lang w:val="en-US" w:eastAsia="zh-CN"/>
        </w:rPr>
        <w:t>10.56</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hint="eastAsia"/>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lang w:val="en-US" w:eastAsia="zh-CN"/>
        </w:rPr>
        <w:t>4</w:t>
      </w:r>
      <w:r>
        <w:rPr>
          <w:rFonts w:ascii="仿宋_GB2312" w:eastAsia="仿宋_GB2312"/>
          <w:color w:val="000000"/>
          <w:sz w:val="32"/>
          <w:szCs w:val="32"/>
        </w:rPr>
        <w:t>.</w:t>
      </w:r>
      <w:r>
        <w:rPr>
          <w:rFonts w:ascii="仿宋_GB2312" w:eastAsia="仿宋_GB2312" w:hint="eastAsia"/>
          <w:color w:val="000000"/>
          <w:sz w:val="32"/>
          <w:szCs w:val="32"/>
        </w:rPr>
        <w:t>农林水支出（类）农业农村（款）</w:t>
      </w:r>
      <w:r>
        <w:rPr>
          <w:rFonts w:ascii="仿宋_GB2312" w:eastAsia="仿宋_GB2312" w:hint="eastAsia"/>
          <w:color w:val="000000"/>
          <w:sz w:val="32"/>
          <w:szCs w:val="32"/>
          <w:lang w:val="en-US" w:eastAsia="zh-CN"/>
        </w:rPr>
        <w:t>防灾救灾</w:t>
      </w:r>
      <w:r>
        <w:rPr>
          <w:rFonts w:ascii="仿宋_GB2312" w:eastAsia="仿宋_GB2312" w:hint="eastAsia"/>
          <w:color w:val="000000"/>
          <w:sz w:val="32"/>
          <w:szCs w:val="32"/>
        </w:rPr>
        <w:t>（项）：支出决算为</w:t>
      </w:r>
      <w:r>
        <w:rPr>
          <w:rFonts w:ascii="仿宋_GB2312" w:eastAsia="仿宋_GB2312" w:hint="eastAsia"/>
          <w:color w:val="000000"/>
          <w:sz w:val="32"/>
          <w:szCs w:val="32"/>
          <w:lang w:val="en-US" w:eastAsia="zh-CN"/>
        </w:rPr>
        <w:t>206.6</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hint="eastAsia"/>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rPr>
        <w:t>农林水支出（类）农业农村（款）</w:t>
      </w:r>
      <w:r>
        <w:rPr>
          <w:rFonts w:ascii="仿宋_GB2312" w:eastAsia="仿宋_GB2312" w:hint="eastAsia"/>
          <w:color w:val="000000"/>
          <w:sz w:val="32"/>
          <w:szCs w:val="32"/>
          <w:lang w:eastAsia="zh-CN"/>
        </w:rPr>
        <w:t>事业</w:t>
      </w:r>
      <w:r>
        <w:rPr>
          <w:rFonts w:ascii="仿宋_GB2312" w:eastAsia="仿宋_GB2312" w:hint="eastAsia"/>
          <w:color w:val="000000"/>
          <w:sz w:val="32"/>
          <w:szCs w:val="32"/>
        </w:rPr>
        <w:t>运行（项）</w:t>
      </w:r>
      <w:r>
        <w:rPr>
          <w:rFonts w:ascii="仿宋_GB2312" w:eastAsia="仿宋_GB2312" w:hint="eastAsia"/>
          <w:color w:val="000000"/>
          <w:sz w:val="32"/>
          <w:szCs w:val="32"/>
          <w:lang w:eastAsia="zh-CN"/>
        </w:rPr>
        <w:t>：</w:t>
      </w:r>
      <w:r>
        <w:rPr>
          <w:rFonts w:ascii="仿宋_GB2312" w:eastAsia="仿宋_GB2312"/>
          <w:color w:val="000000"/>
          <w:sz w:val="32"/>
          <w:szCs w:val="32"/>
        </w:rPr>
        <w:t xml:space="preserve"> </w:t>
      </w:r>
      <w:r>
        <w:rPr>
          <w:rFonts w:ascii="仿宋_GB2312" w:eastAsia="仿宋_GB2312" w:hint="eastAsia"/>
          <w:color w:val="000000"/>
          <w:sz w:val="32"/>
          <w:szCs w:val="32"/>
        </w:rPr>
        <w:t>支出决算为</w:t>
      </w:r>
      <w:r>
        <w:rPr>
          <w:rFonts w:ascii="仿宋_GB2312" w:eastAsia="仿宋_GB2312" w:hint="eastAsia"/>
          <w:color w:val="000000"/>
          <w:sz w:val="32"/>
          <w:szCs w:val="32"/>
          <w:lang w:val="en-US" w:eastAsia="zh-CN"/>
        </w:rPr>
        <w:t>341.23</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color w:val="000000"/>
          <w:sz w:val="32"/>
          <w:szCs w:val="32"/>
        </w:rPr>
      </w:pPr>
      <w:r>
        <w:rPr>
          <w:rFonts w:ascii="仿宋_GB2312" w:eastAsia="仿宋_GB2312" w:hint="eastAsia"/>
          <w:color w:val="000000"/>
          <w:sz w:val="32"/>
          <w:szCs w:val="32"/>
          <w:lang w:val="en-US" w:eastAsia="zh-CN"/>
        </w:rPr>
        <w:t>1</w:t>
      </w:r>
      <w:r>
        <w:rPr>
          <w:rFonts w:ascii="仿宋_GB2312" w:eastAsia="仿宋_GB2312"/>
          <w:color w:val="000000"/>
          <w:sz w:val="32"/>
          <w:szCs w:val="32"/>
        </w:rPr>
        <w:t>6.</w:t>
      </w:r>
      <w:r>
        <w:rPr>
          <w:rFonts w:ascii="仿宋_GB2312" w:eastAsia="仿宋_GB2312" w:hint="eastAsia"/>
          <w:color w:val="000000"/>
          <w:sz w:val="32"/>
          <w:szCs w:val="32"/>
        </w:rPr>
        <w:t>卫生健康支出（类）事业单位医疗（款）事业单位医疗支出（项）：支出决算为</w:t>
      </w:r>
      <w:r>
        <w:rPr>
          <w:rFonts w:ascii="仿宋_GB2312" w:eastAsia="仿宋_GB2312" w:hint="eastAsia"/>
          <w:color w:val="000000"/>
          <w:sz w:val="32"/>
          <w:szCs w:val="32"/>
          <w:lang w:val="en-US" w:eastAsia="zh-CN"/>
        </w:rPr>
        <w:t>19.87</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536" w:lineRule="exact"/>
        <w:ind w:firstLine="645"/>
        <w:rPr>
          <w:rFonts w:ascii="仿宋_GB2312" w:eastAsia="仿宋_GB2312" w:hint="eastAsia"/>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卫生健康支出（类）</w:t>
      </w:r>
      <w:r>
        <w:rPr>
          <w:rFonts w:ascii="仿宋_GB2312" w:eastAsia="仿宋_GB2312" w:hint="eastAsia"/>
          <w:color w:val="000000"/>
          <w:sz w:val="32"/>
          <w:szCs w:val="32"/>
          <w:lang w:eastAsia="zh-CN"/>
        </w:rPr>
        <w:t>其他</w:t>
      </w:r>
      <w:r>
        <w:rPr>
          <w:rFonts w:ascii="仿宋_GB2312" w:eastAsia="仿宋_GB2312" w:hint="eastAsia"/>
          <w:color w:val="000000"/>
          <w:sz w:val="32"/>
          <w:szCs w:val="32"/>
        </w:rPr>
        <w:t>事业单位医疗（款）其他行政事业单位医疗支出（项）：支出决算为</w:t>
      </w:r>
      <w:r>
        <w:rPr>
          <w:rFonts w:ascii="仿宋_GB2312" w:eastAsia="仿宋_GB2312" w:hint="eastAsia"/>
          <w:color w:val="000000"/>
          <w:sz w:val="32"/>
          <w:szCs w:val="32"/>
          <w:lang w:val="en-US" w:eastAsia="zh-CN"/>
        </w:rPr>
        <w:t>8.81</w:t>
      </w:r>
      <w:r>
        <w:rPr>
          <w:rFonts w:ascii="仿宋_GB2312" w:eastAsia="仿宋_GB2312" w:hint="eastAsia"/>
          <w:color w:val="000000"/>
          <w:sz w:val="32"/>
          <w:szCs w:val="32"/>
        </w:rPr>
        <w:t>万元，完成预算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pStyle w:val="15"/>
        <w:ind w:left="0" w:firstLineChars="200" w:firstLine="640"/>
        <w:rPr>
          <w:lang w:val="en-US" w:eastAsia="zh-CN"/>
        </w:rPr>
      </w:pP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社会保障和就业（类）行政事业单位离退休（款）机关事业单位</w:t>
      </w:r>
      <w:r>
        <w:rPr>
          <w:rFonts w:ascii="仿宋_GB2312" w:eastAsia="仿宋_GB2312" w:hint="eastAsia"/>
          <w:color w:val="000000"/>
          <w:sz w:val="32"/>
          <w:szCs w:val="32"/>
          <w:lang w:eastAsia="zh-CN"/>
        </w:rPr>
        <w:t>死亡抚恤支出（项）：支出决算为</w:t>
      </w:r>
      <w:r>
        <w:rPr>
          <w:rFonts w:ascii="仿宋_GB2312" w:eastAsia="仿宋_GB2312" w:hint="eastAsia"/>
          <w:color w:val="000000"/>
          <w:sz w:val="32"/>
          <w:szCs w:val="32"/>
          <w:lang w:val="en-US" w:eastAsia="zh-CN"/>
        </w:rPr>
        <w:t>14.37万元，</w:t>
      </w:r>
      <w:r>
        <w:rPr>
          <w:rFonts w:ascii="仿宋_GB2312" w:eastAsia="仿宋_GB2312" w:hint="eastAsia"/>
          <w:color w:val="000000"/>
          <w:sz w:val="32"/>
          <w:szCs w:val="32"/>
        </w:rPr>
        <w:t>完成预算</w:t>
      </w:r>
      <w:r>
        <w:rPr>
          <w:rFonts w:ascii="仿宋_GB2312" w:eastAsia="仿宋_GB2312"/>
          <w:color w:val="000000"/>
          <w:sz w:val="32"/>
          <w:szCs w:val="32"/>
        </w:rPr>
        <w:t>100%</w:t>
      </w:r>
      <w:r>
        <w:rPr>
          <w:rFonts w:ascii="仿宋_GB2312" w:eastAsia="仿宋_GB2312" w:hint="eastAsia"/>
          <w:color w:val="000000"/>
          <w:sz w:val="32"/>
          <w:szCs w:val="32"/>
        </w:rPr>
        <w:t>，决算数等于预算数。</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51"/>
      <w:bookmarkEnd w:id="52"/>
      <w:r>
        <w:rPr>
          <w:rStyle w:val="2Char"/>
          <w:rFonts w:ascii="黑体" w:eastAsia="黑体"/>
          <w:b w:val="0"/>
        </w:rPr>
        <w:tab/>
      </w:r>
    </w:p>
    <w:p>
      <w:pPr>
        <w:spacing w:line="536" w:lineRule="exact"/>
        <w:ind w:firstLine="645"/>
        <w:rPr>
          <w:rFonts w:ascii="仿宋_GB2312" w:eastAsia="仿宋_GB2312"/>
          <w:color w:val="000000"/>
          <w:sz w:val="32"/>
          <w:szCs w:val="32"/>
        </w:rPr>
      </w:pPr>
      <w:bookmarkStart w:id="53" w:name="_Toc15377215"/>
      <w:bookmarkStart w:id="54" w:name="_Toc15396609"/>
      <w:r>
        <w:rPr>
          <w:rFonts w:ascii="仿宋_GB2312" w:eastAsia="仿宋_GB2312" w:hint="eastAsia"/>
          <w:color w:val="000000"/>
          <w:sz w:val="32"/>
          <w:szCs w:val="32"/>
          <w:lang w:eastAsia="zh-CN"/>
        </w:rPr>
        <w:t>2024</w:t>
      </w:r>
      <w:r>
        <w:rPr>
          <w:rFonts w:ascii="仿宋_GB2312" w:eastAsia="仿宋_GB2312" w:hint="eastAsia"/>
          <w:color w:val="000000"/>
          <w:sz w:val="32"/>
          <w:szCs w:val="32"/>
        </w:rPr>
        <w:t>年度一般公共预算财政拨款基本支出</w:t>
      </w:r>
      <w:r>
        <w:rPr>
          <w:rFonts w:ascii="仿宋_GB2312" w:eastAsia="仿宋_GB2312" w:hint="eastAsia"/>
          <w:color w:val="000000"/>
          <w:sz w:val="32"/>
          <w:szCs w:val="32"/>
          <w:lang w:val="en-US" w:eastAsia="zh-CN"/>
        </w:rPr>
        <w:t>783.77</w:t>
      </w:r>
      <w:r>
        <w:rPr>
          <w:rFonts w:ascii="仿宋_GB2312" w:eastAsia="仿宋_GB2312" w:hint="eastAsia"/>
          <w:color w:val="000000"/>
          <w:sz w:val="32"/>
          <w:szCs w:val="32"/>
        </w:rPr>
        <w:t>万元，其中：</w:t>
      </w:r>
    </w:p>
    <w:p>
      <w:pPr>
        <w:spacing w:line="536" w:lineRule="exact"/>
        <w:ind w:firstLine="645"/>
        <w:rPr>
          <w:rFonts w:ascii="仿宋_GB2312" w:eastAsia="仿宋_GB2312"/>
          <w:color w:val="000000"/>
          <w:sz w:val="32"/>
          <w:szCs w:val="32"/>
        </w:rPr>
      </w:pPr>
      <w:r>
        <w:rPr>
          <w:rFonts w:ascii="仿宋_GB2312" w:eastAsia="仿宋_GB2312" w:hint="eastAsia"/>
          <w:color w:val="000000"/>
          <w:sz w:val="32"/>
          <w:szCs w:val="32"/>
        </w:rPr>
        <w:t>人员经费</w:t>
      </w:r>
      <w:r>
        <w:rPr>
          <w:rFonts w:ascii="仿宋_GB2312" w:eastAsia="仿宋_GB2312" w:hint="eastAsia"/>
          <w:color w:val="000000"/>
          <w:sz w:val="32"/>
          <w:szCs w:val="32"/>
          <w:lang w:val="en-US" w:eastAsia="zh-CN"/>
        </w:rPr>
        <w:t>754.98</w:t>
      </w:r>
      <w:r>
        <w:rPr>
          <w:rFonts w:ascii="仿宋_GB2312" w:eastAsia="仿宋_GB2312" w:hint="eastAsia"/>
          <w:color w:val="000000"/>
          <w:sz w:val="32"/>
          <w:szCs w:val="32"/>
        </w:rPr>
        <w:t>元，主要包括：基本工资</w:t>
      </w:r>
      <w:r>
        <w:rPr>
          <w:rFonts w:ascii="仿宋_GB2312" w:eastAsia="仿宋_GB2312" w:hint="eastAsia"/>
          <w:color w:val="000000"/>
          <w:sz w:val="32"/>
          <w:szCs w:val="32"/>
          <w:lang w:val="en-US" w:eastAsia="zh-CN"/>
        </w:rPr>
        <w:t>143.29</w:t>
      </w:r>
      <w:r>
        <w:rPr>
          <w:rFonts w:ascii="仿宋_GB2312" w:eastAsia="仿宋_GB2312" w:hint="eastAsia"/>
          <w:color w:val="000000"/>
          <w:sz w:val="32"/>
          <w:szCs w:val="32"/>
        </w:rPr>
        <w:t>万元、津贴补贴</w:t>
      </w:r>
      <w:r>
        <w:rPr>
          <w:rFonts w:ascii="仿宋_GB2312" w:eastAsia="仿宋_GB2312" w:hint="eastAsia"/>
          <w:color w:val="000000"/>
          <w:sz w:val="32"/>
          <w:szCs w:val="32"/>
          <w:lang w:val="en-US" w:eastAsia="zh-CN"/>
        </w:rPr>
        <w:t>118.25</w:t>
      </w:r>
      <w:r>
        <w:rPr>
          <w:rFonts w:ascii="仿宋_GB2312" w:eastAsia="仿宋_GB2312" w:hint="eastAsia"/>
          <w:color w:val="000000"/>
          <w:sz w:val="32"/>
          <w:szCs w:val="32"/>
        </w:rPr>
        <w:t>万元、奖金</w:t>
      </w:r>
      <w:r>
        <w:rPr>
          <w:rFonts w:ascii="仿宋_GB2312" w:eastAsia="仿宋_GB2312" w:hint="eastAsia"/>
          <w:color w:val="000000"/>
          <w:sz w:val="32"/>
          <w:szCs w:val="32"/>
          <w:lang w:val="en-US" w:eastAsia="zh-CN"/>
        </w:rPr>
        <w:t>173.36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绩效工资</w:t>
      </w:r>
      <w:r>
        <w:rPr>
          <w:rFonts w:ascii="仿宋_GB2312" w:eastAsia="仿宋_GB2312" w:hint="eastAsia"/>
          <w:color w:val="000000"/>
          <w:sz w:val="32"/>
          <w:szCs w:val="32"/>
          <w:lang w:val="en-US" w:eastAsia="zh-CN"/>
        </w:rPr>
        <w:t>61.29万元、</w:t>
      </w:r>
      <w:r>
        <w:rPr>
          <w:rFonts w:ascii="仿宋_GB2312" w:eastAsia="仿宋_GB2312" w:hint="eastAsia"/>
          <w:color w:val="000000"/>
          <w:sz w:val="32"/>
          <w:szCs w:val="32"/>
        </w:rPr>
        <w:t>机关事业单位基本养老保险缴费</w:t>
      </w:r>
      <w:r>
        <w:rPr>
          <w:rFonts w:ascii="仿宋_GB2312" w:eastAsia="仿宋_GB2312" w:hint="eastAsia"/>
          <w:color w:val="000000"/>
          <w:sz w:val="32"/>
          <w:szCs w:val="32"/>
          <w:lang w:val="en-US" w:eastAsia="zh-CN"/>
        </w:rPr>
        <w:t>71.32</w:t>
      </w:r>
      <w:r>
        <w:rPr>
          <w:rFonts w:ascii="仿宋_GB2312" w:eastAsia="仿宋_GB2312" w:hint="eastAsia"/>
          <w:color w:val="000000"/>
          <w:sz w:val="32"/>
          <w:szCs w:val="32"/>
        </w:rPr>
        <w:t>万元、职业年金缴费</w:t>
      </w:r>
      <w:r>
        <w:rPr>
          <w:rFonts w:ascii="仿宋_GB2312" w:eastAsia="仿宋_GB2312" w:hint="eastAsia"/>
          <w:color w:val="000000"/>
          <w:sz w:val="32"/>
          <w:szCs w:val="32"/>
          <w:lang w:val="en-US" w:eastAsia="zh-CN"/>
        </w:rPr>
        <w:t>35.66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职工</w:t>
      </w:r>
      <w:r>
        <w:rPr>
          <w:rFonts w:ascii="仿宋_GB2312" w:eastAsia="仿宋_GB2312" w:hint="eastAsia"/>
          <w:color w:val="000000"/>
          <w:sz w:val="32"/>
          <w:szCs w:val="32"/>
        </w:rPr>
        <w:t>医疗</w:t>
      </w:r>
      <w:r>
        <w:rPr>
          <w:rFonts w:ascii="仿宋_GB2312" w:eastAsia="仿宋_GB2312" w:hint="eastAsia"/>
          <w:color w:val="000000"/>
          <w:sz w:val="32"/>
          <w:szCs w:val="32"/>
          <w:lang w:eastAsia="zh-CN"/>
        </w:rPr>
        <w:t>保险</w:t>
      </w:r>
      <w:r>
        <w:rPr>
          <w:rFonts w:ascii="仿宋_GB2312" w:eastAsia="仿宋_GB2312" w:hint="eastAsia"/>
          <w:color w:val="000000"/>
          <w:sz w:val="32"/>
          <w:szCs w:val="32"/>
          <w:lang w:val="en-US" w:eastAsia="zh-CN"/>
        </w:rPr>
        <w:t>34.45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公务员医疗补助3.72万元、其他社会保障缴费18.2万元、</w:t>
      </w:r>
      <w:r>
        <w:rPr>
          <w:rFonts w:ascii="仿宋_GB2312" w:eastAsia="仿宋_GB2312" w:hint="eastAsia"/>
          <w:color w:val="000000"/>
          <w:sz w:val="32"/>
          <w:szCs w:val="32"/>
        </w:rPr>
        <w:t>其他工资福利支出</w:t>
      </w:r>
      <w:r>
        <w:rPr>
          <w:rFonts w:ascii="仿宋_GB2312" w:eastAsia="仿宋_GB2312"/>
          <w:color w:val="000000"/>
          <w:sz w:val="32"/>
          <w:szCs w:val="32"/>
        </w:rPr>
        <w:t>0</w:t>
      </w:r>
      <w:r>
        <w:rPr>
          <w:rFonts w:ascii="仿宋_GB2312" w:eastAsia="仿宋_GB2312" w:hint="eastAsia"/>
          <w:color w:val="000000"/>
          <w:sz w:val="32"/>
          <w:szCs w:val="32"/>
        </w:rPr>
        <w:t>万元、离休费</w:t>
      </w:r>
      <w:r>
        <w:rPr>
          <w:rFonts w:ascii="仿宋_GB2312" w:eastAsia="仿宋_GB2312"/>
          <w:color w:val="000000"/>
          <w:sz w:val="32"/>
          <w:szCs w:val="32"/>
        </w:rPr>
        <w:t>0</w:t>
      </w:r>
      <w:r>
        <w:rPr>
          <w:rFonts w:ascii="仿宋_GB2312" w:eastAsia="仿宋_GB2312" w:hint="eastAsia"/>
          <w:color w:val="000000"/>
          <w:sz w:val="32"/>
          <w:szCs w:val="32"/>
        </w:rPr>
        <w:t>万元、退休费</w:t>
      </w:r>
      <w:r>
        <w:rPr>
          <w:rFonts w:ascii="仿宋_GB2312" w:eastAsia="仿宋_GB2312"/>
          <w:color w:val="000000"/>
          <w:sz w:val="32"/>
          <w:szCs w:val="32"/>
        </w:rPr>
        <w:t>0</w:t>
      </w:r>
      <w:r>
        <w:rPr>
          <w:rFonts w:ascii="仿宋_GB2312" w:eastAsia="仿宋_GB2312" w:hint="eastAsia"/>
          <w:color w:val="000000"/>
          <w:sz w:val="32"/>
          <w:szCs w:val="32"/>
        </w:rPr>
        <w:t>万元、抚恤金</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万元、生活补助</w:t>
      </w:r>
      <w:r>
        <w:rPr>
          <w:rFonts w:ascii="仿宋_GB2312" w:eastAsia="仿宋_GB2312" w:hint="eastAsia"/>
          <w:color w:val="000000"/>
          <w:sz w:val="32"/>
          <w:szCs w:val="32"/>
          <w:lang w:val="en-US" w:eastAsia="zh-CN"/>
        </w:rPr>
        <w:t>38.21</w:t>
      </w:r>
      <w:r>
        <w:rPr>
          <w:rFonts w:ascii="仿宋_GB2312" w:eastAsia="仿宋_GB2312" w:hint="eastAsia"/>
          <w:color w:val="000000"/>
          <w:sz w:val="32"/>
          <w:szCs w:val="32"/>
        </w:rPr>
        <w:t>万元、医疗费</w:t>
      </w:r>
      <w:r>
        <w:rPr>
          <w:rFonts w:ascii="仿宋_GB2312" w:eastAsia="仿宋_GB2312"/>
          <w:color w:val="000000"/>
          <w:sz w:val="32"/>
          <w:szCs w:val="32"/>
        </w:rPr>
        <w:t>0</w:t>
      </w:r>
      <w:r>
        <w:rPr>
          <w:rFonts w:ascii="仿宋_GB2312" w:eastAsia="仿宋_GB2312" w:hint="eastAsia"/>
          <w:color w:val="000000"/>
          <w:sz w:val="32"/>
          <w:szCs w:val="32"/>
        </w:rPr>
        <w:t>万元、奖励金</w:t>
      </w:r>
      <w:r>
        <w:rPr>
          <w:rFonts w:ascii="仿宋_GB2312" w:eastAsia="仿宋_GB2312" w:hint="eastAsia"/>
          <w:color w:val="000000"/>
          <w:sz w:val="32"/>
          <w:szCs w:val="32"/>
          <w:lang w:val="en-US" w:eastAsia="zh-CN"/>
        </w:rPr>
        <w:t>0.007</w:t>
      </w:r>
      <w:r>
        <w:rPr>
          <w:rFonts w:ascii="仿宋_GB2312" w:eastAsia="仿宋_GB2312" w:hint="eastAsia"/>
          <w:color w:val="000000"/>
          <w:sz w:val="32"/>
          <w:szCs w:val="32"/>
        </w:rPr>
        <w:t>万元、住房公积金</w:t>
      </w:r>
      <w:r>
        <w:rPr>
          <w:rFonts w:ascii="仿宋_GB2312" w:eastAsia="仿宋_GB2312" w:hint="eastAsia"/>
          <w:color w:val="000000"/>
          <w:sz w:val="32"/>
          <w:szCs w:val="32"/>
          <w:lang w:val="en-US" w:eastAsia="zh-CN"/>
        </w:rPr>
        <w:t>57.22</w:t>
      </w:r>
      <w:r>
        <w:rPr>
          <w:rFonts w:ascii="仿宋_GB2312" w:eastAsia="仿宋_GB2312" w:hint="eastAsia"/>
          <w:color w:val="000000"/>
          <w:sz w:val="32"/>
          <w:szCs w:val="32"/>
        </w:rPr>
        <w:t>万元、购房补贴</w:t>
      </w:r>
      <w:r>
        <w:rPr>
          <w:rFonts w:ascii="仿宋_GB2312" w:eastAsia="仿宋_GB2312"/>
          <w:color w:val="000000"/>
          <w:sz w:val="32"/>
          <w:szCs w:val="32"/>
        </w:rPr>
        <w:t>0</w:t>
      </w:r>
      <w:r>
        <w:rPr>
          <w:rFonts w:ascii="仿宋_GB2312" w:eastAsia="仿宋_GB2312" w:hint="eastAsia"/>
          <w:color w:val="000000"/>
          <w:sz w:val="32"/>
          <w:szCs w:val="32"/>
        </w:rPr>
        <w:t>万元等。</w:t>
      </w:r>
    </w:p>
    <w:p>
      <w:pPr>
        <w:spacing w:line="536" w:lineRule="exact"/>
        <w:ind w:firstLine="645"/>
        <w:rPr>
          <w:rFonts w:ascii="仿宋_GB2312" w:eastAsia="仿宋_GB2312"/>
          <w:color w:val="000000"/>
          <w:sz w:val="32"/>
          <w:szCs w:val="32"/>
        </w:rPr>
      </w:pPr>
      <w:r>
        <w:rPr>
          <w:rFonts w:ascii="仿宋_GB2312" w:eastAsia="仿宋_GB2312" w:hint="eastAsia"/>
          <w:color w:val="000000"/>
          <w:sz w:val="32"/>
          <w:szCs w:val="32"/>
        </w:rPr>
        <w:t>日常公用经费</w:t>
      </w:r>
      <w:r>
        <w:rPr>
          <w:rFonts w:ascii="仿宋_GB2312" w:eastAsia="仿宋_GB2312" w:hint="eastAsia"/>
          <w:color w:val="000000"/>
          <w:sz w:val="32"/>
          <w:szCs w:val="32"/>
          <w:lang w:val="en-US" w:eastAsia="zh-CN"/>
        </w:rPr>
        <w:t>28.79</w:t>
      </w:r>
      <w:r>
        <w:rPr>
          <w:rFonts w:ascii="仿宋_GB2312" w:eastAsia="仿宋_GB2312" w:hint="eastAsia"/>
          <w:color w:val="000000"/>
          <w:sz w:val="32"/>
          <w:szCs w:val="32"/>
        </w:rPr>
        <w:t>万元，主要包括：办公费</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万元、印刷费</w:t>
      </w:r>
      <w:r>
        <w:rPr>
          <w:rFonts w:ascii="仿宋_GB2312" w:eastAsia="仿宋_GB2312"/>
          <w:color w:val="000000"/>
          <w:sz w:val="32"/>
          <w:szCs w:val="32"/>
        </w:rPr>
        <w:t>0</w:t>
      </w:r>
      <w:r>
        <w:rPr>
          <w:rFonts w:ascii="仿宋_GB2312" w:eastAsia="仿宋_GB2312" w:hint="eastAsia"/>
          <w:color w:val="000000"/>
          <w:sz w:val="32"/>
          <w:szCs w:val="32"/>
        </w:rPr>
        <w:t>万元、咨询费</w:t>
      </w:r>
      <w:r>
        <w:rPr>
          <w:rFonts w:ascii="仿宋_GB2312" w:eastAsia="仿宋_GB2312"/>
          <w:color w:val="000000"/>
          <w:sz w:val="32"/>
          <w:szCs w:val="32"/>
        </w:rPr>
        <w:t>0</w:t>
      </w:r>
      <w:r>
        <w:rPr>
          <w:rFonts w:ascii="仿宋_GB2312" w:eastAsia="仿宋_GB2312" w:hint="eastAsia"/>
          <w:color w:val="000000"/>
          <w:sz w:val="32"/>
          <w:szCs w:val="32"/>
        </w:rPr>
        <w:t>万元、水费</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万元、电费</w:t>
      </w:r>
      <w:r>
        <w:rPr>
          <w:rFonts w:ascii="仿宋_GB2312" w:eastAsia="仿宋_GB2312" w:hint="eastAsia"/>
          <w:color w:val="000000"/>
          <w:sz w:val="32"/>
          <w:szCs w:val="32"/>
          <w:lang w:val="en-US" w:eastAsia="zh-CN"/>
        </w:rPr>
        <w:t>1.5</w:t>
      </w:r>
      <w:r>
        <w:rPr>
          <w:rFonts w:ascii="仿宋_GB2312" w:eastAsia="仿宋_GB2312" w:hint="eastAsia"/>
          <w:color w:val="000000"/>
          <w:sz w:val="32"/>
          <w:szCs w:val="32"/>
        </w:rPr>
        <w:t>万元、邮电费</w:t>
      </w:r>
      <w:r>
        <w:rPr>
          <w:rFonts w:ascii="仿宋_GB2312" w:eastAsia="仿宋_GB2312" w:hint="eastAsia"/>
          <w:color w:val="000000"/>
          <w:sz w:val="32"/>
          <w:szCs w:val="32"/>
          <w:lang w:val="en-US" w:eastAsia="zh-CN"/>
        </w:rPr>
        <w:t>2.49</w:t>
      </w:r>
      <w:r>
        <w:rPr>
          <w:rFonts w:ascii="仿宋_GB2312" w:eastAsia="仿宋_GB2312" w:hint="eastAsia"/>
          <w:color w:val="000000"/>
          <w:sz w:val="32"/>
          <w:szCs w:val="32"/>
        </w:rPr>
        <w:t>万元、取暖费</w:t>
      </w:r>
      <w:r>
        <w:rPr>
          <w:rFonts w:ascii="仿宋_GB2312" w:eastAsia="仿宋_GB2312"/>
          <w:color w:val="000000"/>
          <w:sz w:val="32"/>
          <w:szCs w:val="32"/>
        </w:rPr>
        <w:t>0</w:t>
      </w:r>
      <w:r>
        <w:rPr>
          <w:rFonts w:ascii="仿宋_GB2312" w:eastAsia="仿宋_GB2312" w:hint="eastAsia"/>
          <w:color w:val="000000"/>
          <w:sz w:val="32"/>
          <w:szCs w:val="32"/>
        </w:rPr>
        <w:t>万元、物业管理费</w:t>
      </w:r>
      <w:r>
        <w:rPr>
          <w:rFonts w:ascii="仿宋_GB2312" w:eastAsia="仿宋_GB2312"/>
          <w:color w:val="000000"/>
          <w:sz w:val="32"/>
          <w:szCs w:val="32"/>
        </w:rPr>
        <w:t>0</w:t>
      </w:r>
      <w:r>
        <w:rPr>
          <w:rFonts w:ascii="仿宋_GB2312" w:eastAsia="仿宋_GB2312" w:hint="eastAsia"/>
          <w:color w:val="000000"/>
          <w:sz w:val="32"/>
          <w:szCs w:val="32"/>
        </w:rPr>
        <w:t>万元、差旅费</w:t>
      </w:r>
      <w:r>
        <w:rPr>
          <w:rFonts w:ascii="仿宋_GB2312" w:eastAsia="仿宋_GB2312" w:hint="eastAsia"/>
          <w:color w:val="000000"/>
          <w:sz w:val="32"/>
          <w:szCs w:val="32"/>
          <w:lang w:val="en-US" w:eastAsia="zh-CN"/>
        </w:rPr>
        <w:t>6.97</w:t>
      </w:r>
      <w:r>
        <w:rPr>
          <w:rFonts w:ascii="仿宋_GB2312" w:eastAsia="仿宋_GB2312" w:hint="eastAsia"/>
          <w:color w:val="000000"/>
          <w:sz w:val="32"/>
          <w:szCs w:val="32"/>
        </w:rPr>
        <w:t>万元、因公出国（境）费用</w:t>
      </w:r>
      <w:r>
        <w:rPr>
          <w:rFonts w:ascii="仿宋_GB2312" w:eastAsia="仿宋_GB2312"/>
          <w:color w:val="000000"/>
          <w:sz w:val="32"/>
          <w:szCs w:val="32"/>
        </w:rPr>
        <w:t>0</w:t>
      </w:r>
      <w:r>
        <w:rPr>
          <w:rFonts w:ascii="仿宋_GB2312" w:eastAsia="仿宋_GB2312" w:hint="eastAsia"/>
          <w:color w:val="000000"/>
          <w:sz w:val="32"/>
          <w:szCs w:val="32"/>
        </w:rPr>
        <w:t>万元、维修（护）费</w:t>
      </w:r>
      <w:r>
        <w:rPr>
          <w:rFonts w:ascii="仿宋_GB2312" w:eastAsia="仿宋_GB2312"/>
          <w:color w:val="000000"/>
          <w:sz w:val="32"/>
          <w:szCs w:val="32"/>
        </w:rPr>
        <w:t>0</w:t>
      </w:r>
      <w:r>
        <w:rPr>
          <w:rFonts w:ascii="仿宋_GB2312" w:eastAsia="仿宋_GB2312" w:hint="eastAsia"/>
          <w:color w:val="000000"/>
          <w:sz w:val="32"/>
          <w:szCs w:val="32"/>
        </w:rPr>
        <w:t>万元、会议费</w:t>
      </w:r>
      <w:r>
        <w:rPr>
          <w:rFonts w:ascii="仿宋_GB2312" w:eastAsia="仿宋_GB2312"/>
          <w:color w:val="000000"/>
          <w:sz w:val="32"/>
          <w:szCs w:val="32"/>
        </w:rPr>
        <w:t>0</w:t>
      </w:r>
      <w:r>
        <w:rPr>
          <w:rFonts w:ascii="仿宋_GB2312" w:eastAsia="仿宋_GB2312" w:hint="eastAsia"/>
          <w:color w:val="000000"/>
          <w:sz w:val="32"/>
          <w:szCs w:val="32"/>
        </w:rPr>
        <w:t>万元、培训费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万元、公务接待费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万元、劳务费</w:t>
      </w:r>
      <w:r>
        <w:rPr>
          <w:rFonts w:ascii="仿宋_GB2312" w:eastAsia="仿宋_GB2312" w:hint="eastAsia"/>
          <w:color w:val="000000"/>
          <w:sz w:val="32"/>
          <w:szCs w:val="32"/>
          <w:lang w:val="en-US" w:eastAsia="zh-CN"/>
        </w:rPr>
        <w:t>10.72</w:t>
      </w:r>
      <w:r>
        <w:rPr>
          <w:rFonts w:ascii="仿宋_GB2312" w:eastAsia="仿宋_GB2312" w:hint="eastAsia"/>
          <w:color w:val="000000"/>
          <w:sz w:val="32"/>
          <w:szCs w:val="32"/>
        </w:rPr>
        <w:t>万元、委托业务费</w:t>
      </w:r>
      <w:r>
        <w:rPr>
          <w:rFonts w:ascii="仿宋_GB2312" w:eastAsia="仿宋_GB2312"/>
          <w:color w:val="000000"/>
          <w:sz w:val="32"/>
          <w:szCs w:val="32"/>
        </w:rPr>
        <w:t>0</w:t>
      </w:r>
      <w:r>
        <w:rPr>
          <w:rFonts w:ascii="仿宋_GB2312" w:eastAsia="仿宋_GB2312" w:hint="eastAsia"/>
          <w:color w:val="000000"/>
          <w:sz w:val="32"/>
          <w:szCs w:val="32"/>
        </w:rPr>
        <w:t>万元、福利费</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万元、公务用车运行维护费</w:t>
      </w: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万元、其他交通费</w:t>
      </w:r>
      <w:r>
        <w:rPr>
          <w:rFonts w:ascii="仿宋_GB2312" w:eastAsia="仿宋_GB2312" w:hint="eastAsia"/>
          <w:color w:val="000000"/>
          <w:sz w:val="32"/>
          <w:szCs w:val="32"/>
          <w:lang w:val="en-US" w:eastAsia="zh-CN"/>
        </w:rPr>
        <w:t>4</w:t>
      </w:r>
      <w:r>
        <w:rPr>
          <w:rFonts w:ascii="仿宋_GB2312" w:eastAsia="仿宋_GB2312" w:hint="eastAsia"/>
          <w:color w:val="000000"/>
          <w:sz w:val="32"/>
          <w:szCs w:val="32"/>
        </w:rPr>
        <w:t>万元、税金及附加费用</w:t>
      </w:r>
      <w:r>
        <w:rPr>
          <w:rFonts w:ascii="仿宋_GB2312" w:eastAsia="仿宋_GB2312"/>
          <w:color w:val="000000"/>
          <w:sz w:val="32"/>
          <w:szCs w:val="32"/>
        </w:rPr>
        <w:t>0</w:t>
      </w:r>
      <w:r>
        <w:rPr>
          <w:rFonts w:ascii="仿宋_GB2312" w:eastAsia="仿宋_GB2312" w:hint="eastAsia"/>
          <w:color w:val="000000"/>
          <w:sz w:val="32"/>
          <w:szCs w:val="32"/>
        </w:rPr>
        <w:t>万元、其他商品和服务支出</w:t>
      </w:r>
      <w:r>
        <w:rPr>
          <w:rFonts w:ascii="仿宋_GB2312" w:eastAsia="仿宋_GB2312"/>
          <w:color w:val="000000"/>
          <w:sz w:val="32"/>
          <w:szCs w:val="32"/>
        </w:rPr>
        <w:t>0</w:t>
      </w:r>
      <w:r>
        <w:rPr>
          <w:rFonts w:ascii="仿宋_GB2312" w:eastAsia="仿宋_GB2312" w:hint="eastAsia"/>
          <w:color w:val="000000"/>
          <w:sz w:val="32"/>
          <w:szCs w:val="32"/>
        </w:rPr>
        <w:t>万元、办公设备购置</w:t>
      </w:r>
      <w:r>
        <w:rPr>
          <w:rFonts w:ascii="仿宋_GB2312" w:eastAsia="仿宋_GB2312"/>
          <w:color w:val="000000"/>
          <w:sz w:val="32"/>
          <w:szCs w:val="32"/>
        </w:rPr>
        <w:t>0</w:t>
      </w:r>
      <w:r>
        <w:rPr>
          <w:rFonts w:ascii="仿宋_GB2312" w:eastAsia="仿宋_GB2312" w:hint="eastAsia"/>
          <w:color w:val="000000"/>
          <w:sz w:val="32"/>
          <w:szCs w:val="32"/>
        </w:rPr>
        <w:t>万元、专用设备购置</w:t>
      </w:r>
      <w:r>
        <w:rPr>
          <w:rFonts w:ascii="仿宋_GB2312" w:eastAsia="仿宋_GB2312"/>
          <w:color w:val="000000"/>
          <w:sz w:val="32"/>
          <w:szCs w:val="32"/>
        </w:rPr>
        <w:t>0</w:t>
      </w:r>
      <w:r>
        <w:rPr>
          <w:rFonts w:ascii="仿宋_GB2312" w:eastAsia="仿宋_GB2312" w:hint="eastAsia"/>
          <w:color w:val="000000"/>
          <w:sz w:val="32"/>
          <w:szCs w:val="32"/>
        </w:rPr>
        <w:t>万元、信息网络及软件购置更新</w:t>
      </w:r>
      <w:r>
        <w:rPr>
          <w:rFonts w:ascii="仿宋_GB2312" w:eastAsia="仿宋_GB2312"/>
          <w:color w:val="000000"/>
          <w:sz w:val="32"/>
          <w:szCs w:val="32"/>
        </w:rPr>
        <w:t>0</w:t>
      </w:r>
      <w:r>
        <w:rPr>
          <w:rFonts w:ascii="仿宋_GB2312" w:eastAsia="仿宋_GB2312" w:hint="eastAsia"/>
          <w:color w:val="000000"/>
          <w:sz w:val="32"/>
          <w:szCs w:val="32"/>
        </w:rPr>
        <w:t>万元、其他资本性支出</w:t>
      </w:r>
      <w:r>
        <w:rPr>
          <w:rFonts w:ascii="仿宋_GB2312" w:eastAsia="仿宋_GB2312"/>
          <w:color w:val="000000"/>
          <w:sz w:val="32"/>
          <w:szCs w:val="32"/>
        </w:rPr>
        <w:t>0</w:t>
      </w:r>
      <w:r>
        <w:rPr>
          <w:rFonts w:ascii="仿宋_GB2312" w:eastAsia="仿宋_GB2312" w:hint="eastAsia"/>
          <w:color w:val="000000"/>
          <w:sz w:val="32"/>
          <w:szCs w:val="32"/>
        </w:rPr>
        <w:t>万元等。</w:t>
      </w:r>
    </w:p>
    <w:p>
      <w:pPr>
        <w:spacing w:line="600" w:lineRule="exact"/>
        <w:ind w:firstLineChars="200" w:firstLine="640"/>
        <w:outlineLvl w:val="1"/>
        <w:rPr>
          <w:rStyle w:val="2Char"/>
          <w:rFonts w:ascii="黑体" w:eastAsia="黑体"/>
          <w:b w:val="0"/>
        </w:rPr>
      </w:pPr>
      <w:bookmarkStart w:id="55" w:name="_Toc15914"/>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53"/>
      <w:bookmarkEnd w:id="54"/>
      <w:bookmarkEnd w:id="55"/>
    </w:p>
    <w:p>
      <w:pPr>
        <w:spacing w:line="580" w:lineRule="exact"/>
        <w:ind w:firstLineChars="200" w:firstLine="640"/>
        <w:rPr>
          <w:rFonts w:ascii="楷体_GB2312" w:eastAsia="楷体_GB2312" w:cs="楷体_GB2312"/>
          <w:b/>
          <w:bCs/>
          <w:sz w:val="32"/>
          <w:szCs w:val="32"/>
        </w:rPr>
      </w:pPr>
      <w:bookmarkStart w:id="56" w:name="_Toc15377216"/>
      <w:r>
        <w:rPr>
          <w:rFonts w:ascii="楷体_GB2312" w:eastAsia="楷体_GB2312" w:cs="楷体_GB2312" w:hint="eastAsia"/>
          <w:b/>
          <w:bCs/>
          <w:sz w:val="32"/>
          <w:szCs w:val="32"/>
        </w:rPr>
        <w:t>（一）“三公”经费财政拨款支出决算总体情况说明</w:t>
      </w:r>
      <w:bookmarkEnd w:id="56"/>
    </w:p>
    <w:p>
      <w:pPr>
        <w:spacing w:line="536" w:lineRule="exact"/>
        <w:ind w:firstLine="640"/>
        <w:rPr>
          <w:rFonts w:ascii="仿宋_GB2312" w:eastAsia="仿宋_GB2312"/>
          <w:color w:val="000000"/>
          <w:sz w:val="32"/>
          <w:szCs w:val="32"/>
        </w:rPr>
      </w:pPr>
      <w:bookmarkStart w:id="57" w:name="_Toc15377217"/>
      <w:r>
        <w:rPr>
          <w:rFonts w:ascii="仿宋_GB2312" w:eastAsia="仿宋_GB2312" w:hint="eastAsia"/>
          <w:color w:val="000000"/>
          <w:sz w:val="32"/>
          <w:szCs w:val="32"/>
          <w:lang w:eastAsia="zh-CN"/>
        </w:rPr>
        <w:t>2024</w:t>
      </w:r>
      <w:r>
        <w:rPr>
          <w:rFonts w:ascii="仿宋_GB2312" w:eastAsia="仿宋_GB2312" w:hint="eastAsia"/>
          <w:color w:val="000000"/>
          <w:sz w:val="32"/>
          <w:szCs w:val="32"/>
        </w:rPr>
        <w:t>年度“三公”经费财政拨款支出决算为</w:t>
      </w: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预算为</w:t>
      </w:r>
      <w:r>
        <w:rPr>
          <w:rFonts w:ascii="仿宋_GB2312" w:eastAsia="仿宋_GB2312" w:hint="eastAsia"/>
          <w:color w:val="000000"/>
          <w:sz w:val="32"/>
          <w:szCs w:val="32"/>
          <w:lang w:val="en-US" w:eastAsia="zh-CN"/>
        </w:rPr>
        <w:t>1.8万元，</w:t>
      </w:r>
      <w:r>
        <w:rPr>
          <w:rFonts w:ascii="仿宋_GB2312" w:eastAsia="仿宋_GB2312" w:hint="eastAsia"/>
          <w:color w:val="000000"/>
          <w:sz w:val="32"/>
          <w:szCs w:val="32"/>
        </w:rPr>
        <w:t>完成预算</w:t>
      </w:r>
      <w:r>
        <w:rPr>
          <w:rFonts w:ascii="仿宋_GB2312" w:eastAsia="仿宋_GB2312"/>
          <w:color w:val="000000"/>
          <w:sz w:val="32"/>
          <w:szCs w:val="32"/>
        </w:rPr>
        <w:t>100%</w:t>
      </w:r>
      <w:r>
        <w:rPr>
          <w:rFonts w:ascii="仿宋_GB2312" w:eastAsia="仿宋_GB2312" w:hint="eastAsia"/>
          <w:color w:val="000000"/>
          <w:sz w:val="32"/>
          <w:szCs w:val="32"/>
        </w:rPr>
        <w:t>。</w:t>
      </w:r>
    </w:p>
    <w:p>
      <w:pPr>
        <w:spacing w:line="58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（二）“三公”经费财政拨款支出决算具体情况说明</w:t>
      </w:r>
      <w:bookmarkEnd w:id="57"/>
    </w:p>
    <w:p>
      <w:pPr>
        <w:spacing w:line="536"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2024</w:t>
      </w:r>
      <w:r>
        <w:rPr>
          <w:rFonts w:ascii="仿宋_GB2312" w:eastAsia="仿宋_GB2312" w:hint="eastAsia"/>
          <w:color w:val="000000"/>
          <w:sz w:val="32"/>
          <w:szCs w:val="32"/>
        </w:rPr>
        <w:t>年度“三公”经费财政拨款支出决算中，因公出国（境）费支出决算</w:t>
      </w:r>
      <w:r>
        <w:rPr>
          <w:rFonts w:ascii="仿宋_GB2312" w:eastAsia="仿宋_GB2312"/>
          <w:color w:val="000000"/>
          <w:sz w:val="32"/>
          <w:szCs w:val="32"/>
        </w:rPr>
        <w:t>0</w:t>
      </w:r>
      <w:r>
        <w:rPr>
          <w:rFonts w:ascii="仿宋_GB2312" w:eastAsia="仿宋_GB2312" w:hint="eastAsia"/>
          <w:color w:val="000000"/>
          <w:sz w:val="32"/>
          <w:szCs w:val="32"/>
        </w:rPr>
        <w:t>万元，占</w:t>
      </w:r>
      <w:r>
        <w:rPr>
          <w:rFonts w:ascii="仿宋_GB2312" w:eastAsia="仿宋_GB2312"/>
          <w:color w:val="000000"/>
          <w:sz w:val="32"/>
          <w:szCs w:val="32"/>
        </w:rPr>
        <w:t>0%</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100</w:t>
      </w:r>
      <w:r>
        <w:rPr>
          <w:rFonts w:ascii="仿宋_GB2312" w:eastAsia="仿宋_GB2312"/>
          <w:color w:val="000000"/>
          <w:sz w:val="32"/>
          <w:szCs w:val="32"/>
        </w:rPr>
        <w:t>%</w:t>
      </w:r>
      <w:r>
        <w:rPr>
          <w:rFonts w:ascii="仿宋_GB2312" w:eastAsia="仿宋_GB2312" w:hint="eastAsia"/>
          <w:color w:val="000000"/>
          <w:sz w:val="32"/>
          <w:szCs w:val="32"/>
        </w:rPr>
        <w:t>；公务接待费支出决算</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万元，占</w:t>
      </w:r>
      <w:r>
        <w:rPr>
          <w:rFonts w:ascii="仿宋_GB2312" w:eastAsia="仿宋_GB2312" w:hint="eastAsia"/>
          <w:color w:val="000000"/>
          <w:sz w:val="32"/>
          <w:szCs w:val="32"/>
          <w:lang w:val="en-US" w:eastAsia="zh-CN"/>
        </w:rPr>
        <w:t>0</w:t>
      </w:r>
      <w:r>
        <w:rPr>
          <w:rFonts w:ascii="仿宋_GB2312" w:eastAsia="仿宋_GB2312"/>
          <w:color w:val="000000"/>
          <w:sz w:val="32"/>
          <w:szCs w:val="32"/>
        </w:rPr>
        <w:t>%</w:t>
      </w:r>
      <w:r>
        <w:rPr>
          <w:rFonts w:ascii="仿宋_GB2312" w:eastAsia="仿宋_GB2312" w:hint="eastAsia"/>
          <w:color w:val="000000"/>
          <w:sz w:val="32"/>
          <w:szCs w:val="32"/>
        </w:rPr>
        <w:t>。具体情况如下：</w:t>
      </w:r>
    </w:p>
    <w:p>
      <w:pPr>
        <w:spacing w:line="536"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w:t>
      </w:r>
    </w:p>
    <w:p>
      <w:pPr>
        <w:spacing w:line="536" w:lineRule="exact"/>
        <w:ind w:firstLine="640"/>
        <w:rPr>
          <w:rFonts w:ascii="仿宋_GB2312" w:eastAsia="仿宋_GB2312"/>
          <w:b/>
          <w:color w:val="000000"/>
          <w:sz w:val="32"/>
          <w:szCs w:val="32"/>
        </w:rPr>
      </w:pPr>
      <w:r>
        <w:rPr>
          <w:rFonts w:ascii="仿宋_GB2312" w:eastAsia="仿宋_GB2312" w:hint="eastAsia"/>
          <w:color w:val="000000"/>
          <w:sz w:val="32"/>
          <w:szCs w:val="32"/>
        </w:rPr>
        <w:t>因公出国（境）支出决算比</w:t>
      </w:r>
      <w:r>
        <w:rPr>
          <w:rFonts w:ascii="仿宋_GB2312" w:eastAsia="仿宋_GB2312" w:hint="eastAsia"/>
          <w:color w:val="000000"/>
          <w:sz w:val="32"/>
          <w:szCs w:val="32"/>
          <w:lang w:eastAsia="zh-CN"/>
        </w:rPr>
        <w:t>2023</w:t>
      </w:r>
      <w:r>
        <w:rPr>
          <w:rFonts w:ascii="仿宋_GB2312" w:eastAsia="仿宋_GB2312" w:hint="eastAsia"/>
          <w:color w:val="000000"/>
          <w:sz w:val="32"/>
          <w:szCs w:val="32"/>
        </w:rPr>
        <w:t>年增加</w:t>
      </w:r>
      <w:r>
        <w:rPr>
          <w:rFonts w:ascii="仿宋_GB2312" w:eastAsia="仿宋_GB2312"/>
          <w:color w:val="000000"/>
          <w:sz w:val="32"/>
          <w:szCs w:val="32"/>
        </w:rPr>
        <w:t>0</w:t>
      </w:r>
      <w:r>
        <w:rPr>
          <w:rFonts w:ascii="仿宋_GB2312" w:eastAsia="仿宋_GB2312" w:hint="eastAsia"/>
          <w:color w:val="000000"/>
          <w:sz w:val="32"/>
          <w:szCs w:val="32"/>
        </w:rPr>
        <w:t>万元，增长</w:t>
      </w:r>
      <w:r>
        <w:rPr>
          <w:rFonts w:ascii="仿宋_GB2312" w:eastAsia="仿宋_GB2312"/>
          <w:color w:val="000000"/>
          <w:sz w:val="32"/>
          <w:szCs w:val="32"/>
        </w:rPr>
        <w:t>0%</w:t>
      </w:r>
      <w:r>
        <w:rPr>
          <w:rFonts w:ascii="仿宋_GB2312" w:eastAsia="仿宋_GB2312" w:hint="eastAsia"/>
          <w:color w:val="000000"/>
          <w:sz w:val="32"/>
          <w:szCs w:val="32"/>
        </w:rPr>
        <w:t>。</w:t>
      </w:r>
    </w:p>
    <w:p>
      <w:pPr>
        <w:spacing w:line="536" w:lineRule="exact"/>
        <w:ind w:firstLineChars="200" w:firstLine="640"/>
        <w:rPr>
          <w:rFonts w:ascii="仿宋_GB2312"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万元。其中：</w:t>
      </w:r>
    </w:p>
    <w:p>
      <w:pPr>
        <w:spacing w:line="536" w:lineRule="exact"/>
        <w:ind w:firstLineChars="200" w:firstLine="640"/>
        <w:rPr>
          <w:rFonts w:ascii="仿宋_GB2312" w:eastAsia="仿宋_GB2312"/>
          <w:b/>
          <w:color w:val="000000"/>
          <w:sz w:val="32"/>
          <w:szCs w:val="32"/>
        </w:rPr>
      </w:pP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万元。截至</w:t>
      </w:r>
      <w:r>
        <w:rPr>
          <w:rFonts w:ascii="仿宋_GB2312" w:eastAsia="仿宋_GB2312" w:hint="eastAsia"/>
          <w:color w:val="000000"/>
          <w:sz w:val="32"/>
          <w:szCs w:val="32"/>
          <w:lang w:eastAsia="zh-CN"/>
        </w:rPr>
        <w:t>2024</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辆，其中：轿车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辆、越野车</w:t>
      </w:r>
      <w:r>
        <w:rPr>
          <w:rFonts w:ascii="仿宋_GB2312" w:eastAsia="仿宋_GB2312"/>
          <w:color w:val="000000"/>
          <w:sz w:val="32"/>
          <w:szCs w:val="32"/>
        </w:rPr>
        <w:t>0</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pPr>
        <w:spacing w:line="536"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1.8</w:t>
      </w:r>
      <w:r>
        <w:rPr>
          <w:rFonts w:ascii="仿宋_GB2312" w:eastAsia="仿宋_GB2312" w:hint="eastAsia"/>
          <w:color w:val="000000"/>
          <w:sz w:val="32"/>
          <w:szCs w:val="32"/>
        </w:rPr>
        <w:t>万元。主要用于日常办公所需的公务用车燃料费、维修费、过路过桥费、保险费等支出。</w:t>
      </w:r>
    </w:p>
    <w:p>
      <w:pPr>
        <w:spacing w:line="536" w:lineRule="exact"/>
        <w:ind w:firstLine="640"/>
        <w:rPr>
          <w:rFonts w:ascii="仿宋_GB2312" w:eastAsia="仿宋_GB2312"/>
          <w:color w:val="000000"/>
          <w:sz w:val="32"/>
          <w:szCs w:val="32"/>
        </w:rPr>
      </w:pP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lang w:eastAsia="zh-CN"/>
        </w:rPr>
        <w:t>2023</w:t>
      </w:r>
      <w:r>
        <w:rPr>
          <w:rFonts w:ascii="仿宋_GB2312" w:eastAsia="仿宋_GB2312" w:hint="eastAsia"/>
          <w:color w:val="000000"/>
          <w:sz w:val="32"/>
          <w:szCs w:val="32"/>
        </w:rPr>
        <w:t>年减少</w:t>
      </w:r>
      <w:r>
        <w:rPr>
          <w:rFonts w:ascii="仿宋_GB2312" w:eastAsia="仿宋_GB2312"/>
          <w:color w:val="000000"/>
          <w:sz w:val="32"/>
          <w:szCs w:val="32"/>
        </w:rPr>
        <w:t>0.</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5.26</w:t>
      </w:r>
      <w:r>
        <w:rPr>
          <w:rFonts w:ascii="仿宋_GB2312" w:eastAsia="仿宋_GB2312"/>
          <w:color w:val="000000"/>
          <w:sz w:val="32"/>
          <w:szCs w:val="32"/>
        </w:rPr>
        <w:t>%</w:t>
      </w:r>
      <w:r>
        <w:rPr>
          <w:rFonts w:ascii="仿宋_GB2312" w:eastAsia="仿宋_GB2312" w:hint="eastAsia"/>
          <w:color w:val="000000"/>
          <w:sz w:val="32"/>
          <w:szCs w:val="32"/>
        </w:rPr>
        <w:t>。主要原因是严格管理公务用车运行。</w:t>
      </w:r>
    </w:p>
    <w:p>
      <w:pPr>
        <w:spacing w:line="536" w:lineRule="exact"/>
        <w:rPr>
          <w:rFonts w:ascii="仿宋_GB2312" w:eastAsia="仿宋_GB2312"/>
          <w:color w:val="000000"/>
          <w:sz w:val="32"/>
          <w:szCs w:val="32"/>
        </w:rPr>
      </w:pPr>
      <w:r>
        <w:drawing>
          <wp:anchor distT="0" distB="0" distL="114300" distR="114300" simplePos="0" relativeHeight="25" behindDoc="0" locked="0" layoutInCell="1" hidden="0" allowOverlap="1">
            <wp:simplePos x="0" y="0"/>
            <wp:positionH relativeFrom="column">
              <wp:posOffset>539750</wp:posOffset>
            </wp:positionH>
            <wp:positionV relativeFrom="paragraph">
              <wp:posOffset>104139</wp:posOffset>
            </wp:positionV>
            <wp:extent cx="4337685" cy="1778000"/>
            <wp:effectExtent l="0" t="0" r="0" b="0"/>
            <wp:wrapNone/>
            <wp:docPr id="7" name="图表 14" descr="7b0a202020202263686172745265734964223a20223230343736333433220a7d0a"/>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ind w:firstLine="640"/>
        <w:rPr>
          <w:rFonts w:ascii="仿宋_GB2312" w:eastAsia="仿宋_GB2312"/>
          <w:color w:val="000000"/>
          <w:sz w:val="32"/>
          <w:szCs w:val="32"/>
        </w:rPr>
      </w:pPr>
    </w:p>
    <w:p>
      <w:pPr>
        <w:spacing w:line="536" w:lineRule="exact"/>
        <w:rPr>
          <w:rFonts w:ascii="仿宋_GB2312" w:eastAsia="仿宋_GB2312"/>
          <w:b/>
          <w:color w:val="000000"/>
          <w:sz w:val="32"/>
          <w:szCs w:val="32"/>
        </w:rPr>
      </w:pPr>
    </w:p>
    <w:p>
      <w:pPr>
        <w:spacing w:line="536" w:lineRule="exact"/>
        <w:ind w:firstLineChars="200" w:firstLine="640"/>
        <w:rPr>
          <w:rFonts w:ascii="仿宋_GB2312" w:eastAsia="仿宋_GB2312"/>
          <w:b/>
          <w:color w:val="000000"/>
          <w:sz w:val="32"/>
          <w:szCs w:val="32"/>
        </w:rPr>
      </w:pPr>
    </w:p>
    <w:p>
      <w:pPr>
        <w:spacing w:line="536"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lang w:eastAsia="zh-CN"/>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人次（不包括陪同人员），共计支出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536" w:lineRule="exact"/>
        <w:rPr>
          <w:rFonts w:ascii="仿宋_GB2312" w:eastAsia="仿宋_GB2312"/>
          <w:color w:val="000000"/>
          <w:sz w:val="32"/>
          <w:szCs w:val="32"/>
        </w:rPr>
      </w:pPr>
      <w:r>
        <w:drawing>
          <wp:anchor distT="0" distB="0" distL="114300" distR="114300" simplePos="0" relativeHeight="27" behindDoc="0" locked="0" layoutInCell="1" hidden="0" allowOverlap="1">
            <wp:simplePos x="0" y="0"/>
            <wp:positionH relativeFrom="column">
              <wp:posOffset>530225</wp:posOffset>
            </wp:positionH>
            <wp:positionV relativeFrom="paragraph">
              <wp:posOffset>212725</wp:posOffset>
            </wp:positionV>
            <wp:extent cx="4439920" cy="1543685"/>
            <wp:effectExtent l="0" t="0" r="0" b="0"/>
            <wp:wrapNone/>
            <wp:docPr id="8" name="图表 16" descr="7b0a202020202263686172745265734964223a20223230343736353030220a7d0a"/>
            <wp:cNvGraphicFramePr>
              <a:graphicFrameLocks noChangeAspect="0"/>
            </wp:cNvGraphicFramePr>
            <a:graphic>
              <a:graphicData uri="http://schemas.openxmlformats.org/drawingml/2006/chart">
                <c:chart xmlns:c="http://schemas.openxmlformats.org/drawingml/2006/chart" r:id="rId11"/>
              </a:graphicData>
            </a:graphic>
          </wp:anchor>
        </w:drawing>
      </w: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536"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ind w:firstLine="640"/>
        <w:outlineLvl w:val="1"/>
        <w:rPr>
          <w:rFonts w:ascii="仿宋_GB2312" w:eastAsia="仿宋_GB2312"/>
          <w:color w:val="000000"/>
          <w:sz w:val="32"/>
          <w:szCs w:val="32"/>
        </w:rPr>
      </w:pPr>
      <w:bookmarkStart w:id="58" w:name="_Toc1421"/>
      <w:r>
        <w:rPr>
          <w:rFonts w:ascii="仿宋" w:eastAsia="仿宋" w:hint="eastAsia"/>
          <w:b/>
          <w:color w:val="000000"/>
          <w:sz w:val="32"/>
          <w:szCs w:val="32"/>
        </w:rPr>
        <w:t>外事接待支出</w:t>
      </w:r>
      <w:r>
        <w:rPr>
          <w:rFonts w:ascii="仿宋" w:eastAsia="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bookmarkStart w:id="59" w:name="_Toc15396610"/>
      <w:bookmarkStart w:id="60" w:name="_Toc15377218"/>
      <w:bookmarkEnd w:id="58"/>
    </w:p>
    <w:p>
      <w:pPr>
        <w:spacing w:line="600" w:lineRule="exact"/>
        <w:ind w:firstLine="640"/>
        <w:outlineLvl w:val="1"/>
        <w:rPr>
          <w:rStyle w:val="2Char"/>
          <w:rFonts w:ascii="黑体" w:eastAsia="黑体"/>
        </w:rPr>
      </w:pPr>
      <w:bookmarkStart w:id="61" w:name="_Toc1438"/>
      <w:r>
        <w:rPr>
          <w:rFonts w:ascii="黑体" w:eastAsia="黑体" w:hint="eastAsia"/>
          <w:color w:val="000000"/>
          <w:sz w:val="32"/>
          <w:szCs w:val="32"/>
        </w:rPr>
        <w:t>八、</w:t>
      </w:r>
      <w:r>
        <w:rPr>
          <w:rStyle w:val="2Char"/>
          <w:rFonts w:ascii="黑体" w:eastAsia="黑体" w:hint="eastAsia"/>
          <w:b w:val="0"/>
        </w:rPr>
        <w:t>政府性基金预算支出决算情况说明</w:t>
      </w:r>
      <w:bookmarkEnd w:id="59"/>
      <w:bookmarkEnd w:id="60"/>
      <w:bookmarkEnd w:id="61"/>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2024</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numPr>
          <w:ilvl w:val="0"/>
          <w:numId w:val="2"/>
        </w:numPr>
        <w:spacing w:line="600" w:lineRule="exact"/>
        <w:ind w:left="0" w:firstLine="640"/>
        <w:outlineLvl w:val="1"/>
        <w:rPr>
          <w:rStyle w:val="2Char"/>
          <w:rFonts w:ascii="黑体" w:eastAsia="黑体"/>
          <w:b w:val="0"/>
        </w:rPr>
      </w:pPr>
      <w:bookmarkStart w:id="62" w:name="_Toc15396611"/>
      <w:bookmarkStart w:id="63" w:name="_Toc15377219"/>
      <w:bookmarkStart w:id="64" w:name="_Toc3946"/>
      <w:r>
        <w:rPr>
          <w:rStyle w:val="2Char"/>
          <w:rFonts w:ascii="黑体" w:eastAsia="黑体" w:hint="eastAsia"/>
          <w:b w:val="0"/>
        </w:rPr>
        <w:t>国有资本经营预算支出决算情况说明</w:t>
      </w:r>
      <w:bookmarkEnd w:id="62"/>
      <w:bookmarkEnd w:id="63"/>
      <w:bookmarkEnd w:id="64"/>
    </w:p>
    <w:p>
      <w:pPr>
        <w:spacing w:line="600" w:lineRule="exact"/>
        <w:ind w:firstLine="640"/>
        <w:rPr>
          <w:rFonts w:ascii="仿宋_GB2312" w:eastAsia="仿宋_GB2312"/>
          <w:color w:val="000000"/>
          <w:sz w:val="32"/>
          <w:szCs w:val="32"/>
        </w:rPr>
      </w:pPr>
      <w:r>
        <w:rPr>
          <w:rFonts w:ascii="仿宋_GB2312" w:eastAsia="仿宋_GB2312" w:hint="eastAsia"/>
          <w:color w:val="000000"/>
          <w:sz w:val="32"/>
          <w:szCs w:val="32"/>
          <w:lang w:eastAsia="zh-CN"/>
        </w:rPr>
        <w:t>2024</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pPr>
        <w:spacing w:line="600" w:lineRule="exact"/>
        <w:ind w:firstLineChars="200" w:firstLine="640"/>
        <w:outlineLvl w:val="1"/>
        <w:rPr>
          <w:rStyle w:val="2Char"/>
          <w:rFonts w:ascii="黑体" w:eastAsia="黑体"/>
        </w:rPr>
      </w:pPr>
      <w:bookmarkStart w:id="65" w:name="_Toc20625"/>
      <w:bookmarkStart w:id="66" w:name="_Toc15396612"/>
      <w:bookmarkStart w:id="67"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65"/>
      <w:bookmarkEnd w:id="66"/>
      <w:bookmarkEnd w:id="67"/>
    </w:p>
    <w:p>
      <w:pPr>
        <w:spacing w:line="580" w:lineRule="exact"/>
        <w:ind w:firstLineChars="200" w:firstLine="640"/>
        <w:rPr>
          <w:rFonts w:ascii="楷体_GB2312" w:eastAsia="楷体_GB2312" w:cs="楷体_GB2312"/>
          <w:b/>
          <w:bCs/>
          <w:sz w:val="32"/>
          <w:szCs w:val="32"/>
        </w:rPr>
      </w:pPr>
      <w:bookmarkStart w:id="68" w:name="_Toc15377222"/>
      <w:r>
        <w:rPr>
          <w:rFonts w:ascii="楷体_GB2312" w:eastAsia="楷体_GB2312" w:cs="楷体_GB2312" w:hint="eastAsia"/>
          <w:b/>
          <w:bCs/>
          <w:sz w:val="32"/>
          <w:szCs w:val="32"/>
        </w:rPr>
        <w:t>（一）机关运行经费支出情况</w:t>
      </w:r>
      <w:bookmarkEnd w:id="68"/>
    </w:p>
    <w:p>
      <w:pPr>
        <w:spacing w:line="580" w:lineRule="exact"/>
        <w:ind w:firstLineChars="200" w:firstLine="640"/>
        <w:rPr>
          <w:rFonts w:ascii="仿宋_GB2312" w:eastAsia="仿宋_GB2312" w:hint="eastAsia"/>
          <w:sz w:val="32"/>
          <w:szCs w:val="32"/>
        </w:rPr>
      </w:pPr>
      <w:bookmarkStart w:id="69" w:name="_Toc15377223"/>
      <w:r>
        <w:rPr>
          <w:rFonts w:ascii="仿宋_GB2312" w:eastAsia="仿宋_GB2312" w:hint="eastAsia"/>
          <w:sz w:val="32"/>
          <w:szCs w:val="32"/>
          <w:lang w:eastAsia="zh-CN"/>
        </w:rPr>
        <w:t>2024</w:t>
      </w:r>
      <w:r>
        <w:rPr>
          <w:rFonts w:ascii="仿宋_GB2312" w:eastAsia="仿宋_GB2312" w:hint="eastAsia"/>
          <w:sz w:val="32"/>
          <w:szCs w:val="32"/>
        </w:rPr>
        <w:t>年，机关运行经费支出</w:t>
      </w:r>
      <w:r>
        <w:rPr>
          <w:rFonts w:ascii="仿宋_GB2312" w:eastAsia="仿宋_GB2312" w:hint="eastAsia"/>
          <w:sz w:val="32"/>
          <w:szCs w:val="32"/>
          <w:lang w:val="en-US" w:eastAsia="zh-CN"/>
        </w:rPr>
        <w:t>14.42</w:t>
      </w:r>
      <w:r>
        <w:rPr>
          <w:rFonts w:ascii="仿宋_GB2312" w:eastAsia="仿宋_GB2312" w:hint="eastAsia"/>
          <w:sz w:val="32"/>
          <w:szCs w:val="32"/>
        </w:rPr>
        <w:t>万元，比</w:t>
      </w:r>
      <w:r>
        <w:rPr>
          <w:rFonts w:ascii="仿宋_GB2312" w:eastAsia="仿宋_GB2312" w:hint="eastAsia"/>
          <w:sz w:val="32"/>
          <w:szCs w:val="32"/>
          <w:lang w:val="en-US" w:eastAsia="zh-CN"/>
        </w:rPr>
        <w:t>2023</w:t>
      </w:r>
      <w:r>
        <w:rPr>
          <w:rFonts w:ascii="仿宋_GB2312" w:eastAsia="仿宋_GB2312" w:hint="eastAsia"/>
          <w:sz w:val="32"/>
          <w:szCs w:val="32"/>
        </w:rPr>
        <w:t>年减少</w:t>
      </w:r>
      <w:r>
        <w:rPr>
          <w:rFonts w:ascii="仿宋_GB2312" w:eastAsia="仿宋_GB2312" w:hint="eastAsia"/>
          <w:sz w:val="32"/>
          <w:szCs w:val="32"/>
          <w:lang w:val="en-US" w:eastAsia="zh-CN"/>
        </w:rPr>
        <w:t>0.53</w:t>
      </w:r>
      <w:r>
        <w:rPr>
          <w:rFonts w:ascii="仿宋_GB2312" w:eastAsia="仿宋_GB2312" w:hint="eastAsia"/>
          <w:sz w:val="32"/>
          <w:szCs w:val="32"/>
        </w:rPr>
        <w:t>万元，下降</w:t>
      </w:r>
      <w:r>
        <w:rPr>
          <w:rFonts w:ascii="仿宋_GB2312" w:eastAsia="仿宋_GB2312" w:hint="eastAsia"/>
          <w:sz w:val="32"/>
          <w:szCs w:val="32"/>
          <w:lang w:val="en-US" w:eastAsia="zh-CN"/>
        </w:rPr>
        <w:t>3.55</w:t>
      </w:r>
      <w:r>
        <w:rPr>
          <w:rFonts w:ascii="仿宋_GB2312" w:eastAsia="仿宋_GB2312" w:hint="eastAsia"/>
          <w:sz w:val="32"/>
          <w:szCs w:val="32"/>
        </w:rPr>
        <w:t>%。主要原因是</w:t>
      </w:r>
      <w:r>
        <w:rPr>
          <w:rFonts w:ascii="仿宋_GB2312" w:eastAsia="仿宋_GB2312" w:hint="eastAsia"/>
          <w:sz w:val="32"/>
          <w:szCs w:val="32"/>
          <w:lang w:val="en-US" w:eastAsia="zh-CN"/>
        </w:rPr>
        <w:t>严控经费，公务用车运行费等有所下降。</w:t>
      </w:r>
    </w:p>
    <w:p>
      <w:pPr>
        <w:spacing w:line="58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（二）政府采购支出情况</w:t>
      </w:r>
      <w:bookmarkEnd w:id="69"/>
    </w:p>
    <w:p>
      <w:pPr>
        <w:spacing w:line="580" w:lineRule="exact"/>
        <w:ind w:firstLineChars="200" w:firstLine="640"/>
        <w:rPr>
          <w:rFonts w:ascii="仿宋_GB2312" w:eastAsia="仿宋_GB2312" w:hint="eastAsia"/>
          <w:color w:val="auto"/>
          <w:sz w:val="32"/>
          <w:szCs w:val="32"/>
        </w:rPr>
      </w:pPr>
      <w:bookmarkStart w:id="70" w:name="_Toc15377224"/>
      <w:r>
        <w:rPr>
          <w:rFonts w:ascii="仿宋_GB2312" w:eastAsia="仿宋_GB2312" w:hint="eastAsia"/>
          <w:color w:val="auto"/>
          <w:sz w:val="32"/>
          <w:szCs w:val="32"/>
          <w:lang w:eastAsia="zh-CN"/>
        </w:rPr>
        <w:t>2024</w:t>
      </w:r>
      <w:r>
        <w:rPr>
          <w:rFonts w:ascii="仿宋_GB2312" w:eastAsia="仿宋_GB2312" w:hint="eastAsia"/>
          <w:color w:val="auto"/>
          <w:sz w:val="32"/>
          <w:szCs w:val="32"/>
        </w:rPr>
        <w:t>年度，政府采购支出总额</w:t>
      </w:r>
      <w:r>
        <w:rPr>
          <w:rFonts w:ascii="仿宋_GB2312" w:eastAsia="仿宋_GB2312" w:hint="eastAsia"/>
          <w:color w:val="auto"/>
          <w:sz w:val="32"/>
          <w:szCs w:val="32"/>
          <w:lang w:val="en-US" w:eastAsia="zh-CN"/>
        </w:rPr>
        <w:t>87.36</w:t>
      </w:r>
      <w:r>
        <w:rPr>
          <w:rFonts w:ascii="仿宋_GB2312" w:eastAsia="仿宋_GB2312" w:hint="eastAsia"/>
          <w:color w:val="auto"/>
          <w:sz w:val="32"/>
          <w:szCs w:val="32"/>
        </w:rPr>
        <w:t>万元，其中：政府采购货物支出</w:t>
      </w:r>
      <w:r>
        <w:rPr>
          <w:rFonts w:ascii="仿宋_GB2312" w:eastAsia="仿宋_GB2312" w:hint="eastAsia"/>
          <w:color w:val="auto"/>
          <w:sz w:val="32"/>
          <w:szCs w:val="32"/>
          <w:lang w:val="en-US" w:eastAsia="zh-CN"/>
        </w:rPr>
        <w:t>72.36</w:t>
      </w:r>
      <w:r>
        <w:rPr>
          <w:rFonts w:ascii="仿宋_GB2312" w:eastAsia="仿宋_GB2312" w:hint="eastAsia"/>
          <w:color w:val="auto"/>
          <w:sz w:val="32"/>
          <w:szCs w:val="32"/>
        </w:rPr>
        <w:t>万元、政府采购工程支出</w:t>
      </w:r>
      <w:r>
        <w:rPr>
          <w:rFonts w:ascii="仿宋_GB2312" w:eastAsia="仿宋_GB2312"/>
          <w:color w:val="auto"/>
          <w:sz w:val="32"/>
          <w:szCs w:val="32"/>
        </w:rPr>
        <w:t>0</w:t>
      </w:r>
      <w:r>
        <w:rPr>
          <w:rFonts w:ascii="仿宋_GB2312" w:eastAsia="仿宋_GB2312" w:hint="eastAsia"/>
          <w:color w:val="auto"/>
          <w:sz w:val="32"/>
          <w:szCs w:val="32"/>
        </w:rPr>
        <w:t>万元、政府采购服务支出</w:t>
      </w:r>
      <w:r>
        <w:rPr>
          <w:rFonts w:ascii="仿宋_GB2312" w:eastAsia="仿宋_GB2312" w:hint="eastAsia"/>
          <w:color w:val="auto"/>
          <w:sz w:val="32"/>
          <w:szCs w:val="32"/>
          <w:lang w:val="en-US" w:eastAsia="zh-CN"/>
        </w:rPr>
        <w:t>15</w:t>
      </w:r>
      <w:r>
        <w:rPr>
          <w:rFonts w:ascii="仿宋_GB2312" w:eastAsia="仿宋_GB2312" w:hint="eastAsia"/>
          <w:color w:val="auto"/>
          <w:sz w:val="32"/>
          <w:szCs w:val="32"/>
        </w:rPr>
        <w:t>万元。</w:t>
      </w:r>
    </w:p>
    <w:p>
      <w:pPr>
        <w:spacing w:line="580" w:lineRule="exact"/>
        <w:ind w:firstLineChars="200" w:firstLine="640"/>
        <w:rPr>
          <w:rFonts w:ascii="楷体_GB2312" w:eastAsia="楷体_GB2312" w:cs="楷体_GB2312"/>
          <w:b/>
          <w:bCs/>
          <w:sz w:val="32"/>
          <w:szCs w:val="32"/>
        </w:rPr>
      </w:pPr>
      <w:r>
        <w:rPr>
          <w:rFonts w:ascii="楷体_GB2312" w:eastAsia="楷体_GB2312" w:cs="楷体_GB2312" w:hint="eastAsia"/>
          <w:b/>
          <w:bCs/>
          <w:sz w:val="32"/>
          <w:szCs w:val="32"/>
        </w:rPr>
        <w:t>（三）国有资产占有使用情况</w:t>
      </w:r>
      <w:bookmarkEnd w:id="70"/>
    </w:p>
    <w:p>
      <w:pPr>
        <w:autoSpaceDE w:val="0"/>
        <w:autoSpaceDN w:val="0"/>
        <w:adjustRightInd w:val="0"/>
        <w:spacing w:line="536" w:lineRule="exact"/>
        <w:ind w:firstLineChars="200" w:firstLine="640"/>
        <w:jc w:val="left"/>
        <w:rPr>
          <w:rFonts w:ascii="仿宋_GB2312" w:eastAsia="仿宋_GB2312" w:hint="eastAsia"/>
          <w:color w:val="000000"/>
          <w:sz w:val="32"/>
          <w:szCs w:val="32"/>
        </w:rPr>
      </w:pPr>
      <w:bookmarkStart w:id="71" w:name="_Toc15377225"/>
      <w:bookmarkStart w:id="72" w:name="_Toc15396613"/>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2024</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pPr>
        <w:pStyle w:val="28"/>
        <w:spacing w:line="580" w:lineRule="exact"/>
        <w:ind w:left="709"/>
        <w:rPr>
          <w:rFonts w:ascii="楷体_GB2312" w:eastAsia="楷体_GB2312" w:cs="楷体_GB2312" w:hint="eastAsia"/>
          <w:b/>
          <w:bCs/>
          <w:kern w:val="2"/>
          <w:sz w:val="32"/>
          <w:szCs w:val="32"/>
          <w:lang w:val="en-US" w:eastAsia="zh-CN" w:bidi="ar-SA"/>
        </w:rPr>
      </w:pPr>
      <w:bookmarkStart w:id="73" w:name="_Toc28157"/>
      <w:r>
        <w:rPr>
          <w:rFonts w:ascii="楷体_GB2312" w:eastAsia="楷体_GB2312" w:cs="楷体_GB2312" w:hint="eastAsia"/>
          <w:b/>
          <w:bCs/>
          <w:kern w:val="2"/>
          <w:sz w:val="32"/>
          <w:szCs w:val="32"/>
          <w:lang w:val="en-US" w:eastAsia="zh-CN" w:bidi="ar-SA"/>
        </w:rPr>
        <w:t>（四）预算绩效情况说明</w:t>
      </w:r>
    </w:p>
    <w:p>
      <w:pPr>
        <w:spacing w:line="580" w:lineRule="exact"/>
        <w:ind w:firstLineChars="200" w:firstLine="640"/>
        <w:rPr>
          <w:rFonts w:ascii="楷体_GB2312" w:eastAsia="楷体_GB2312" w:cs="楷体_GB2312"/>
          <w:b/>
          <w:bCs/>
          <w:sz w:val="32"/>
          <w:szCs w:val="32"/>
        </w:rPr>
      </w:pPr>
      <w:bookmarkEnd w:id="73"/>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绩效目标管理情况</w:t>
      </w:r>
    </w:p>
    <w:p>
      <w:pPr>
        <w:spacing w:line="53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lang w:eastAsia="zh-CN"/>
        </w:rPr>
        <w:t>2024</w:t>
      </w:r>
      <w:r>
        <w:rPr>
          <w:rFonts w:ascii="仿宋_GB2312" w:eastAsia="仿宋_GB2312" w:hint="eastAsia"/>
          <w:color w:val="000000"/>
          <w:sz w:val="32"/>
          <w:szCs w:val="32"/>
        </w:rPr>
        <w:t>年部门预算整体支出和部门项目支出开展了绩效目标管理，共编制绩效目标</w:t>
      </w:r>
      <w:r>
        <w:rPr>
          <w:rFonts w:ascii="仿宋_GB2312" w:eastAsia="仿宋_GB2312"/>
          <w:color w:val="000000"/>
          <w:sz w:val="32"/>
          <w:szCs w:val="32"/>
        </w:rPr>
        <w:t>2</w:t>
      </w:r>
      <w:r>
        <w:rPr>
          <w:rFonts w:ascii="仿宋_GB2312" w:eastAsia="仿宋_GB2312" w:hint="eastAsia"/>
          <w:color w:val="000000"/>
          <w:sz w:val="32"/>
          <w:szCs w:val="32"/>
        </w:rPr>
        <w:t>个。</w:t>
      </w:r>
    </w:p>
    <w:p>
      <w:pPr>
        <w:spacing w:line="580" w:lineRule="exact"/>
        <w:ind w:firstLineChars="200" w:firstLine="640"/>
        <w:rPr>
          <w:rFonts w:ascii="楷体_GB2312" w:eastAsia="楷体_GB2312" w:cs="楷体_GB2312"/>
          <w:b/>
          <w:bCs/>
          <w:sz w:val="32"/>
          <w:szCs w:val="32"/>
        </w:rPr>
      </w:pPr>
      <w:r>
        <w:rPr>
          <w:rFonts w:ascii="仿宋_GB2312" w:eastAsia="仿宋_GB2312" w:hint="eastAsia"/>
          <w:b/>
          <w:color w:val="000000"/>
          <w:sz w:val="32"/>
          <w:szCs w:val="32"/>
          <w:lang w:val="en-US" w:eastAsia="zh-CN"/>
        </w:rPr>
        <w:t>2.部门整体支出绩效自评开展情况</w:t>
      </w:r>
    </w:p>
    <w:p>
      <w:pPr>
        <w:spacing w:line="58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按照预算绩效管理要求，</w:t>
      </w:r>
      <w:r>
        <w:rPr>
          <w:rFonts w:ascii="仿宋_GB2312" w:eastAsia="仿宋_GB2312" w:cs="仿宋_GB2312" w:hint="eastAsia"/>
          <w:sz w:val="32"/>
          <w:szCs w:val="32"/>
        </w:rPr>
        <w:t>本部门对</w:t>
      </w:r>
      <w:r>
        <w:rPr>
          <w:rFonts w:ascii="仿宋_GB2312" w:eastAsia="仿宋_GB2312" w:cs="仿宋_GB2312" w:hint="eastAsia"/>
          <w:sz w:val="32"/>
          <w:szCs w:val="32"/>
          <w:lang w:eastAsia="zh-CN"/>
        </w:rPr>
        <w:t>2024</w:t>
      </w:r>
      <w:r>
        <w:rPr>
          <w:rFonts w:ascii="仿宋_GB2312" w:eastAsia="仿宋_GB2312" w:cs="仿宋_GB2312" w:hint="eastAsia"/>
          <w:sz w:val="32"/>
          <w:szCs w:val="32"/>
        </w:rPr>
        <w:t>年部门整体支出绩效评价情况开展自评，</w:t>
      </w:r>
      <w:r>
        <w:rPr>
          <w:rFonts w:ascii="仿宋_GB2312" w:eastAsia="仿宋_GB2312" w:hint="eastAsia"/>
          <w:sz w:val="32"/>
          <w:szCs w:val="32"/>
        </w:rPr>
        <w:t>《金川县畜牧兽医服务中心</w:t>
      </w:r>
      <w:r>
        <w:rPr>
          <w:rFonts w:ascii="仿宋_GB2312" w:eastAsia="仿宋_GB2312" w:hint="eastAsia"/>
          <w:sz w:val="32"/>
          <w:szCs w:val="32"/>
          <w:lang w:eastAsia="zh-CN"/>
        </w:rPr>
        <w:t>2024</w:t>
      </w:r>
      <w:r>
        <w:rPr>
          <w:rFonts w:ascii="仿宋_GB2312" w:eastAsia="仿宋_GB2312" w:hint="eastAsia"/>
          <w:sz w:val="32"/>
          <w:szCs w:val="32"/>
        </w:rPr>
        <w:t>年部门预算整体支出绩效评价报告》《</w:t>
      </w:r>
      <w:r>
        <w:rPr>
          <w:rFonts w:ascii="仿宋_GB2312" w:eastAsia="仿宋_GB2312" w:hint="eastAsia"/>
          <w:sz w:val="32"/>
          <w:szCs w:val="32"/>
          <w:lang w:val="en-US" w:eastAsia="zh-CN"/>
        </w:rPr>
        <w:t>2024年部门预算整体支出绩效自评表》</w:t>
      </w:r>
      <w:r>
        <w:rPr>
          <w:rFonts w:ascii="仿宋_GB2312" w:eastAsia="仿宋_GB2312" w:cs="仿宋_GB2312" w:hint="eastAsia"/>
          <w:sz w:val="32"/>
          <w:szCs w:val="32"/>
        </w:rPr>
        <w:t>见附件。</w:t>
      </w:r>
    </w:p>
    <w:p>
      <w:pPr>
        <w:numPr>
          <w:ilvl w:val="0"/>
          <w:numId w:val="3"/>
        </w:numPr>
        <w:spacing w:line="580" w:lineRule="exact"/>
        <w:ind w:left="0" w:firstLineChars="200" w:firstLine="640"/>
        <w:rPr>
          <w:rFonts w:ascii="仿宋_GB2312" w:eastAsia="仿宋_GB2312" w:hint="eastAsia"/>
          <w:b/>
          <w:color w:val="000000"/>
          <w:sz w:val="32"/>
          <w:szCs w:val="32"/>
          <w:lang w:val="en-US" w:eastAsia="zh-CN"/>
        </w:rPr>
      </w:pPr>
      <w:r>
        <w:rPr>
          <w:rFonts w:ascii="仿宋_GB2312" w:eastAsia="仿宋_GB2312" w:hint="eastAsia"/>
          <w:b/>
          <w:color w:val="000000"/>
          <w:sz w:val="32"/>
          <w:szCs w:val="32"/>
          <w:lang w:val="en-US" w:eastAsia="zh-CN"/>
        </w:rPr>
        <w:t>部门项目绩效评价开展情况</w:t>
      </w:r>
    </w:p>
    <w:p>
      <w:pPr>
        <w:spacing w:line="580" w:lineRule="exact"/>
        <w:ind w:firstLineChars="200" w:firstLine="640"/>
        <w:rPr>
          <w:rFonts w:ascii="仿宋_GB2312" w:eastAsia="仿宋_GB2312" w:hint="eastAsia"/>
          <w:color w:val="000000"/>
          <w:sz w:val="32"/>
          <w:szCs w:val="32"/>
          <w:lang w:eastAsia="zh-CN"/>
        </w:rPr>
      </w:pPr>
      <w:r>
        <w:rPr>
          <w:rFonts w:ascii="仿宋_GB2312" w:eastAsia="仿宋_GB2312" w:hint="eastAsia"/>
          <w:color w:val="000000"/>
          <w:sz w:val="32"/>
          <w:szCs w:val="32"/>
        </w:rPr>
        <w:t>按照预算绩效管理要求，本部门对</w:t>
      </w:r>
      <w:r>
        <w:rPr>
          <w:rFonts w:ascii="仿宋_GB2312" w:eastAsia="仿宋_GB2312" w:hint="eastAsia"/>
          <w:color w:val="000000"/>
          <w:sz w:val="32"/>
          <w:szCs w:val="32"/>
          <w:lang w:eastAsia="zh-CN"/>
        </w:rPr>
        <w:t>2024</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单位所有预算项目开展预算绩效自评，其中抽取我单位最具代表性的项目，在附件中做专项绩效报告，《</w:t>
      </w:r>
      <w:r>
        <w:rPr>
          <w:rFonts w:ascii="仿宋_GB2312" w:eastAsia="仿宋_GB2312" w:hint="eastAsia"/>
          <w:color w:val="000000"/>
          <w:sz w:val="32"/>
          <w:szCs w:val="32"/>
          <w:lang w:val="en-US" w:eastAsia="zh-CN"/>
        </w:rPr>
        <w:t>2024年草原生态补助奖励政策项目绩效评价报告》《2024年草原生态补助奖励政策项目绩效自评表</w:t>
      </w:r>
      <w:r>
        <w:rPr>
          <w:rFonts w:ascii="仿宋_GB2312" w:eastAsia="仿宋_GB2312" w:hint="eastAsia"/>
          <w:color w:val="000000"/>
          <w:sz w:val="32"/>
          <w:szCs w:val="32"/>
          <w:lang w:eastAsia="zh-CN"/>
        </w:rPr>
        <w:t>》见附件。</w:t>
      </w:r>
    </w:p>
    <w:p>
      <w:pPr>
        <w:pStyle w:val="15"/>
      </w:pPr>
    </w:p>
    <w:p>
      <w:pPr>
        <w:numPr>
          <w:ilvl w:val="0"/>
          <w:numId w:val="4"/>
        </w:numPr>
        <w:spacing w:line="600" w:lineRule="exact"/>
        <w:ind w:left="0" w:firstLineChars="150" w:firstLine="660"/>
        <w:jc w:val="center"/>
        <w:outlineLvl w:val="0"/>
        <w:rPr>
          <w:rStyle w:val="1Char"/>
          <w:rFonts w:ascii="黑体" w:eastAsia="黑体"/>
          <w:b w:val="0"/>
        </w:rPr>
      </w:pPr>
      <w:bookmarkStart w:id="74" w:name="_Toc5986"/>
      <w:r>
        <w:rPr>
          <w:rFonts w:ascii="黑体" w:eastAsia="黑体" w:hint="eastAsia"/>
          <w:b w:val="0"/>
          <w:bCs/>
          <w:color w:val="000000"/>
          <w:sz w:val="44"/>
          <w:szCs w:val="44"/>
        </w:rPr>
        <w:t>名</w:t>
      </w:r>
      <w:r>
        <w:rPr>
          <w:rStyle w:val="1Char"/>
          <w:rFonts w:ascii="黑体" w:eastAsia="黑体" w:hint="eastAsia"/>
          <w:b w:val="0"/>
        </w:rPr>
        <w:t>词解释</w:t>
      </w:r>
      <w:bookmarkEnd w:id="71"/>
      <w:bookmarkEnd w:id="72"/>
      <w:bookmarkEnd w:id="74"/>
    </w:p>
    <w:p>
      <w:pPr>
        <w:pStyle w:val="27"/>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sz w:val="32"/>
          <w:szCs w:val="32"/>
        </w:rPr>
      </w:pPr>
      <w:r>
        <w:rPr>
          <w:rFonts w:ascii="仿宋_GB2312" w:eastAsia="仿宋_GB2312" w:hint="eastAsia"/>
          <w:sz w:val="32"/>
          <w:szCs w:val="32"/>
          <w:lang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color w:val="000000"/>
          <w:sz w:val="32"/>
          <w:szCs w:val="32"/>
        </w:rPr>
        <w:t>8.</w:t>
      </w:r>
      <w:r>
        <w:rPr>
          <w:rFonts w:ascii="仿宋_GB2312" w:eastAsia="仿宋_GB2312" w:cs="仿宋" w:hint="eastAsia"/>
          <w:color w:val="000000"/>
          <w:kern w:val="0"/>
          <w:sz w:val="32"/>
          <w:szCs w:val="32"/>
        </w:rPr>
        <w:t>一般公共服务（类）相关机构事务（款）行政运行（项）：指行政单位的基本支出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cs="仿宋" w:hint="eastAsia"/>
          <w:color w:val="000000"/>
          <w:kern w:val="0"/>
          <w:sz w:val="32"/>
          <w:szCs w:val="32"/>
        </w:rPr>
        <w:t>一般公共服务（类）相关机构事务（款）一般行政管理事务（项）：</w:t>
      </w:r>
      <w:r>
        <w:rPr>
          <w:rFonts w:ascii="仿宋_GB2312" w:eastAsia="仿宋_GB2312" w:hint="eastAsia"/>
          <w:color w:val="000000"/>
          <w:sz w:val="32"/>
          <w:szCs w:val="32"/>
        </w:rPr>
        <w:t>指反映行政单位未单独设置</w:t>
      </w:r>
      <w:r>
        <w:rPr>
          <w:rFonts w:ascii="仿宋_GB2312" w:eastAsia="仿宋_GB2312" w:hint="eastAsia"/>
          <w:color w:val="000000"/>
          <w:sz w:val="32"/>
          <w:szCs w:val="32"/>
          <w:lang w:eastAsia="zh-CN"/>
        </w:rPr>
        <w:t>项级</w:t>
      </w:r>
      <w:r>
        <w:rPr>
          <w:rFonts w:ascii="仿宋_GB2312" w:eastAsia="仿宋_GB2312" w:hint="eastAsia"/>
          <w:color w:val="000000"/>
          <w:sz w:val="32"/>
          <w:szCs w:val="32"/>
        </w:rPr>
        <w:t>科目的其他项目支出。</w:t>
      </w:r>
    </w:p>
    <w:p>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除上述项目以外用于教育管理事务方面的支出。</w:t>
      </w:r>
    </w:p>
    <w:p>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color w:val="000000"/>
          <w:sz w:val="32"/>
          <w:szCs w:val="32"/>
        </w:rPr>
        <w:t>17.</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Chars="200" w:firstLine="640"/>
        <w:rPr>
          <w:rFonts w:ascii="仿宋_GB2312" w:eastAsia="仿宋_GB2312"/>
          <w:sz w:val="32"/>
          <w:szCs w:val="32"/>
        </w:rPr>
      </w:pPr>
      <w:r>
        <w:rPr>
          <w:rFonts w:ascii="仿宋_GB2312" w:eastAsia="仿宋_GB2312"/>
          <w:sz w:val="32"/>
          <w:szCs w:val="32"/>
        </w:rPr>
        <w:t>18.</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黑体" w:eastAsia="黑体"/>
          <w:color w:val="000000"/>
          <w:sz w:val="44"/>
          <w:szCs w:val="44"/>
        </w:rPr>
      </w:pPr>
      <w:r>
        <w:rPr>
          <w:rFonts w:ascii="仿宋_GB2312" w:eastAsia="仿宋_GB2312"/>
          <w:sz w:val="32"/>
          <w:szCs w:val="32"/>
        </w:rPr>
        <w:t>19.</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75" w:name="_Toc15396614"/>
      <w:bookmarkStart w:id="76" w:name="_Toc15377226"/>
    </w:p>
    <w:p>
      <w:pPr>
        <w:spacing w:line="600" w:lineRule="exact"/>
        <w:outlineLvl w:val="0"/>
        <w:rPr>
          <w:rFonts w:ascii="黑体" w:eastAsia="黑体"/>
          <w:color w:val="000000"/>
          <w:sz w:val="44"/>
          <w:szCs w:val="44"/>
        </w:rPr>
      </w:pPr>
    </w:p>
    <w:p>
      <w:pPr>
        <w:numPr>
          <w:ilvl w:val="0"/>
          <w:numId w:val="4"/>
        </w:numPr>
        <w:spacing w:line="600" w:lineRule="exact"/>
        <w:ind w:left="0" w:firstLineChars="150" w:firstLine="660"/>
        <w:jc w:val="center"/>
        <w:outlineLvl w:val="0"/>
        <w:rPr>
          <w:rStyle w:val="1Char"/>
          <w:rFonts w:ascii="黑体" w:eastAsia="黑体"/>
          <w:b w:val="0"/>
        </w:rPr>
      </w:pPr>
      <w:bookmarkStart w:id="77" w:name="_Toc31479"/>
      <w:r>
        <w:rPr>
          <w:rStyle w:val="1Char"/>
          <w:rFonts w:ascii="黑体" w:eastAsia="黑体" w:hint="eastAsia"/>
          <w:b w:val="0"/>
        </w:rPr>
        <w:t>附件</w:t>
      </w:r>
      <w:bookmarkEnd w:id="75"/>
      <w:bookmarkEnd w:id="77"/>
    </w:p>
    <w:p>
      <w:pPr>
        <w:outlineLvl w:val="0"/>
        <w:rPr>
          <w:rStyle w:val="1Char"/>
          <w:rFonts w:ascii="黑体" w:eastAsia="黑体"/>
          <w:b w:val="0"/>
        </w:rPr>
      </w:pPr>
    </w:p>
    <w:p>
      <w:pPr>
        <w:widowControl/>
        <w:spacing w:line="576" w:lineRule="exact"/>
        <w:jc w:val="center"/>
        <w:rPr>
          <w:rFonts w:ascii="方正小标宋简体" w:eastAsia="方正小标宋简体" w:cs="方正小标宋简体"/>
          <w:sz w:val="44"/>
          <w:szCs w:val="44"/>
        </w:rPr>
      </w:pPr>
      <w:bookmarkEnd w:id="76"/>
      <w:r>
        <w:rPr>
          <w:rFonts w:ascii="方正小标宋简体" w:eastAsia="方正小标宋简体" w:cs="方正小标宋简体" w:hint="eastAsia"/>
          <w:sz w:val="44"/>
          <w:szCs w:val="44"/>
        </w:rPr>
        <w:t>金川县畜牧兽医服务中心</w:t>
      </w:r>
    </w:p>
    <w:p>
      <w:pPr>
        <w:widowControl/>
        <w:spacing w:line="576" w:lineRule="exact"/>
        <w:jc w:val="center"/>
        <w:rPr>
          <w:rFonts w:ascii="方正小标宋简体" w:eastAsia="方正小标宋简体" w:cs="方正小标宋简体"/>
          <w:sz w:val="44"/>
          <w:szCs w:val="44"/>
        </w:rPr>
      </w:pPr>
      <w:r>
        <w:rPr>
          <w:rFonts w:ascii="方正小标宋简体" w:eastAsia="方正小标宋简体" w:cs="方正小标宋简体" w:hint="eastAsia"/>
          <w:sz w:val="44"/>
          <w:szCs w:val="44"/>
          <w:lang w:eastAsia="zh-CN"/>
        </w:rPr>
        <w:t>2024</w:t>
      </w:r>
      <w:r>
        <w:rPr>
          <w:rFonts w:ascii="方正小标宋简体" w:eastAsia="方正小标宋简体" w:cs="方正小标宋简体" w:hint="eastAsia"/>
          <w:sz w:val="44"/>
          <w:szCs w:val="44"/>
        </w:rPr>
        <w:t>年部门预算整体支出绩效报告</w:t>
      </w:r>
    </w:p>
    <w:p>
      <w:pPr>
        <w:widowControl/>
        <w:spacing w:line="576" w:lineRule="exact"/>
        <w:rPr>
          <w:rFonts w:ascii="方正小标宋简体" w:eastAsia="方正小标宋简体" w:cs="方正小标宋简体"/>
          <w:sz w:val="44"/>
          <w:szCs w:val="44"/>
        </w:rPr>
      </w:pPr>
    </w:p>
    <w:p>
      <w:pPr>
        <w:pageBreakBefore w:val="0"/>
        <w:widowControl w:val="0"/>
        <w:kinsoku/>
        <w:wordWrap/>
        <w:overflowPunct/>
        <w:topLinePunct w:val="0"/>
        <w:autoSpaceDE/>
        <w:autoSpaceDN/>
        <w:bidi w:val="0"/>
        <w:spacing w:line="520" w:lineRule="exact"/>
        <w:textAlignment w:val="auto"/>
        <w:rPr>
          <w:rFonts w:ascii="仿宋_GB2312" w:eastAsia="仿宋_GB2312" w:cs="仿宋"/>
          <w:color w:val="000000"/>
          <w:kern w:val="0"/>
          <w:sz w:val="32"/>
          <w:szCs w:val="32"/>
        </w:rPr>
      </w:pPr>
      <w:r>
        <w:rPr>
          <w:rFonts w:ascii="仿宋" w:eastAsia="仿宋" w:cs="仿宋"/>
          <w:color w:val="000000"/>
          <w:kern w:val="0"/>
          <w:sz w:val="32"/>
          <w:szCs w:val="32"/>
          <w:shd w:val="clear" w:color="auto" w:fill="FFFFFF"/>
        </w:rPr>
        <w:t xml:space="preserve">   </w:t>
      </w:r>
      <w:r>
        <w:rPr>
          <w:rFonts w:ascii="仿宋_GB2312" w:eastAsia="仿宋_GB2312" w:cs="仿宋"/>
          <w:color w:val="000000"/>
          <w:kern w:val="0"/>
          <w:sz w:val="32"/>
          <w:szCs w:val="32"/>
        </w:rPr>
        <w:t xml:space="preserve"> </w:t>
      </w:r>
      <w:r>
        <w:rPr>
          <w:rFonts w:ascii="仿宋_GB2312" w:eastAsia="仿宋_GB2312" w:cs="仿宋" w:hint="eastAsia"/>
          <w:color w:val="000000"/>
          <w:kern w:val="0"/>
          <w:sz w:val="32"/>
          <w:szCs w:val="32"/>
        </w:rPr>
        <w:t>根据《金川县财政局关于开展</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年部门、政策和项目支出绩效评价工作的通知》（金财监绩〔</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w:t>
      </w:r>
      <w:r>
        <w:rPr>
          <w:rFonts w:ascii="仿宋_GB2312" w:eastAsia="仿宋_GB2312" w:cs="仿宋"/>
          <w:color w:val="000000"/>
          <w:kern w:val="0"/>
          <w:sz w:val="32"/>
          <w:szCs w:val="32"/>
        </w:rPr>
        <w:t>26</w:t>
      </w:r>
      <w:r>
        <w:rPr>
          <w:rFonts w:ascii="仿宋_GB2312" w:eastAsia="仿宋_GB2312" w:cs="仿宋" w:hint="eastAsia"/>
          <w:color w:val="000000"/>
          <w:kern w:val="0"/>
          <w:sz w:val="32"/>
          <w:szCs w:val="32"/>
        </w:rPr>
        <w:t>号）文件要求，为深入贯彻落实财政部《项目支出绩效评价管理办法》（财预〔</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w:t>
      </w:r>
      <w:r>
        <w:rPr>
          <w:rFonts w:ascii="仿宋_GB2312" w:eastAsia="仿宋_GB2312" w:cs="仿宋"/>
          <w:color w:val="000000"/>
          <w:kern w:val="0"/>
          <w:sz w:val="32"/>
          <w:szCs w:val="32"/>
        </w:rPr>
        <w:t>10</w:t>
      </w:r>
      <w:r>
        <w:rPr>
          <w:rFonts w:ascii="仿宋_GB2312" w:eastAsia="仿宋_GB2312" w:cs="仿宋" w:hint="eastAsia"/>
          <w:color w:val="000000"/>
          <w:kern w:val="0"/>
          <w:sz w:val="32"/>
          <w:szCs w:val="32"/>
        </w:rPr>
        <w:t>号）、《财政厅关于开展</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年部门、政策和项目支出绩效评价工作的通知》（川财绩〔</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w:t>
      </w:r>
      <w:r>
        <w:rPr>
          <w:rFonts w:ascii="仿宋_GB2312" w:eastAsia="仿宋_GB2312" w:cs="仿宋"/>
          <w:color w:val="000000"/>
          <w:kern w:val="0"/>
          <w:sz w:val="32"/>
          <w:szCs w:val="32"/>
        </w:rPr>
        <w:t>6</w:t>
      </w:r>
      <w:r>
        <w:rPr>
          <w:rFonts w:ascii="仿宋_GB2312" w:eastAsia="仿宋_GB2312" w:cs="仿宋" w:hint="eastAsia"/>
          <w:color w:val="000000"/>
          <w:kern w:val="0"/>
          <w:sz w:val="32"/>
          <w:szCs w:val="32"/>
        </w:rPr>
        <w:t>号）和《阿坝州财政局关于开展</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年部门、政策和项目支出绩效评价工作的通知》（阿州财监绩〔</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w:t>
      </w:r>
      <w:r>
        <w:rPr>
          <w:rFonts w:ascii="仿宋_GB2312" w:eastAsia="仿宋_GB2312" w:cs="仿宋"/>
          <w:color w:val="000000"/>
          <w:kern w:val="0"/>
          <w:sz w:val="32"/>
          <w:szCs w:val="32"/>
        </w:rPr>
        <w:t>11</w:t>
      </w:r>
      <w:r>
        <w:rPr>
          <w:rFonts w:ascii="仿宋_GB2312" w:eastAsia="仿宋_GB2312" w:cs="仿宋" w:hint="eastAsia"/>
          <w:color w:val="000000"/>
          <w:kern w:val="0"/>
          <w:sz w:val="32"/>
          <w:szCs w:val="32"/>
        </w:rPr>
        <w:t>号）文件要求，结合金川县畜牧兽医服务中心的实际，领导高度重视，认真开展部门预算支出绩效自评工作，现将</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年部门预算支出绩效自评工作报告如下：</w:t>
      </w:r>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b/>
          <w:bCs/>
          <w:color w:val="000000"/>
          <w:kern w:val="0"/>
          <w:sz w:val="32"/>
          <w:szCs w:val="32"/>
          <w:lang w:val="zh-CN"/>
        </w:rPr>
      </w:pPr>
      <w:r>
        <w:rPr>
          <w:rFonts w:ascii="仿宋" w:eastAsia="仿宋" w:cs="仿宋" w:hint="eastAsia"/>
          <w:color w:val="000000"/>
          <w:kern w:val="0"/>
          <w:sz w:val="32"/>
          <w:szCs w:val="32"/>
        </w:rPr>
        <w:t>　　</w:t>
      </w:r>
      <w:bookmarkStart w:id="78" w:name="_Toc12662"/>
      <w:r>
        <w:rPr>
          <w:rStyle w:val="2Char"/>
          <w:rFonts w:ascii="黑体" w:eastAsia="黑体" w:hint="eastAsia"/>
          <w:b w:val="0"/>
        </w:rPr>
        <w:t>一、</w:t>
      </w:r>
      <w:r>
        <w:rPr>
          <w:rStyle w:val="2Char"/>
          <w:rFonts w:ascii="黑体" w:eastAsia="黑体" w:hint="eastAsia"/>
          <w:b w:val="0"/>
          <w:lang w:val="zh-CN"/>
        </w:rPr>
        <w:t>部门（单位）概况</w:t>
      </w:r>
      <w:bookmarkEnd w:id="78"/>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color w:val="000000"/>
          <w:kern w:val="0"/>
          <w:sz w:val="32"/>
          <w:szCs w:val="32"/>
          <w:lang w:val="zh-CN"/>
        </w:rPr>
      </w:pPr>
      <w:r>
        <w:rPr>
          <w:rFonts w:ascii="仿宋" w:eastAsia="仿宋" w:cs="仿宋" w:hint="eastAsia"/>
          <w:color w:val="000000"/>
          <w:kern w:val="0"/>
          <w:sz w:val="32"/>
          <w:szCs w:val="32"/>
          <w:lang w:val="zh-CN"/>
        </w:rPr>
        <w:t>　　</w:t>
      </w:r>
      <w:r>
        <w:rPr>
          <w:rFonts w:ascii="楷体_GB2312" w:eastAsia="楷体_GB2312" w:cs="楷体_GB2312" w:hint="eastAsia"/>
          <w:b/>
          <w:bCs/>
          <w:sz w:val="32"/>
          <w:szCs w:val="32"/>
          <w:lang w:val="zh-CN"/>
        </w:rPr>
        <w:t>（一）机构组成</w:t>
      </w:r>
    </w:p>
    <w:p>
      <w:pPr>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县畜牧兽医服务中心属独立编制机构和独立核算的事业单位。</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年末独立编制机构</w:t>
      </w:r>
      <w:r>
        <w:rPr>
          <w:rFonts w:ascii="仿宋_GB2312" w:eastAsia="仿宋_GB2312" w:cs="仿宋" w:hint="eastAsia"/>
          <w:color w:val="000000"/>
          <w:kern w:val="0"/>
          <w:sz w:val="32"/>
          <w:szCs w:val="32"/>
          <w:lang w:val="en-US" w:eastAsia="zh-CN"/>
        </w:rPr>
        <w:t>4</w:t>
      </w:r>
      <w:r>
        <w:rPr>
          <w:rFonts w:ascii="仿宋_GB2312" w:eastAsia="仿宋_GB2312" w:cs="仿宋" w:hint="eastAsia"/>
          <w:color w:val="000000"/>
          <w:kern w:val="0"/>
          <w:sz w:val="32"/>
          <w:szCs w:val="32"/>
        </w:rPr>
        <w:t>个，独立核算机构</w:t>
      </w:r>
      <w:r>
        <w:rPr>
          <w:rFonts w:ascii="仿宋_GB2312" w:eastAsia="仿宋_GB2312" w:cs="仿宋" w:hint="eastAsia"/>
          <w:color w:val="000000"/>
          <w:kern w:val="0"/>
          <w:sz w:val="32"/>
          <w:szCs w:val="32"/>
          <w:lang w:val="en-US" w:eastAsia="zh-CN"/>
        </w:rPr>
        <w:t>2</w:t>
      </w:r>
      <w:r>
        <w:rPr>
          <w:rFonts w:ascii="仿宋_GB2312" w:eastAsia="仿宋_GB2312" w:cs="仿宋" w:hint="eastAsia"/>
          <w:color w:val="000000"/>
          <w:kern w:val="0"/>
          <w:sz w:val="32"/>
          <w:szCs w:val="32"/>
        </w:rPr>
        <w:t>个。</w:t>
      </w:r>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b/>
          <w:bCs/>
          <w:color w:val="000000"/>
          <w:kern w:val="0"/>
          <w:sz w:val="32"/>
          <w:szCs w:val="32"/>
          <w:lang w:val="zh-CN"/>
        </w:rPr>
      </w:pPr>
      <w:r>
        <w:rPr>
          <w:rFonts w:ascii="仿宋" w:eastAsia="仿宋" w:cs="仿宋" w:hint="eastAsia"/>
          <w:color w:val="000000"/>
          <w:kern w:val="0"/>
          <w:sz w:val="32"/>
          <w:szCs w:val="32"/>
          <w:lang w:val="zh-CN"/>
        </w:rPr>
        <w:t>　　</w:t>
      </w:r>
      <w:r>
        <w:rPr>
          <w:rFonts w:ascii="楷体_GB2312" w:eastAsia="楷体_GB2312" w:cs="楷体_GB2312" w:hint="eastAsia"/>
          <w:b/>
          <w:bCs/>
          <w:sz w:val="32"/>
          <w:szCs w:val="32"/>
          <w:lang w:val="zh-CN"/>
        </w:rPr>
        <w:t>（二）机构职能</w:t>
      </w:r>
    </w:p>
    <w:p>
      <w:pPr>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金川县畜牧兽医服务中心隶属农业部门，单位性质为事业，实行</w:t>
      </w:r>
      <w:r>
        <w:rPr>
          <w:rFonts w:ascii="仿宋_GB2312" w:eastAsia="仿宋_GB2312" w:cs="仿宋" w:hint="eastAsia"/>
          <w:color w:val="000000"/>
          <w:kern w:val="0"/>
          <w:sz w:val="32"/>
          <w:szCs w:val="32"/>
          <w:lang w:eastAsia="zh-CN"/>
        </w:rPr>
        <w:t>行政</w:t>
      </w:r>
      <w:r>
        <w:rPr>
          <w:rFonts w:ascii="仿宋_GB2312" w:eastAsia="仿宋_GB2312" w:cs="仿宋" w:hint="eastAsia"/>
          <w:color w:val="000000"/>
          <w:kern w:val="0"/>
          <w:sz w:val="32"/>
          <w:szCs w:val="32"/>
        </w:rPr>
        <w:t>事业单位</w:t>
      </w:r>
      <w:r>
        <w:rPr>
          <w:rFonts w:ascii="仿宋_GB2312" w:eastAsia="仿宋_GB2312" w:cs="仿宋" w:hint="eastAsia"/>
          <w:color w:val="000000"/>
          <w:kern w:val="0"/>
          <w:sz w:val="32"/>
          <w:szCs w:val="32"/>
          <w:lang w:eastAsia="zh-CN"/>
        </w:rPr>
        <w:t>政府</w:t>
      </w:r>
      <w:r>
        <w:rPr>
          <w:rFonts w:ascii="仿宋_GB2312" w:eastAsia="仿宋_GB2312" w:cs="仿宋" w:hint="eastAsia"/>
          <w:color w:val="000000"/>
          <w:kern w:val="0"/>
          <w:sz w:val="32"/>
          <w:szCs w:val="32"/>
        </w:rPr>
        <w:t>会计制度。</w:t>
      </w:r>
      <w:r>
        <w:rPr>
          <w:rFonts w:ascii="仿宋_GB2312" w:eastAsia="仿宋_GB2312" w:cs="仿宋"/>
          <w:color w:val="000000"/>
          <w:kern w:val="0"/>
          <w:sz w:val="32"/>
          <w:szCs w:val="32"/>
        </w:rPr>
        <w:t> </w:t>
      </w:r>
      <w:r>
        <w:rPr>
          <w:rFonts w:ascii="仿宋_GB2312" w:eastAsia="仿宋_GB2312" w:cs="仿宋" w:hint="eastAsia"/>
          <w:color w:val="000000"/>
          <w:kern w:val="0"/>
          <w:sz w:val="32"/>
          <w:szCs w:val="32"/>
        </w:rPr>
        <w:t>基本职能为：拟订全县畜牧、兽医和草业发展的政策、法规、规划、计划，并组织实施；负责指导畜牧业规模化养殖、标准化生产和产业化经营，引导畜牧产业结构的调整、畜牧业资源的有效配置和产品品质的改善；负责地方畜禽遗传资源的保护利用和外引良种的管理，组织开展畜禽新品种繁育和生产新技术的推广；负责饲草资源开发及草地建设、保护和监理工作；负责畜产品质量安全监督管理工作，组织开展畜产品质量安全监督管理，指导畜牧生产</w:t>
      </w:r>
      <w:r>
        <w:rPr>
          <w:rFonts w:ascii="仿宋_GB2312" w:eastAsia="仿宋_GB2312" w:cs="仿宋" w:hint="eastAsia"/>
          <w:color w:val="000000"/>
          <w:kern w:val="0"/>
          <w:sz w:val="32"/>
          <w:szCs w:val="32"/>
          <w:lang w:eastAsia="zh-CN"/>
        </w:rPr>
        <w:t>发展</w:t>
      </w:r>
      <w:r>
        <w:rPr>
          <w:rFonts w:ascii="仿宋_GB2312" w:eastAsia="仿宋_GB2312" w:cs="仿宋" w:hint="eastAsia"/>
          <w:color w:val="000000"/>
          <w:kern w:val="0"/>
          <w:sz w:val="32"/>
          <w:szCs w:val="32"/>
        </w:rPr>
        <w:t>与治理；负责全县动物防疫、检疫、兽医医政、兽药药政及畜牧兽医器械管理工作；负责动物疫病监测及预警预报工作；负责兽药、饲料及畜产品质量安全监督抽检工作；负责动物卫生监督执法管理工作；负责畜牧兽医体系建设和管理工作，承担全县畜牧兽医人才开发工作；组织开展畜牧兽医交流与合作；负责农业巡防工作；负责生猪定点屠宰监督管理；承担上级交办的其他事项。</w:t>
      </w:r>
    </w:p>
    <w:p>
      <w:pPr>
        <w:pStyle w:val="16"/>
        <w:pageBreakBefore w:val="0"/>
        <w:widowControl w:val="0"/>
        <w:kinsoku/>
        <w:wordWrap/>
        <w:overflowPunct/>
        <w:topLinePunct w:val="0"/>
        <w:autoSpaceDE/>
        <w:autoSpaceDN/>
        <w:bidi w:val="0"/>
        <w:adjustRightInd w:val="0"/>
        <w:snapToGrid w:val="0"/>
        <w:spacing w:beforeLines="0" w:before="93" w:line="520" w:lineRule="exact"/>
        <w:textAlignment w:val="auto"/>
        <w:rPr>
          <w:rFonts w:ascii="仿宋" w:eastAsia="仿宋" w:cs="仿宋"/>
          <w:b/>
          <w:bCs/>
          <w:color w:val="000000"/>
          <w:sz w:val="32"/>
          <w:szCs w:val="32"/>
          <w:lang w:val="zh-CN"/>
        </w:rPr>
      </w:pPr>
      <w:r>
        <w:rPr>
          <w:rFonts w:ascii="仿宋" w:eastAsia="仿宋" w:cs="仿宋" w:hint="eastAsia"/>
          <w:color w:val="000000"/>
          <w:sz w:val="32"/>
          <w:szCs w:val="32"/>
          <w:lang w:val="zh-CN"/>
        </w:rPr>
        <w:t>　　</w:t>
      </w:r>
      <w:r>
        <w:rPr>
          <w:rFonts w:ascii="楷体_GB2312" w:eastAsia="楷体_GB2312" w:cs="楷体_GB2312" w:hint="eastAsia"/>
          <w:b/>
          <w:bCs/>
          <w:kern w:val="2"/>
          <w:sz w:val="32"/>
          <w:szCs w:val="32"/>
          <w:lang w:val="zh-CN"/>
        </w:rPr>
        <w:t>（三）人员概况</w:t>
      </w:r>
    </w:p>
    <w:p>
      <w:pPr>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
          <w:color w:val="000000"/>
          <w:kern w:val="0"/>
          <w:sz w:val="32"/>
          <w:szCs w:val="32"/>
          <w:lang w:val="en-US" w:eastAsia="zh-CN"/>
        </w:rPr>
      </w:pP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年年末实有在职</w:t>
      </w:r>
      <w:r>
        <w:rPr>
          <w:rFonts w:ascii="仿宋_GB2312" w:eastAsia="仿宋_GB2312" w:cs="仿宋" w:hint="eastAsia"/>
          <w:color w:val="000000"/>
          <w:kern w:val="0"/>
          <w:sz w:val="32"/>
          <w:szCs w:val="32"/>
          <w:lang w:val="en-US" w:eastAsia="zh-CN"/>
        </w:rPr>
        <w:t>34</w:t>
      </w:r>
      <w:r>
        <w:rPr>
          <w:rFonts w:ascii="仿宋_GB2312" w:eastAsia="仿宋_GB2312" w:cs="仿宋" w:hint="eastAsia"/>
          <w:color w:val="000000"/>
          <w:kern w:val="0"/>
          <w:sz w:val="32"/>
          <w:szCs w:val="32"/>
        </w:rPr>
        <w:t>人，</w:t>
      </w:r>
      <w:r>
        <w:rPr>
          <w:rFonts w:ascii="仿宋_GB2312" w:eastAsia="仿宋_GB2312" w:cs="仿宋" w:hint="eastAsia"/>
          <w:color w:val="000000"/>
          <w:kern w:val="0"/>
          <w:sz w:val="32"/>
          <w:szCs w:val="32"/>
          <w:lang w:val="en-US" w:eastAsia="zh-CN"/>
        </w:rPr>
        <w:t>参公</w:t>
      </w:r>
      <w:r>
        <w:rPr>
          <w:rFonts w:ascii="仿宋_GB2312" w:eastAsia="仿宋_GB2312" w:cs="仿宋" w:hint="eastAsia"/>
          <w:color w:val="000000"/>
          <w:kern w:val="0"/>
          <w:sz w:val="32"/>
          <w:szCs w:val="32"/>
        </w:rPr>
        <w:t>人员</w:t>
      </w:r>
      <w:r>
        <w:rPr>
          <w:rFonts w:ascii="仿宋_GB2312" w:eastAsia="仿宋_GB2312" w:cs="仿宋" w:hint="eastAsia"/>
          <w:color w:val="000000"/>
          <w:kern w:val="0"/>
          <w:sz w:val="32"/>
          <w:szCs w:val="32"/>
          <w:lang w:val="en-US" w:eastAsia="zh-CN"/>
        </w:rPr>
        <w:t>15</w:t>
      </w:r>
      <w:r>
        <w:rPr>
          <w:rFonts w:ascii="仿宋_GB2312" w:eastAsia="仿宋_GB2312" w:cs="仿宋" w:hint="eastAsia"/>
          <w:color w:val="000000"/>
          <w:kern w:val="0"/>
          <w:sz w:val="32"/>
          <w:szCs w:val="32"/>
        </w:rPr>
        <w:t>人</w:t>
      </w:r>
      <w:r>
        <w:rPr>
          <w:rFonts w:ascii="仿宋_GB2312" w:eastAsia="仿宋_GB2312" w:cs="仿宋" w:hint="eastAsia"/>
          <w:color w:val="000000"/>
          <w:kern w:val="0"/>
          <w:sz w:val="32"/>
          <w:szCs w:val="32"/>
          <w:lang w:eastAsia="zh-CN"/>
        </w:rPr>
        <w:t>，事业人员</w:t>
      </w:r>
      <w:r>
        <w:rPr>
          <w:rFonts w:ascii="仿宋_GB2312" w:eastAsia="仿宋_GB2312" w:cs="仿宋" w:hint="eastAsia"/>
          <w:color w:val="000000"/>
          <w:kern w:val="0"/>
          <w:sz w:val="32"/>
          <w:szCs w:val="32"/>
          <w:lang w:val="en-US" w:eastAsia="zh-CN"/>
        </w:rPr>
        <w:t>19人。</w:t>
      </w:r>
    </w:p>
    <w:p>
      <w:pPr>
        <w:pageBreakBefore w:val="0"/>
        <w:widowControl/>
        <w:numPr>
          <w:ilvl w:val="0"/>
          <w:numId w:val="5"/>
        </w:numPr>
        <w:kinsoku/>
        <w:wordWrap/>
        <w:overflowPunct/>
        <w:topLinePunct w:val="0"/>
        <w:autoSpaceDE/>
        <w:autoSpaceDN/>
        <w:bidi w:val="0"/>
        <w:adjustRightInd w:val="0"/>
        <w:snapToGrid w:val="0"/>
        <w:spacing w:line="520" w:lineRule="exact"/>
        <w:ind w:left="640" w:firstLine="0"/>
        <w:textAlignment w:val="auto"/>
        <w:rPr>
          <w:rFonts w:ascii="仿宋" w:eastAsia="仿宋" w:cs="仿宋"/>
          <w:b/>
          <w:bCs/>
          <w:color w:val="000000"/>
          <w:kern w:val="0"/>
          <w:sz w:val="32"/>
          <w:szCs w:val="32"/>
        </w:rPr>
      </w:pPr>
      <w:bookmarkStart w:id="79" w:name="_Toc8360"/>
      <w:r>
        <w:rPr>
          <w:rStyle w:val="2Char"/>
          <w:rFonts w:ascii="黑体" w:eastAsia="黑体" w:hint="eastAsia"/>
          <w:b w:val="0"/>
        </w:rPr>
        <w:t>部门财政资金收支情况</w:t>
      </w:r>
      <w:bookmarkEnd w:id="79"/>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color w:val="000000"/>
          <w:kern w:val="0"/>
          <w:sz w:val="32"/>
          <w:szCs w:val="32"/>
          <w:lang w:val="zh-CN"/>
        </w:rPr>
      </w:pPr>
      <w:r>
        <w:rPr>
          <w:rFonts w:ascii="仿宋" w:eastAsia="仿宋" w:cs="仿宋" w:hint="eastAsia"/>
          <w:color w:val="000000"/>
          <w:kern w:val="0"/>
          <w:sz w:val="32"/>
          <w:szCs w:val="32"/>
          <w:lang w:val="zh-CN"/>
        </w:rPr>
        <w:t>　</w:t>
      </w:r>
      <w:r>
        <w:rPr>
          <w:rFonts w:ascii="仿宋" w:eastAsia="仿宋" w:cs="仿宋" w:hint="eastAsia"/>
          <w:b/>
          <w:bCs/>
          <w:color w:val="000000"/>
          <w:kern w:val="0"/>
          <w:sz w:val="32"/>
          <w:szCs w:val="32"/>
          <w:lang w:val="zh-CN"/>
        </w:rPr>
        <w:t>　</w:t>
      </w:r>
      <w:r>
        <w:rPr>
          <w:rFonts w:ascii="楷体_GB2312" w:eastAsia="楷体_GB2312" w:cs="楷体_GB2312" w:hint="eastAsia"/>
          <w:b/>
          <w:bCs/>
          <w:sz w:val="32"/>
          <w:szCs w:val="32"/>
          <w:lang w:val="zh-CN"/>
        </w:rPr>
        <w:t>（一）部门财政资金收入情况</w:t>
      </w:r>
    </w:p>
    <w:p>
      <w:pPr>
        <w:pageBreakBefore w:val="0"/>
        <w:widowControl w:val="0"/>
        <w:kinsoku/>
        <w:wordWrap/>
        <w:overflowPunct/>
        <w:topLinePunct w:val="0"/>
        <w:autoSpaceDE/>
        <w:autoSpaceDN/>
        <w:bidi w:val="0"/>
        <w:spacing w:line="52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年度当年收入</w:t>
      </w:r>
      <w:r>
        <w:rPr>
          <w:rFonts w:ascii="仿宋_GB2312" w:eastAsia="仿宋_GB2312" w:cs="仿宋" w:hint="eastAsia"/>
          <w:color w:val="000000"/>
          <w:kern w:val="0"/>
          <w:sz w:val="32"/>
          <w:szCs w:val="32"/>
          <w:lang w:val="en-US" w:eastAsia="zh-CN"/>
        </w:rPr>
        <w:t>2216.19</w:t>
      </w:r>
      <w:r>
        <w:rPr>
          <w:rFonts w:ascii="仿宋_GB2312" w:eastAsia="仿宋_GB2312" w:cs="仿宋" w:hint="eastAsia"/>
          <w:color w:val="000000"/>
          <w:kern w:val="0"/>
          <w:sz w:val="32"/>
          <w:szCs w:val="32"/>
        </w:rPr>
        <w:t>万元，年初财政拨款结转</w:t>
      </w:r>
      <w:r>
        <w:rPr>
          <w:rFonts w:ascii="仿宋_GB2312" w:eastAsia="仿宋_GB2312" w:cs="仿宋" w:hint="eastAsia"/>
          <w:color w:val="000000"/>
          <w:kern w:val="0"/>
          <w:sz w:val="32"/>
          <w:szCs w:val="32"/>
          <w:lang w:val="en-US" w:eastAsia="zh-CN"/>
        </w:rPr>
        <w:t>0</w:t>
      </w:r>
      <w:r>
        <w:rPr>
          <w:rFonts w:ascii="仿宋_GB2312" w:eastAsia="仿宋_GB2312" w:cs="仿宋" w:hint="eastAsia"/>
          <w:color w:val="000000"/>
          <w:kern w:val="0"/>
          <w:sz w:val="32"/>
          <w:szCs w:val="32"/>
        </w:rPr>
        <w:t>万元，共计</w:t>
      </w:r>
      <w:r>
        <w:rPr>
          <w:rFonts w:ascii="仿宋_GB2312" w:eastAsia="仿宋_GB2312" w:cs="仿宋" w:hint="eastAsia"/>
          <w:color w:val="000000"/>
          <w:kern w:val="0"/>
          <w:sz w:val="32"/>
          <w:szCs w:val="32"/>
          <w:lang w:val="en-US" w:eastAsia="zh-CN"/>
        </w:rPr>
        <w:t>2216.19</w:t>
      </w:r>
      <w:r>
        <w:rPr>
          <w:rFonts w:ascii="仿宋_GB2312" w:eastAsia="仿宋_GB2312" w:cs="仿宋" w:hint="eastAsia"/>
          <w:color w:val="000000"/>
          <w:kern w:val="0"/>
          <w:sz w:val="32"/>
          <w:szCs w:val="32"/>
        </w:rPr>
        <w:t>万元。</w:t>
      </w:r>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b/>
          <w:bCs/>
          <w:color w:val="000000"/>
          <w:kern w:val="0"/>
          <w:sz w:val="32"/>
          <w:szCs w:val="32"/>
          <w:lang w:val="zh-CN"/>
        </w:rPr>
      </w:pPr>
      <w:r>
        <w:rPr>
          <w:rFonts w:ascii="仿宋" w:eastAsia="仿宋" w:cs="仿宋" w:hint="eastAsia"/>
          <w:b/>
          <w:bCs/>
          <w:color w:val="000000"/>
          <w:kern w:val="0"/>
          <w:sz w:val="32"/>
          <w:szCs w:val="32"/>
          <w:lang w:val="zh-CN"/>
        </w:rPr>
        <w:t>　　</w:t>
      </w:r>
      <w:r>
        <w:rPr>
          <w:rFonts w:ascii="楷体_GB2312" w:eastAsia="楷体_GB2312" w:cs="楷体_GB2312" w:hint="eastAsia"/>
          <w:b/>
          <w:bCs/>
          <w:sz w:val="32"/>
          <w:szCs w:val="32"/>
          <w:lang w:val="zh-CN"/>
        </w:rPr>
        <w:t>（二）部门财政资金支出情况</w:t>
      </w:r>
    </w:p>
    <w:p>
      <w:pPr>
        <w:pageBreakBefore w:val="0"/>
        <w:widowControl w:val="0"/>
        <w:kinsoku/>
        <w:wordWrap/>
        <w:overflowPunct/>
        <w:topLinePunct w:val="0"/>
        <w:autoSpaceDE/>
        <w:autoSpaceDN/>
        <w:bidi w:val="0"/>
        <w:spacing w:line="520" w:lineRule="exact"/>
        <w:textAlignment w:val="auto"/>
        <w:rPr>
          <w:rFonts w:ascii="仿宋_GB2312" w:eastAsia="仿宋_GB2312" w:cs="仿宋"/>
          <w:color w:val="000000"/>
          <w:kern w:val="0"/>
          <w:sz w:val="32"/>
          <w:szCs w:val="32"/>
        </w:rPr>
      </w:pPr>
      <w:r>
        <w:rPr>
          <w:rFonts w:ascii="仿宋" w:eastAsia="仿宋" w:cs="仿宋" w:hint="eastAsia"/>
          <w:color w:val="000000"/>
          <w:kern w:val="0"/>
          <w:sz w:val="32"/>
          <w:szCs w:val="32"/>
          <w:shd w:val="clear" w:color="auto" w:fill="FFFFFF"/>
        </w:rPr>
        <w:t>　　</w:t>
      </w:r>
      <w:r>
        <w:rPr>
          <w:rFonts w:ascii="仿宋_GB2312" w:eastAsia="仿宋_GB2312" w:cs="仿宋"/>
          <w:color w:val="000000"/>
          <w:kern w:val="0"/>
          <w:sz w:val="32"/>
          <w:szCs w:val="32"/>
        </w:rPr>
        <w:t xml:space="preserve"> </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年度财政资金支出</w:t>
      </w:r>
      <w:r>
        <w:rPr>
          <w:rFonts w:ascii="仿宋_GB2312" w:eastAsia="仿宋_GB2312" w:cs="仿宋" w:hint="eastAsia"/>
          <w:color w:val="000000"/>
          <w:kern w:val="0"/>
          <w:sz w:val="32"/>
          <w:szCs w:val="32"/>
          <w:lang w:val="en-US" w:eastAsia="zh-CN"/>
        </w:rPr>
        <w:t>2216.19</w:t>
      </w:r>
      <w:r>
        <w:rPr>
          <w:rFonts w:ascii="仿宋_GB2312" w:eastAsia="仿宋_GB2312" w:cs="仿宋" w:hint="eastAsia"/>
          <w:color w:val="000000"/>
          <w:kern w:val="0"/>
          <w:sz w:val="32"/>
          <w:szCs w:val="32"/>
        </w:rPr>
        <w:t>万元，其中人员经费</w:t>
      </w:r>
      <w:r>
        <w:rPr>
          <w:rFonts w:ascii="仿宋_GB2312" w:eastAsia="仿宋_GB2312" w:cs="仿宋" w:hint="eastAsia"/>
          <w:color w:val="000000"/>
          <w:kern w:val="0"/>
          <w:sz w:val="32"/>
          <w:szCs w:val="32"/>
          <w:lang w:val="en-US" w:eastAsia="zh-CN"/>
        </w:rPr>
        <w:t>754.98</w:t>
      </w:r>
      <w:r>
        <w:rPr>
          <w:rFonts w:ascii="仿宋_GB2312" w:eastAsia="仿宋_GB2312" w:cs="仿宋" w:hint="eastAsia"/>
          <w:color w:val="000000"/>
          <w:kern w:val="0"/>
          <w:sz w:val="32"/>
          <w:szCs w:val="32"/>
        </w:rPr>
        <w:t>万元，日常公用经费</w:t>
      </w:r>
      <w:r>
        <w:rPr>
          <w:rFonts w:ascii="仿宋_GB2312" w:eastAsia="仿宋_GB2312" w:cs="仿宋" w:hint="eastAsia"/>
          <w:color w:val="000000"/>
          <w:kern w:val="0"/>
          <w:sz w:val="32"/>
          <w:szCs w:val="32"/>
          <w:lang w:val="en-US" w:eastAsia="zh-CN"/>
        </w:rPr>
        <w:t>28.79</w:t>
      </w:r>
      <w:r>
        <w:rPr>
          <w:rFonts w:ascii="仿宋_GB2312" w:eastAsia="仿宋_GB2312" w:cs="仿宋" w:hint="eastAsia"/>
          <w:color w:val="000000"/>
          <w:kern w:val="0"/>
          <w:sz w:val="32"/>
          <w:szCs w:val="32"/>
        </w:rPr>
        <w:t>万元，项目资金支出</w:t>
      </w:r>
      <w:r>
        <w:rPr>
          <w:rFonts w:ascii="仿宋_GB2312" w:eastAsia="仿宋_GB2312" w:cs="仿宋" w:hint="eastAsia"/>
          <w:color w:val="000000"/>
          <w:kern w:val="0"/>
          <w:sz w:val="32"/>
          <w:szCs w:val="32"/>
          <w:lang w:val="en-US" w:eastAsia="zh-CN"/>
        </w:rPr>
        <w:t>1432.42</w:t>
      </w:r>
      <w:r>
        <w:rPr>
          <w:rFonts w:ascii="仿宋_GB2312" w:eastAsia="仿宋_GB2312" w:cs="仿宋" w:hint="eastAsia"/>
          <w:color w:val="000000"/>
          <w:kern w:val="0"/>
          <w:sz w:val="32"/>
          <w:szCs w:val="32"/>
        </w:rPr>
        <w:t>万元。　　</w:t>
      </w:r>
    </w:p>
    <w:p>
      <w:pPr>
        <w:pageBreakBefore w:val="0"/>
        <w:widowControl/>
        <w:numPr>
          <w:ilvl w:val="0"/>
          <w:numId w:val="5"/>
        </w:numPr>
        <w:kinsoku/>
        <w:wordWrap/>
        <w:overflowPunct/>
        <w:topLinePunct w:val="0"/>
        <w:autoSpaceDE/>
        <w:autoSpaceDN/>
        <w:bidi w:val="0"/>
        <w:adjustRightInd w:val="0"/>
        <w:snapToGrid w:val="0"/>
        <w:spacing w:line="520" w:lineRule="exact"/>
        <w:ind w:left="640" w:firstLine="0"/>
        <w:textAlignment w:val="auto"/>
        <w:rPr>
          <w:rFonts w:ascii="仿宋" w:eastAsia="仿宋" w:cs="仿宋"/>
          <w:b/>
          <w:bCs/>
          <w:color w:val="000000"/>
          <w:kern w:val="0"/>
          <w:sz w:val="32"/>
          <w:szCs w:val="32"/>
        </w:rPr>
      </w:pPr>
      <w:bookmarkStart w:id="80" w:name="_Toc14466"/>
      <w:r>
        <w:rPr>
          <w:rStyle w:val="2Char"/>
          <w:rFonts w:ascii="黑体" w:eastAsia="黑体" w:hint="eastAsia"/>
          <w:b w:val="0"/>
        </w:rPr>
        <w:t>部门财政支出管理情况</w:t>
      </w:r>
      <w:bookmarkEnd w:id="80"/>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楷体_GB2312" w:eastAsia="楷体_GB2312" w:cs="楷体_GB2312"/>
          <w:b/>
          <w:bCs/>
          <w:sz w:val="32"/>
          <w:szCs w:val="32"/>
          <w:lang w:val="zh-CN"/>
        </w:rPr>
      </w:pPr>
      <w:r>
        <w:rPr>
          <w:rFonts w:ascii="楷体_GB2312" w:eastAsia="楷体_GB2312" w:cs="楷体_GB2312" w:hint="eastAsia"/>
          <w:b/>
          <w:bCs/>
          <w:sz w:val="32"/>
          <w:szCs w:val="32"/>
          <w:lang w:val="zh-CN"/>
        </w:rPr>
        <w:t>（一）预算编制情况</w:t>
      </w:r>
    </w:p>
    <w:p>
      <w:pPr>
        <w:pageBreakBefore w:val="0"/>
        <w:widowControl/>
        <w:kinsoku/>
        <w:wordWrap/>
        <w:overflowPunct/>
        <w:topLinePunct w:val="0"/>
        <w:autoSpaceDE/>
        <w:autoSpaceDN/>
        <w:bidi w:val="0"/>
        <w:adjustRightInd w:val="0"/>
        <w:snapToGrid w:val="0"/>
        <w:spacing w:line="520" w:lineRule="exact"/>
        <w:ind w:firstLine="720"/>
        <w:textAlignment w:val="auto"/>
        <w:rPr>
          <w:rFonts w:ascii="仿宋" w:eastAsia="仿宋" w:cs="仿宋"/>
          <w:color w:val="333333"/>
          <w:sz w:val="32"/>
          <w:szCs w:val="32"/>
          <w:shd w:val="clear" w:color="auto" w:fill="FFFFFF"/>
        </w:rPr>
      </w:pP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年预算编制严格按照县级部门预算编制通知和有关要求，遵守国家编制的原则，按时完成</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年预算编制工作，并按时提交部门预算报告，预算编制全面、科学。</w:t>
      </w:r>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b/>
          <w:bCs/>
          <w:color w:val="000000"/>
          <w:kern w:val="0"/>
          <w:sz w:val="32"/>
          <w:szCs w:val="32"/>
          <w:lang w:val="zh-CN"/>
        </w:rPr>
      </w:pPr>
      <w:r>
        <w:rPr>
          <w:rFonts w:ascii="仿宋" w:eastAsia="仿宋" w:cs="仿宋" w:hint="eastAsia"/>
          <w:color w:val="000000"/>
          <w:kern w:val="0"/>
          <w:sz w:val="32"/>
          <w:szCs w:val="32"/>
          <w:lang w:val="zh-CN"/>
        </w:rPr>
        <w:t>　　</w:t>
      </w:r>
      <w:r>
        <w:rPr>
          <w:rFonts w:ascii="楷体_GB2312" w:eastAsia="楷体_GB2312" w:cs="楷体_GB2312" w:hint="eastAsia"/>
          <w:b/>
          <w:bCs/>
          <w:sz w:val="32"/>
          <w:szCs w:val="32"/>
          <w:lang w:val="zh-CN"/>
        </w:rPr>
        <w:t>（二）执行管理情况</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rPr>
      </w:pPr>
      <w:r>
        <w:rPr>
          <w:rFonts w:ascii="仿宋" w:eastAsia="仿宋" w:cs="仿宋" w:hint="eastAsia"/>
          <w:color w:val="333333"/>
          <w:sz w:val="32"/>
          <w:szCs w:val="32"/>
        </w:rPr>
        <w:t>　　</w:t>
      </w:r>
      <w:r>
        <w:rPr>
          <w:rFonts w:ascii="仿宋" w:eastAsia="仿宋" w:cs="仿宋"/>
          <w:color w:val="333333"/>
          <w:sz w:val="32"/>
          <w:szCs w:val="32"/>
        </w:rPr>
        <w:t xml:space="preserve"> </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年预算编制严格按照县级部门预算编制通知和有关要求，遵守国家编制的原则，按时完成</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年预算编制工作，并按时提交部门预算报告，预算编制全面、科学。中央转移支付资金按时到位，我单位按计划进行资金使用。</w:t>
      </w:r>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b/>
          <w:bCs/>
          <w:color w:val="000000"/>
          <w:kern w:val="0"/>
          <w:sz w:val="32"/>
          <w:szCs w:val="32"/>
          <w:shd w:val="clear" w:color="auto" w:fill="FFFFFF"/>
        </w:rPr>
      </w:pPr>
      <w:r>
        <w:rPr>
          <w:rFonts w:ascii="仿宋" w:eastAsia="仿宋" w:cs="仿宋" w:hint="eastAsia"/>
          <w:b/>
          <w:bCs/>
          <w:color w:val="000000"/>
          <w:kern w:val="0"/>
          <w:sz w:val="32"/>
          <w:szCs w:val="32"/>
          <w:shd w:val="clear" w:color="auto" w:fill="FFFFFF"/>
        </w:rPr>
        <w:t>　　</w:t>
      </w:r>
      <w:r>
        <w:rPr>
          <w:rFonts w:ascii="仿宋_GB2312" w:eastAsia="仿宋_GB2312" w:cs="仿宋"/>
          <w:b/>
          <w:bCs/>
          <w:color w:val="000000"/>
          <w:kern w:val="0"/>
          <w:sz w:val="32"/>
          <w:szCs w:val="32"/>
        </w:rPr>
        <w:t>1.</w:t>
      </w:r>
      <w:r>
        <w:rPr>
          <w:rFonts w:ascii="仿宋_GB2312" w:eastAsia="仿宋_GB2312" w:cs="仿宋" w:hint="eastAsia"/>
          <w:b/>
          <w:bCs/>
          <w:color w:val="000000"/>
          <w:kern w:val="0"/>
          <w:sz w:val="32"/>
          <w:szCs w:val="32"/>
        </w:rPr>
        <w:t>事业运转保障</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rPr>
      </w:pPr>
      <w:r>
        <w:rPr>
          <w:rFonts w:ascii="仿宋" w:eastAsia="仿宋" w:cs="仿宋"/>
          <w:color w:val="333333"/>
          <w:sz w:val="32"/>
          <w:szCs w:val="32"/>
          <w:shd w:val="clear" w:color="auto" w:fill="FFFFFF"/>
        </w:rPr>
        <w:t xml:space="preserve">    </w:t>
      </w:r>
      <w:r>
        <w:rPr>
          <w:rFonts w:ascii="仿宋_GB2312" w:eastAsia="仿宋_GB2312" w:cs="仿宋" w:hint="eastAsia"/>
          <w:color w:val="000000"/>
          <w:kern w:val="0"/>
          <w:sz w:val="32"/>
          <w:szCs w:val="32"/>
        </w:rPr>
        <w:t>财政拨款安排支出主要用于保障单位正常运转、完成日常工作任务、处置突发事件等工作。</w:t>
      </w:r>
      <w:r>
        <w:rPr>
          <w:rFonts w:ascii="仿宋_GB2312" w:eastAsia="仿宋_GB2312" w:cs="仿宋"/>
          <w:color w:val="000000"/>
          <w:kern w:val="0"/>
          <w:sz w:val="32"/>
          <w:szCs w:val="32"/>
        </w:rPr>
        <w:t xml:space="preserve"> </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rPr>
      </w:pPr>
      <w:r>
        <w:rPr>
          <w:rFonts w:ascii="仿宋_GB2312" w:eastAsia="仿宋_GB2312" w:cs="仿宋"/>
          <w:color w:val="000000"/>
          <w:kern w:val="0"/>
          <w:sz w:val="32"/>
          <w:szCs w:val="32"/>
        </w:rPr>
        <w:t xml:space="preserve">    </w:t>
      </w:r>
      <w:r>
        <w:rPr>
          <w:rFonts w:ascii="仿宋_GB2312" w:eastAsia="仿宋_GB2312" w:cs="仿宋" w:hint="eastAsia"/>
          <w:color w:val="000000"/>
          <w:kern w:val="0"/>
          <w:sz w:val="32"/>
          <w:szCs w:val="32"/>
        </w:rPr>
        <w:t>基本支出用于保障单位正常运转的日常支出，包括基本工资、津贴补贴等人员经费以及办公费、印刷费、水电费、公务用</w:t>
      </w:r>
      <w:r>
        <w:rPr>
          <w:rFonts w:ascii="仿宋_GB2312" w:eastAsia="仿宋_GB2312" w:cs="仿宋" w:hint="eastAsia"/>
          <w:color w:val="000000"/>
          <w:kern w:val="0"/>
          <w:sz w:val="32"/>
          <w:szCs w:val="32"/>
          <w:lang w:eastAsia="zh-CN"/>
        </w:rPr>
        <w:t>车</w:t>
      </w:r>
      <w:r>
        <w:rPr>
          <w:rFonts w:ascii="仿宋_GB2312" w:eastAsia="仿宋_GB2312" w:cs="仿宋" w:hint="eastAsia"/>
          <w:color w:val="000000"/>
          <w:kern w:val="0"/>
          <w:sz w:val="32"/>
          <w:szCs w:val="32"/>
        </w:rPr>
        <w:t>运行费等日常公用经费。</w:t>
      </w:r>
      <w:r>
        <w:rPr>
          <w:rFonts w:ascii="仿宋_GB2312" w:eastAsia="仿宋_GB2312" w:cs="仿宋"/>
          <w:color w:val="000000"/>
          <w:kern w:val="0"/>
          <w:sz w:val="32"/>
          <w:szCs w:val="32"/>
        </w:rPr>
        <w:t xml:space="preserve"> </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项目支出，用于保障单位各项项目支出，做到专款专用。</w:t>
      </w:r>
      <w:r>
        <w:rPr>
          <w:rFonts w:ascii="仿宋_GB2312" w:eastAsia="仿宋_GB2312" w:cs="仿宋"/>
          <w:color w:val="000000"/>
          <w:kern w:val="0"/>
          <w:sz w:val="32"/>
          <w:szCs w:val="32"/>
        </w:rPr>
        <w:t xml:space="preserve"> </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b/>
          <w:bCs/>
          <w:color w:val="000000"/>
          <w:kern w:val="0"/>
          <w:sz w:val="32"/>
          <w:szCs w:val="32"/>
        </w:rPr>
      </w:pPr>
      <w:r>
        <w:rPr>
          <w:rFonts w:ascii="仿宋" w:eastAsia="仿宋" w:cs="仿宋"/>
          <w:color w:val="333333"/>
          <w:sz w:val="32"/>
          <w:szCs w:val="32"/>
        </w:rPr>
        <w:t xml:space="preserve"> </w:t>
      </w:r>
      <w:r>
        <w:rPr>
          <w:rFonts w:ascii="仿宋_GB2312" w:eastAsia="仿宋_GB2312" w:cs="仿宋"/>
          <w:b/>
          <w:bCs/>
          <w:color w:val="000000"/>
          <w:kern w:val="0"/>
          <w:sz w:val="32"/>
          <w:szCs w:val="32"/>
        </w:rPr>
        <w:t>2.</w:t>
      </w:r>
      <w:r>
        <w:rPr>
          <w:rFonts w:ascii="仿宋_GB2312" w:eastAsia="仿宋_GB2312" w:cs="仿宋" w:hint="eastAsia"/>
          <w:b/>
          <w:bCs/>
          <w:color w:val="000000"/>
          <w:kern w:val="0"/>
          <w:sz w:val="32"/>
          <w:szCs w:val="32"/>
        </w:rPr>
        <w:t>单位厉行节约</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我单位认真贯彻落实</w:t>
      </w:r>
      <w:r>
        <w:rPr>
          <w:rFonts w:ascii="仿宋_GB2312" w:eastAsia="仿宋_GB2312" w:cs="仿宋" w:hint="eastAsia"/>
          <w:color w:val="000000"/>
          <w:kern w:val="0"/>
          <w:sz w:val="32"/>
          <w:szCs w:val="32"/>
          <w:lang w:eastAsia="zh-CN"/>
        </w:rPr>
        <w:t>各级</w:t>
      </w:r>
      <w:r>
        <w:rPr>
          <w:rFonts w:ascii="仿宋_GB2312" w:eastAsia="仿宋_GB2312" w:cs="仿宋" w:hint="eastAsia"/>
          <w:color w:val="000000"/>
          <w:kern w:val="0"/>
          <w:sz w:val="32"/>
          <w:szCs w:val="32"/>
        </w:rPr>
        <w:t>相关规定，厉行节约，严格控制因公出国（境）费用、会议费、车辆购置及运行费用和公务接待经费。</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年因公出国（境）费用</w:t>
      </w:r>
      <w:r>
        <w:rPr>
          <w:rFonts w:ascii="仿宋_GB2312" w:eastAsia="仿宋_GB2312" w:cs="仿宋"/>
          <w:color w:val="000000"/>
          <w:kern w:val="0"/>
          <w:sz w:val="32"/>
          <w:szCs w:val="32"/>
        </w:rPr>
        <w:t>0</w:t>
      </w:r>
      <w:r>
        <w:rPr>
          <w:rFonts w:ascii="仿宋_GB2312" w:eastAsia="仿宋_GB2312" w:cs="仿宋" w:hint="eastAsia"/>
          <w:color w:val="000000"/>
          <w:kern w:val="0"/>
          <w:sz w:val="32"/>
          <w:szCs w:val="32"/>
        </w:rPr>
        <w:t>元、会议费</w:t>
      </w:r>
      <w:r>
        <w:rPr>
          <w:rFonts w:ascii="仿宋_GB2312" w:eastAsia="仿宋_GB2312" w:cs="仿宋"/>
          <w:color w:val="000000"/>
          <w:kern w:val="0"/>
          <w:sz w:val="32"/>
          <w:szCs w:val="32"/>
        </w:rPr>
        <w:t>0</w:t>
      </w:r>
      <w:r>
        <w:rPr>
          <w:rFonts w:ascii="仿宋_GB2312" w:eastAsia="仿宋_GB2312" w:cs="仿宋" w:hint="eastAsia"/>
          <w:color w:val="000000"/>
          <w:kern w:val="0"/>
          <w:sz w:val="32"/>
          <w:szCs w:val="32"/>
        </w:rPr>
        <w:t>元、车辆购置</w:t>
      </w:r>
      <w:r>
        <w:rPr>
          <w:rFonts w:ascii="仿宋_GB2312" w:eastAsia="仿宋_GB2312" w:cs="仿宋"/>
          <w:color w:val="000000"/>
          <w:kern w:val="0"/>
          <w:sz w:val="32"/>
          <w:szCs w:val="32"/>
        </w:rPr>
        <w:t>0</w:t>
      </w:r>
      <w:r>
        <w:rPr>
          <w:rFonts w:ascii="仿宋_GB2312" w:eastAsia="仿宋_GB2312" w:cs="仿宋" w:hint="eastAsia"/>
          <w:color w:val="000000"/>
          <w:kern w:val="0"/>
          <w:sz w:val="32"/>
          <w:szCs w:val="32"/>
        </w:rPr>
        <w:t>元，公务用车运行费用实际支出</w:t>
      </w:r>
      <w:r>
        <w:rPr>
          <w:rFonts w:ascii="仿宋_GB2312" w:eastAsia="仿宋_GB2312" w:cs="仿宋" w:hint="eastAsia"/>
          <w:color w:val="000000"/>
          <w:kern w:val="0"/>
          <w:sz w:val="32"/>
          <w:szCs w:val="32"/>
          <w:lang w:val="en-US" w:eastAsia="zh-CN"/>
        </w:rPr>
        <w:t>1.8</w:t>
      </w:r>
      <w:r>
        <w:rPr>
          <w:rFonts w:ascii="仿宋_GB2312" w:eastAsia="仿宋_GB2312" w:cs="仿宋" w:hint="eastAsia"/>
          <w:color w:val="000000"/>
          <w:kern w:val="0"/>
          <w:sz w:val="32"/>
          <w:szCs w:val="32"/>
        </w:rPr>
        <w:t>万元、公务接待费实际支出</w:t>
      </w:r>
      <w:r>
        <w:rPr>
          <w:rFonts w:ascii="仿宋_GB2312" w:eastAsia="仿宋_GB2312" w:cs="仿宋"/>
          <w:color w:val="000000"/>
          <w:kern w:val="0"/>
          <w:sz w:val="32"/>
          <w:szCs w:val="32"/>
        </w:rPr>
        <w:t>0</w:t>
      </w:r>
      <w:r>
        <w:rPr>
          <w:rFonts w:ascii="仿宋_GB2312" w:eastAsia="仿宋_GB2312" w:cs="仿宋" w:hint="eastAsia"/>
          <w:color w:val="000000"/>
          <w:kern w:val="0"/>
          <w:sz w:val="32"/>
          <w:szCs w:val="32"/>
        </w:rPr>
        <w:t>万元。</w:t>
      </w:r>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b/>
          <w:bCs/>
          <w:color w:val="000000"/>
          <w:kern w:val="0"/>
          <w:sz w:val="32"/>
          <w:szCs w:val="32"/>
          <w:shd w:val="clear" w:color="auto" w:fill="FFFFFF"/>
        </w:rPr>
      </w:pPr>
      <w:r>
        <w:rPr>
          <w:rFonts w:ascii="仿宋" w:eastAsia="仿宋" w:cs="仿宋" w:hint="eastAsia"/>
          <w:color w:val="000000"/>
          <w:kern w:val="0"/>
          <w:sz w:val="32"/>
          <w:szCs w:val="32"/>
          <w:shd w:val="clear" w:color="auto" w:fill="FFFFFF"/>
        </w:rPr>
        <w:t>　</w:t>
      </w:r>
      <w:r>
        <w:rPr>
          <w:rFonts w:ascii="仿宋_GB2312" w:eastAsia="仿宋_GB2312" w:cs="仿宋" w:hint="eastAsia"/>
          <w:b/>
          <w:bCs/>
          <w:color w:val="000000"/>
          <w:kern w:val="0"/>
          <w:sz w:val="32"/>
          <w:szCs w:val="32"/>
        </w:rPr>
        <w:t>　</w:t>
      </w:r>
      <w:r>
        <w:rPr>
          <w:rFonts w:ascii="仿宋_GB2312" w:eastAsia="仿宋_GB2312" w:cs="仿宋"/>
          <w:b/>
          <w:bCs/>
          <w:color w:val="000000"/>
          <w:kern w:val="0"/>
          <w:sz w:val="32"/>
          <w:szCs w:val="32"/>
        </w:rPr>
        <w:t>3.</w:t>
      </w:r>
      <w:r>
        <w:rPr>
          <w:rFonts w:ascii="仿宋_GB2312" w:eastAsia="仿宋_GB2312" w:cs="仿宋" w:hint="eastAsia"/>
          <w:b/>
          <w:bCs/>
          <w:color w:val="000000"/>
          <w:kern w:val="0"/>
          <w:sz w:val="32"/>
          <w:szCs w:val="32"/>
        </w:rPr>
        <w:t>单位节能降耗</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rPr>
        <w:t>严格控制办公用电，</w:t>
      </w:r>
      <w:r>
        <w:rPr>
          <w:rFonts w:ascii="仿宋_GB2312" w:eastAsia="仿宋_GB2312" w:cs="仿宋" w:hint="eastAsia"/>
          <w:color w:val="000000"/>
          <w:kern w:val="0"/>
          <w:sz w:val="32"/>
          <w:szCs w:val="32"/>
          <w:lang w:eastAsia="zh-CN"/>
        </w:rPr>
        <w:t>2024</w:t>
      </w:r>
      <w:r>
        <w:rPr>
          <w:rFonts w:ascii="仿宋_GB2312" w:eastAsia="仿宋_GB2312" w:cs="仿宋" w:hint="eastAsia"/>
          <w:color w:val="000000"/>
          <w:kern w:val="0"/>
          <w:sz w:val="32"/>
          <w:szCs w:val="32"/>
        </w:rPr>
        <w:t>年度电费预算数为</w:t>
      </w:r>
      <w:r>
        <w:rPr>
          <w:rFonts w:ascii="仿宋_GB2312" w:eastAsia="仿宋_GB2312" w:cs="仿宋" w:hint="eastAsia"/>
          <w:color w:val="000000"/>
          <w:kern w:val="0"/>
          <w:sz w:val="32"/>
          <w:szCs w:val="32"/>
          <w:lang w:val="en-US" w:eastAsia="zh-CN"/>
        </w:rPr>
        <w:t>1.5万</w:t>
      </w:r>
      <w:r>
        <w:rPr>
          <w:rFonts w:ascii="仿宋_GB2312" w:eastAsia="仿宋_GB2312" w:cs="仿宋" w:hint="eastAsia"/>
          <w:color w:val="000000"/>
          <w:kern w:val="0"/>
          <w:sz w:val="32"/>
          <w:szCs w:val="32"/>
        </w:rPr>
        <w:t>元，实际支出</w:t>
      </w:r>
      <w:r>
        <w:rPr>
          <w:rFonts w:ascii="仿宋_GB2312" w:eastAsia="仿宋_GB2312" w:cs="仿宋" w:hint="eastAsia"/>
          <w:color w:val="000000"/>
          <w:kern w:val="0"/>
          <w:sz w:val="32"/>
          <w:szCs w:val="32"/>
          <w:lang w:val="en-US" w:eastAsia="zh-CN"/>
        </w:rPr>
        <w:t>1.5万</w:t>
      </w:r>
      <w:r>
        <w:rPr>
          <w:rFonts w:ascii="仿宋_GB2312" w:eastAsia="仿宋_GB2312" w:cs="仿宋" w:hint="eastAsia"/>
          <w:color w:val="000000"/>
          <w:kern w:val="0"/>
          <w:sz w:val="32"/>
          <w:szCs w:val="32"/>
        </w:rPr>
        <w:t>元。</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楷体_GB2312" w:eastAsia="楷体_GB2312" w:cs="楷体_GB2312"/>
          <w:b/>
          <w:bCs/>
          <w:sz w:val="32"/>
          <w:szCs w:val="32"/>
          <w:lang w:val="zh-CN"/>
        </w:rPr>
      </w:pPr>
      <w:r>
        <w:rPr>
          <w:rFonts w:ascii="楷体_GB2312" w:eastAsia="楷体_GB2312" w:cs="楷体_GB2312" w:hint="eastAsia"/>
          <w:b/>
          <w:bCs/>
          <w:sz w:val="32"/>
          <w:szCs w:val="32"/>
          <w:lang w:val="zh-CN"/>
        </w:rPr>
        <w:t>（三）综合管理情况</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rPr>
      </w:pPr>
      <w:r>
        <w:rPr>
          <w:rFonts w:ascii="仿宋" w:eastAsia="仿宋" w:cs="仿宋"/>
          <w:color w:val="333333"/>
          <w:sz w:val="32"/>
          <w:szCs w:val="32"/>
          <w:shd w:val="clear" w:color="auto" w:fill="FFFFFF"/>
        </w:rPr>
        <w:t xml:space="preserve"> </w:t>
      </w:r>
      <w:r>
        <w:rPr>
          <w:rFonts w:ascii="仿宋" w:eastAsia="仿宋" w:cs="仿宋" w:hint="eastAsia"/>
          <w:color w:val="333333"/>
          <w:sz w:val="32"/>
          <w:szCs w:val="32"/>
          <w:shd w:val="clear" w:color="auto" w:fill="FFFFFF"/>
        </w:rPr>
        <w:t>　</w:t>
      </w:r>
      <w:r>
        <w:rPr>
          <w:rFonts w:ascii="仿宋" w:eastAsia="仿宋" w:cs="仿宋"/>
          <w:color w:val="333333"/>
          <w:sz w:val="32"/>
          <w:szCs w:val="32"/>
          <w:shd w:val="clear" w:color="auto" w:fill="FFFFFF"/>
        </w:rPr>
        <w:t xml:space="preserve"> </w:t>
      </w:r>
      <w:r>
        <w:rPr>
          <w:rFonts w:ascii="仿宋_GB2312" w:eastAsia="仿宋_GB2312" w:cs="仿宋" w:hint="eastAsia"/>
          <w:color w:val="000000"/>
          <w:kern w:val="0"/>
          <w:sz w:val="32"/>
          <w:szCs w:val="32"/>
        </w:rPr>
        <w:t>我单位财务管理制度健全，执行制度严格合规，会计核算符合相关规定，资金专款专用，资金支付依据和开支标准合法合规，严格执行政府采购。依法接受财政监督管理。</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楷体_GB2312" w:eastAsia="楷体_GB2312" w:cs="楷体_GB2312"/>
          <w:b/>
          <w:bCs/>
          <w:sz w:val="32"/>
          <w:szCs w:val="32"/>
          <w:lang w:val="zh-CN"/>
        </w:rPr>
      </w:pPr>
      <w:r>
        <w:rPr>
          <w:rFonts w:ascii="楷体_GB2312" w:eastAsia="楷体_GB2312" w:cs="楷体_GB2312" w:hint="eastAsia"/>
          <w:b/>
          <w:bCs/>
          <w:sz w:val="32"/>
          <w:szCs w:val="32"/>
          <w:lang w:val="zh-CN"/>
        </w:rPr>
        <w:t>（四）整体绩效</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lang w:val="zh-CN"/>
        </w:rPr>
      </w:pPr>
      <w:r>
        <w:rPr>
          <w:rFonts w:ascii="仿宋_GB2312" w:eastAsia="仿宋_GB2312" w:cs="仿宋"/>
          <w:color w:val="000000"/>
          <w:kern w:val="0"/>
          <w:sz w:val="32"/>
          <w:szCs w:val="32"/>
        </w:rPr>
        <w:t>1.</w:t>
      </w:r>
      <w:r>
        <w:rPr>
          <w:rFonts w:ascii="仿宋_GB2312" w:eastAsia="仿宋_GB2312" w:cs="仿宋" w:hint="eastAsia"/>
          <w:color w:val="000000"/>
          <w:kern w:val="0"/>
          <w:sz w:val="32"/>
          <w:szCs w:val="32"/>
        </w:rPr>
        <w:t>预算编制：</w:t>
      </w:r>
      <w:r>
        <w:rPr>
          <w:rFonts w:ascii="仿宋_GB2312" w:eastAsia="仿宋_GB2312" w:cs="仿宋" w:hint="eastAsia"/>
          <w:color w:val="000000"/>
          <w:kern w:val="0"/>
          <w:sz w:val="32"/>
          <w:szCs w:val="32"/>
          <w:lang w:val="zh-CN"/>
        </w:rPr>
        <w:t>我单位严格按照预算编制通知和有关要求，按时完成基础库、项目库报送工作；预算编制准确；根据对预算草案审查结果进行考核；部门整体绩效目标编制完整、合理；项目绩效目标编制明确、量化；按规定提前下达转移支付；按规定分地区分项目编制专项转移支付。</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lang w:val="zh-CN"/>
        </w:rPr>
      </w:pPr>
      <w:r>
        <w:rPr>
          <w:rFonts w:ascii="仿宋_GB2312" w:eastAsia="仿宋_GB2312" w:cs="仿宋"/>
          <w:color w:val="000000"/>
          <w:kern w:val="0"/>
          <w:sz w:val="32"/>
          <w:szCs w:val="32"/>
        </w:rPr>
        <w:t>2.</w:t>
      </w:r>
      <w:r>
        <w:rPr>
          <w:rFonts w:ascii="仿宋_GB2312" w:eastAsia="仿宋_GB2312" w:cs="仿宋" w:hint="eastAsia"/>
          <w:color w:val="000000"/>
          <w:kern w:val="0"/>
          <w:sz w:val="32"/>
          <w:szCs w:val="32"/>
        </w:rPr>
        <w:t>预算执行：</w:t>
      </w:r>
      <w:r>
        <w:rPr>
          <w:rFonts w:ascii="仿宋_GB2312" w:eastAsia="仿宋_GB2312" w:cs="仿宋" w:hint="eastAsia"/>
          <w:color w:val="000000"/>
          <w:kern w:val="0"/>
          <w:sz w:val="32"/>
          <w:szCs w:val="32"/>
          <w:lang w:val="zh-CN"/>
        </w:rPr>
        <w:t>按规定及时分配财力专项预算；按《中华人民共和国预算法》规定在一个月内分配上级专款；部门按要求严格预算执行管理；当期评估调整取消资金与结余注销资金之和为零；严格执行“三公”经费预算。</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lang w:val="zh-CN"/>
        </w:rPr>
      </w:pPr>
      <w:r>
        <w:rPr>
          <w:rFonts w:ascii="仿宋_GB2312" w:eastAsia="仿宋_GB2312" w:cs="仿宋"/>
          <w:color w:val="000000"/>
          <w:kern w:val="0"/>
          <w:sz w:val="32"/>
          <w:szCs w:val="32"/>
        </w:rPr>
        <w:t>3.</w:t>
      </w:r>
      <w:r>
        <w:rPr>
          <w:rFonts w:ascii="仿宋_GB2312" w:eastAsia="仿宋_GB2312" w:cs="仿宋" w:hint="eastAsia"/>
          <w:color w:val="000000"/>
          <w:kern w:val="0"/>
          <w:sz w:val="32"/>
          <w:szCs w:val="32"/>
        </w:rPr>
        <w:t>综合管理：</w:t>
      </w:r>
      <w:r>
        <w:rPr>
          <w:rFonts w:ascii="仿宋_GB2312" w:eastAsia="仿宋_GB2312" w:cs="仿宋" w:hint="eastAsia"/>
          <w:color w:val="000000"/>
          <w:kern w:val="0"/>
          <w:sz w:val="32"/>
          <w:szCs w:val="32"/>
          <w:lang w:val="zh-CN"/>
        </w:rPr>
        <w:t>按规定做好政府性债务还本付息工作；按照规定的项目、标准、征收非税收入，非税收入项目设立的权限和缓减免的依据，对非税收入进行缓减免；及时足额将非税收入缴入财政；实施计划与政府采购预算的一致；执行的实施计划与备案的实施计划的一致；将国有资产纳入资产信息系统管理情况；按要求及时、准确、全面开展资产清查工作情况；上报国有资产报表数据的真实、准确、全面；部门内部控制制度的设置合理和执行严格及时；在财政批复后二十日内向社会公开本部门预算（含所有财政资金安排的“三公”经费、机关运行经费的安排、使用情况等）；在财政部门批复后二十日内向社会公开本部门决算（含所有财政资金安排的“三公”经费、机关运行经费的安排、使用情况等）；公开部门整体支出绩效自评报告及其他按要求应公开的绩效信息；实施绩效评价项目资金全覆盖；对下级预算单位开展整体绩效评价；按要求向财政部门报告自评报告等相关绩效信息；按要求针对绩效评价发现的问题制定整改措施，并整改落实到位；根据相关自查自纠报告、报表报送时效和质量进行考核；根据检查组提供的工作底稿、检查报告等资料进行考核；根据相关整改报告、凭证依据等相关证明材料进行考核。</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lang w:val="zh-CN"/>
        </w:rPr>
      </w:pPr>
      <w:r>
        <w:rPr>
          <w:rFonts w:ascii="仿宋_GB2312" w:eastAsia="仿宋_GB2312" w:cs="仿宋"/>
          <w:color w:val="000000"/>
          <w:kern w:val="0"/>
          <w:sz w:val="32"/>
          <w:szCs w:val="32"/>
        </w:rPr>
        <w:t>4.</w:t>
      </w:r>
      <w:r>
        <w:rPr>
          <w:rFonts w:ascii="仿宋_GB2312" w:eastAsia="仿宋_GB2312" w:cs="仿宋" w:hint="eastAsia"/>
          <w:color w:val="000000"/>
          <w:kern w:val="0"/>
          <w:sz w:val="32"/>
          <w:szCs w:val="32"/>
        </w:rPr>
        <w:t>整体效益：</w:t>
      </w:r>
      <w:r>
        <w:rPr>
          <w:rFonts w:ascii="仿宋_GB2312" w:eastAsia="仿宋_GB2312" w:cs="仿宋" w:hint="eastAsia"/>
          <w:color w:val="000000"/>
          <w:kern w:val="0"/>
          <w:sz w:val="32"/>
          <w:szCs w:val="32"/>
          <w:lang w:val="zh-CN"/>
        </w:rPr>
        <w:t>实施重大项目的经济、社会效益；根据部门职能职责、政府安排的各项专项工作任务及其他年度重点工作任务等，汇总梳理形成能够量化衡量且全面反映部门职能工作完成情况的若干指标。</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rPr>
      </w:pPr>
      <w:r>
        <w:rPr>
          <w:rFonts w:ascii="仿宋_GB2312" w:eastAsia="仿宋_GB2312" w:cs="仿宋" w:hint="eastAsia"/>
          <w:color w:val="000000"/>
          <w:kern w:val="0"/>
          <w:sz w:val="32"/>
          <w:szCs w:val="32"/>
          <w:lang w:val="zh-CN"/>
        </w:rPr>
        <w:t>其职责严格履行其职务，有效提高了畜牧产品安全，受到人民群众高度评价，服务对象满意度高，绩效考核自查评分</w:t>
      </w:r>
      <w:r>
        <w:rPr>
          <w:rFonts w:ascii="仿宋_GB2312" w:eastAsia="仿宋_GB2312" w:cs="仿宋"/>
          <w:color w:val="000000"/>
          <w:kern w:val="0"/>
          <w:sz w:val="32"/>
          <w:szCs w:val="32"/>
        </w:rPr>
        <w:t>9</w:t>
      </w:r>
      <w:r>
        <w:rPr>
          <w:rFonts w:ascii="仿宋_GB2312" w:eastAsia="仿宋_GB2312" w:cs="仿宋" w:hint="eastAsia"/>
          <w:color w:val="000000"/>
          <w:kern w:val="0"/>
          <w:sz w:val="32"/>
          <w:szCs w:val="32"/>
          <w:lang w:val="en-US" w:eastAsia="zh-CN"/>
        </w:rPr>
        <w:t>3</w:t>
      </w:r>
      <w:r>
        <w:rPr>
          <w:rFonts w:ascii="仿宋_GB2312" w:eastAsia="仿宋_GB2312" w:cs="仿宋" w:hint="eastAsia"/>
          <w:color w:val="000000"/>
          <w:kern w:val="0"/>
          <w:sz w:val="32"/>
          <w:szCs w:val="32"/>
        </w:rPr>
        <w:t>分</w:t>
      </w:r>
      <w:r>
        <w:rPr>
          <w:rFonts w:ascii="仿宋_GB2312" w:eastAsia="仿宋_GB2312" w:cs="仿宋" w:hint="eastAsia"/>
          <w:color w:val="000000"/>
          <w:kern w:val="0"/>
          <w:sz w:val="32"/>
          <w:szCs w:val="32"/>
          <w:lang w:val="zh-CN"/>
        </w:rPr>
        <w:t>。</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Style w:val="2Char"/>
          <w:rFonts w:ascii="黑体" w:eastAsia="黑体"/>
          <w:b w:val="0"/>
        </w:rPr>
      </w:pPr>
      <w:bookmarkStart w:id="81" w:name="_Toc150"/>
      <w:r>
        <w:rPr>
          <w:rStyle w:val="2Char"/>
          <w:rFonts w:ascii="黑体" w:eastAsia="黑体" w:hint="eastAsia"/>
          <w:b w:val="0"/>
        </w:rPr>
        <w:t>四、评价结论及建议</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楷体_GB2312" w:eastAsia="楷体_GB2312" w:cs="楷体_GB2312"/>
          <w:b/>
          <w:bCs/>
          <w:sz w:val="32"/>
          <w:szCs w:val="32"/>
          <w:lang w:val="zh-CN"/>
        </w:rPr>
      </w:pPr>
      <w:bookmarkEnd w:id="81"/>
      <w:r>
        <w:rPr>
          <w:rFonts w:ascii="楷体_GB2312" w:eastAsia="楷体_GB2312" w:cs="楷体_GB2312" w:hint="eastAsia"/>
          <w:b/>
          <w:bCs/>
          <w:sz w:val="32"/>
          <w:szCs w:val="32"/>
          <w:lang w:val="zh-CN"/>
        </w:rPr>
        <w:t>（一）评价结论</w:t>
      </w:r>
    </w:p>
    <w:p>
      <w:pPr>
        <w:pageBreakBefore w:val="0"/>
        <w:widowControl/>
        <w:kinsoku/>
        <w:wordWrap/>
        <w:overflowPunct/>
        <w:topLinePunct w:val="0"/>
        <w:autoSpaceDE/>
        <w:autoSpaceDN/>
        <w:bidi w:val="0"/>
        <w:adjustRightInd w:val="0"/>
        <w:snapToGrid w:val="0"/>
        <w:spacing w:line="520" w:lineRule="exact"/>
        <w:ind w:firstLineChars="200" w:firstLine="640"/>
        <w:textAlignment w:val="auto"/>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lang w:val="zh-CN"/>
        </w:rPr>
        <w:t>我单位2024年部门支出与年初预算基本一致，达到预期绩效目标。其职责严格履行其职务，有效提高了畜牧产品安全，受到人民群众高度评价，服务对象满意度高，绩效考核自查评分</w:t>
      </w:r>
      <w:r>
        <w:rPr>
          <w:rFonts w:ascii="仿宋_GB2312" w:eastAsia="仿宋_GB2312" w:cs="仿宋" w:hint="eastAsia"/>
          <w:color w:val="000000"/>
          <w:kern w:val="0"/>
          <w:sz w:val="32"/>
          <w:szCs w:val="32"/>
          <w:lang w:val="en-US" w:eastAsia="zh-CN"/>
        </w:rPr>
        <w:t>95</w:t>
      </w:r>
      <w:r>
        <w:rPr>
          <w:rFonts w:ascii="仿宋_GB2312" w:eastAsia="仿宋_GB2312" w:cs="仿宋" w:hint="eastAsia"/>
          <w:color w:val="000000"/>
          <w:kern w:val="0"/>
          <w:sz w:val="32"/>
          <w:szCs w:val="32"/>
        </w:rPr>
        <w:t>分</w:t>
      </w:r>
      <w:r>
        <w:rPr>
          <w:rFonts w:ascii="仿宋_GB2312" w:eastAsia="仿宋_GB2312" w:cs="仿宋" w:hint="eastAsia"/>
          <w:color w:val="000000"/>
          <w:kern w:val="0"/>
          <w:sz w:val="32"/>
          <w:szCs w:val="32"/>
          <w:lang w:val="zh-CN"/>
        </w:rPr>
        <w:t>。</w:t>
      </w:r>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b/>
          <w:bCs/>
          <w:color w:val="000000"/>
          <w:kern w:val="0"/>
          <w:sz w:val="32"/>
          <w:szCs w:val="32"/>
          <w:lang w:val="zh-CN"/>
        </w:rPr>
      </w:pPr>
      <w:r>
        <w:rPr>
          <w:rFonts w:ascii="仿宋" w:eastAsia="仿宋" w:cs="仿宋" w:hint="eastAsia"/>
          <w:color w:val="000000"/>
          <w:kern w:val="0"/>
          <w:sz w:val="32"/>
          <w:szCs w:val="32"/>
          <w:lang w:val="zh-CN"/>
        </w:rPr>
        <w:t>　　</w:t>
      </w:r>
      <w:r>
        <w:rPr>
          <w:rFonts w:ascii="楷体_GB2312" w:eastAsia="楷体_GB2312" w:cs="楷体_GB2312" w:hint="eastAsia"/>
          <w:b/>
          <w:bCs/>
          <w:sz w:val="32"/>
          <w:szCs w:val="32"/>
          <w:lang w:val="zh-CN"/>
        </w:rPr>
        <w:t>（二）存在问题</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lang w:val="zh-CN"/>
        </w:rPr>
      </w:pPr>
      <w:r>
        <w:rPr>
          <w:rFonts w:ascii="仿宋" w:eastAsia="仿宋" w:cs="仿宋" w:hint="eastAsia"/>
          <w:color w:val="333333"/>
          <w:sz w:val="32"/>
          <w:szCs w:val="32"/>
          <w:shd w:val="clear" w:color="auto" w:fill="FFFFFF"/>
        </w:rPr>
        <w:t>　　</w:t>
      </w:r>
      <w:r>
        <w:rPr>
          <w:rFonts w:ascii="仿宋_GB2312" w:eastAsia="仿宋_GB2312" w:cs="仿宋" w:hint="eastAsia"/>
          <w:color w:val="000000"/>
          <w:kern w:val="0"/>
          <w:sz w:val="32"/>
          <w:szCs w:val="32"/>
          <w:lang w:val="zh-CN"/>
        </w:rPr>
        <w:t>预算编制内容还需进一步细化，科目还需要更全面。</w:t>
      </w:r>
    </w:p>
    <w:p>
      <w:pPr>
        <w:pageBreakBefore w:val="0"/>
        <w:widowControl/>
        <w:kinsoku/>
        <w:wordWrap/>
        <w:overflowPunct/>
        <w:topLinePunct w:val="0"/>
        <w:autoSpaceDE/>
        <w:autoSpaceDN/>
        <w:bidi w:val="0"/>
        <w:adjustRightInd w:val="0"/>
        <w:snapToGrid w:val="0"/>
        <w:spacing w:line="520" w:lineRule="exact"/>
        <w:textAlignment w:val="auto"/>
        <w:rPr>
          <w:rFonts w:ascii="仿宋" w:eastAsia="仿宋" w:cs="仿宋"/>
          <w:b/>
          <w:bCs/>
          <w:color w:val="000000"/>
          <w:kern w:val="0"/>
          <w:sz w:val="32"/>
          <w:szCs w:val="32"/>
          <w:lang w:val="zh-CN"/>
        </w:rPr>
      </w:pPr>
      <w:r>
        <w:rPr>
          <w:rFonts w:ascii="仿宋" w:eastAsia="仿宋" w:cs="仿宋" w:hint="eastAsia"/>
          <w:b/>
          <w:bCs/>
          <w:color w:val="000000"/>
          <w:kern w:val="0"/>
          <w:sz w:val="32"/>
          <w:szCs w:val="32"/>
          <w:lang w:val="zh-CN"/>
        </w:rPr>
        <w:t>　　</w:t>
      </w:r>
      <w:r>
        <w:rPr>
          <w:rFonts w:ascii="楷体_GB2312" w:eastAsia="楷体_GB2312" w:cs="楷体_GB2312" w:hint="eastAsia"/>
          <w:b/>
          <w:bCs/>
          <w:sz w:val="32"/>
          <w:szCs w:val="32"/>
          <w:lang w:val="zh-CN"/>
        </w:rPr>
        <w:t>（三）改进建议</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lang w:val="zh-CN"/>
        </w:rPr>
      </w:pPr>
      <w:r>
        <w:rPr>
          <w:rFonts w:ascii="仿宋" w:eastAsia="仿宋" w:cs="仿宋" w:hint="eastAsia"/>
          <w:color w:val="333333"/>
          <w:sz w:val="32"/>
          <w:szCs w:val="32"/>
          <w:shd w:val="clear" w:color="auto" w:fill="FFFFFF"/>
        </w:rPr>
        <w:t>　　</w:t>
      </w:r>
      <w:r>
        <w:rPr>
          <w:rFonts w:ascii="仿宋_GB2312" w:eastAsia="仿宋_GB2312" w:cs="仿宋"/>
          <w:color w:val="000000"/>
          <w:kern w:val="0"/>
          <w:sz w:val="32"/>
          <w:szCs w:val="32"/>
        </w:rPr>
        <w:t>1.</w:t>
      </w:r>
      <w:r>
        <w:rPr>
          <w:rFonts w:ascii="仿宋_GB2312" w:eastAsia="仿宋_GB2312" w:cs="仿宋" w:hint="eastAsia"/>
          <w:color w:val="000000"/>
          <w:kern w:val="0"/>
          <w:sz w:val="32"/>
          <w:szCs w:val="32"/>
          <w:lang w:val="zh-CN"/>
        </w:rPr>
        <w:t>遵循先有预算、后有支出的原则，加强财务管理和内部控制监督制度。严禁超预算和无预算安排支出，严格开支范围和标准，严格支出报销审核，不报销任何超范围、超标准的费用。</w:t>
      </w:r>
      <w:r>
        <w:rPr>
          <w:rFonts w:ascii="仿宋_GB2312" w:eastAsia="仿宋_GB2312" w:cs="仿宋"/>
          <w:color w:val="000000"/>
          <w:kern w:val="0"/>
          <w:sz w:val="32"/>
          <w:szCs w:val="32"/>
          <w:lang w:val="zh-CN"/>
        </w:rPr>
        <w:t xml:space="preserve"> </w:t>
      </w:r>
    </w:p>
    <w:p>
      <w:pPr>
        <w:pageBreakBefore w:val="0"/>
        <w:widowControl/>
        <w:kinsoku/>
        <w:wordWrap/>
        <w:overflowPunct/>
        <w:topLinePunct w:val="0"/>
        <w:autoSpaceDE/>
        <w:autoSpaceDN/>
        <w:bidi w:val="0"/>
        <w:adjustRightInd w:val="0"/>
        <w:snapToGrid w:val="0"/>
        <w:spacing w:line="520" w:lineRule="exact"/>
        <w:textAlignment w:val="auto"/>
        <w:rPr>
          <w:rFonts w:ascii="仿宋_GB2312" w:eastAsia="仿宋_GB2312" w:cs="仿宋"/>
          <w:color w:val="000000"/>
          <w:kern w:val="0"/>
          <w:sz w:val="32"/>
          <w:szCs w:val="32"/>
          <w:lang w:val="zh-CN"/>
        </w:rPr>
      </w:pPr>
      <w:r>
        <w:rPr>
          <w:rFonts w:ascii="仿宋_GB2312" w:eastAsia="仿宋_GB2312" w:cs="仿宋" w:hint="eastAsia"/>
          <w:color w:val="000000"/>
          <w:kern w:val="0"/>
          <w:sz w:val="32"/>
          <w:szCs w:val="32"/>
        </w:rPr>
        <w:t>　　</w:t>
      </w:r>
      <w:r>
        <w:rPr>
          <w:rFonts w:ascii="仿宋_GB2312" w:eastAsia="仿宋_GB2312" w:cs="仿宋"/>
          <w:color w:val="000000"/>
          <w:kern w:val="0"/>
          <w:sz w:val="32"/>
          <w:szCs w:val="32"/>
        </w:rPr>
        <w:t>2.</w:t>
      </w:r>
      <w:r>
        <w:rPr>
          <w:rFonts w:ascii="仿宋_GB2312" w:eastAsia="仿宋_GB2312" w:cs="仿宋" w:hint="eastAsia"/>
          <w:color w:val="000000"/>
          <w:kern w:val="0"/>
          <w:sz w:val="32"/>
          <w:szCs w:val="32"/>
          <w:lang w:val="zh-CN"/>
        </w:rPr>
        <w:t>严格控制“三公”经费。认真贯彻落实中央、省委、省政府、州委、州政府和县委、县政府相关规定，严格“三公”经费支出的审核和审批，合理压缩“三公”经费支出。</w:t>
      </w:r>
    </w:p>
    <w:p>
      <w:pPr>
        <w:keepNext w:val="0"/>
        <w:keepLines w:val="0"/>
        <w:widowControl/>
        <w:suppressLineNumbers w:val="0"/>
        <w:ind w:firstLineChars="200" w:firstLine="640"/>
        <w:jc w:val="both"/>
        <w:rPr>
          <w:rFonts w:ascii="仿宋_GB2312" w:eastAsia="仿宋_GB2312" w:cs="仿宋" w:hint="eastAsia"/>
          <w:color w:val="000000"/>
          <w:kern w:val="0"/>
          <w:sz w:val="32"/>
          <w:szCs w:val="32"/>
          <w:lang w:val="zh-CN"/>
        </w:rPr>
      </w:pPr>
      <w:r>
        <w:rPr>
          <w:rFonts w:ascii="仿宋_GB2312" w:eastAsia="仿宋_GB2312" w:cs="仿宋"/>
          <w:color w:val="000000"/>
          <w:kern w:val="0"/>
          <w:sz w:val="32"/>
          <w:szCs w:val="32"/>
        </w:rPr>
        <w:t>3.</w:t>
      </w:r>
      <w:r>
        <w:rPr>
          <w:rFonts w:ascii="仿宋_GB2312" w:eastAsia="仿宋_GB2312" w:cs="仿宋" w:hint="eastAsia"/>
          <w:color w:val="000000"/>
          <w:kern w:val="0"/>
          <w:sz w:val="32"/>
          <w:szCs w:val="32"/>
          <w:lang w:val="zh-CN"/>
        </w:rPr>
        <w:t>节能降耗，厉行节约，节约能源。</w:t>
      </w:r>
    </w:p>
    <w:tbl>
      <w:tblPr>
        <w:jc w:val="center"/>
        <w:tblW w:w="910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1012"/>
        <w:gridCol w:w="1276"/>
        <w:gridCol w:w="1278"/>
        <w:gridCol w:w="1957"/>
        <w:gridCol w:w="848"/>
        <w:gridCol w:w="814"/>
        <w:gridCol w:w="763"/>
        <w:gridCol w:w="531"/>
        <w:gridCol w:w="621"/>
      </w:tblGrid>
      <w:tr>
        <w:trPr>
          <w:trHeight w:val="821"/>
        </w:trPr>
        <w:tc>
          <w:tcPr>
            <w:tcW w:w="910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eastAsia="黑体" w:cs="黑体"/>
                <w:i w:val="0"/>
                <w:iCs w:val="0"/>
                <w:color w:val="000000"/>
                <w:sz w:val="30"/>
                <w:szCs w:val="30"/>
                <w:u w:val="none"/>
              </w:rPr>
            </w:pPr>
            <w:r>
              <w:rPr>
                <w:rFonts w:ascii="黑体" w:eastAsia="黑体" w:cs="黑体" w:hint="eastAsia"/>
                <w:i w:val="0"/>
                <w:iCs w:val="0"/>
                <w:color w:val="000000"/>
                <w:kern w:val="0"/>
                <w:sz w:val="30"/>
                <w:szCs w:val="30"/>
                <w:u w:val="none"/>
                <w:bdr w:val="none" w:sz="0" w:space="0" w:color="auto"/>
                <w:lang w:val="en-US" w:eastAsia="zh-CN"/>
              </w:rPr>
              <w:t>部门整体支出绩效自评表</w:t>
            </w:r>
          </w:p>
        </w:tc>
      </w:tr>
      <w:tr>
        <w:trPr>
          <w:trHeight w:val="284"/>
        </w:trPr>
        <w:tc>
          <w:tcPr>
            <w:tcW w:w="9100" w:type="dxa"/>
            <w:gridSpan w:val="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（2024年度）</w:t>
            </w:r>
          </w:p>
        </w:tc>
      </w:tr>
      <w:tr>
        <w:trPr>
          <w:trHeight w:val="284"/>
        </w:trPr>
        <w:tc>
          <w:tcPr>
            <w:tcW w:w="9100" w:type="dxa"/>
            <w:gridSpan w:val="9"/>
            <w:tcBorders>
              <w:top w:val="nil"/>
              <w:left w:val="nil"/>
              <w:bottom w:val="single" w:sz="4" w:space="0" w:color="000000"/>
              <w:right w:val="nil"/>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金额单位：万元</w:t>
            </w:r>
          </w:p>
        </w:tc>
      </w:tr>
      <w:tr>
        <w:trPr>
          <w:trHeight w:val="526"/>
        </w:trPr>
        <w:tc>
          <w:tcPr>
            <w:tcW w:w="3566"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部门名称</w:t>
            </w:r>
          </w:p>
        </w:tc>
        <w:tc>
          <w:tcPr>
            <w:tcW w:w="553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金川县畜牧兽医服务中心</w:t>
            </w:r>
          </w:p>
        </w:tc>
      </w:tr>
      <w:tr>
        <w:trPr>
          <w:trHeight w:val="371"/>
        </w:trPr>
        <w:tc>
          <w:tcPr>
            <w:tcW w:w="101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年度部门整体支出预算</w:t>
            </w:r>
          </w:p>
        </w:tc>
        <w:tc>
          <w:tcPr>
            <w:tcW w:w="2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资金总额</w:t>
            </w:r>
          </w:p>
        </w:tc>
        <w:tc>
          <w:tcPr>
            <w:tcW w:w="280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财政拨款</w:t>
            </w:r>
          </w:p>
        </w:tc>
        <w:tc>
          <w:tcPr>
            <w:tcW w:w="2729"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其他资金</w:t>
            </w:r>
          </w:p>
        </w:tc>
      </w:tr>
      <w:tr>
        <w:trPr>
          <w:trHeight w:val="5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2,216.19</w:t>
            </w:r>
          </w:p>
        </w:tc>
        <w:tc>
          <w:tcPr>
            <w:tcW w:w="2805"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2,216.19</w:t>
            </w:r>
          </w:p>
        </w:tc>
        <w:tc>
          <w:tcPr>
            <w:tcW w:w="2729"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18"/>
                <w:szCs w:val="18"/>
                <w:u w:val="none"/>
              </w:rPr>
            </w:pPr>
          </w:p>
        </w:tc>
      </w:tr>
      <w:tr>
        <w:trPr>
          <w:trHeight w:val="1709"/>
        </w:trPr>
        <w:tc>
          <w:tcPr>
            <w:tcW w:w="10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年度总体目标</w:t>
            </w:r>
          </w:p>
        </w:tc>
        <w:tc>
          <w:tcPr>
            <w:tcW w:w="8088"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负责本县动物防疫、检疫、动物产品安全监管和畜产品加工企业驻厂检疫等行政工作；负责兽医医政和兽药药政管理。计划并组织实施全县动物疫病预防工作</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承担动物疫病监测、诊断、流行病学调查研究、技术推广工作，对全县动物疫病防治进行技术指导和服务</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负责乡镇畜牧兽医站的管理和指导。对全县种畜禽实施监督管理</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对全县畜、禽品种改良、优良畜、禽品种引进和繁育实施技术指导。对全县草业规划、建设、生产使用实施监督管理</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对全县草场建设、饲草、饲料生产进行技术指导。宣传贯彻执行国家、省、州、县关于畜牧业发展的方针、政策、法律法规</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对畜牧业生产进行调查研究、统计和分析，并做好发展规划，为县委、县政府决策提供依据。</w:t>
            </w:r>
          </w:p>
        </w:tc>
      </w:tr>
      <w:tr>
        <w:trPr>
          <w:trHeight w:val="526"/>
        </w:trPr>
        <w:tc>
          <w:tcPr>
            <w:tcW w:w="101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年度主要任务</w:t>
            </w:r>
          </w:p>
        </w:tc>
        <w:tc>
          <w:tcPr>
            <w:tcW w:w="2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任务名称</w:t>
            </w:r>
          </w:p>
        </w:tc>
        <w:tc>
          <w:tcPr>
            <w:tcW w:w="553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主要内容</w:t>
            </w:r>
          </w:p>
        </w:tc>
      </w:tr>
      <w:tr>
        <w:trPr>
          <w:trHeight w:val="57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有效发展现代畜牧业，指导和协调畜</w:t>
            </w:r>
            <w:r>
              <w:rPr>
                <w:rFonts w:ascii="宋体" w:eastAsia="宋体" w:cs="宋体" w:hint="eastAsia"/>
                <w:i w:val="0"/>
                <w:iCs w:val="0"/>
                <w:color w:val="000000"/>
                <w:kern w:val="0"/>
                <w:sz w:val="18"/>
                <w:szCs w:val="18"/>
                <w:u w:val="none"/>
                <w:bdr w:val="none" w:sz="0" w:space="0" w:color="auto"/>
                <w:lang w:val="en-US" w:eastAsia="zh-CN"/>
              </w:rPr>
              <w:t>牧业</w:t>
            </w:r>
            <w:r>
              <w:rPr>
                <w:rFonts w:ascii="宋体" w:eastAsia="宋体" w:cs="宋体"/>
                <w:i w:val="0"/>
                <w:iCs w:val="0"/>
                <w:color w:val="000000"/>
                <w:kern w:val="0"/>
                <w:sz w:val="18"/>
                <w:szCs w:val="18"/>
                <w:u w:val="none"/>
                <w:bdr w:val="none" w:sz="0" w:space="0" w:color="auto"/>
                <w:lang w:val="en-US" w:eastAsia="zh-CN"/>
              </w:rPr>
              <w:t>发展保障和服务体系建设</w:t>
            </w:r>
          </w:p>
        </w:tc>
        <w:tc>
          <w:tcPr>
            <w:tcW w:w="553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宣传贯彻执行国家、省、州、县关于畜牧业发展的方针、政策、法律法规</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对畜牧业生产进行调查研究、统计和分析，并做好发展规划，为县委、县政府决策提供依据。</w:t>
            </w:r>
          </w:p>
        </w:tc>
      </w:tr>
      <w:tr>
        <w:trPr>
          <w:trHeight w:val="14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寄生虫病的防治，指导和督促全县重大动物疫病防治工作，协调做好疫情监测、控制和组织扑灭疫情</w:t>
            </w:r>
          </w:p>
        </w:tc>
        <w:tc>
          <w:tcPr>
            <w:tcW w:w="553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依照《中华人民共和国动物防疫法》负责本县动物防疫、检疫、动物产品安全监管和畜产品加工企业驻厂检疫等行政工作；负责兽医医政和兽药药政管理。</w:t>
              <w:br/>
              <w:t>计划并组织实施全县动物疫病预防工作</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承担动物疫病监测、诊断、流行病学调查研究、技术推广工作，对全县动物疫病防治进行技术指导和服务</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负责乡镇畜牧兽医站的管理和指导。</w:t>
            </w:r>
          </w:p>
        </w:tc>
      </w:tr>
      <w:tr>
        <w:trPr>
          <w:trHeight w:val="625"/>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开展新技术、新品种的宣传、试验、示范和推广</w:t>
            </w:r>
          </w:p>
        </w:tc>
        <w:tc>
          <w:tcPr>
            <w:tcW w:w="553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依照《中华人民共和国畜牧法》对全县种畜禽实施监督管理</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对全县畜、禽品种改良、优良畜、禽品种引进和繁育实施技术指导。</w:t>
            </w:r>
          </w:p>
        </w:tc>
      </w:tr>
      <w:tr>
        <w:trPr>
          <w:trHeight w:val="625"/>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完成今年农业资源及生态保护相关工作</w:t>
            </w:r>
          </w:p>
        </w:tc>
        <w:tc>
          <w:tcPr>
            <w:tcW w:w="5534"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依照《中华人民共和国草原法》对全县草业规划、建设、生产使用实施监督管理</w:t>
            </w:r>
            <w:r>
              <w:rPr>
                <w:rFonts w:ascii="宋体" w:eastAsia="宋体" w:cs="宋体" w:hint="eastAsia"/>
                <w:i w:val="0"/>
                <w:iCs w:val="0"/>
                <w:color w:val="000000"/>
                <w:kern w:val="0"/>
                <w:sz w:val="18"/>
                <w:szCs w:val="18"/>
                <w:u w:val="none"/>
                <w:bdr w:val="none" w:sz="0" w:space="0" w:color="auto"/>
                <w:lang w:val="en-US" w:eastAsia="zh-CN"/>
              </w:rPr>
              <w:t>；</w:t>
            </w:r>
            <w:r>
              <w:rPr>
                <w:rFonts w:ascii="宋体" w:eastAsia="宋体" w:cs="宋体"/>
                <w:i w:val="0"/>
                <w:iCs w:val="0"/>
                <w:color w:val="000000"/>
                <w:kern w:val="0"/>
                <w:sz w:val="18"/>
                <w:szCs w:val="18"/>
                <w:u w:val="none"/>
                <w:bdr w:val="none" w:sz="0" w:space="0" w:color="auto"/>
                <w:lang w:val="en-US" w:eastAsia="zh-CN"/>
              </w:rPr>
              <w:t>对全县草场建设、饲草、饲料生产进行技术指导</w:t>
            </w:r>
            <w:r>
              <w:rPr>
                <w:rFonts w:ascii="宋体" w:eastAsia="宋体" w:cs="宋体" w:hint="eastAsia"/>
                <w:i w:val="0"/>
                <w:iCs w:val="0"/>
                <w:color w:val="000000"/>
                <w:kern w:val="0"/>
                <w:sz w:val="18"/>
                <w:szCs w:val="18"/>
                <w:u w:val="none"/>
                <w:bdr w:val="none" w:sz="0" w:space="0" w:color="auto"/>
                <w:lang w:val="en-US" w:eastAsia="zh-CN"/>
              </w:rPr>
              <w:t>。</w:t>
            </w:r>
          </w:p>
        </w:tc>
      </w:tr>
      <w:tr>
        <w:trPr>
          <w:trHeight w:val="576"/>
        </w:trPr>
        <w:tc>
          <w:tcPr>
            <w:tcW w:w="101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年度绩效指标</w:t>
            </w: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一级指标</w:t>
            </w: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二级指标</w:t>
            </w: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三级指标</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绩效指标性质</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绩效指标值</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绩效度量单位</w:t>
            </w: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权重</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自评得分</w:t>
            </w:r>
          </w:p>
        </w:tc>
      </w:tr>
      <w:tr>
        <w:trPr>
          <w:trHeight w:val="5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产出指标</w:t>
            </w:r>
          </w:p>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数量指标</w:t>
            </w: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运转足额保障率</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10</w:t>
            </w:r>
          </w:p>
        </w:tc>
      </w:tr>
      <w:tr>
        <w:trPr>
          <w:trHeight w:val="5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预算编制控制率</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8</w:t>
            </w:r>
          </w:p>
        </w:tc>
      </w:tr>
      <w:tr>
        <w:trPr>
          <w:trHeight w:val="5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质量指标</w:t>
            </w: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强制免疫抗体合格率</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70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10</w:t>
            </w:r>
          </w:p>
        </w:tc>
      </w:tr>
      <w:tr>
        <w:trPr>
          <w:trHeight w:val="5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强制免疫密度</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90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10</w:t>
            </w:r>
          </w:p>
        </w:tc>
      </w:tr>
      <w:tr>
        <w:trPr>
          <w:trHeight w:val="5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依法对重大动物疫情处置率</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10</w:t>
            </w:r>
          </w:p>
        </w:tc>
      </w:tr>
      <w:tr>
        <w:trPr>
          <w:trHeight w:val="5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时效指标</w:t>
            </w: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项目完成时限</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年</w:t>
            </w: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8</w:t>
            </w:r>
          </w:p>
        </w:tc>
      </w:tr>
      <w:tr>
        <w:trPr>
          <w:trHeight w:val="57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效益指标</w:t>
            </w:r>
          </w:p>
        </w:tc>
        <w:tc>
          <w:tcPr>
            <w:tcW w:w="127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社会效益指标</w:t>
            </w: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无大规模随意抛弃病死猪事件</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定性</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好坏</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10</w:t>
            </w:r>
          </w:p>
        </w:tc>
      </w:tr>
      <w:tr>
        <w:trPr>
          <w:trHeight w:val="52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无区域性重大动物疫情</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定性</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好坏</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15</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15</w:t>
            </w:r>
          </w:p>
        </w:tc>
      </w:tr>
      <w:tr>
        <w:trPr>
          <w:trHeight w:val="57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满意度指标</w:t>
            </w: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服务对象满意度指标</w:t>
            </w: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农牧民满意度</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90</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w:t>
            </w: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10</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10</w:t>
            </w:r>
          </w:p>
        </w:tc>
      </w:tr>
      <w:tr>
        <w:trPr>
          <w:trHeight w:val="576"/>
        </w:trPr>
        <w:tc>
          <w:tcPr>
            <w:tcW w:w="10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成本指标</w:t>
            </w:r>
          </w:p>
        </w:tc>
        <w:tc>
          <w:tcPr>
            <w:tcW w:w="12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经济成本指标</w:t>
            </w:r>
          </w:p>
        </w:tc>
        <w:tc>
          <w:tcPr>
            <w:tcW w:w="19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hint="eastAsia"/>
                <w:i w:val="0"/>
                <w:iCs w:val="0"/>
                <w:color w:val="000000"/>
                <w:kern w:val="0"/>
                <w:sz w:val="18"/>
                <w:szCs w:val="18"/>
                <w:u w:val="none"/>
                <w:bdr w:val="none" w:sz="0" w:space="0" w:color="auto"/>
                <w:lang w:val="en-US" w:eastAsia="zh-CN"/>
              </w:rPr>
              <w:t>“三公”经费</w:t>
            </w:r>
            <w:r>
              <w:rPr>
                <w:rFonts w:ascii="宋体" w:eastAsia="宋体" w:cs="宋体"/>
                <w:i w:val="0"/>
                <w:iCs w:val="0"/>
                <w:color w:val="000000"/>
                <w:kern w:val="0"/>
                <w:sz w:val="18"/>
                <w:szCs w:val="18"/>
                <w:u w:val="none"/>
                <w:bdr w:val="none" w:sz="0" w:space="0" w:color="auto"/>
                <w:lang w:val="en-US" w:eastAsia="zh-CN"/>
              </w:rPr>
              <w:t>控制小于/等于年初预算数</w:t>
            </w:r>
          </w:p>
        </w:tc>
        <w:tc>
          <w:tcPr>
            <w:tcW w:w="84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定性</w:t>
            </w:r>
          </w:p>
        </w:tc>
        <w:tc>
          <w:tcPr>
            <w:tcW w:w="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高中低</w:t>
            </w:r>
          </w:p>
        </w:tc>
        <w:tc>
          <w:tcPr>
            <w:tcW w:w="7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left"/>
              <w:rPr>
                <w:rFonts w:ascii="宋体" w:eastAsia="宋体" w:cs="宋体" w:hint="eastAsia"/>
                <w:i w:val="0"/>
                <w:iCs w:val="0"/>
                <w:color w:val="000000"/>
                <w:sz w:val="18"/>
                <w:szCs w:val="18"/>
                <w:u w:val="none"/>
              </w:rPr>
            </w:pPr>
          </w:p>
        </w:tc>
        <w:tc>
          <w:tcPr>
            <w:tcW w:w="531" w:type="dxa"/>
            <w:tcBorders>
              <w:top w:val="single" w:sz="4" w:space="0" w:color="000000"/>
              <w:left w:val="single" w:sz="4" w:space="0" w:color="000000"/>
              <w:bottom w:val="single" w:sz="4" w:space="0" w:color="000000"/>
              <w:right w:val="single" w:sz="4" w:space="0" w:color="auto"/>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sz w:val="18"/>
                <w:szCs w:val="18"/>
                <w:u w:val="none"/>
              </w:rPr>
            </w:pPr>
            <w:r>
              <w:rPr>
                <w:rFonts w:ascii="宋体" w:eastAsia="宋体" w:cs="宋体"/>
                <w:i w:val="0"/>
                <w:iCs w:val="0"/>
                <w:color w:val="000000"/>
                <w:kern w:val="0"/>
                <w:sz w:val="18"/>
                <w:szCs w:val="18"/>
                <w:u w:val="none"/>
                <w:bdr w:val="none" w:sz="0" w:space="0" w:color="auto"/>
                <w:lang w:val="en-US" w:eastAsia="zh-CN"/>
              </w:rPr>
              <w:t>5</w:t>
            </w:r>
          </w:p>
        </w:tc>
        <w:tc>
          <w:tcPr>
            <w:tcW w:w="621" w:type="dxa"/>
            <w:tcBorders>
              <w:top w:val="single" w:sz="4" w:space="0" w:color="000000"/>
              <w:left w:val="single" w:sz="4" w:space="0" w:color="auto"/>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i w:val="0"/>
                <w:iCs w:val="0"/>
                <w:color w:val="000000"/>
                <w:kern w:val="0"/>
                <w:sz w:val="18"/>
                <w:szCs w:val="18"/>
                <w:u w:val="none"/>
                <w:bdr w:val="none" w:sz="0" w:space="0" w:color="auto"/>
                <w:lang w:val="en-US" w:eastAsia="zh-CN"/>
              </w:rPr>
            </w:pPr>
            <w:r>
              <w:rPr>
                <w:rFonts w:ascii="宋体" w:eastAsia="宋体" w:cs="宋体" w:hint="eastAsia"/>
                <w:i w:val="0"/>
                <w:iCs w:val="0"/>
                <w:color w:val="000000"/>
                <w:kern w:val="0"/>
                <w:sz w:val="18"/>
                <w:szCs w:val="18"/>
                <w:u w:val="none"/>
                <w:bdr w:val="none" w:sz="0" w:space="0" w:color="auto"/>
                <w:lang w:val="en-US" w:eastAsia="zh-CN"/>
              </w:rPr>
              <w:t>4</w:t>
            </w:r>
          </w:p>
        </w:tc>
      </w:tr>
    </w:tbl>
    <w:p>
      <w:pPr>
        <w:keepNext w:val="0"/>
        <w:keepLines w:val="0"/>
        <w:widowControl/>
        <w:suppressLineNumbers w:val="0"/>
        <w:jc w:val="center"/>
        <w:rPr>
          <w:rFonts w:ascii="方正小标宋简体" w:eastAsia="方正小标宋简体" w:cs="方正小标宋简体" w:hint="eastAsia"/>
          <w:color w:val="000000"/>
          <w:kern w:val="0"/>
          <w:sz w:val="44"/>
          <w:szCs w:val="44"/>
          <w:lang w:val="en-US" w:eastAsia="zh-CN"/>
        </w:rPr>
      </w:pPr>
    </w:p>
    <w:p>
      <w:pPr>
        <w:keepNext w:val="0"/>
        <w:keepLines w:val="0"/>
        <w:widowControl/>
        <w:suppressLineNumbers w:val="0"/>
        <w:jc w:val="center"/>
        <w:rPr>
          <w:sz w:val="44"/>
          <w:szCs w:val="44"/>
        </w:rPr>
      </w:pPr>
      <w:r>
        <w:rPr>
          <w:rFonts w:ascii="方正小标宋简体" w:eastAsia="方正小标宋简体" w:cs="方正小标宋简体" w:hint="eastAsia"/>
          <w:color w:val="000000"/>
          <w:kern w:val="0"/>
          <w:sz w:val="44"/>
          <w:szCs w:val="44"/>
          <w:lang w:val="en-US" w:eastAsia="zh-CN"/>
        </w:rPr>
        <w:t>2024年专项预算项目支出绩效评价报告</w:t>
      </w:r>
    </w:p>
    <w:p>
      <w:pPr>
        <w:snapToGrid w:val="0"/>
        <w:spacing w:line="600" w:lineRule="exact"/>
        <w:ind w:firstLineChars="200" w:firstLine="640"/>
        <w:jc w:val="center"/>
        <w:rPr>
          <w:rFonts w:ascii="仿宋_GB2312" w:eastAsia="仿宋_GB2312" w:cs="Times New Roman" w:hint="eastAsia"/>
          <w:color w:val="000000"/>
          <w:sz w:val="32"/>
          <w:szCs w:val="32"/>
          <w:lang w:val="en-US" w:eastAsia="zh-CN"/>
        </w:rPr>
      </w:pPr>
      <w:r>
        <w:rPr>
          <w:rFonts w:ascii="仿宋_GB2312" w:eastAsia="仿宋_GB2312" w:cs="Times New Roman" w:hint="eastAsia"/>
          <w:color w:val="000000"/>
          <w:sz w:val="32"/>
          <w:szCs w:val="32"/>
          <w:lang w:val="en-US" w:eastAsia="zh-CN"/>
        </w:rPr>
        <w:t>（2024年草原生态补助奖励政策项目绩效报告）</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eastAsia="仿宋_GB2312" w:cs="宋体" w:hAnsi="宋体" w:hint="eastAsia"/>
          <w:b/>
          <w:bCs/>
          <w:i w:val="0"/>
          <w:iCs w:val="0"/>
          <w:color w:val="auto"/>
          <w:sz w:val="32"/>
          <w:szCs w:val="32"/>
          <w:lang w:val="en-US" w:eastAsia="zh-CN"/>
        </w:rPr>
      </w:pPr>
    </w:p>
    <w:p>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textAlignment w:val="auto"/>
        <w:rPr>
          <w:rFonts w:ascii="仿宋_GB2312" w:eastAsia="仿宋_GB2312" w:hint="eastAsia"/>
          <w:color w:val="000000"/>
          <w:sz w:val="32"/>
          <w:szCs w:val="32"/>
        </w:rPr>
      </w:pPr>
      <w:r>
        <w:rPr>
          <w:rFonts w:ascii="仿宋_GB2312" w:eastAsia="仿宋_GB2312" w:hint="eastAsia"/>
          <w:color w:val="0000FF"/>
          <w:sz w:val="32"/>
          <w:szCs w:val="32"/>
          <w:lang w:val="en-US" w:eastAsia="zh-CN"/>
        </w:rPr>
        <w:t xml:space="preserve">     </w:t>
      </w:r>
      <w:r>
        <w:rPr>
          <w:rStyle w:val="2Char"/>
          <w:rFonts w:ascii="黑体" w:eastAsia="黑体" w:hint="eastAsia"/>
          <w:b w:val="0"/>
          <w:lang w:val="zh-CN" w:eastAsia="zh-CN"/>
        </w:rPr>
        <w:t>一、</w:t>
      </w:r>
      <w:r>
        <w:rPr>
          <w:rStyle w:val="2Char"/>
          <w:rFonts w:ascii="黑体" w:eastAsia="黑体" w:hint="eastAsia"/>
          <w:b w:val="0"/>
          <w:lang w:val="zh-CN"/>
        </w:rPr>
        <w:t>项目基本情况</w:t>
      </w:r>
    </w:p>
    <w:p>
      <w:pPr>
        <w:snapToGrid w:val="0"/>
        <w:spacing w:line="600" w:lineRule="exact"/>
        <w:ind w:firstLineChars="200" w:firstLine="640"/>
        <w:rPr>
          <w:rFonts w:ascii="仿宋_GB2312" w:eastAsia="仿宋_GB2312" w:cs="Times New Roman"/>
          <w:color w:val="000000"/>
          <w:sz w:val="32"/>
          <w:szCs w:val="32"/>
          <w:lang w:val="en-US" w:eastAsia="zh-CN"/>
        </w:rPr>
      </w:pPr>
      <w:r>
        <w:rPr>
          <w:rFonts w:ascii="楷体_GB2312" w:eastAsia="楷体_GB2312" w:cs="楷体_GB2312" w:hint="eastAsia"/>
          <w:b/>
          <w:bCs/>
          <w:sz w:val="32"/>
          <w:szCs w:val="32"/>
          <w:lang w:val="zh-CN"/>
        </w:rPr>
        <w:t>（一）项目名称：</w:t>
      </w:r>
      <w:r>
        <w:rPr>
          <w:rFonts w:ascii="仿宋_GB2312" w:eastAsia="仿宋_GB2312" w:cs="Times New Roman" w:hint="eastAsia"/>
          <w:color w:val="000000"/>
          <w:sz w:val="32"/>
          <w:szCs w:val="32"/>
          <w:lang w:val="en-US" w:eastAsia="zh-CN"/>
        </w:rPr>
        <w:t>草原生态保护补助奖励政策</w:t>
      </w:r>
    </w:p>
    <w:p>
      <w:pPr>
        <w:snapToGrid w:val="0"/>
        <w:spacing w:line="600" w:lineRule="exact"/>
        <w:ind w:firstLineChars="200" w:firstLine="640"/>
        <w:rPr>
          <w:rFonts w:ascii="仿宋_GB2312" w:eastAsia="仿宋_GB2312" w:cs="Times New Roman"/>
          <w:color w:val="000000"/>
          <w:sz w:val="32"/>
          <w:szCs w:val="32"/>
          <w:lang w:val="en-US" w:eastAsia="zh-CN"/>
        </w:rPr>
      </w:pPr>
      <w:r>
        <w:rPr>
          <w:rFonts w:ascii="楷体_GB2312" w:eastAsia="楷体_GB2312" w:cs="楷体_GB2312" w:hint="eastAsia"/>
          <w:b/>
          <w:bCs/>
          <w:sz w:val="32"/>
          <w:szCs w:val="32"/>
          <w:lang w:val="zh-CN"/>
        </w:rPr>
        <w:t>（二）项目单位：</w:t>
      </w:r>
      <w:r>
        <w:rPr>
          <w:rFonts w:ascii="仿宋_GB2312" w:eastAsia="仿宋_GB2312" w:cs="Times New Roman" w:hint="eastAsia"/>
          <w:color w:val="000000"/>
          <w:sz w:val="32"/>
          <w:szCs w:val="32"/>
          <w:lang w:val="en-US" w:eastAsia="zh-CN"/>
        </w:rPr>
        <w:t>金川县畜牧兽医服务中心</w:t>
      </w:r>
    </w:p>
    <w:p>
      <w:pPr>
        <w:snapToGrid w:val="0"/>
        <w:spacing w:line="600" w:lineRule="exact"/>
        <w:ind w:firstLineChars="200" w:firstLine="640"/>
        <w:rPr>
          <w:rFonts w:ascii="仿宋_GB2312" w:eastAsia="仿宋_GB2312" w:cs="Times New Roman"/>
          <w:color w:val="000000"/>
          <w:sz w:val="32"/>
          <w:szCs w:val="32"/>
          <w:lang w:val="en-US" w:eastAsia="zh-CN"/>
        </w:rPr>
      </w:pPr>
      <w:r>
        <w:rPr>
          <w:rFonts w:ascii="楷体_GB2312" w:eastAsia="楷体_GB2312" w:cs="楷体_GB2312" w:hint="eastAsia"/>
          <w:b/>
          <w:bCs/>
          <w:sz w:val="32"/>
          <w:szCs w:val="32"/>
          <w:lang w:val="zh-CN"/>
        </w:rPr>
        <w:t>（三）主管部门：</w:t>
      </w:r>
      <w:r>
        <w:rPr>
          <w:rFonts w:ascii="仿宋_GB2312" w:eastAsia="仿宋_GB2312" w:cs="Times New Roman" w:hint="eastAsia"/>
          <w:color w:val="000000"/>
          <w:sz w:val="32"/>
          <w:szCs w:val="32"/>
          <w:lang w:val="en-US" w:eastAsia="zh-CN"/>
        </w:rPr>
        <w:t>金川县科学技术和农业畜牧局</w:t>
      </w:r>
    </w:p>
    <w:p>
      <w:pPr>
        <w:snapToGrid w:val="0"/>
        <w:spacing w:line="600" w:lineRule="exact"/>
        <w:ind w:firstLineChars="200" w:firstLine="640"/>
        <w:rPr>
          <w:rFonts w:ascii="仿宋_GB2312" w:eastAsia="仿宋_GB2312" w:cs="Times New Roman" w:hint="eastAsia"/>
          <w:color w:val="000000"/>
          <w:sz w:val="32"/>
          <w:szCs w:val="32"/>
          <w:lang w:val="en-US" w:eastAsia="zh-CN"/>
        </w:rPr>
      </w:pPr>
      <w:r>
        <w:rPr>
          <w:rFonts w:ascii="楷体_GB2312" w:eastAsia="楷体_GB2312" w:cs="楷体_GB2312" w:hint="eastAsia"/>
          <w:b/>
          <w:bCs/>
          <w:sz w:val="32"/>
          <w:szCs w:val="32"/>
          <w:lang w:val="zh-CN"/>
        </w:rPr>
        <w:t>（四）项目属性：</w:t>
      </w:r>
      <w:r>
        <w:rPr>
          <w:rFonts w:ascii="仿宋_GB2312" w:eastAsia="仿宋_GB2312" w:cs="Times New Roman" w:hint="eastAsia"/>
          <w:color w:val="000000"/>
          <w:sz w:val="32"/>
          <w:szCs w:val="32"/>
          <w:lang w:val="en-US" w:eastAsia="zh-CN"/>
        </w:rPr>
        <w:t>草原生态保护补助奖励政策为延续性项目</w:t>
      </w:r>
    </w:p>
    <w:p>
      <w:pPr>
        <w:snapToGrid w:val="0"/>
        <w:spacing w:line="600" w:lineRule="exact"/>
        <w:ind w:firstLineChars="200" w:firstLine="640"/>
        <w:rPr>
          <w:rFonts w:ascii="仿宋_GB2312" w:eastAsia="仿宋_GB2312" w:cs="Times New Roman"/>
          <w:color w:val="000000"/>
          <w:sz w:val="32"/>
          <w:szCs w:val="32"/>
          <w:lang w:val="en-US" w:eastAsia="zh-CN"/>
        </w:rPr>
      </w:pPr>
      <w:r>
        <w:rPr>
          <w:rFonts w:ascii="楷体_GB2312" w:eastAsia="楷体_GB2312" w:cs="楷体_GB2312" w:hint="eastAsia"/>
          <w:b/>
          <w:bCs/>
          <w:sz w:val="32"/>
          <w:szCs w:val="32"/>
          <w:lang w:val="zh-CN"/>
        </w:rPr>
        <w:t>（五）项目起止年限：</w:t>
      </w:r>
      <w:r>
        <w:rPr>
          <w:rFonts w:ascii="仿宋_GB2312" w:eastAsia="仿宋_GB2312" w:cs="Times New Roman" w:hint="eastAsia"/>
          <w:color w:val="000000"/>
          <w:sz w:val="32"/>
          <w:szCs w:val="32"/>
          <w:lang w:val="en-US" w:eastAsia="zh-CN"/>
        </w:rPr>
        <w:t>2024年1月—2024年12月</w:t>
      </w:r>
    </w:p>
    <w:p>
      <w:pPr>
        <w:snapToGrid w:val="0"/>
        <w:spacing w:line="600" w:lineRule="exact"/>
        <w:ind w:firstLineChars="200" w:firstLine="640"/>
        <w:rPr>
          <w:rFonts w:ascii="Times New Roman" w:hAnsi="Times New Roman"/>
          <w:color w:val="0000FF"/>
          <w:sz w:val="32"/>
          <w:szCs w:val="32"/>
        </w:rPr>
      </w:pPr>
      <w:r>
        <w:rPr>
          <w:rFonts w:ascii="楷体_GB2312" w:eastAsia="楷体_GB2312" w:cs="楷体_GB2312" w:hint="eastAsia"/>
          <w:b/>
          <w:bCs/>
          <w:sz w:val="32"/>
          <w:szCs w:val="32"/>
          <w:lang w:val="zh-CN"/>
        </w:rPr>
        <w:t>（六）资金申请情况：</w:t>
      </w:r>
      <w:r>
        <w:rPr>
          <w:rFonts w:ascii="仿宋_GB2312" w:eastAsia="仿宋_GB2312" w:cs="Times New Roman" w:hint="eastAsia"/>
          <w:color w:val="000000"/>
          <w:sz w:val="32"/>
          <w:szCs w:val="32"/>
          <w14:textFill>
            <w14:solidFill>
              <w14:srgbClr w14:val="000000"/>
            </w14:solidFill>
          </w14:textFill>
        </w:rPr>
        <w:t>四川省财政厅 四川省农业农村厅《关于下达</w:t>
      </w:r>
      <w:r>
        <w:rPr>
          <w:rFonts w:ascii="仿宋_GB2312" w:eastAsia="仿宋_GB2312" w:cs="Times New Roman" w:hint="eastAsia"/>
          <w:color w:val="000000"/>
          <w:sz w:val="32"/>
          <w:szCs w:val="32"/>
          <w14:textFill>
            <w14:solidFill>
              <w14:srgbClr w14:val="000000"/>
            </w14:solidFill>
          </w14:textFill>
          <w:lang w:eastAsia="zh-CN"/>
        </w:rPr>
        <w:t>2024</w:t>
      </w:r>
      <w:r>
        <w:rPr>
          <w:rFonts w:ascii="仿宋_GB2312" w:eastAsia="仿宋_GB2312" w:cs="Times New Roman" w:hint="eastAsia"/>
          <w:color w:val="000000"/>
          <w:sz w:val="32"/>
          <w:szCs w:val="32"/>
          <w14:textFill>
            <w14:solidFill>
              <w14:srgbClr w14:val="000000"/>
            </w14:solidFill>
          </w14:textFill>
        </w:rPr>
        <w:t>年中央财政农业资源及生态保护补助资金的通知》（川财农〔</w:t>
      </w:r>
      <w:r>
        <w:rPr>
          <w:rFonts w:ascii="仿宋_GB2312" w:eastAsia="仿宋_GB2312" w:cs="Times New Roman" w:hint="eastAsia"/>
          <w:color w:val="000000"/>
          <w:sz w:val="32"/>
          <w:szCs w:val="32"/>
          <w14:textFill>
            <w14:solidFill>
              <w14:srgbClr w14:val="000000"/>
            </w14:solidFill>
          </w14:textFill>
          <w:lang w:eastAsia="zh-CN"/>
        </w:rPr>
        <w:t>2023</w:t>
      </w:r>
      <w:r>
        <w:rPr>
          <w:rFonts w:ascii="仿宋_GB2312" w:eastAsia="仿宋_GB2312" w:cs="Times New Roman" w:hint="eastAsia"/>
          <w:color w:val="000000"/>
          <w:sz w:val="32"/>
          <w:szCs w:val="32"/>
          <w14:textFill>
            <w14:solidFill>
              <w14:srgbClr w14:val="000000"/>
            </w14:solidFill>
          </w14:textFill>
        </w:rPr>
        <w:t>〕1</w:t>
      </w:r>
      <w:r>
        <w:rPr>
          <w:rFonts w:ascii="仿宋_GB2312" w:eastAsia="仿宋_GB2312" w:cs="Times New Roman" w:hint="eastAsia"/>
          <w:color w:val="000000"/>
          <w:sz w:val="32"/>
          <w:szCs w:val="32"/>
          <w14:textFill>
            <w14:solidFill>
              <w14:srgbClr w14:val="000000"/>
            </w14:solidFill>
          </w14:textFill>
          <w:lang w:val="en-US" w:eastAsia="zh-CN"/>
        </w:rPr>
        <w:t>66</w:t>
      </w:r>
      <w:r>
        <w:rPr>
          <w:rFonts w:ascii="仿宋_GB2312" w:eastAsia="仿宋_GB2312" w:cs="Times New Roman" w:hint="eastAsia"/>
          <w:color w:val="000000"/>
          <w:sz w:val="32"/>
          <w:szCs w:val="32"/>
          <w14:textFill>
            <w14:solidFill>
              <w14:srgbClr w14:val="000000"/>
            </w14:solidFill>
          </w14:textFill>
        </w:rPr>
        <w:t>号）</w:t>
      </w:r>
      <w:r>
        <w:rPr>
          <w:rFonts w:ascii="仿宋_GB2312" w:eastAsia="仿宋_GB2312" w:cs="Times New Roman" w:hint="eastAsia"/>
          <w:color w:val="000000"/>
          <w:sz w:val="32"/>
          <w:szCs w:val="32"/>
          <w14:textFill>
            <w14:solidFill>
              <w14:srgbClr w14:val="000000"/>
            </w14:solidFill>
          </w14:textFill>
          <w:lang w:eastAsia="zh-CN"/>
        </w:rPr>
        <w:t>及</w:t>
      </w:r>
      <w:r>
        <w:rPr>
          <w:rFonts w:ascii="仿宋_GB2312" w:eastAsia="仿宋_GB2312" w:cs="Times New Roman" w:hint="eastAsia"/>
          <w:color w:val="000000"/>
          <w:sz w:val="32"/>
          <w:szCs w:val="32"/>
          <w14:textFill>
            <w14:solidFill>
              <w14:srgbClr w14:val="000000"/>
            </w14:solidFill>
          </w14:textFill>
        </w:rPr>
        <w:t>《阿坝州财政局 阿坝州农业农村局关于下达</w:t>
      </w:r>
      <w:r>
        <w:rPr>
          <w:rFonts w:ascii="仿宋_GB2312" w:eastAsia="仿宋_GB2312" w:cs="Times New Roman" w:hint="eastAsia"/>
          <w:color w:val="000000"/>
          <w:sz w:val="32"/>
          <w:szCs w:val="32"/>
          <w14:textFill>
            <w14:solidFill>
              <w14:srgbClr w14:val="000000"/>
            </w14:solidFill>
          </w14:textFill>
          <w:lang w:eastAsia="zh-CN"/>
        </w:rPr>
        <w:t>2024</w:t>
      </w:r>
      <w:r>
        <w:rPr>
          <w:rFonts w:ascii="仿宋_GB2312" w:eastAsia="仿宋_GB2312" w:cs="Times New Roman" w:hint="eastAsia"/>
          <w:color w:val="000000"/>
          <w:sz w:val="32"/>
          <w:szCs w:val="32"/>
          <w14:textFill>
            <w14:solidFill>
              <w14:srgbClr w14:val="000000"/>
            </w14:solidFill>
          </w14:textFill>
        </w:rPr>
        <w:t>年中央财政农业资源及生态保护补助资金的通知》（阿州财农〔</w:t>
      </w:r>
      <w:r>
        <w:rPr>
          <w:rFonts w:ascii="仿宋_GB2312" w:eastAsia="仿宋_GB2312" w:cs="Times New Roman" w:hint="eastAsia"/>
          <w:color w:val="000000"/>
          <w:sz w:val="32"/>
          <w:szCs w:val="32"/>
          <w14:textFill>
            <w14:solidFill>
              <w14:srgbClr w14:val="000000"/>
            </w14:solidFill>
          </w14:textFill>
          <w:lang w:eastAsia="zh-CN"/>
        </w:rPr>
        <w:t>2023</w:t>
      </w:r>
      <w:r>
        <w:rPr>
          <w:rFonts w:ascii="仿宋_GB2312" w:eastAsia="仿宋_GB2312" w:cs="Times New Roman" w:hint="eastAsia"/>
          <w:color w:val="000000"/>
          <w:sz w:val="32"/>
          <w:szCs w:val="32"/>
          <w14:textFill>
            <w14:solidFill>
              <w14:srgbClr w14:val="000000"/>
            </w14:solidFill>
          </w14:textFill>
        </w:rPr>
        <w:t>〕</w:t>
      </w:r>
      <w:r>
        <w:rPr>
          <w:rFonts w:ascii="仿宋_GB2312" w:eastAsia="仿宋_GB2312" w:cs="Times New Roman" w:hint="eastAsia"/>
          <w:color w:val="000000"/>
          <w:sz w:val="32"/>
          <w:szCs w:val="32"/>
          <w14:textFill>
            <w14:solidFill>
              <w14:srgbClr w14:val="000000"/>
            </w14:solidFill>
          </w14:textFill>
          <w:lang w:val="en-US" w:eastAsia="zh-CN"/>
        </w:rPr>
        <w:t>105</w:t>
      </w:r>
      <w:r>
        <w:rPr>
          <w:rFonts w:ascii="仿宋_GB2312" w:eastAsia="仿宋_GB2312" w:cs="Times New Roman" w:hint="eastAsia"/>
          <w:color w:val="000000"/>
          <w:sz w:val="32"/>
          <w:szCs w:val="32"/>
          <w14:textFill>
            <w14:solidFill>
              <w14:srgbClr w14:val="000000"/>
            </w14:solidFill>
          </w14:textFill>
        </w:rPr>
        <w:t>号）</w:t>
      </w:r>
    </w:p>
    <w:p>
      <w:pPr>
        <w:snapToGrid w:val="0"/>
        <w:spacing w:line="600" w:lineRule="exact"/>
        <w:ind w:firstLineChars="200" w:firstLine="640"/>
        <w:rPr>
          <w:rFonts w:ascii="仿宋_GB2312" w:eastAsia="仿宋_GB2312" w:cs="Times New Roman" w:hint="eastAsia"/>
          <w:color w:val="000000"/>
          <w:sz w:val="32"/>
          <w:szCs w:val="32"/>
          <w:lang w:eastAsia="zh-CN"/>
        </w:rPr>
      </w:pPr>
      <w:r>
        <w:rPr>
          <w:rFonts w:ascii="楷体_GB2312" w:eastAsia="楷体_GB2312" w:cs="楷体_GB2312" w:hint="eastAsia"/>
          <w:b/>
          <w:bCs/>
          <w:sz w:val="32"/>
          <w:szCs w:val="32"/>
          <w:lang w:val="zh-CN"/>
        </w:rPr>
        <w:t>（七）项目概况：</w:t>
      </w:r>
      <w:r>
        <w:rPr>
          <w:rFonts w:ascii="仿宋_GB2312" w:eastAsia="仿宋_GB2312" w:cs="Times New Roman" w:hint="eastAsia"/>
          <w:color w:val="000000"/>
          <w:sz w:val="32"/>
          <w:szCs w:val="32"/>
        </w:rPr>
        <w:t>按照财政部、农业农村部、国家林草局联合印发的《第三轮草原生态保护补助奖励政策实施指导意见》财农〔2021〕82号要求，</w:t>
      </w:r>
      <w:r>
        <w:rPr>
          <w:rFonts w:ascii="仿宋_GB2312" w:eastAsia="仿宋_GB2312" w:cs="Times New Roman" w:hint="eastAsia"/>
          <w:color w:val="000000"/>
          <w:sz w:val="32"/>
          <w:szCs w:val="32"/>
          <w:lang w:val="en-US" w:eastAsia="zh-CN"/>
        </w:rPr>
        <w:t>省</w:t>
      </w:r>
      <w:r>
        <w:rPr>
          <w:rFonts w:ascii="仿宋_GB2312" w:eastAsia="仿宋_GB2312" w:cs="Times New Roman" w:hint="eastAsia"/>
          <w:color w:val="000000"/>
          <w:sz w:val="32"/>
          <w:szCs w:val="32"/>
        </w:rPr>
        <w:t>财政厅、</w:t>
      </w:r>
      <w:r>
        <w:rPr>
          <w:rFonts w:ascii="仿宋_GB2312" w:eastAsia="仿宋_GB2312" w:cs="Times New Roman" w:hint="eastAsia"/>
          <w:color w:val="000000"/>
          <w:sz w:val="32"/>
          <w:szCs w:val="32"/>
          <w:lang w:val="en-US" w:eastAsia="zh-CN"/>
        </w:rPr>
        <w:t>省</w:t>
      </w:r>
      <w:r>
        <w:rPr>
          <w:rFonts w:ascii="仿宋_GB2312" w:eastAsia="仿宋_GB2312" w:cs="Times New Roman" w:hint="eastAsia"/>
          <w:color w:val="000000"/>
          <w:sz w:val="32"/>
          <w:szCs w:val="32"/>
        </w:rPr>
        <w:t>农业农村厅、省林草局联合制定了《四川省第三轮草原生态保护补助奖励政策实施方案（2021</w:t>
      </w:r>
      <w:r>
        <w:rPr>
          <w:rFonts w:ascii="仿宋_GB2312" w:eastAsia="仿宋_GB2312" w:cs="Times New Roman" w:hint="eastAsia"/>
          <w:color w:val="000000"/>
          <w:sz w:val="32"/>
          <w:szCs w:val="32"/>
          <w:lang w:eastAsia="zh-CN"/>
        </w:rPr>
        <w:t>—</w:t>
      </w:r>
      <w:r>
        <w:rPr>
          <w:rFonts w:ascii="仿宋_GB2312" w:eastAsia="仿宋_GB2312" w:cs="Times New Roman" w:hint="eastAsia"/>
          <w:color w:val="000000"/>
          <w:sz w:val="32"/>
          <w:szCs w:val="32"/>
        </w:rPr>
        <w:t>2025年）》的通知（</w:t>
      </w:r>
      <w:r>
        <w:rPr>
          <w:rFonts w:ascii="仿宋_GB2312" w:eastAsia="仿宋_GB2312" w:cs="Times New Roman" w:hint="eastAsia"/>
          <w:color w:val="000000"/>
          <w:sz w:val="32"/>
          <w:szCs w:val="32"/>
          <w:lang w:eastAsia="zh-CN"/>
        </w:rPr>
        <w:t>川财农</w:t>
      </w:r>
      <w:r>
        <w:rPr>
          <w:rFonts w:ascii="仿宋_GB2312" w:eastAsia="仿宋_GB2312" w:cs="Times New Roman" w:hint="eastAsia"/>
          <w:color w:val="000000"/>
          <w:sz w:val="32"/>
          <w:szCs w:val="32"/>
        </w:rPr>
        <w:t>〔20</w:t>
      </w:r>
      <w:r>
        <w:rPr>
          <w:rFonts w:ascii="仿宋_GB2312" w:eastAsia="仿宋_GB2312" w:cs="Times New Roman" w:hint="eastAsia"/>
          <w:color w:val="000000"/>
          <w:sz w:val="32"/>
          <w:szCs w:val="32"/>
          <w:lang w:val="en-US" w:eastAsia="zh-CN"/>
        </w:rPr>
        <w:t>21</w:t>
      </w:r>
      <w:r>
        <w:rPr>
          <w:rFonts w:ascii="仿宋_GB2312" w:eastAsia="仿宋_GB2312" w:cs="Times New Roman" w:hint="eastAsia"/>
          <w:color w:val="000000"/>
          <w:sz w:val="32"/>
          <w:szCs w:val="32"/>
        </w:rPr>
        <w:t>〕</w:t>
      </w:r>
      <w:r>
        <w:rPr>
          <w:rFonts w:ascii="仿宋_GB2312" w:eastAsia="仿宋_GB2312" w:cs="Times New Roman" w:hint="eastAsia"/>
          <w:color w:val="000000"/>
          <w:sz w:val="32"/>
          <w:szCs w:val="32"/>
          <w:lang w:val="en-US" w:eastAsia="zh-CN"/>
        </w:rPr>
        <w:t>129</w:t>
      </w:r>
      <w:r>
        <w:rPr>
          <w:rFonts w:ascii="仿宋_GB2312" w:eastAsia="仿宋_GB2312" w:cs="Times New Roman" w:hint="eastAsia"/>
          <w:color w:val="000000"/>
          <w:sz w:val="32"/>
          <w:szCs w:val="32"/>
        </w:rPr>
        <w:t>号）</w:t>
      </w:r>
      <w:r>
        <w:rPr>
          <w:rFonts w:ascii="仿宋_GB2312" w:eastAsia="仿宋_GB2312" w:cs="Times New Roman" w:hint="eastAsia"/>
          <w:color w:val="000000"/>
          <w:sz w:val="32"/>
          <w:szCs w:val="32"/>
          <w:lang w:val="en-US" w:eastAsia="zh-CN"/>
        </w:rPr>
        <w:t>相关要求，</w:t>
      </w:r>
      <w:r>
        <w:rPr>
          <w:rFonts w:ascii="仿宋_GB2312" w:eastAsia="仿宋_GB2312" w:cs="Times New Roman" w:hint="eastAsia"/>
          <w:color w:val="000000"/>
          <w:sz w:val="32"/>
          <w:szCs w:val="32"/>
        </w:rPr>
        <w:t>确保第三轮草原生态保护补助奖励政策（以下简称草原</w:t>
      </w:r>
      <w:r>
        <w:rPr>
          <w:rFonts w:ascii="仿宋_GB2312" w:eastAsia="仿宋_GB2312" w:cs="Times New Roman" w:hint="eastAsia"/>
          <w:color w:val="000000"/>
          <w:sz w:val="32"/>
          <w:szCs w:val="32"/>
          <w:lang w:eastAsia="zh-CN"/>
        </w:rPr>
        <w:t>奖补</w:t>
      </w:r>
      <w:r>
        <w:rPr>
          <w:rFonts w:ascii="仿宋_GB2312" w:eastAsia="仿宋_GB2312" w:cs="Times New Roman" w:hint="eastAsia"/>
          <w:color w:val="000000"/>
          <w:sz w:val="32"/>
          <w:szCs w:val="32"/>
        </w:rPr>
        <w:t>政策）平稳有效实施</w:t>
      </w:r>
      <w:r>
        <w:rPr>
          <w:rFonts w:ascii="仿宋_GB2312" w:eastAsia="仿宋_GB2312" w:cs="Times New Roman" w:hint="eastAsia"/>
          <w:color w:val="000000"/>
          <w:sz w:val="32"/>
          <w:szCs w:val="32"/>
          <w:lang w:eastAsia="zh-CN"/>
        </w:rPr>
        <w:t>。</w:t>
      </w:r>
      <w:r>
        <w:rPr>
          <w:rFonts w:ascii="仿宋_GB2312" w:eastAsia="仿宋_GB2312" w:cs="Times New Roman" w:hint="eastAsia"/>
          <w:color w:val="000000"/>
          <w:sz w:val="32"/>
          <w:szCs w:val="32"/>
          <w:lang w:val="en-US" w:eastAsia="zh-CN"/>
        </w:rPr>
        <w:t>2024年</w:t>
      </w:r>
      <w:r>
        <w:rPr>
          <w:rFonts w:ascii="仿宋_GB2312" w:eastAsia="仿宋_GB2312" w:cs="Times New Roman" w:hint="eastAsia"/>
          <w:color w:val="000000"/>
          <w:sz w:val="32"/>
          <w:szCs w:val="32"/>
          <w:lang w:eastAsia="zh-CN"/>
        </w:rPr>
        <w:t>通过实施草原</w:t>
      </w:r>
      <w:r>
        <w:rPr>
          <w:rFonts w:ascii="仿宋_GB2312" w:eastAsia="仿宋_GB2312" w:cs="Times New Roman" w:hint="eastAsia"/>
          <w:color w:val="000000"/>
          <w:sz w:val="32"/>
          <w:szCs w:val="32"/>
          <w:lang w:val="en-US" w:eastAsia="zh-CN"/>
        </w:rPr>
        <w:t>生态保护补助奖励</w:t>
      </w:r>
      <w:r>
        <w:rPr>
          <w:rFonts w:ascii="仿宋_GB2312" w:eastAsia="仿宋_GB2312" w:cs="Times New Roman" w:hint="eastAsia"/>
          <w:color w:val="000000"/>
          <w:sz w:val="32"/>
          <w:szCs w:val="32"/>
          <w:lang w:eastAsia="zh-CN"/>
        </w:rPr>
        <w:t>政策，在全县</w:t>
      </w:r>
      <w:r>
        <w:rPr>
          <w:rFonts w:ascii="仿宋_GB2312" w:eastAsia="仿宋_GB2312" w:cs="Times New Roman" w:hint="eastAsia"/>
          <w:color w:val="000000"/>
          <w:sz w:val="32"/>
          <w:szCs w:val="32"/>
          <w:lang w:val="en-US" w:eastAsia="zh-CN"/>
        </w:rPr>
        <w:t>19个乡镇的</w:t>
      </w:r>
      <w:r>
        <w:rPr>
          <w:rFonts w:ascii="仿宋_GB2312" w:eastAsia="仿宋_GB2312" w:cs="Times New Roman" w:hint="eastAsia"/>
          <w:color w:val="000000"/>
          <w:sz w:val="32"/>
          <w:szCs w:val="32"/>
          <w:lang w:eastAsia="zh-CN"/>
        </w:rPr>
        <w:t>农（</w:t>
      </w:r>
      <w:r>
        <w:rPr>
          <w:rFonts w:ascii="仿宋_GB2312" w:eastAsia="仿宋_GB2312" w:cs="Times New Roman" w:hint="eastAsia"/>
          <w:color w:val="000000"/>
          <w:sz w:val="32"/>
          <w:szCs w:val="32"/>
          <w:lang w:val="en-US" w:eastAsia="zh-CN"/>
        </w:rPr>
        <w:t>牧</w:t>
      </w:r>
      <w:r>
        <w:rPr>
          <w:rFonts w:ascii="仿宋_GB2312" w:eastAsia="仿宋_GB2312" w:cs="Times New Roman" w:hint="eastAsia"/>
          <w:color w:val="000000"/>
          <w:sz w:val="32"/>
          <w:szCs w:val="32"/>
          <w:lang w:eastAsia="zh-CN"/>
        </w:rPr>
        <w:t>）区推行草原禁牧和草畜平衡制度，实施草原禁牧</w:t>
      </w:r>
      <w:r>
        <w:rPr>
          <w:rFonts w:ascii="仿宋_GB2312" w:eastAsia="仿宋_GB2312" w:cs="Times New Roman" w:hint="eastAsia"/>
          <w:color w:val="000000"/>
          <w:sz w:val="32"/>
          <w:szCs w:val="32"/>
          <w:lang w:val="en-US" w:eastAsia="zh-CN"/>
        </w:rPr>
        <w:t>62</w:t>
      </w:r>
      <w:r>
        <w:rPr>
          <w:rFonts w:ascii="仿宋_GB2312" w:eastAsia="仿宋_GB2312" w:cs="Times New Roman" w:hint="eastAsia"/>
          <w:color w:val="000000"/>
          <w:sz w:val="32"/>
          <w:szCs w:val="32"/>
          <w:lang w:eastAsia="zh-CN"/>
        </w:rPr>
        <w:t>万亩，草畜平衡</w:t>
      </w:r>
      <w:r>
        <w:rPr>
          <w:rFonts w:ascii="仿宋_GB2312" w:eastAsia="仿宋_GB2312" w:cs="Times New Roman" w:hint="eastAsia"/>
          <w:color w:val="000000"/>
          <w:sz w:val="32"/>
          <w:szCs w:val="32"/>
          <w:lang w:val="en-US" w:eastAsia="zh-CN"/>
        </w:rPr>
        <w:t>219.5</w:t>
      </w:r>
      <w:r>
        <w:rPr>
          <w:rFonts w:ascii="仿宋_GB2312" w:eastAsia="仿宋_GB2312" w:cs="Times New Roman" w:hint="eastAsia"/>
          <w:color w:val="000000"/>
          <w:sz w:val="32"/>
          <w:szCs w:val="32"/>
          <w:lang w:eastAsia="zh-CN"/>
        </w:rPr>
        <w:t>万亩，</w:t>
      </w:r>
      <w:r>
        <w:rPr>
          <w:rFonts w:ascii="仿宋_GB2312" w:eastAsia="仿宋_GB2312" w:cs="Times New Roman" w:hint="eastAsia"/>
          <w:color w:val="000000"/>
          <w:sz w:val="32"/>
          <w:szCs w:val="32"/>
          <w:lang w:val="en-US" w:eastAsia="zh-CN"/>
        </w:rPr>
        <w:t>中央财政按照每年每亩7.65元的测算标准给予禁牧补助；对禁牧区域以外的草原根据承载能力核定合理载畜量，实施草畜平衡管理，中央财政对履行草畜平衡义务的牧民按照每年每亩2.5元的测算标准给予草畜平衡奖励，两项补助共计1023.05万元，</w:t>
      </w:r>
      <w:r>
        <w:rPr>
          <w:rFonts w:ascii="仿宋_GB2312" w:eastAsia="仿宋_GB2312" w:cs="Times New Roman" w:hint="eastAsia"/>
          <w:color w:val="000000"/>
          <w:sz w:val="32"/>
          <w:szCs w:val="32"/>
          <w:lang w:eastAsia="zh-CN"/>
        </w:rPr>
        <w:t>各级党委、政府高度重视，农牧、财政等部门精心组织、周密部署、扎实推进，在加强组织协调、严格资金监管、配套政策制度、加强宣传培训、</w:t>
      </w:r>
      <w:r>
        <w:rPr>
          <w:rFonts w:ascii="仿宋_GB2312" w:eastAsia="仿宋_GB2312" w:cs="Times New Roman" w:hint="eastAsia"/>
          <w:color w:val="000000"/>
          <w:sz w:val="32"/>
          <w:szCs w:val="32"/>
        </w:rPr>
        <w:t>加大督查指导、强化监理监测等六个方面着力，推进草原</w:t>
      </w:r>
      <w:r>
        <w:rPr>
          <w:rFonts w:ascii="仿宋_GB2312" w:eastAsia="仿宋_GB2312" w:cs="Times New Roman" w:hint="eastAsia"/>
          <w:color w:val="000000"/>
          <w:sz w:val="32"/>
          <w:szCs w:val="32"/>
          <w:lang w:eastAsia="zh-CN"/>
        </w:rPr>
        <w:t>奖补</w:t>
      </w:r>
      <w:r>
        <w:rPr>
          <w:rFonts w:ascii="仿宋_GB2312" w:eastAsia="仿宋_GB2312" w:cs="Times New Roman" w:hint="eastAsia"/>
          <w:color w:val="000000"/>
          <w:sz w:val="32"/>
          <w:szCs w:val="32"/>
        </w:rPr>
        <w:t>政策的实施</w:t>
      </w:r>
      <w:r>
        <w:rPr>
          <w:rFonts w:ascii="仿宋_GB2312" w:eastAsia="仿宋_GB2312" w:cs="Times New Roman" w:hint="eastAsia"/>
          <w:color w:val="000000"/>
          <w:sz w:val="32"/>
          <w:szCs w:val="32"/>
          <w:lang w:eastAsia="zh-CN"/>
        </w:rPr>
        <w:t>。</w:t>
      </w:r>
    </w:p>
    <w:p>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firstLineChars="200" w:firstLine="640"/>
        <w:textAlignment w:val="auto"/>
        <w:rPr>
          <w:rStyle w:val="2Char"/>
          <w:rFonts w:ascii="黑体" w:eastAsia="黑体" w:hint="eastAsia"/>
          <w:b w:val="0"/>
          <w:lang w:val="zh-CN" w:eastAsia="zh-CN"/>
        </w:rPr>
      </w:pPr>
      <w:r>
        <w:rPr>
          <w:rStyle w:val="2Char"/>
          <w:rFonts w:ascii="黑体" w:eastAsia="黑体" w:hint="eastAsia"/>
          <w:b w:val="0"/>
          <w:lang w:val="zh-CN" w:eastAsia="zh-CN"/>
        </w:rPr>
        <w:t>二、评估原则</w:t>
      </w:r>
    </w:p>
    <w:p>
      <w:pPr>
        <w:snapToGrid w:val="0"/>
        <w:spacing w:line="600" w:lineRule="exact"/>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eastAsia="zh-CN"/>
        </w:rPr>
        <w:t>根据2024年预算编制要求，绩效评估本着真正过紧日子的原则，厉行节约、精打细算，从严从紧控制项目申报和预算安排，非必要项目和工作内容可压尽压、应压尽压，做到客观、绩效、精准。</w:t>
      </w:r>
    </w:p>
    <w:p>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firstLineChars="200" w:firstLine="640"/>
        <w:textAlignment w:val="auto"/>
        <w:rPr>
          <w:rStyle w:val="2Char"/>
          <w:rFonts w:ascii="黑体" w:eastAsia="黑体" w:hint="eastAsia"/>
          <w:b w:val="0"/>
          <w:lang w:val="zh-CN" w:eastAsia="zh-CN"/>
        </w:rPr>
      </w:pPr>
      <w:r>
        <w:rPr>
          <w:rStyle w:val="2Char"/>
          <w:rFonts w:ascii="黑体" w:eastAsia="黑体" w:hint="eastAsia"/>
          <w:b w:val="0"/>
          <w:lang w:val="zh-CN" w:eastAsia="zh-CN"/>
        </w:rPr>
        <w:t>三、评估目的</w:t>
      </w:r>
    </w:p>
    <w:p>
      <w:pPr>
        <w:snapToGrid w:val="0"/>
        <w:spacing w:line="600" w:lineRule="exact"/>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eastAsia="zh-CN"/>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firstLineChars="200" w:firstLine="640"/>
        <w:textAlignment w:val="auto"/>
        <w:rPr>
          <w:rStyle w:val="2Char"/>
          <w:rFonts w:ascii="黑体" w:eastAsia="黑体" w:hint="eastAsia"/>
          <w:b w:val="0"/>
          <w:lang w:val="zh-CN" w:eastAsia="zh-CN"/>
        </w:rPr>
      </w:pPr>
      <w:r>
        <w:rPr>
          <w:rStyle w:val="2Char"/>
          <w:rFonts w:ascii="黑体" w:eastAsia="黑体" w:hint="eastAsia"/>
          <w:b w:val="0"/>
          <w:lang w:val="zh-CN" w:eastAsia="zh-CN"/>
        </w:rPr>
        <w:t>四、评估方式和方法</w:t>
      </w:r>
    </w:p>
    <w:p>
      <w:pPr>
        <w:snapToGrid w:val="0"/>
        <w:spacing w:line="600" w:lineRule="exact"/>
        <w:ind w:firstLineChars="200" w:firstLine="640"/>
        <w:rPr>
          <w:rFonts w:ascii="仿宋_GB2312" w:eastAsia="仿宋_GB2312" w:cs="Times New Roman" w:hint="eastAsia"/>
          <w:color w:val="000000"/>
          <w:sz w:val="32"/>
          <w:szCs w:val="32"/>
          <w:lang w:eastAsia="zh-CN"/>
        </w:rPr>
      </w:pPr>
      <w:r>
        <w:rPr>
          <w:rFonts w:ascii="楷体_GB2312" w:eastAsia="楷体_GB2312" w:cs="楷体_GB2312" w:hint="eastAsia"/>
          <w:b/>
          <w:bCs/>
          <w:sz w:val="32"/>
          <w:szCs w:val="32"/>
          <w:lang w:val="zh-CN" w:eastAsia="zh-CN"/>
        </w:rPr>
        <w:t>（一）评估方式</w:t>
      </w:r>
    </w:p>
    <w:p>
      <w:pPr>
        <w:snapToGrid w:val="0"/>
        <w:spacing w:line="600" w:lineRule="exact"/>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eastAsia="zh-CN"/>
        </w:rPr>
        <w:t>按照有关规定和工作安排，我单位开展自行评估，通过网络调查</w:t>
      </w:r>
      <w:r>
        <w:rPr>
          <w:rFonts w:ascii="仿宋_GB2312" w:eastAsia="仿宋_GB2312" w:cs="Times New Roman" w:hint="eastAsia"/>
          <w:color w:val="000000"/>
          <w:sz w:val="32"/>
          <w:szCs w:val="32"/>
          <w:lang w:val="en-US" w:eastAsia="zh-CN"/>
        </w:rPr>
        <w:t>、</w:t>
      </w:r>
      <w:r>
        <w:rPr>
          <w:rFonts w:ascii="仿宋_GB2312" w:eastAsia="仿宋_GB2312" w:cs="Times New Roman" w:hint="eastAsia"/>
          <w:color w:val="000000"/>
          <w:sz w:val="32"/>
          <w:szCs w:val="32"/>
          <w:lang w:eastAsia="zh-CN"/>
        </w:rPr>
        <w:t>电话咨询</w:t>
      </w:r>
      <w:r>
        <w:rPr>
          <w:rFonts w:ascii="仿宋_GB2312" w:eastAsia="仿宋_GB2312" w:cs="Times New Roman" w:hint="eastAsia"/>
          <w:color w:val="000000"/>
          <w:sz w:val="32"/>
          <w:szCs w:val="32"/>
          <w:lang w:val="en-US" w:eastAsia="zh-CN"/>
        </w:rPr>
        <w:t>、</w:t>
      </w:r>
      <w:r>
        <w:rPr>
          <w:rFonts w:ascii="仿宋_GB2312" w:eastAsia="仿宋_GB2312" w:cs="Times New Roman" w:hint="eastAsia"/>
          <w:color w:val="000000"/>
          <w:sz w:val="32"/>
          <w:szCs w:val="32"/>
          <w:lang w:eastAsia="zh-CN"/>
        </w:rPr>
        <w:t>召开座谈会</w:t>
      </w:r>
      <w:r>
        <w:rPr>
          <w:rFonts w:ascii="仿宋_GB2312" w:eastAsia="仿宋_GB2312" w:cs="Times New Roman" w:hint="eastAsia"/>
          <w:color w:val="000000"/>
          <w:sz w:val="32"/>
          <w:szCs w:val="32"/>
          <w:lang w:val="en-US" w:eastAsia="zh-CN"/>
        </w:rPr>
        <w:t>、</w:t>
      </w:r>
      <w:r>
        <w:rPr>
          <w:rFonts w:ascii="仿宋_GB2312" w:eastAsia="仿宋_GB2312" w:cs="Times New Roman" w:hint="eastAsia"/>
          <w:color w:val="000000"/>
          <w:sz w:val="32"/>
          <w:szCs w:val="32"/>
          <w:lang w:eastAsia="zh-CN"/>
        </w:rPr>
        <w:t>问卷调查、人大代表和政协委员参与等方式，收集被评估项目相关基础资料，查阅资料、收集数据信息等，深入论证分析后，形成绩效评估报告。</w:t>
      </w:r>
    </w:p>
    <w:p>
      <w:pPr>
        <w:snapToGrid w:val="0"/>
        <w:spacing w:line="600" w:lineRule="exact"/>
        <w:ind w:firstLineChars="200" w:firstLine="640"/>
        <w:rPr>
          <w:rFonts w:ascii="楷体_GB2312" w:eastAsia="楷体_GB2312" w:cs="楷体_GB2312" w:hint="eastAsia"/>
          <w:b/>
          <w:bCs/>
          <w:sz w:val="32"/>
          <w:szCs w:val="32"/>
          <w:lang w:val="zh-CN" w:eastAsia="zh-CN"/>
        </w:rPr>
      </w:pPr>
      <w:r>
        <w:rPr>
          <w:rFonts w:ascii="楷体_GB2312" w:eastAsia="楷体_GB2312" w:cs="楷体_GB2312" w:hint="eastAsia"/>
          <w:b/>
          <w:bCs/>
          <w:sz w:val="32"/>
          <w:szCs w:val="32"/>
          <w:lang w:val="zh-CN" w:eastAsia="zh-CN"/>
        </w:rPr>
        <w:t>（二）评估方法</w:t>
      </w:r>
    </w:p>
    <w:p>
      <w:pPr>
        <w:snapToGrid w:val="0"/>
        <w:spacing w:line="600" w:lineRule="exact"/>
        <w:ind w:firstLineChars="200" w:firstLine="640"/>
        <w:rPr>
          <w:rFonts w:ascii="仿宋_GB2312" w:eastAsia="仿宋_GB2312" w:cs="Times New Roman" w:hint="eastAsia"/>
          <w:color w:val="000000"/>
          <w:sz w:val="32"/>
          <w:szCs w:val="32"/>
          <w:lang w:eastAsia="zh-CN"/>
        </w:rPr>
      </w:pPr>
      <w:r>
        <w:rPr>
          <w:rFonts w:ascii="仿宋_GB2312" w:eastAsia="仿宋_GB2312" w:cs="Times New Roman" w:hint="eastAsia"/>
          <w:color w:val="000000"/>
          <w:sz w:val="32"/>
          <w:szCs w:val="32"/>
          <w:lang w:eastAsia="zh-CN"/>
        </w:rPr>
        <w:t>本项目采用成本效益分析法、比较法、因素分析法、最低成本法、公众评判法等，对项目的立项必要性、投入经济性、目标合理性、方案可行性以及筹资合规性实施评估。</w:t>
      </w:r>
    </w:p>
    <w:p>
      <w:pPr>
        <w:keepNext w:val="0"/>
        <w:keepLines w:val="0"/>
        <w:pageBreakBefore w:val="0"/>
        <w:widowControl w:val="0"/>
        <w:tabs>
          <w:tab w:val="left" w:pos="0"/>
        </w:tabs>
        <w:kinsoku/>
        <w:wordWrap/>
        <w:overflowPunct/>
        <w:topLinePunct w:val="0"/>
        <w:autoSpaceDE/>
        <w:autoSpaceDN/>
        <w:bidi w:val="0"/>
        <w:adjustRightInd w:val="0"/>
        <w:snapToGrid w:val="0"/>
        <w:spacing w:line="560" w:lineRule="exact"/>
        <w:ind w:left="0" w:firstLineChars="200" w:firstLine="640"/>
        <w:textAlignment w:val="auto"/>
        <w:rPr>
          <w:rStyle w:val="2Char"/>
          <w:rFonts w:ascii="黑体" w:eastAsia="黑体" w:hint="eastAsia"/>
          <w:b w:val="0"/>
          <w:lang w:val="zh-CN" w:eastAsia="zh-CN"/>
        </w:rPr>
      </w:pPr>
      <w:r>
        <w:rPr>
          <w:rStyle w:val="2Char"/>
          <w:rFonts w:ascii="黑体" w:eastAsia="黑体" w:hint="eastAsia"/>
          <w:b w:val="0"/>
          <w:lang w:val="zh-CN" w:eastAsia="zh-CN"/>
        </w:rPr>
        <w:t>五、评估内容</w:t>
      </w:r>
    </w:p>
    <w:p>
      <w:pPr>
        <w:snapToGrid w:val="0"/>
        <w:spacing w:line="600" w:lineRule="exact"/>
        <w:ind w:firstLineChars="200" w:firstLine="640"/>
        <w:rPr>
          <w:rFonts w:ascii="仿宋_GB2312" w:eastAsia="仿宋_GB2312" w:cs="Times New Roman" w:hint="eastAsia"/>
          <w:color w:val="000000"/>
          <w:sz w:val="32"/>
          <w:szCs w:val="32"/>
          <w:lang w:eastAsia="zh-CN"/>
        </w:rPr>
      </w:pPr>
      <w:r>
        <w:rPr>
          <w:rFonts w:ascii="楷体_GB2312" w:eastAsia="楷体_GB2312" w:cs="楷体_GB2312" w:hint="eastAsia"/>
          <w:b/>
          <w:bCs/>
          <w:sz w:val="32"/>
          <w:szCs w:val="32"/>
          <w:lang w:val="zh-CN" w:eastAsia="zh-CN"/>
        </w:rPr>
        <w:t>（一）立项必要性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Times New Roman"/>
          <w:color w:val="000000"/>
          <w:sz w:val="32"/>
          <w:szCs w:val="32"/>
          <w:lang w:val="en-US" w:eastAsia="zh-CN"/>
        </w:rPr>
      </w:pPr>
      <w:r>
        <w:rPr>
          <w:rFonts w:ascii="仿宋_GB2312" w:eastAsia="仿宋_GB2312" w:hint="eastAsia"/>
          <w:color w:val="000000"/>
          <w:sz w:val="32"/>
          <w:szCs w:val="32"/>
          <w:lang w:eastAsia="zh-CN"/>
        </w:rPr>
        <w:t>依据《</w:t>
      </w:r>
      <w:r>
        <w:rPr>
          <w:rFonts w:ascii="仿宋_GB2312" w:eastAsia="仿宋_GB2312" w:hint="eastAsia"/>
          <w:color w:val="000000"/>
          <w:sz w:val="32"/>
          <w:szCs w:val="32"/>
          <w:lang w:val="en-US" w:eastAsia="zh-CN"/>
        </w:rPr>
        <w:t>财政部、农业农村部关于做好建立生态保护奖励机制前期工作的通知</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财农</w:t>
      </w:r>
      <w:r>
        <w:rPr>
          <w:rFonts w:ascii="仿宋_GB2312" w:eastAsia="仿宋_GB2312" w:cs="Times New Roman" w:hint="eastAsia"/>
          <w:color w:val="000000"/>
          <w:sz w:val="32"/>
          <w:szCs w:val="32"/>
        </w:rPr>
        <w:t>〔20</w:t>
      </w:r>
      <w:r>
        <w:rPr>
          <w:rFonts w:ascii="仿宋_GB2312" w:eastAsia="仿宋_GB2312" w:cs="Times New Roman" w:hint="eastAsia"/>
          <w:color w:val="000000"/>
          <w:sz w:val="32"/>
          <w:szCs w:val="32"/>
          <w:lang w:val="en-US" w:eastAsia="zh-CN"/>
        </w:rPr>
        <w:t>10</w:t>
      </w:r>
      <w:r>
        <w:rPr>
          <w:rFonts w:ascii="仿宋_GB2312" w:eastAsia="仿宋_GB2312" w:cs="Times New Roman" w:hint="eastAsia"/>
          <w:color w:val="000000"/>
          <w:sz w:val="32"/>
          <w:szCs w:val="32"/>
        </w:rPr>
        <w:t>〕</w:t>
      </w:r>
      <w:r>
        <w:rPr>
          <w:rFonts w:ascii="仿宋_GB2312" w:eastAsia="仿宋_GB2312" w:cs="Times New Roman" w:hint="eastAsia"/>
          <w:color w:val="000000"/>
          <w:sz w:val="32"/>
          <w:szCs w:val="32"/>
          <w:lang w:val="en-US" w:eastAsia="zh-CN"/>
        </w:rPr>
        <w:t>568</w:t>
      </w:r>
      <w:r>
        <w:rPr>
          <w:rFonts w:ascii="仿宋_GB2312" w:eastAsia="仿宋_GB2312" w:cs="Times New Roman" w:hint="eastAsia"/>
          <w:color w:val="000000"/>
          <w:sz w:val="32"/>
          <w:szCs w:val="32"/>
        </w:rPr>
        <w:t>号</w:t>
      </w:r>
      <w:r>
        <w:rPr>
          <w:rFonts w:ascii="仿宋_GB2312" w:eastAsia="仿宋_GB2312" w:hint="eastAsia"/>
          <w:color w:val="000000"/>
          <w:sz w:val="32"/>
          <w:szCs w:val="32"/>
          <w:lang w:eastAsia="zh-CN"/>
        </w:rPr>
        <w:t>）文件，为</w:t>
      </w:r>
      <w:r>
        <w:rPr>
          <w:rFonts w:ascii="仿宋_GB2312" w:eastAsia="仿宋_GB2312" w:hint="eastAsia"/>
          <w:color w:val="000000"/>
          <w:sz w:val="32"/>
          <w:szCs w:val="32"/>
          <w:lang w:val="en-US" w:eastAsia="zh-CN"/>
        </w:rPr>
        <w:t>切实保护草原生态环境、全面实施好草原生态保护奖励机制政策，实现草原畜牧业可持续发展。</w:t>
      </w:r>
    </w:p>
    <w:p>
      <w:pPr>
        <w:pStyle w:val="30"/>
        <w:numPr>
          <w:ilvl w:val="0"/>
          <w:numId w:val="6"/>
        </w:numPr>
        <w:spacing w:line="560" w:lineRule="exact"/>
        <w:ind w:left="0" w:firstLineChars="200" w:firstLine="640"/>
        <w:rPr>
          <w:rFonts w:ascii="楷体_GB2312" w:eastAsia="楷体_GB2312" w:cs="楷体_GB2312" w:hint="eastAsia"/>
          <w:b/>
          <w:bCs/>
          <w:kern w:val="2"/>
          <w:sz w:val="32"/>
          <w:szCs w:val="32"/>
          <w:lang w:val="zh-CN" w:eastAsia="zh-CN" w:bidi="ar-SA"/>
        </w:rPr>
      </w:pPr>
      <w:r>
        <w:rPr>
          <w:rFonts w:ascii="楷体_GB2312" w:eastAsia="楷体_GB2312" w:cs="楷体_GB2312" w:hint="eastAsia"/>
          <w:b/>
          <w:bCs/>
          <w:kern w:val="2"/>
          <w:sz w:val="32"/>
          <w:szCs w:val="32"/>
          <w:lang w:val="zh-CN" w:eastAsia="zh-CN" w:bidi="ar-SA"/>
        </w:rPr>
        <w:t>投入经济性</w:t>
      </w:r>
    </w:p>
    <w:p>
      <w:pPr>
        <w:pStyle w:val="30"/>
        <w:spacing w:line="560" w:lineRule="exact"/>
        <w:ind w:left="0" w:firstLineChars="200" w:firstLine="640"/>
        <w:rPr>
          <w:rFonts w:ascii="仿宋_GB2312" w:hint="eastAsia"/>
          <w:u w:val="single"/>
        </w:rPr>
      </w:pPr>
      <w:r>
        <w:rPr>
          <w:rFonts w:ascii="仿宋_GB2312" w:eastAsia="仿宋_GB2312" w:hint="eastAsia"/>
        </w:rPr>
        <w:t>该项目申报预算</w:t>
      </w:r>
      <w:r>
        <w:rPr>
          <w:rFonts w:ascii="仿宋_GB2312" w:hint="eastAsia"/>
          <w:u w:val="single"/>
        </w:rPr>
        <w:t xml:space="preserve"> </w:t>
      </w:r>
      <w:r>
        <w:rPr>
          <w:rFonts w:ascii="仿宋_GB2312" w:hint="eastAsia"/>
          <w:u w:val="single"/>
          <w:lang w:val="en-US" w:eastAsia="zh-CN"/>
        </w:rPr>
        <w:t>1023.05</w:t>
      </w:r>
      <w:r>
        <w:rPr>
          <w:rFonts w:ascii="仿宋_GB2312" w:eastAsia="仿宋_GB2312" w:hint="eastAsia"/>
        </w:rPr>
        <w:t>万元，年度申报金额为</w:t>
      </w:r>
      <w:r>
        <w:rPr>
          <w:rFonts w:ascii="仿宋_GB2312" w:hint="eastAsia"/>
          <w:u w:val="single"/>
        </w:rPr>
        <w:t xml:space="preserve"> </w:t>
      </w:r>
      <w:r>
        <w:rPr>
          <w:rFonts w:ascii="仿宋_GB2312" w:hint="eastAsia"/>
          <w:u w:val="single"/>
          <w:lang w:val="en-US" w:eastAsia="zh-CN"/>
        </w:rPr>
        <w:t>1023.05</w:t>
      </w:r>
      <w:r>
        <w:rPr>
          <w:rFonts w:ascii="仿宋_GB2312" w:hint="eastAsia"/>
          <w:u w:val="single"/>
        </w:rPr>
        <w:t xml:space="preserve"> </w:t>
      </w:r>
      <w:r>
        <w:rPr>
          <w:rFonts w:ascii="仿宋_GB2312" w:eastAsia="仿宋_GB2312" w:hint="eastAsia"/>
        </w:rPr>
        <w:t>万元，具体</w:t>
      </w:r>
      <w:r>
        <w:rPr>
          <w:rFonts w:ascii="仿宋_GB2312" w:hint="eastAsia"/>
          <w:lang w:val="en-US" w:eastAsia="zh-CN"/>
        </w:rPr>
        <w:t>由两部分组成：1、实施草原禁牧补助474.3万元；实施草畜平衡补助548.75万元。</w:t>
      </w:r>
      <w:r>
        <w:rPr>
          <w:rFonts w:ascii="仿宋_GB2312" w:eastAsia="仿宋_GB2312" w:hint="eastAsia"/>
        </w:rPr>
        <w:t>资金来源为</w:t>
      </w:r>
      <w:r>
        <w:rPr>
          <w:rFonts w:ascii="仿宋_GB2312" w:hint="eastAsia"/>
          <w:u w:val="single"/>
          <w:lang w:val="en-US" w:eastAsia="zh-CN"/>
        </w:rPr>
        <w:t>中央财政补助</w:t>
      </w:r>
      <w:r>
        <w:rPr>
          <w:rFonts w:ascii="仿宋_GB2312" w:eastAsia="仿宋_GB2312" w:hint="eastAsia"/>
          <w:u w:val="single"/>
        </w:rPr>
        <w:t>资金</w:t>
      </w:r>
      <w:r>
        <w:rPr>
          <w:rFonts w:ascii="仿宋_GB2312" w:hint="eastAsia"/>
          <w:u w:val="single"/>
          <w:lang w:eastAsia="zh-CN"/>
        </w:rPr>
        <w:t>。</w:t>
      </w:r>
      <w:r>
        <w:rPr>
          <w:rFonts w:ascii="仿宋_GB2312" w:eastAsia="仿宋_GB2312" w:hint="eastAsia"/>
        </w:rPr>
        <w:t>本次对项目投入经济性的评估是在项目事前绩效评估、预算测算的基础上，按照厉行节约的要求，</w:t>
      </w:r>
      <w:r>
        <w:rPr>
          <w:rFonts w:ascii="仿宋_GB2312" w:eastAsia="仿宋_GB2312" w:hint="eastAsia"/>
          <w:u w:val="none"/>
        </w:rPr>
        <w:t>结合项目</w:t>
      </w:r>
      <w:r>
        <w:rPr>
          <w:rFonts w:ascii="仿宋_GB2312" w:hint="eastAsia"/>
          <w:u w:val="none"/>
          <w:lang w:eastAsia="zh-CN"/>
        </w:rPr>
        <w:t>2024</w:t>
      </w:r>
      <w:r>
        <w:rPr>
          <w:rFonts w:ascii="仿宋_GB2312" w:eastAsia="仿宋_GB2312" w:hint="eastAsia"/>
          <w:u w:val="none"/>
        </w:rPr>
        <w:t>年实际需求、相关费用标准及市场价格水平，该项目任务数量基本合理、预算测算过程较为详细、测算依据基本充分</w:t>
      </w:r>
      <w:r>
        <w:rPr>
          <w:rFonts w:ascii="仿宋_GB2312" w:hint="eastAsia"/>
          <w:u w:val="none"/>
          <w:lang w:eastAsia="zh-CN"/>
        </w:rPr>
        <w:t>、具</w:t>
      </w:r>
      <w:r>
        <w:rPr>
          <w:rFonts w:ascii="仿宋_GB2312" w:eastAsia="仿宋_GB2312" w:hint="eastAsia"/>
          <w:u w:val="none"/>
        </w:rPr>
        <w:t>有一定的经济性</w:t>
      </w:r>
      <w:r>
        <w:rPr>
          <w:rFonts w:ascii="仿宋_GB2312" w:eastAsia="仿宋_GB2312" w:hint="eastAsia"/>
        </w:rPr>
        <w:t>。</w:t>
      </w:r>
    </w:p>
    <w:p>
      <w:pPr>
        <w:snapToGrid w:val="0"/>
        <w:spacing w:line="600" w:lineRule="exact"/>
        <w:ind w:firstLineChars="200" w:firstLine="640"/>
        <w:rPr>
          <w:rFonts w:ascii="楷体_GB2312" w:eastAsia="楷体_GB2312" w:cs="楷体_GB2312" w:hint="eastAsia"/>
          <w:b/>
          <w:bCs/>
          <w:sz w:val="32"/>
          <w:szCs w:val="32"/>
          <w:lang w:val="zh-CN" w:eastAsia="zh-CN"/>
        </w:rPr>
      </w:pPr>
      <w:r>
        <w:rPr>
          <w:rFonts w:ascii="楷体_GB2312" w:eastAsia="楷体_GB2312" w:cs="楷体_GB2312" w:hint="eastAsia"/>
          <w:b/>
          <w:bCs/>
          <w:sz w:val="32"/>
          <w:szCs w:val="32"/>
          <w:lang w:val="zh-CN" w:eastAsia="zh-CN"/>
        </w:rPr>
        <w:t>（</w:t>
      </w:r>
      <w:r>
        <w:rPr>
          <w:rFonts w:ascii="楷体_GB2312" w:eastAsia="楷体_GB2312" w:cs="楷体_GB2312" w:hint="eastAsia"/>
          <w:b/>
          <w:bCs/>
          <w:sz w:val="32"/>
          <w:szCs w:val="32"/>
          <w:lang w:val="en-US" w:eastAsia="zh-CN"/>
        </w:rPr>
        <w:t>三</w:t>
      </w:r>
      <w:r>
        <w:rPr>
          <w:rFonts w:ascii="楷体_GB2312" w:eastAsia="楷体_GB2312" w:cs="楷体_GB2312" w:hint="eastAsia"/>
          <w:b/>
          <w:bCs/>
          <w:sz w:val="32"/>
          <w:szCs w:val="32"/>
          <w:lang w:val="zh-CN" w:eastAsia="zh-CN"/>
        </w:rPr>
        <w:t>）目标合理性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Times New Roman" w:hint="eastAsia"/>
          <w:color w:val="000000"/>
          <w:sz w:val="32"/>
          <w:szCs w:val="32"/>
          <w:lang w:val="en-US" w:eastAsia="zh-CN"/>
        </w:rPr>
      </w:pPr>
      <w:r>
        <w:rPr>
          <w:rFonts w:ascii="仿宋_GB2312" w:eastAsia="仿宋_GB2312" w:cs="Times New Roman" w:hint="eastAsia"/>
          <w:color w:val="000000"/>
          <w:sz w:val="32"/>
          <w:szCs w:val="32"/>
          <w:lang w:val="en-US" w:eastAsia="zh-CN"/>
        </w:rPr>
        <w:t>通过实施草原奖补政策，全面推行草原禁牧休牧轮牧和草畜平衡制度，保护基本草原，促进草原生态环境稳步恢复；加快推动草牧业发展方式转变，提升特色畜产品生产供给水平，促进牧区经济可持续发展；不断扩宽农牧民增收渠道，稳步提高农牧民收入水平，为加快建设生态文明、全面建成小康社会、</w:t>
      </w:r>
      <w:r>
        <w:rPr>
          <w:rFonts w:ascii="仿宋_GB2312" w:eastAsia="仿宋_GB2312" w:cs="Times New Roman"/>
          <w:color w:val="000000"/>
          <w:sz w:val="32"/>
          <w:szCs w:val="32"/>
          <w:lang w:eastAsia="zh-CN"/>
        </w:rPr>
        <w:t>为畜牧业健康稳定发展做出成绩。</w:t>
      </w:r>
    </w:p>
    <w:tbl>
      <w:tblPr>
        <w:jc w:val="center"/>
        <w:tblW w:w="9410"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777"/>
        <w:gridCol w:w="945"/>
        <w:gridCol w:w="1422"/>
        <w:gridCol w:w="1773"/>
        <w:gridCol w:w="2071"/>
        <w:gridCol w:w="611"/>
        <w:gridCol w:w="1811"/>
      </w:tblGrid>
      <w:tr>
        <w:trPr>
          <w:trHeight w:val="402"/>
        </w:trPr>
        <w:tc>
          <w:tcPr>
            <w:tcW w:w="1722" w:type="dxa"/>
            <w:gridSpan w:val="2"/>
            <w:tcBorders>
              <w:top w:val="single" w:sz="4" w:space="0" w:color="F2C45E"/>
              <w:left w:val="single" w:sz="4" w:space="0" w:color="F2C45E"/>
              <w:bottom w:val="single" w:sz="4" w:space="0" w:color="DDDDDD"/>
              <w:right w:val="single" w:sz="4" w:space="0" w:color="DDDDDD"/>
            </w:tcBorders>
            <w:shd w:val="clear" w:color="auto" w:fill="F2C45E"/>
            <w:noWrap/>
            <w:vAlign w:val="center"/>
          </w:tcPr>
          <w:p>
            <w:pPr>
              <w:keepNext w:val="0"/>
              <w:keepLines w:val="0"/>
              <w:widowControl/>
              <w:suppressLineNumbers w:val="0"/>
              <w:jc w:val="center"/>
              <w:textAlignment w:val="center"/>
              <w:rPr>
                <w:rFonts w:ascii="宋体" w:eastAsia="宋体" w:cs="宋体" w:hint="eastAsia"/>
                <w:i w:val="0"/>
                <w:iCs w:val="0"/>
                <w:color w:val="auto"/>
                <w:sz w:val="20"/>
                <w:szCs w:val="20"/>
                <w:u w:val="none"/>
              </w:rPr>
            </w:pPr>
            <w:r>
              <w:rPr>
                <w:rFonts w:ascii="宋体" w:eastAsia="宋体" w:cs="宋体" w:hint="eastAsia"/>
                <w:i w:val="0"/>
                <w:iCs w:val="0"/>
                <w:color w:val="auto"/>
                <w:kern w:val="0"/>
                <w:sz w:val="20"/>
                <w:szCs w:val="20"/>
                <w:u w:val="none"/>
                <w:lang w:val="en-US" w:eastAsia="zh-CN"/>
              </w:rPr>
              <w:t>项目名称</w:t>
            </w:r>
          </w:p>
        </w:tc>
        <w:tc>
          <w:tcPr>
            <w:tcW w:w="3195" w:type="dxa"/>
            <w:gridSpan w:val="2"/>
            <w:tcBorders>
              <w:top w:val="single" w:sz="4" w:space="0" w:color="F2C45E"/>
              <w:left w:val="single" w:sz="4" w:space="0" w:color="DDDDDD"/>
              <w:bottom w:val="single" w:sz="4" w:space="0" w:color="DDDDDD"/>
              <w:right w:val="single" w:sz="4" w:space="0" w:color="DDDDDD"/>
            </w:tcBorders>
            <w:shd w:val="clear" w:color="auto" w:fill="F2C45E"/>
            <w:noWrap/>
            <w:vAlign w:val="center"/>
          </w:tcPr>
          <w:p>
            <w:pPr>
              <w:keepNext w:val="0"/>
              <w:keepLines w:val="0"/>
              <w:widowControl/>
              <w:suppressLineNumbers w:val="0"/>
              <w:jc w:val="left"/>
              <w:textAlignment w:val="center"/>
              <w:rPr>
                <w:rFonts w:ascii="宋体" w:eastAsia="宋体" w:cs="宋体" w:hint="eastAsia"/>
                <w:i w:val="0"/>
                <w:iCs w:val="0"/>
                <w:color w:val="auto"/>
                <w:kern w:val="2"/>
                <w:sz w:val="20"/>
                <w:szCs w:val="20"/>
                <w:u w:val="none"/>
                <w:lang w:val="en-US" w:eastAsia="zh-CN" w:bidi="ar-SA"/>
              </w:rPr>
            </w:pPr>
            <w:r>
              <w:rPr>
                <w:rFonts w:ascii="宋体" w:cs="宋体" w:hint="eastAsia"/>
                <w:i w:val="0"/>
                <w:iCs w:val="0"/>
                <w:color w:val="auto"/>
                <w:kern w:val="0"/>
                <w:sz w:val="20"/>
                <w:szCs w:val="20"/>
                <w:u w:val="none"/>
                <w:lang w:val="en-US" w:eastAsia="zh-CN"/>
              </w:rPr>
              <w:t>2024</w:t>
            </w:r>
            <w:r>
              <w:rPr>
                <w:rFonts w:ascii="宋体" w:eastAsia="宋体" w:cs="宋体" w:hint="eastAsia"/>
                <w:i w:val="0"/>
                <w:iCs w:val="0"/>
                <w:color w:val="auto"/>
                <w:kern w:val="0"/>
                <w:sz w:val="20"/>
                <w:szCs w:val="20"/>
                <w:u w:val="none"/>
                <w:lang w:val="en-US" w:eastAsia="zh-CN"/>
              </w:rPr>
              <w:t>年生态补助奖励政策</w:t>
            </w:r>
          </w:p>
        </w:tc>
        <w:tc>
          <w:tcPr>
            <w:tcW w:w="2071" w:type="dxa"/>
            <w:tcBorders>
              <w:top w:val="single" w:sz="4" w:space="0" w:color="F2C45E"/>
              <w:left w:val="single" w:sz="4" w:space="0" w:color="DDDDDD"/>
              <w:bottom w:val="single" w:sz="4" w:space="0" w:color="DDDDDD"/>
              <w:right w:val="single" w:sz="4" w:space="0" w:color="DDDDDD"/>
            </w:tcBorders>
            <w:shd w:val="clear" w:color="auto" w:fill="F2C45E"/>
            <w:noWrap/>
            <w:vAlign w:val="center"/>
          </w:tcPr>
          <w:p>
            <w:pPr>
              <w:keepNext w:val="0"/>
              <w:keepLines w:val="0"/>
              <w:widowControl/>
              <w:suppressLineNumbers w:val="0"/>
              <w:jc w:val="center"/>
              <w:textAlignment w:val="center"/>
              <w:rPr>
                <w:rFonts w:ascii="宋体" w:eastAsia="宋体" w:cs="宋体" w:hint="eastAsia"/>
                <w:i w:val="0"/>
                <w:iCs w:val="0"/>
                <w:color w:val="auto"/>
                <w:sz w:val="20"/>
                <w:szCs w:val="20"/>
                <w:u w:val="none"/>
              </w:rPr>
            </w:pPr>
            <w:r>
              <w:rPr>
                <w:rFonts w:ascii="宋体" w:eastAsia="宋体" w:cs="宋体" w:hint="eastAsia"/>
                <w:i w:val="0"/>
                <w:iCs w:val="0"/>
                <w:color w:val="auto"/>
                <w:kern w:val="0"/>
                <w:sz w:val="20"/>
                <w:szCs w:val="20"/>
                <w:u w:val="none"/>
                <w:lang w:val="en-US" w:eastAsia="zh-CN"/>
              </w:rPr>
              <w:t>项目负责人及电话</w:t>
            </w:r>
          </w:p>
        </w:tc>
        <w:tc>
          <w:tcPr>
            <w:tcW w:w="2422" w:type="dxa"/>
            <w:gridSpan w:val="2"/>
            <w:tcBorders>
              <w:top w:val="single" w:sz="4" w:space="0" w:color="F2C45E"/>
              <w:left w:val="single" w:sz="4" w:space="0" w:color="DDDDDD"/>
              <w:bottom w:val="single" w:sz="4" w:space="0" w:color="DDDDDD"/>
              <w:right w:val="single" w:sz="4" w:space="0" w:color="DDDDDD"/>
            </w:tcBorders>
            <w:shd w:val="clear" w:color="auto" w:fill="F2C45E"/>
            <w:noWrap/>
            <w:vAlign w:val="center"/>
          </w:tcPr>
          <w:p>
            <w:pPr>
              <w:keepNext w:val="0"/>
              <w:keepLines w:val="0"/>
              <w:widowControl/>
              <w:suppressLineNumbers w:val="0"/>
              <w:jc w:val="left"/>
              <w:textAlignment w:val="center"/>
              <w:rPr>
                <w:rFonts w:ascii="宋体" w:eastAsia="宋体" w:cs="宋体"/>
                <w:i w:val="0"/>
                <w:iCs w:val="0"/>
                <w:color w:val="auto"/>
                <w:sz w:val="20"/>
                <w:szCs w:val="20"/>
                <w:u w:val="none"/>
                <w:lang w:val="en-US"/>
              </w:rPr>
            </w:pPr>
            <w:r>
              <w:rPr>
                <w:rFonts w:ascii="宋体" w:eastAsia="宋体" w:cs="宋体" w:hint="eastAsia"/>
                <w:i w:val="0"/>
                <w:iCs w:val="0"/>
                <w:color w:val="auto"/>
                <w:kern w:val="0"/>
                <w:sz w:val="20"/>
                <w:szCs w:val="20"/>
                <w:u w:val="none"/>
                <w:lang w:val="en-US" w:eastAsia="zh-CN"/>
              </w:rPr>
              <w:t>泽郎：18990447333</w:t>
            </w:r>
          </w:p>
        </w:tc>
      </w:tr>
      <w:tr>
        <w:trPr>
          <w:trHeight w:val="375"/>
        </w:trPr>
        <w:tc>
          <w:tcPr>
            <w:tcW w:w="1722" w:type="dxa"/>
            <w:gridSpan w:val="2"/>
            <w:tcBorders>
              <w:top w:val="single" w:sz="4" w:space="0" w:color="DDDDDD"/>
              <w:left w:val="single" w:sz="4" w:space="0" w:color="F2C45E"/>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主管部门</w:t>
            </w:r>
          </w:p>
        </w:tc>
        <w:tc>
          <w:tcPr>
            <w:tcW w:w="3195" w:type="dxa"/>
            <w:gridSpan w:val="2"/>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金川县科学技术和农业畜牧局</w:t>
            </w:r>
          </w:p>
        </w:tc>
        <w:tc>
          <w:tcPr>
            <w:tcW w:w="2071" w:type="dxa"/>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实施单位</w:t>
            </w:r>
          </w:p>
        </w:tc>
        <w:tc>
          <w:tcPr>
            <w:tcW w:w="2422" w:type="dxa"/>
            <w:gridSpan w:val="2"/>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金川县畜牧兽医服务中心</w:t>
            </w:r>
          </w:p>
        </w:tc>
      </w:tr>
      <w:tr>
        <w:trPr>
          <w:trHeight w:val="402"/>
        </w:trPr>
        <w:tc>
          <w:tcPr>
            <w:tcW w:w="1722" w:type="dxa"/>
            <w:gridSpan w:val="2"/>
            <w:vMerge w:val="restart"/>
            <w:tcBorders>
              <w:top w:val="single" w:sz="4" w:space="0" w:color="DDDDDD"/>
              <w:left w:val="single" w:sz="4" w:space="0" w:color="F2C45E"/>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资金情况</w:t>
            </w:r>
          </w:p>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（万元）</w:t>
            </w:r>
          </w:p>
        </w:tc>
        <w:tc>
          <w:tcPr>
            <w:tcW w:w="3195" w:type="dxa"/>
            <w:gridSpan w:val="2"/>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年度资金总额：</w:t>
            </w:r>
          </w:p>
        </w:tc>
        <w:tc>
          <w:tcPr>
            <w:tcW w:w="4493"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i w:val="0"/>
                <w:iCs w:val="0"/>
                <w:color w:val="000000"/>
                <w:sz w:val="20"/>
                <w:szCs w:val="20"/>
                <w:u w:val="none"/>
                <w:lang w:val="en-US"/>
              </w:rPr>
            </w:pPr>
            <w:r>
              <w:rPr>
                <w:rFonts w:ascii="宋体" w:cs="宋体" w:hint="eastAsia"/>
                <w:i w:val="0"/>
                <w:iCs w:val="0"/>
                <w:color w:val="000000"/>
                <w:kern w:val="0"/>
                <w:sz w:val="20"/>
                <w:szCs w:val="20"/>
                <w:u w:val="none"/>
                <w:lang w:val="en-US" w:eastAsia="zh-CN"/>
              </w:rPr>
              <w:t>1023.05</w:t>
            </w:r>
          </w:p>
        </w:tc>
      </w:tr>
      <w:tr>
        <w:trPr>
          <w:trHeight w:val="382"/>
        </w:trPr>
        <w:tc>
          <w:tcPr>
            <w:tcW w:w="1722" w:type="dxa"/>
            <w:gridSpan w:val="2"/>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3195" w:type="dxa"/>
            <w:gridSpan w:val="2"/>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其中：财政拨款</w:t>
            </w:r>
          </w:p>
        </w:tc>
        <w:tc>
          <w:tcPr>
            <w:tcW w:w="4493"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i w:val="0"/>
                <w:iCs w:val="0"/>
                <w:color w:val="000000"/>
                <w:sz w:val="20"/>
                <w:szCs w:val="20"/>
                <w:u w:val="none"/>
                <w:lang w:val="en-US"/>
              </w:rPr>
            </w:pPr>
            <w:r>
              <w:rPr>
                <w:rFonts w:ascii="宋体" w:cs="宋体" w:hint="eastAsia"/>
                <w:i w:val="0"/>
                <w:iCs w:val="0"/>
                <w:color w:val="000000"/>
                <w:kern w:val="0"/>
                <w:sz w:val="20"/>
                <w:szCs w:val="20"/>
                <w:u w:val="none"/>
                <w:lang w:val="en-US" w:eastAsia="zh-CN"/>
              </w:rPr>
              <w:t>1023.05</w:t>
            </w:r>
          </w:p>
        </w:tc>
      </w:tr>
      <w:tr>
        <w:trPr>
          <w:trHeight w:val="323"/>
        </w:trPr>
        <w:tc>
          <w:tcPr>
            <w:tcW w:w="1722" w:type="dxa"/>
            <w:gridSpan w:val="2"/>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3195" w:type="dxa"/>
            <w:gridSpan w:val="2"/>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其他资金</w:t>
            </w:r>
          </w:p>
        </w:tc>
        <w:tc>
          <w:tcPr>
            <w:tcW w:w="4493"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0</w:t>
            </w:r>
          </w:p>
        </w:tc>
      </w:tr>
      <w:tr>
        <w:trPr>
          <w:trHeight w:val="90"/>
        </w:trPr>
        <w:tc>
          <w:tcPr>
            <w:tcW w:w="777" w:type="dxa"/>
            <w:vMerge w:val="restart"/>
            <w:tcBorders>
              <w:top w:val="single" w:sz="4" w:space="0" w:color="DDDDDD"/>
              <w:left w:val="single" w:sz="4" w:space="0" w:color="F2C45E"/>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总</w:t>
            </w:r>
          </w:p>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体</w:t>
            </w:r>
          </w:p>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目</w:t>
            </w:r>
          </w:p>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标</w:t>
            </w:r>
          </w:p>
        </w:tc>
        <w:tc>
          <w:tcPr>
            <w:tcW w:w="8633" w:type="dxa"/>
            <w:gridSpan w:val="6"/>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年度目标</w:t>
            </w:r>
          </w:p>
        </w:tc>
      </w:tr>
      <w:tr>
        <w:trPr>
          <w:trHeight w:val="90"/>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8633" w:type="dxa"/>
            <w:gridSpan w:val="6"/>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全面实施天然草原家庭承包到户面积281.5万亩，其中禁牧草原面积62万亩，兑现禁牧补助资金474.3万元，草畜平衡草原面积219.5万亩，兑现548.75万元，确保草原综合植被盖度达到85%天然草原产草量达79.89公斤/亩。</w:t>
            </w:r>
          </w:p>
        </w:tc>
      </w:tr>
      <w:tr>
        <w:trPr>
          <w:trHeight w:val="342"/>
        </w:trPr>
        <w:tc>
          <w:tcPr>
            <w:tcW w:w="777" w:type="dxa"/>
            <w:vMerge w:val="restart"/>
            <w:tcBorders>
              <w:top w:val="single" w:sz="4" w:space="0" w:color="DDDDDD"/>
              <w:left w:val="single" w:sz="4" w:space="0" w:color="F2C45E"/>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绩</w:t>
            </w:r>
          </w:p>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效</w:t>
            </w:r>
          </w:p>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指</w:t>
            </w:r>
          </w:p>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标</w:t>
            </w:r>
          </w:p>
        </w:tc>
        <w:tc>
          <w:tcPr>
            <w:tcW w:w="945" w:type="dxa"/>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一级指标</w:t>
            </w:r>
          </w:p>
        </w:tc>
        <w:tc>
          <w:tcPr>
            <w:tcW w:w="1422" w:type="dxa"/>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指标值</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val="restart"/>
            <w:tcBorders>
              <w:top w:val="single" w:sz="2" w:space="0" w:color="DDDDDD"/>
              <w:left w:val="single" w:sz="4" w:space="0" w:color="DDDDDD"/>
              <w:bottom w:val="single" w:sz="4" w:space="0" w:color="DDDDDD"/>
              <w:right w:val="single" w:sz="4" w:space="0" w:color="DDDDDD"/>
            </w:tcBorders>
            <w:shd w:val="clear" w:color="auto" w:fill="FFFFFF"/>
            <w:noWrap/>
            <w:vAlign w:val="center"/>
          </w:tcPr>
          <w:p>
            <w:pPr>
              <w:jc w:val="center"/>
              <w:rPr>
                <w:rFonts w:ascii="宋体" w:eastAsia="宋体" w:cs="宋体" w:hint="eastAsia"/>
                <w:i w:val="0"/>
                <w:iCs w:val="0"/>
                <w:color w:val="000000"/>
                <w:sz w:val="20"/>
                <w:szCs w:val="20"/>
                <w:u w:val="none"/>
                <w:lang w:eastAsia="zh-CN"/>
              </w:rPr>
            </w:pPr>
            <w:r>
              <w:rPr>
                <w:rFonts w:ascii="宋体" w:eastAsia="宋体" w:cs="宋体" w:hint="eastAsia"/>
                <w:i w:val="0"/>
                <w:iCs w:val="0"/>
                <w:color w:val="000000"/>
                <w:sz w:val="20"/>
                <w:szCs w:val="20"/>
                <w:u w:val="none"/>
                <w:lang w:eastAsia="zh-CN"/>
              </w:rPr>
              <w:t>产出指标</w:t>
            </w:r>
          </w:p>
        </w:tc>
        <w:tc>
          <w:tcPr>
            <w:tcW w:w="1422" w:type="dxa"/>
            <w:vMerge w:val="restart"/>
            <w:tcBorders>
              <w:top w:val="single" w:sz="2" w:space="0" w:color="DDDDDD"/>
              <w:left w:val="single" w:sz="4" w:space="0" w:color="DDDDDD"/>
              <w:bottom w:val="single" w:sz="2"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jc w:val="left"/>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实施草原生态奖励补助面积</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2815000亩</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2"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tcBorders>
              <w:top w:val="single" w:sz="2" w:space="0" w:color="DDDDDD"/>
              <w:left w:val="single" w:sz="4" w:space="0" w:color="DDDDDD"/>
              <w:bottom w:val="single" w:sz="2" w:space="0" w:color="DDDDDD"/>
              <w:right w:val="single" w:sz="4" w:space="0" w:color="DDDDDD"/>
            </w:tcBorders>
            <w:shd w:val="clear" w:color="auto" w:fill="FFFFFF"/>
            <w:noWrap/>
            <w:vAlign w:val="center"/>
          </w:tcP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实施禁牧面积620000亩</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620000亩</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2"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tcBorders>
              <w:top w:val="single" w:sz="2" w:space="0" w:color="DDDDDD"/>
              <w:left w:val="single" w:sz="4" w:space="0" w:color="DDDDDD"/>
              <w:bottom w:val="single" w:sz="2" w:space="0" w:color="DDDDDD"/>
              <w:right w:val="single" w:sz="4" w:space="0" w:color="DDDDDD"/>
            </w:tcBorders>
            <w:shd w:val="clear" w:color="auto" w:fill="FFFFFF"/>
            <w:noWrap/>
            <w:vAlign w:val="center"/>
          </w:tcP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实施草畜平衡面积2195000亩</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2195000亩</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2"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val="restart"/>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天然草原植被平均盖度大于</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i w:val="0"/>
                <w:iCs w:val="0"/>
                <w:color w:val="0D0D0D"/>
                <w:kern w:val="0"/>
                <w:sz w:val="18"/>
                <w:szCs w:val="18"/>
                <w:u w:val="none"/>
                <w:lang w:val="en-US" w:eastAsia="zh-CN"/>
              </w:rPr>
              <w:t>≥</w:t>
            </w:r>
            <w:r>
              <w:rPr>
                <w:rFonts w:ascii="宋体" w:eastAsia="宋体" w:cs="宋体" w:hint="eastAsia"/>
                <w:i w:val="0"/>
                <w:iCs w:val="0"/>
                <w:color w:val="000000"/>
                <w:kern w:val="0"/>
                <w:sz w:val="20"/>
                <w:szCs w:val="20"/>
                <w:u w:val="none"/>
                <w:lang w:val="en-US" w:eastAsia="zh-CN"/>
              </w:rPr>
              <w:t>85%</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2"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tcBorders>
              <w:top w:val="single" w:sz="2" w:space="0" w:color="DDDDDD"/>
              <w:left w:val="single" w:sz="4" w:space="0" w:color="DDDDDD"/>
              <w:bottom w:val="single" w:sz="4" w:space="0" w:color="DDDDDD"/>
              <w:right w:val="single" w:sz="4" w:space="0" w:color="DDDDDD"/>
            </w:tcBorders>
            <w:shd w:val="clear" w:color="auto" w:fill="FFFFFF"/>
            <w:noWrap/>
            <w:vAlign w:val="center"/>
          </w:tcP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天然草原每亩产草量大于</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kern w:val="2"/>
                <w:sz w:val="20"/>
                <w:szCs w:val="20"/>
                <w:u w:val="none"/>
                <w:lang w:val="en-US" w:eastAsia="zh-CN" w:bidi="ar-SA"/>
              </w:rPr>
            </w:pPr>
            <w:r>
              <w:rPr>
                <w:rFonts w:ascii="宋体" w:eastAsia="宋体" w:cs="宋体"/>
                <w:i w:val="0"/>
                <w:iCs w:val="0"/>
                <w:color w:val="0D0D0D"/>
                <w:kern w:val="0"/>
                <w:sz w:val="18"/>
                <w:szCs w:val="18"/>
                <w:u w:val="none"/>
                <w:lang w:val="en-US" w:eastAsia="zh-CN"/>
              </w:rPr>
              <w:t>≥</w:t>
            </w:r>
            <w:r>
              <w:rPr>
                <w:rFonts w:ascii="宋体" w:eastAsia="宋体" w:cs="宋体" w:hint="eastAsia"/>
                <w:i w:val="0"/>
                <w:iCs w:val="0"/>
                <w:color w:val="000000"/>
                <w:kern w:val="0"/>
                <w:sz w:val="20"/>
                <w:szCs w:val="20"/>
                <w:u w:val="none"/>
                <w:lang w:val="en-US" w:eastAsia="zh-CN"/>
              </w:rPr>
              <w:t>79.89公斤/亩</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2"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val="restart"/>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草畜平衡每亩</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i w:val="0"/>
                <w:iCs w:val="0"/>
                <w:color w:val="0D0D0D"/>
                <w:kern w:val="0"/>
                <w:sz w:val="18"/>
                <w:szCs w:val="18"/>
                <w:u w:val="none"/>
                <w:lang w:val="en-US" w:eastAsia="zh-CN"/>
              </w:rPr>
              <w:t>≥</w:t>
            </w:r>
            <w:r>
              <w:rPr>
                <w:rFonts w:ascii="宋体" w:eastAsia="宋体" w:cs="宋体" w:hint="eastAsia"/>
                <w:i w:val="0"/>
                <w:iCs w:val="0"/>
                <w:color w:val="000000"/>
                <w:kern w:val="0"/>
                <w:sz w:val="20"/>
                <w:szCs w:val="20"/>
                <w:u w:val="none"/>
                <w:lang w:val="en-US" w:eastAsia="zh-CN"/>
              </w:rPr>
              <w:t>7.65元/亩</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2"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tcBorders>
              <w:top w:val="single" w:sz="2" w:space="0" w:color="DDDDDD"/>
              <w:left w:val="single" w:sz="4" w:space="0" w:color="DDDDDD"/>
              <w:bottom w:val="single" w:sz="4" w:space="0" w:color="DDDDDD"/>
              <w:right w:val="single" w:sz="4" w:space="0" w:color="DDDDDD"/>
            </w:tcBorders>
            <w:shd w:val="clear" w:color="auto" w:fill="FFFFFF"/>
            <w:noWrap/>
            <w:vAlign w:val="center"/>
          </w:tcP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禁牧每亩</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both"/>
              <w:textAlignment w:val="center"/>
              <w:rPr>
                <w:rFonts w:ascii="宋体" w:eastAsia="宋体" w:cs="宋体" w:hint="eastAsia"/>
                <w:i w:val="0"/>
                <w:iCs w:val="0"/>
                <w:color w:val="000000"/>
                <w:sz w:val="20"/>
                <w:szCs w:val="20"/>
                <w:u w:val="none"/>
              </w:rPr>
            </w:pPr>
            <w:r>
              <w:rPr>
                <w:rFonts w:ascii="宋体" w:eastAsia="宋体" w:cs="宋体"/>
                <w:i w:val="0"/>
                <w:iCs w:val="0"/>
                <w:color w:val="0D0D0D"/>
                <w:kern w:val="0"/>
                <w:sz w:val="18"/>
                <w:szCs w:val="18"/>
                <w:u w:val="none"/>
                <w:lang w:val="en-US" w:eastAsia="zh-CN"/>
              </w:rPr>
              <w:t>≥</w:t>
            </w:r>
            <w:r>
              <w:rPr>
                <w:rFonts w:ascii="宋体" w:eastAsia="宋体" w:cs="宋体" w:hint="eastAsia"/>
                <w:i w:val="0"/>
                <w:iCs w:val="0"/>
                <w:color w:val="000000"/>
                <w:kern w:val="0"/>
                <w:sz w:val="20"/>
                <w:szCs w:val="20"/>
                <w:u w:val="none"/>
                <w:lang w:val="en-US" w:eastAsia="zh-CN"/>
              </w:rPr>
              <w:t>5.45元/亩</w:t>
            </w:r>
          </w:p>
        </w:tc>
      </w:tr>
      <w:tr>
        <w:trPr>
          <w:trHeight w:val="260"/>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val="restart"/>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效益指标</w:t>
            </w:r>
          </w:p>
        </w:tc>
        <w:tc>
          <w:tcPr>
            <w:tcW w:w="1422" w:type="dxa"/>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经济效益指标</w:t>
            </w: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促进项目区农牧民人均增收</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i w:val="0"/>
                <w:iCs w:val="0"/>
                <w:color w:val="0D0D0D"/>
                <w:kern w:val="0"/>
                <w:sz w:val="18"/>
                <w:szCs w:val="18"/>
                <w:u w:val="none"/>
                <w:lang w:val="en-US" w:eastAsia="zh-CN"/>
              </w:rPr>
              <w:t>≥</w:t>
            </w:r>
            <w:r>
              <w:rPr>
                <w:rFonts w:ascii="宋体" w:eastAsia="宋体" w:cs="宋体" w:hint="eastAsia"/>
                <w:i w:val="0"/>
                <w:iCs w:val="0"/>
                <w:color w:val="000000"/>
                <w:kern w:val="0"/>
                <w:sz w:val="20"/>
                <w:szCs w:val="20"/>
                <w:u w:val="none"/>
                <w:lang w:val="en-US" w:eastAsia="zh-CN"/>
              </w:rPr>
              <w:t>240元</w:t>
            </w:r>
          </w:p>
        </w:tc>
      </w:tr>
      <w:tr>
        <w:trPr>
          <w:trHeight w:val="367"/>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val="restart"/>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社会效益</w:t>
            </w:r>
          </w:p>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指标</w:t>
            </w: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项目覆盖村</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=85个</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其中贫困村</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=44个</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val="restart"/>
            <w:tcBorders>
              <w:top w:val="single" w:sz="4" w:space="0" w:color="DDDDDD"/>
              <w:left w:val="single" w:sz="4" w:space="0" w:color="DDDDDD"/>
              <w:bottom w:val="single" w:sz="4" w:space="0" w:color="DDDDDD"/>
              <w:right w:val="single" w:sz="4" w:space="0" w:color="DDDDDD"/>
            </w:tcBorders>
            <w:shd w:val="clear" w:color="auto" w:fill="FFFFFF"/>
            <w:noWrap/>
            <w:vAlign w:val="center"/>
          </w:tcPr>
          <w:p>
            <w:pPr>
              <w:jc w:val="center"/>
              <w:rPr>
                <w:rFonts w:ascii="宋体" w:eastAsia="宋体" w:cs="宋体" w:hint="eastAsia"/>
                <w:i w:val="0"/>
                <w:iCs w:val="0"/>
                <w:color w:val="000000"/>
                <w:sz w:val="20"/>
                <w:szCs w:val="20"/>
                <w:u w:val="none"/>
              </w:rPr>
            </w:pPr>
            <w:r>
              <w:rPr>
                <w:rFonts w:ascii="宋体" w:eastAsia="宋体" w:cs="宋体" w:hint="eastAsia"/>
                <w:i w:val="0"/>
                <w:iCs w:val="0"/>
                <w:color w:val="000000"/>
                <w:sz w:val="20"/>
                <w:szCs w:val="20"/>
                <w:u w:val="none"/>
              </w:rPr>
              <w:t>生态效益指标</w:t>
            </w: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天然草原植被平均盖度大于</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i w:val="0"/>
                <w:iCs w:val="0"/>
                <w:color w:val="0D0D0D"/>
                <w:kern w:val="0"/>
                <w:sz w:val="18"/>
                <w:szCs w:val="18"/>
                <w:u w:val="none"/>
                <w:lang w:val="en-US" w:eastAsia="zh-CN"/>
              </w:rPr>
              <w:t>≥</w:t>
            </w:r>
            <w:r>
              <w:rPr>
                <w:rFonts w:ascii="宋体" w:eastAsia="宋体" w:cs="宋体" w:hint="eastAsia"/>
                <w:i w:val="0"/>
                <w:iCs w:val="0"/>
                <w:color w:val="000000"/>
                <w:kern w:val="0"/>
                <w:sz w:val="20"/>
                <w:szCs w:val="20"/>
                <w:u w:val="none"/>
                <w:lang w:val="en-US" w:eastAsia="zh-CN"/>
              </w:rPr>
              <w:t>85%</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减少水土流失</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i w:val="0"/>
                <w:iCs w:val="0"/>
                <w:color w:val="0D0D0D"/>
                <w:kern w:val="0"/>
                <w:sz w:val="18"/>
                <w:szCs w:val="18"/>
                <w:u w:val="none"/>
                <w:lang w:val="en-US" w:eastAsia="zh-CN"/>
              </w:rPr>
              <w:t>≥</w:t>
            </w:r>
            <w:r>
              <w:rPr>
                <w:rFonts w:ascii="宋体" w:eastAsia="宋体" w:cs="宋体" w:hint="eastAsia"/>
                <w:i w:val="0"/>
                <w:iCs w:val="0"/>
                <w:color w:val="000000"/>
                <w:kern w:val="0"/>
                <w:sz w:val="20"/>
                <w:szCs w:val="20"/>
                <w:u w:val="none"/>
                <w:lang w:val="en-US" w:eastAsia="zh-CN"/>
              </w:rPr>
              <w:t>60000吨</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增加草原蓄水量</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i w:val="0"/>
                <w:iCs w:val="0"/>
                <w:color w:val="0D0D0D"/>
                <w:kern w:val="0"/>
                <w:sz w:val="18"/>
                <w:szCs w:val="18"/>
                <w:u w:val="none"/>
                <w:lang w:val="en-US" w:eastAsia="zh-CN"/>
              </w:rPr>
              <w:t>≥</w:t>
            </w:r>
            <w:r>
              <w:rPr>
                <w:rFonts w:ascii="宋体" w:eastAsia="宋体" w:cs="宋体" w:hint="eastAsia"/>
                <w:i w:val="0"/>
                <w:iCs w:val="0"/>
                <w:color w:val="000000"/>
                <w:kern w:val="0"/>
                <w:sz w:val="20"/>
                <w:szCs w:val="20"/>
                <w:u w:val="none"/>
                <w:lang w:val="en-US" w:eastAsia="zh-CN"/>
              </w:rPr>
              <w:t>14000立方米</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val="restart"/>
            <w:tcBorders>
              <w:top w:val="single" w:sz="4" w:space="0" w:color="DDDDDD"/>
              <w:left w:val="single" w:sz="4" w:space="0" w:color="DDDDDD"/>
              <w:bottom w:val="single" w:sz="4" w:space="0" w:color="DDDDDD"/>
              <w:right w:val="single" w:sz="4" w:space="0" w:color="DDDDDD"/>
            </w:tcBorders>
            <w:shd w:val="clear" w:color="auto" w:fill="FFFFFF"/>
            <w:noWrap/>
            <w:vAlign w:val="center"/>
          </w:tcPr>
          <w:p>
            <w:pPr>
              <w:jc w:val="center"/>
              <w:rPr>
                <w:rFonts w:ascii="宋体" w:eastAsia="宋体" w:cs="宋体" w:hint="eastAsia"/>
                <w:i w:val="0"/>
                <w:iCs w:val="0"/>
                <w:color w:val="000000"/>
                <w:sz w:val="20"/>
                <w:szCs w:val="20"/>
                <w:u w:val="none"/>
              </w:rPr>
            </w:pPr>
            <w:r>
              <w:rPr>
                <w:rFonts w:ascii="宋体" w:eastAsia="宋体" w:cs="宋体" w:hint="eastAsia"/>
                <w:i w:val="0"/>
                <w:iCs w:val="0"/>
                <w:color w:val="000000"/>
                <w:sz w:val="20"/>
                <w:szCs w:val="20"/>
                <w:u w:val="none"/>
              </w:rPr>
              <w:t>持续影响指标</w:t>
            </w: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天然草原保护可持续利用</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=100%</w:t>
            </w:r>
          </w:p>
        </w:tc>
      </w:tr>
      <w:tr>
        <w:trPr>
          <w:trHeight w:val="319"/>
        </w:trPr>
        <w:tc>
          <w:tcPr>
            <w:tcW w:w="777" w:type="dxa"/>
            <w:vMerge/>
            <w:tcBorders>
              <w:top w:val="single" w:sz="4" w:space="0" w:color="DDDDDD"/>
              <w:left w:val="single" w:sz="4" w:space="0" w:color="F2C45E"/>
              <w:bottom w:val="single" w:sz="4" w:space="0" w:color="DDDDDD"/>
              <w:right w:val="single" w:sz="4" w:space="0" w:color="DDDDDD"/>
            </w:tcBorders>
            <w:shd w:val="clear" w:color="auto" w:fill="FFFFFF"/>
            <w:noWrap/>
            <w:vAlign w:val="center"/>
          </w:tcPr>
          <w:p/>
        </w:tc>
        <w:tc>
          <w:tcPr>
            <w:tcW w:w="945"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1422" w:type="dxa"/>
            <w:vMerge/>
            <w:tcBorders>
              <w:top w:val="single" w:sz="4" w:space="0" w:color="DDDDDD"/>
              <w:left w:val="single" w:sz="4" w:space="0" w:color="DDDDDD"/>
              <w:bottom w:val="single" w:sz="4" w:space="0" w:color="DDDDDD"/>
              <w:right w:val="single" w:sz="4" w:space="0" w:color="DDDDDD"/>
            </w:tcBorders>
            <w:shd w:val="clear" w:color="auto" w:fill="FFFFFF"/>
            <w:noWrap/>
            <w:vAlign w:val="center"/>
          </w:tcPr>
          <w:p/>
        </w:tc>
        <w:tc>
          <w:tcPr>
            <w:tcW w:w="4455" w:type="dxa"/>
            <w:gridSpan w:val="3"/>
            <w:tcBorders>
              <w:top w:val="single" w:sz="4" w:space="0" w:color="DDDDDD"/>
              <w:left w:val="single" w:sz="4" w:space="0" w:color="DDDDDD"/>
              <w:bottom w:val="single" w:sz="4" w:space="0" w:color="DDDDDD"/>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促进草原畜牧业的可持续发展</w:t>
            </w:r>
          </w:p>
        </w:tc>
        <w:tc>
          <w:tcPr>
            <w:tcW w:w="1811" w:type="dxa"/>
            <w:tcBorders>
              <w:top w:val="single" w:sz="4" w:space="0" w:color="DDDDDD"/>
              <w:left w:val="single" w:sz="4" w:space="0" w:color="DDDDDD"/>
              <w:bottom w:val="single" w:sz="4" w:space="0" w:color="DDDDDD"/>
              <w:right w:val="single" w:sz="4" w:space="0" w:color="F2C45E"/>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kern w:val="2"/>
                <w:sz w:val="20"/>
                <w:szCs w:val="20"/>
                <w:u w:val="none"/>
                <w:lang w:val="en-US" w:eastAsia="zh-CN" w:bidi="ar-SA"/>
              </w:rPr>
            </w:pPr>
            <w:r>
              <w:rPr>
                <w:rFonts w:ascii="宋体" w:eastAsia="宋体" w:cs="宋体" w:hint="eastAsia"/>
                <w:i w:val="0"/>
                <w:iCs w:val="0"/>
                <w:color w:val="000000"/>
                <w:kern w:val="0"/>
                <w:sz w:val="20"/>
                <w:szCs w:val="20"/>
                <w:u w:val="none"/>
                <w:lang w:val="en-US" w:eastAsia="zh-CN"/>
              </w:rPr>
              <w:t>=100%</w:t>
            </w:r>
          </w:p>
        </w:tc>
      </w:tr>
      <w:tr>
        <w:trPr>
          <w:trHeight w:val="821"/>
        </w:trPr>
        <w:tc>
          <w:tcPr>
            <w:tcW w:w="777" w:type="dxa"/>
            <w:vMerge/>
            <w:tcBorders>
              <w:top w:val="single" w:sz="4" w:space="0" w:color="DDDDDD"/>
              <w:left w:val="single" w:sz="4" w:space="0" w:color="F2C45E"/>
              <w:bottom w:val="single" w:sz="4" w:space="0" w:color="F2C45E"/>
              <w:right w:val="single" w:sz="4" w:space="0" w:color="DDDDDD"/>
            </w:tcBorders>
            <w:shd w:val="clear" w:color="auto" w:fill="FFFFFF"/>
            <w:noWrap/>
            <w:vAlign w:val="center"/>
          </w:tcPr>
          <w:p/>
        </w:tc>
        <w:tc>
          <w:tcPr>
            <w:tcW w:w="945" w:type="dxa"/>
            <w:tcBorders>
              <w:top w:val="single" w:sz="4" w:space="0" w:color="DDDDDD"/>
              <w:left w:val="single" w:sz="4" w:space="0" w:color="DDDDDD"/>
              <w:bottom w:val="single" w:sz="4" w:space="0" w:color="F2C45E"/>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r>
          </w:p>
        </w:tc>
        <w:tc>
          <w:tcPr>
            <w:tcW w:w="1422" w:type="dxa"/>
            <w:tcBorders>
              <w:top w:val="single" w:sz="4" w:space="0" w:color="DDDDDD"/>
              <w:left w:val="single" w:sz="4" w:space="0" w:color="DDDDDD"/>
              <w:bottom w:val="single" w:sz="4" w:space="0" w:color="F2C45E"/>
              <w:right w:val="single" w:sz="4" w:space="0" w:color="DDDDDD"/>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服务对象</w:t>
            </w:r>
          </w:p>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r>
          </w:p>
        </w:tc>
        <w:tc>
          <w:tcPr>
            <w:tcW w:w="4455" w:type="dxa"/>
            <w:gridSpan w:val="3"/>
            <w:tcBorders>
              <w:top w:val="single" w:sz="4" w:space="0" w:color="DDDDDD"/>
              <w:left w:val="single" w:sz="4" w:space="0" w:color="DDDDDD"/>
              <w:bottom w:val="single" w:sz="4" w:space="0" w:color="F2C45E"/>
              <w:right w:val="single" w:sz="4" w:space="0" w:color="DDDDDD"/>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受益群众满意度</w:t>
            </w:r>
          </w:p>
        </w:tc>
        <w:tc>
          <w:tcPr>
            <w:tcW w:w="1811" w:type="dxa"/>
            <w:tcBorders>
              <w:top w:val="single" w:sz="4" w:space="0" w:color="DDDDDD"/>
              <w:left w:val="single" w:sz="4" w:space="0" w:color="DDDDDD"/>
              <w:bottom w:val="single" w:sz="4" w:space="0" w:color="F2C45E"/>
              <w:right w:val="single" w:sz="4" w:space="0" w:color="F2C45E"/>
            </w:tcBorders>
            <w:shd w:val="clear" w:color="auto" w:fill="FFFFFF"/>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≥90%</w:t>
            </w:r>
          </w:p>
        </w:tc>
      </w:tr>
    </w:tbl>
    <w:p>
      <w:pPr>
        <w:snapToGrid w:val="0"/>
        <w:spacing w:line="600" w:lineRule="exact"/>
        <w:ind w:firstLineChars="200" w:firstLine="640"/>
        <w:rPr>
          <w:rFonts w:ascii="楷体_GB2312" w:eastAsia="楷体_GB2312" w:cs="楷体_GB2312" w:hint="eastAsia"/>
          <w:b/>
          <w:bCs/>
          <w:sz w:val="32"/>
          <w:szCs w:val="32"/>
          <w:lang w:val="zh-CN" w:eastAsia="zh-CN"/>
        </w:rPr>
      </w:pPr>
      <w:r>
        <w:rPr>
          <w:rFonts w:ascii="楷体_GB2312" w:eastAsia="楷体_GB2312" w:cs="楷体_GB2312" w:hint="eastAsia"/>
          <w:b/>
          <w:bCs/>
          <w:sz w:val="32"/>
          <w:szCs w:val="32"/>
          <w:lang w:val="zh-CN" w:eastAsia="zh-CN"/>
        </w:rPr>
        <w:t>（四）实施可行性</w:t>
      </w:r>
    </w:p>
    <w:p>
      <w:pPr>
        <w:pStyle w:val="15"/>
        <w:ind w:left="0" w:firstLineChars="200" w:firstLine="640"/>
        <w:rPr>
          <w:rFonts w:ascii="仿宋_GB2312" w:eastAsia="仿宋_GB2312" w:cs="Times New Roman" w:hint="eastAsia"/>
          <w:b w:val="0"/>
          <w:bCs w:val="0"/>
          <w:color w:val="000000"/>
          <w:sz w:val="32"/>
          <w:szCs w:val="32"/>
        </w:rPr>
      </w:pPr>
      <w:r>
        <w:rPr>
          <w:rFonts w:ascii="仿宋_GB2312" w:eastAsia="仿宋_GB2312" w:hint="eastAsia"/>
          <w:color w:val="000000"/>
          <w:sz w:val="32"/>
          <w:szCs w:val="32"/>
          <w:lang w:val="en-US" w:eastAsia="zh-CN"/>
        </w:rPr>
        <w:t>草原生态保护补助奖励政策</w:t>
      </w:r>
      <w:r>
        <w:rPr>
          <w:rFonts w:ascii="仿宋_GB2312" w:eastAsia="仿宋_GB2312" w:hint="eastAsia"/>
          <w:color w:val="000000"/>
          <w:sz w:val="32"/>
          <w:szCs w:val="32"/>
          <w:lang w:eastAsia="zh-CN"/>
        </w:rPr>
        <w:t>项目具体实施时间为</w:t>
      </w:r>
      <w:r>
        <w:rPr>
          <w:rFonts w:ascii="仿宋_GB2312" w:eastAsia="仿宋_GB2312" w:hint="eastAsia"/>
          <w:color w:val="000000"/>
          <w:sz w:val="32"/>
          <w:szCs w:val="32"/>
          <w:lang w:val="en-US" w:eastAsia="zh-CN"/>
        </w:rPr>
        <w:t>2024年1—12月，</w:t>
      </w:r>
      <w:r>
        <w:rPr>
          <w:rFonts w:ascii="仿宋_GB2312" w:eastAsia="仿宋_GB2312" w:hint="eastAsia"/>
          <w:b w:val="0"/>
          <w:bCs w:val="0"/>
          <w:color w:val="000000"/>
          <w:sz w:val="32"/>
          <w:szCs w:val="32"/>
        </w:rPr>
        <w:t>根据上级业务部门的工作要求，</w:t>
      </w:r>
      <w:r>
        <w:rPr>
          <w:rFonts w:ascii="仿宋_GB2312" w:eastAsia="仿宋_GB2312" w:cs="Times New Roman" w:hint="eastAsia"/>
          <w:b w:val="0"/>
          <w:bCs w:val="0"/>
          <w:color w:val="000000"/>
          <w:sz w:val="32"/>
          <w:szCs w:val="32"/>
        </w:rPr>
        <w:t>保持政策目标、实施范围、补助标准、补助对象“四稳定”，坚持牧区生产生活生态协同发展，以</w:t>
      </w:r>
      <w:r>
        <w:rPr>
          <w:rFonts w:ascii="仿宋_GB2312" w:eastAsia="仿宋_GB2312" w:cs="Times New Roman" w:hint="eastAsia"/>
          <w:b w:val="0"/>
          <w:bCs w:val="0"/>
          <w:color w:val="000000"/>
          <w:sz w:val="32"/>
          <w:szCs w:val="32"/>
          <w:lang w:eastAsia="zh-CN"/>
        </w:rPr>
        <w:t>草原</w:t>
      </w:r>
      <w:r>
        <w:rPr>
          <w:rFonts w:ascii="仿宋_GB2312" w:eastAsia="仿宋_GB2312" w:cs="Times New Roman" w:hint="eastAsia"/>
          <w:b w:val="0"/>
          <w:bCs w:val="0"/>
          <w:color w:val="000000"/>
          <w:sz w:val="32"/>
          <w:szCs w:val="32"/>
          <w:lang w:val="en-US" w:eastAsia="zh-CN"/>
        </w:rPr>
        <w:t>生态</w:t>
      </w:r>
      <w:r>
        <w:rPr>
          <w:rFonts w:ascii="仿宋_GB2312" w:eastAsia="仿宋_GB2312" w:cs="Times New Roman" w:hint="eastAsia"/>
          <w:b w:val="0"/>
          <w:bCs w:val="0"/>
          <w:color w:val="000000"/>
          <w:sz w:val="32"/>
          <w:szCs w:val="32"/>
          <w:lang w:eastAsia="zh-CN"/>
        </w:rPr>
        <w:t>保护</w:t>
      </w:r>
      <w:r>
        <w:rPr>
          <w:rFonts w:ascii="仿宋_GB2312" w:eastAsia="仿宋_GB2312" w:cs="Times New Roman" w:hint="eastAsia"/>
          <w:b w:val="0"/>
          <w:bCs w:val="0"/>
          <w:color w:val="000000"/>
          <w:sz w:val="32"/>
          <w:szCs w:val="32"/>
        </w:rPr>
        <w:t>补助奖励为主要实施内容，确保政策实施的连贯性，稳定农牧民的政策预期</w:t>
      </w:r>
      <w:r>
        <w:rPr>
          <w:rFonts w:ascii="仿宋_GB2312" w:eastAsia="仿宋_GB2312" w:cs="Times New Roman" w:hint="eastAsia"/>
          <w:b w:val="0"/>
          <w:bCs w:val="0"/>
          <w:color w:val="000000"/>
          <w:sz w:val="32"/>
          <w:szCs w:val="32"/>
          <w:lang w:eastAsia="zh-CN"/>
        </w:rPr>
        <w:t>，</w:t>
      </w:r>
      <w:r>
        <w:rPr>
          <w:rFonts w:ascii="仿宋_GB2312" w:eastAsia="仿宋_GB2312" w:cs="Times New Roman" w:hint="eastAsia"/>
          <w:b w:val="0"/>
          <w:bCs w:val="0"/>
          <w:color w:val="000000"/>
          <w:sz w:val="32"/>
          <w:szCs w:val="32"/>
          <w:lang w:val="en-US" w:eastAsia="zh-CN"/>
        </w:rPr>
        <w:t>一</w:t>
      </w:r>
      <w:r>
        <w:rPr>
          <w:rFonts w:ascii="仿宋_GB2312" w:eastAsia="仿宋_GB2312" w:cs="Times New Roman" w:hint="eastAsia"/>
          <w:b w:val="0"/>
          <w:bCs w:val="0"/>
          <w:color w:val="000000"/>
          <w:sz w:val="32"/>
          <w:szCs w:val="32"/>
        </w:rPr>
        <w:t>是加强组织协调，建立行之有</w:t>
      </w:r>
      <w:r>
        <w:rPr>
          <w:rFonts w:ascii="仿宋_GB2312" w:eastAsia="仿宋_GB2312" w:cs="Times New Roman" w:hint="eastAsia"/>
          <w:b w:val="0"/>
          <w:bCs w:val="0"/>
          <w:color w:val="000000"/>
          <w:sz w:val="32"/>
          <w:szCs w:val="32"/>
          <w:lang w:eastAsia="zh-CN"/>
        </w:rPr>
        <w:t>效的</w:t>
      </w:r>
      <w:r>
        <w:rPr>
          <w:rFonts w:ascii="仿宋_GB2312" w:eastAsia="仿宋_GB2312" w:cs="Times New Roman" w:hint="eastAsia"/>
          <w:b w:val="0"/>
          <w:bCs w:val="0"/>
          <w:color w:val="000000"/>
          <w:sz w:val="32"/>
          <w:szCs w:val="32"/>
        </w:rPr>
        <w:t>工作机制。各级党委、政府将补奖政策实施纳入重点民生工程，县、乡、村、牧户层层签订补奖政策实施目标责任书，实行目标督查和绩效考核。各级领导小组和政策实施推进办公室根据工作需要，不断充实力量，对</w:t>
      </w:r>
      <w:r>
        <w:rPr>
          <w:rFonts w:ascii="仿宋_GB2312" w:eastAsia="仿宋_GB2312" w:cs="Times New Roman" w:hint="eastAsia"/>
          <w:b w:val="0"/>
          <w:bCs w:val="0"/>
          <w:color w:val="000000"/>
          <w:sz w:val="32"/>
          <w:szCs w:val="32"/>
          <w:lang w:eastAsia="zh-CN"/>
        </w:rPr>
        <w:t>奖补</w:t>
      </w:r>
      <w:r>
        <w:rPr>
          <w:rFonts w:ascii="仿宋_GB2312" w:eastAsia="仿宋_GB2312" w:cs="Times New Roman" w:hint="eastAsia"/>
          <w:b w:val="0"/>
          <w:bCs w:val="0"/>
          <w:color w:val="000000"/>
          <w:sz w:val="32"/>
          <w:szCs w:val="32"/>
        </w:rPr>
        <w:t>工作统筹安排、精心组织、强力推进，建立了组织领导、指挥协调、推进实施、监督管理、目标考核“五统一”的工作机制，形成了党政统筹、部门配合、乡村联动的工作格局。二是严格资金监管，规范安全发放补奖资金。按照中央、省</w:t>
      </w:r>
      <w:r>
        <w:rPr>
          <w:rFonts w:ascii="仿宋_GB2312" w:eastAsia="仿宋_GB2312" w:cs="Times New Roman" w:hint="eastAsia"/>
          <w:b w:val="0"/>
          <w:bCs w:val="0"/>
          <w:color w:val="000000"/>
          <w:sz w:val="32"/>
          <w:szCs w:val="32"/>
          <w:lang w:eastAsia="zh-CN"/>
        </w:rPr>
        <w:t>、州</w:t>
      </w:r>
      <w:r>
        <w:rPr>
          <w:rFonts w:ascii="仿宋_GB2312" w:eastAsia="仿宋_GB2312" w:cs="Times New Roman" w:hint="eastAsia"/>
          <w:b w:val="0"/>
          <w:bCs w:val="0"/>
          <w:color w:val="000000"/>
          <w:sz w:val="32"/>
          <w:szCs w:val="32"/>
        </w:rPr>
        <w:t>草原生态保护补助奖励资金管理办法，各地严格执行专</w:t>
      </w:r>
      <w:r>
        <w:rPr>
          <w:rFonts w:ascii="仿宋_GB2312" w:eastAsia="仿宋_GB2312" w:cs="Times New Roman" w:hint="eastAsia"/>
          <w:b w:val="0"/>
          <w:bCs w:val="0"/>
          <w:color w:val="000000"/>
          <w:sz w:val="32"/>
          <w:szCs w:val="32"/>
          <w:lang w:eastAsia="zh-CN"/>
        </w:rPr>
        <w:t>账</w:t>
      </w:r>
      <w:r>
        <w:rPr>
          <w:rFonts w:ascii="仿宋_GB2312" w:eastAsia="仿宋_GB2312" w:cs="Times New Roman" w:hint="eastAsia"/>
          <w:b w:val="0"/>
          <w:bCs w:val="0"/>
          <w:color w:val="000000"/>
          <w:sz w:val="32"/>
          <w:szCs w:val="32"/>
        </w:rPr>
        <w:t>管理、专款专用、分级分项核算。坚持“规范操作、严格考核、公示公告、兑现到户”的原则，规范资金发放程序，全面推行“一卡通（一折通）”兑付方式，制定资金发放方案，及时将补奖资金发放到户。按照</w:t>
      </w:r>
      <w:r>
        <w:rPr>
          <w:rFonts w:ascii="仿宋_GB2312" w:eastAsia="仿宋_GB2312" w:cs="Times New Roman" w:hint="eastAsia"/>
          <w:b w:val="0"/>
          <w:bCs w:val="0"/>
          <w:color w:val="000000"/>
          <w:sz w:val="32"/>
          <w:szCs w:val="32"/>
          <w:lang w:eastAsia="zh-CN"/>
        </w:rPr>
        <w:t>州</w:t>
      </w:r>
      <w:r>
        <w:rPr>
          <w:rFonts w:ascii="仿宋_GB2312" w:eastAsia="仿宋_GB2312" w:cs="Times New Roman" w:hint="eastAsia"/>
          <w:b w:val="0"/>
          <w:bCs w:val="0"/>
          <w:color w:val="000000"/>
          <w:sz w:val="32"/>
          <w:szCs w:val="32"/>
        </w:rPr>
        <w:t>绩效考评办法，各县对年度补奖政策落实情况进行了专项审计。三是配套政策制度，保障补奖政策有效实施。坚持把</w:t>
      </w:r>
      <w:r>
        <w:rPr>
          <w:rFonts w:ascii="仿宋_GB2312" w:eastAsia="仿宋_GB2312" w:cs="Times New Roman" w:hint="eastAsia"/>
          <w:b w:val="0"/>
          <w:bCs w:val="0"/>
          <w:color w:val="000000"/>
          <w:sz w:val="32"/>
          <w:szCs w:val="32"/>
          <w:lang w:eastAsia="zh-CN"/>
        </w:rPr>
        <w:t>奖补</w:t>
      </w:r>
      <w:r>
        <w:rPr>
          <w:rFonts w:ascii="仿宋_GB2312" w:eastAsia="仿宋_GB2312" w:cs="Times New Roman" w:hint="eastAsia"/>
          <w:b w:val="0"/>
          <w:bCs w:val="0"/>
          <w:color w:val="000000"/>
          <w:sz w:val="32"/>
          <w:szCs w:val="32"/>
        </w:rPr>
        <w:t>政策与现代草原畜牧业发展政策、退牧还草等现有工程相结合，加大地方配套投入，形成政策和投资合力，努力实现“禁牧不禁养，减畜不减收”。</w:t>
      </w:r>
      <w:r>
        <w:rPr>
          <w:rFonts w:ascii="仿宋_GB2312" w:eastAsia="仿宋_GB2312" w:cs="Times New Roman" w:hint="eastAsia"/>
          <w:b w:val="0"/>
          <w:bCs w:val="0"/>
          <w:color w:val="000000"/>
          <w:sz w:val="32"/>
          <w:szCs w:val="32"/>
          <w:lang w:eastAsia="zh-CN"/>
        </w:rPr>
        <w:t>州</w:t>
      </w:r>
      <w:r>
        <w:rPr>
          <w:rFonts w:ascii="仿宋_GB2312" w:eastAsia="仿宋_GB2312" w:cs="Times New Roman" w:hint="eastAsia"/>
          <w:b w:val="0"/>
          <w:bCs w:val="0"/>
          <w:color w:val="000000"/>
          <w:sz w:val="32"/>
          <w:szCs w:val="32"/>
        </w:rPr>
        <w:t>草原补奖办还制定了《现代草原畜牧业发展专项资金项目建设管理指南》等重要文件，进一步指导补奖工作规范开展。一是加强和完善组织领导机构。充实县、乡（镇）重大动物疫病防制人员，实行政府主要</w:t>
      </w:r>
      <w:r>
        <w:rPr>
          <w:rFonts w:ascii="仿宋_GB2312" w:eastAsia="仿宋_GB2312" w:cs="Times New Roman" w:hint="eastAsia"/>
          <w:b w:val="0"/>
          <w:bCs w:val="0"/>
          <w:color w:val="000000"/>
          <w:sz w:val="32"/>
          <w:szCs w:val="32"/>
          <w:lang w:eastAsia="zh-CN"/>
        </w:rPr>
        <w:t>领导</w:t>
      </w:r>
      <w:r>
        <w:rPr>
          <w:rFonts w:ascii="仿宋_GB2312" w:eastAsia="仿宋_GB2312" w:cs="Times New Roman" w:hint="eastAsia"/>
          <w:b w:val="0"/>
          <w:bCs w:val="0"/>
          <w:color w:val="000000"/>
          <w:sz w:val="32"/>
          <w:szCs w:val="32"/>
        </w:rPr>
        <w:t>抓，有关部门具体抓的长效工作机制。四是加强宣传培训，营造补奖工作良好氛围。利用宣传专栏、张贴宣传标语、印发宣传资料等有效形式，广泛开展补奖政策宣传培训，培训乡、村政策实施管理人员和牧民群众，发放各种宣传资料</w:t>
      </w:r>
      <w:r>
        <w:rPr>
          <w:rFonts w:ascii="仿宋_GB2312" w:eastAsia="仿宋_GB2312" w:cs="Times New Roman" w:hint="eastAsia"/>
          <w:b w:val="0"/>
          <w:bCs w:val="0"/>
          <w:color w:val="000000"/>
          <w:sz w:val="32"/>
          <w:szCs w:val="32"/>
          <w:lang w:val="en-US" w:eastAsia="zh-CN"/>
        </w:rPr>
        <w:t>1300</w:t>
      </w:r>
      <w:r>
        <w:rPr>
          <w:rFonts w:ascii="仿宋_GB2312" w:eastAsia="仿宋_GB2312" w:cs="Times New Roman" w:hint="eastAsia"/>
          <w:b w:val="0"/>
          <w:bCs w:val="0"/>
          <w:color w:val="000000"/>
          <w:sz w:val="32"/>
          <w:szCs w:val="32"/>
        </w:rPr>
        <w:t>多份，调动了基层干部群众参与政策实施的积极性和主动性。五是加大督查指导，强力推动工作有效开展。建立省巡查、州抽查、县普查的监督检查制度，省州县多次派出督导组深入基层指导政策实施，督查工作进度，协调解决困难和矛盾，有力推动基层工作开展，发挥了督一次、促一下，推动工作一大步的作用。</w:t>
      </w:r>
      <w:r>
        <w:rPr>
          <w:rFonts w:ascii="仿宋_GB2312" w:eastAsia="仿宋_GB2312" w:cs="Times New Roman" w:hint="eastAsia"/>
          <w:b w:val="0"/>
          <w:bCs w:val="0"/>
          <w:color w:val="000000"/>
          <w:sz w:val="32"/>
          <w:szCs w:val="32"/>
          <w:lang w:eastAsia="zh-CN"/>
        </w:rPr>
        <w:t>县</w:t>
      </w:r>
      <w:r>
        <w:rPr>
          <w:rFonts w:ascii="仿宋_GB2312" w:eastAsia="仿宋_GB2312" w:cs="Times New Roman" w:hint="eastAsia"/>
          <w:b w:val="0"/>
          <w:bCs w:val="0"/>
          <w:color w:val="000000"/>
          <w:sz w:val="32"/>
          <w:szCs w:val="32"/>
        </w:rPr>
        <w:t>草原补奖</w:t>
      </w:r>
      <w:r>
        <w:rPr>
          <w:rFonts w:ascii="仿宋_GB2312" w:eastAsia="仿宋_GB2312" w:cs="Times New Roman" w:hint="eastAsia"/>
          <w:b w:val="0"/>
          <w:bCs w:val="0"/>
          <w:color w:val="000000"/>
          <w:sz w:val="32"/>
          <w:szCs w:val="32"/>
          <w:lang w:eastAsia="zh-CN"/>
        </w:rPr>
        <w:t>领导小组办公室</w:t>
      </w:r>
      <w:r>
        <w:rPr>
          <w:rFonts w:ascii="仿宋_GB2312" w:eastAsia="仿宋_GB2312" w:cs="Times New Roman" w:hint="eastAsia"/>
          <w:b w:val="0"/>
          <w:bCs w:val="0"/>
          <w:color w:val="000000"/>
          <w:sz w:val="32"/>
          <w:szCs w:val="32"/>
        </w:rPr>
        <w:t>把督查纳入常态化工作，根据各阶段工作需要，定期和不定期派出工作组深入基层进行阶段性、全覆盖督查指导。</w:t>
      </w:r>
    </w:p>
    <w:p>
      <w:pPr>
        <w:snapToGrid w:val="0"/>
        <w:spacing w:line="600" w:lineRule="exact"/>
        <w:ind w:firstLineChars="200" w:firstLine="640"/>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（五）筹资合规性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hint="eastAsia"/>
          <w:color w:val="000000"/>
          <w:sz w:val="32"/>
          <w:szCs w:val="32"/>
        </w:rPr>
      </w:pPr>
      <w:r>
        <w:rPr>
          <w:rFonts w:ascii="仿宋_GB2312" w:eastAsia="仿宋_GB2312" w:hint="eastAsia"/>
          <w:color w:val="000000"/>
          <w:sz w:val="32"/>
          <w:szCs w:val="32"/>
          <w:lang w:val="en-US" w:eastAsia="zh-CN"/>
        </w:rPr>
        <w:t>草原生态保护补助奖励政策资金</w:t>
      </w:r>
      <w:r>
        <w:rPr>
          <w:rFonts w:ascii="仿宋_GB2312" w:eastAsia="仿宋_GB2312" w:hint="eastAsia"/>
          <w:color w:val="000000"/>
          <w:sz w:val="32"/>
          <w:szCs w:val="32"/>
          <w:lang w:eastAsia="zh-CN"/>
        </w:rPr>
        <w:t>由</w:t>
      </w:r>
      <w:r>
        <w:rPr>
          <w:rFonts w:ascii="仿宋_GB2312" w:eastAsia="仿宋_GB2312" w:hint="eastAsia"/>
          <w:color w:val="000000"/>
          <w:sz w:val="32"/>
          <w:szCs w:val="32"/>
          <w:lang w:val="en-US" w:eastAsia="zh-CN"/>
        </w:rPr>
        <w:t>中央财政统一拨付</w:t>
      </w:r>
      <w:r>
        <w:rPr>
          <w:rFonts w:ascii="仿宋_GB2312" w:eastAsia="仿宋_GB2312" w:hint="eastAsia"/>
          <w:color w:val="000000"/>
          <w:sz w:val="32"/>
          <w:szCs w:val="32"/>
          <w:lang w:eastAsia="zh-CN"/>
        </w:rPr>
        <w:t>。项目补助资金来源属于公共财政支持范围，符合法律法规规定，筹资结构合理，资金来源渠道明确，到位时间、条件能够落实。</w:t>
      </w:r>
    </w:p>
    <w:p>
      <w:pPr>
        <w:snapToGrid w:val="0"/>
        <w:spacing w:line="600" w:lineRule="exact"/>
        <w:ind w:firstLineChars="200" w:firstLine="640"/>
        <w:rPr>
          <w:rFonts w:ascii="楷体_GB2312" w:eastAsia="楷体_GB2312" w:cs="楷体_GB2312" w:hint="eastAsia"/>
          <w:b/>
          <w:bCs/>
          <w:sz w:val="32"/>
          <w:szCs w:val="32"/>
          <w:lang w:val="en-US" w:eastAsia="zh-CN"/>
        </w:rPr>
      </w:pPr>
      <w:r>
        <w:rPr>
          <w:rFonts w:ascii="楷体_GB2312" w:eastAsia="楷体_GB2312" w:cs="楷体_GB2312" w:hint="eastAsia"/>
          <w:b/>
          <w:bCs/>
          <w:sz w:val="32"/>
          <w:szCs w:val="32"/>
          <w:lang w:val="en-US" w:eastAsia="zh-CN"/>
        </w:rPr>
        <w:t>（六）评价结论</w:t>
      </w:r>
    </w:p>
    <w:p>
      <w:pPr>
        <w:pStyle w:val="30"/>
        <w:spacing w:line="560" w:lineRule="exact"/>
        <w:ind w:left="0" w:firstLineChars="200" w:firstLine="640"/>
        <w:rPr>
          <w:rFonts w:ascii="仿宋_GB2312" w:hint="eastAsia"/>
          <w:u w:val="none"/>
          <w:lang w:eastAsia="zh-CN"/>
        </w:rPr>
      </w:pPr>
      <w:r>
        <w:rPr>
          <w:rFonts w:ascii="仿宋_GB2312" w:eastAsia="仿宋_GB2312" w:hint="eastAsia"/>
        </w:rPr>
        <w:t>综合前述评估内容来看，该项目立项必要性和依据充分，绩效目标明确，具备实施条件，具有公共性，符合财政资金支持方向</w:t>
      </w:r>
      <w:r>
        <w:rPr>
          <w:rFonts w:ascii="仿宋_GB2312" w:hint="eastAsia"/>
          <w:lang w:eastAsia="zh-CN"/>
        </w:rPr>
        <w:t>，</w:t>
      </w:r>
      <w:r>
        <w:rPr>
          <w:rFonts w:ascii="仿宋_GB2312" w:hint="eastAsia"/>
          <w:lang w:val="en-US" w:eastAsia="zh-CN"/>
        </w:rPr>
        <w:t>自评得分98分</w:t>
      </w:r>
      <w:r>
        <w:rPr>
          <w:rFonts w:ascii="仿宋_GB2312" w:hint="eastAsia"/>
          <w:lang w:eastAsia="zh-CN"/>
        </w:rPr>
        <w:t>。</w:t>
      </w:r>
      <w:r>
        <w:rPr>
          <w:rFonts w:ascii="仿宋_GB2312" w:eastAsia="仿宋_GB2312" w:hint="eastAsia"/>
          <w:b w:val="0"/>
          <w:bCs w:val="0"/>
        </w:rPr>
        <w:t>建议</w:t>
      </w:r>
      <w:r>
        <w:rPr>
          <w:rFonts w:ascii="仿宋_GB2312" w:hint="eastAsia"/>
          <w:b w:val="0"/>
          <w:bCs w:val="0"/>
          <w:lang w:val="en-US" w:eastAsia="zh-CN"/>
        </w:rPr>
        <w:t>该政策持续保留，</w:t>
      </w:r>
      <w:r>
        <w:rPr>
          <w:rFonts w:ascii="仿宋_GB2312" w:eastAsia="仿宋_GB2312" w:hint="eastAsia"/>
        </w:rPr>
        <w:t>我单位将进一步</w:t>
      </w:r>
      <w:r>
        <w:rPr>
          <w:rFonts w:ascii="仿宋_GB2312" w:eastAsia="仿宋_GB2312" w:hint="eastAsia"/>
          <w:u w:val="none"/>
        </w:rPr>
        <w:t>优化完善实施方案和绩效目标，加强运行监控，节约财政资金并提升资金效益，提升预算绩效管理水平</w:t>
      </w:r>
      <w:r>
        <w:rPr>
          <w:rFonts w:ascii="仿宋_GB2312" w:hint="eastAsia"/>
          <w:u w:val="none"/>
          <w:lang w:eastAsia="zh-CN"/>
        </w:rPr>
        <w:t>。</w:t>
      </w:r>
      <w:bookmarkStart w:id="82" w:name="_Toc15396619"/>
      <w:bookmarkStart w:id="83" w:name="_Toc79163636"/>
      <w:bookmarkStart w:id="84" w:name="_Toc79163886"/>
    </w:p>
    <w:tbl>
      <w:tblPr>
        <w:jc w:val="center"/>
        <w:tblW w:w="9187"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608"/>
        <w:gridCol w:w="1194"/>
        <w:gridCol w:w="752"/>
        <w:gridCol w:w="1091"/>
        <w:gridCol w:w="857"/>
        <w:gridCol w:w="532"/>
        <w:gridCol w:w="1253"/>
        <w:gridCol w:w="857"/>
        <w:gridCol w:w="703"/>
        <w:gridCol w:w="547"/>
        <w:gridCol w:w="7"/>
        <w:gridCol w:w="779"/>
        <w:gridCol w:w="7"/>
      </w:tblGrid>
      <w:tr>
        <w:trPr>
          <w:trHeight w:val="597"/>
          <w:gridAfter w:val="1"/>
          <w:wAfter w:w="7" w:type="dxa"/>
        </w:trPr>
        <w:tc>
          <w:tcPr>
            <w:tcW w:w="9180" w:type="dxa"/>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黑体" w:eastAsia="黑体" w:cs="黑体"/>
                <w:b/>
                <w:bCs/>
                <w:i w:val="0"/>
                <w:iCs w:val="0"/>
                <w:color w:val="000000"/>
                <w:sz w:val="30"/>
                <w:szCs w:val="30"/>
                <w:u w:val="none"/>
              </w:rPr>
            </w:pPr>
            <w:r>
              <w:rPr>
                <w:rFonts w:ascii="黑体" w:eastAsia="黑体" w:cs="黑体" w:hint="eastAsia"/>
                <w:b/>
                <w:bCs/>
                <w:i w:val="0"/>
                <w:iCs w:val="0"/>
                <w:color w:val="000000"/>
                <w:kern w:val="0"/>
                <w:sz w:val="30"/>
                <w:szCs w:val="30"/>
                <w:u w:val="none"/>
                <w:bdr w:val="none" w:sz="0" w:space="0" w:color="auto"/>
                <w:lang w:val="en-US" w:eastAsia="zh-CN"/>
              </w:rPr>
              <w:t>部门预算项目支出绩效自评表</w:t>
            </w:r>
          </w:p>
        </w:tc>
      </w:tr>
      <w:tr>
        <w:trPr>
          <w:trHeight w:val="304"/>
          <w:gridAfter w:val="1"/>
          <w:wAfter w:w="7" w:type="dxa"/>
        </w:trPr>
        <w:tc>
          <w:tcPr>
            <w:tcW w:w="180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项目名称</w:t>
            </w:r>
          </w:p>
        </w:tc>
        <w:tc>
          <w:tcPr>
            <w:tcW w:w="737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51322624T000011691256-2024草原生态补助奖励政策资金</w:t>
            </w:r>
          </w:p>
        </w:tc>
      </w:tr>
      <w:tr>
        <w:trPr>
          <w:trHeight w:val="597"/>
          <w:gridAfter w:val="1"/>
          <w:wAfter w:w="7" w:type="dxa"/>
        </w:trPr>
        <w:tc>
          <w:tcPr>
            <w:tcW w:w="1802"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主管部门</w:t>
            </w:r>
          </w:p>
        </w:tc>
        <w:tc>
          <w:tcPr>
            <w:tcW w:w="448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金川县畜牧兽医服务中心本级</w:t>
            </w:r>
          </w:p>
        </w:tc>
        <w:tc>
          <w:tcPr>
            <w:tcW w:w="857"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 xml:space="preserve">实施单位 </w:t>
            </w:r>
          </w:p>
        </w:tc>
        <w:tc>
          <w:tcPr>
            <w:tcW w:w="203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金川县畜牧兽医服务中心</w:t>
            </w:r>
          </w:p>
        </w:tc>
      </w:tr>
      <w:tr>
        <w:trPr>
          <w:trHeight w:val="304"/>
          <w:gridAfter w:val="1"/>
          <w:wAfter w:w="7" w:type="dxa"/>
        </w:trPr>
        <w:tc>
          <w:tcPr>
            <w:tcW w:w="60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项目基本情况</w:t>
            </w:r>
          </w:p>
        </w:tc>
        <w:tc>
          <w:tcPr>
            <w:tcW w:w="11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1.项目年度目标完成情况</w:t>
            </w:r>
          </w:p>
        </w:tc>
        <w:tc>
          <w:tcPr>
            <w:tcW w:w="448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项目年度目标</w:t>
            </w:r>
          </w:p>
        </w:tc>
        <w:tc>
          <w:tcPr>
            <w:tcW w:w="289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年度目标完成情况</w:t>
            </w:r>
          </w:p>
        </w:tc>
      </w:tr>
      <w:tr>
        <w:trPr>
          <w:trHeight w:val="2652"/>
          <w:gridAfter w:val="1"/>
          <w:wAfter w:w="7" w:type="dxa"/>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4485"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全面实施天然草原家庭承包到户面积281.5万亩，其中禁牧草原面积62万亩，兑现禁牧补助资金474.3万元，草畜平衡草原面积219.5万亩，兑现548.75万元，确保草原综合植被盖度达到85%天然草原产草量达79.89公斤/亩。通过实施草原补奖政策，引导农牧民合理配置载畜量，对超载过牧的乡镇加强减畜督导工作，推进牛羊科学出栏，提高牛羊养殖出栏率和商品化率，促进草牧业高质高效发展；稳步提升农牧民收入水平和改善生活条件，巩固拓展脱贫攻坚成果，为加快实施乡村振兴战略、建设生态文明、维护民族团结稳定作出积极贡献。</w:t>
            </w:r>
          </w:p>
        </w:tc>
        <w:tc>
          <w:tcPr>
            <w:tcW w:w="289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全面完成草原禁牧面积62万亩，兑现禁牧补助资金474.3万元，草畜平衡面积219.5万亩，兑现548.75万元。通过实施草原补奖政策，引导了农牧民合理配置载畜量，推进牛羊科学出栏，提高牛羊养殖出栏率和商品化率，促进草牧业高质高效发展。</w:t>
            </w:r>
          </w:p>
        </w:tc>
      </w:tr>
      <w:tr>
        <w:trPr>
          <w:trHeight w:val="891"/>
          <w:gridAfter w:val="1"/>
          <w:wAfter w:w="7" w:type="dxa"/>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2.项目实施内容及过程概述</w:t>
            </w:r>
          </w:p>
        </w:tc>
        <w:tc>
          <w:tcPr>
            <w:tcW w:w="7378" w:type="dxa"/>
            <w:gridSpan w:val="10"/>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在全县19个乡镇85个村实施草原禁牧面积62万亩，草畜平衡面积219.5万亩，兑现禁牧补助资金474.3万元，兑现548.75万元。通过实施草原补奖政策，引导了农牧民合理配置载畜量，推进牛羊科学出栏，提高牛羊养殖出栏率和商品化率，促进草牧业高质高效发展。</w:t>
            </w:r>
          </w:p>
        </w:tc>
      </w:tr>
      <w:tr>
        <w:trPr>
          <w:trHeight w:val="597"/>
          <w:gridAfter w:val="1"/>
          <w:wAfter w:w="7" w:type="dxa"/>
        </w:trPr>
        <w:tc>
          <w:tcPr>
            <w:tcW w:w="60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预算执行情况（10分）</w:t>
            </w: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年度预算数（万元）</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年初预算</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调整后预算数</w:t>
            </w:r>
          </w:p>
        </w:tc>
        <w:tc>
          <w:tcPr>
            <w:tcW w:w="264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预算执行数</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预算执行率</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权重</w:t>
            </w: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得分</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原因</w:t>
            </w:r>
          </w:p>
        </w:tc>
      </w:tr>
      <w:tr>
        <w:trPr>
          <w:trHeight w:val="304"/>
          <w:gridAfter w:val="1"/>
          <w:wAfter w:w="7" w:type="dxa"/>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总额</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1,023.05</w:t>
            </w:r>
          </w:p>
        </w:tc>
        <w:tc>
          <w:tcPr>
            <w:tcW w:w="264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1,023.04</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9</w:t>
            </w:r>
          </w:p>
        </w:tc>
        <w:tc>
          <w:tcPr>
            <w:tcW w:w="7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iCs/>
                <w:color w:val="000000"/>
                <w:sz w:val="15"/>
                <w:szCs w:val="15"/>
                <w:u w:val="none"/>
              </w:rPr>
            </w:pPr>
            <w:r>
              <w:rPr>
                <w:rFonts w:ascii="仿宋" w:eastAsia="仿宋" w:cs="仿宋" w:hint="eastAsia"/>
                <w:i/>
                <w:iCs/>
                <w:color w:val="000000"/>
                <w:kern w:val="0"/>
                <w:sz w:val="15"/>
                <w:szCs w:val="15"/>
                <w:u w:val="none"/>
                <w:bdr w:val="none" w:sz="0" w:space="0" w:color="auto"/>
                <w:lang w:val="en-US" w:eastAsia="zh-CN"/>
              </w:rPr>
              <w:t>因系统四舍五入原因导致96.26元的结余资金。</w:t>
            </w:r>
          </w:p>
        </w:tc>
      </w:tr>
      <w:tr>
        <w:trPr>
          <w:trHeight w:val="416"/>
          <w:gridAfter w:val="1"/>
          <w:wAfter w:w="7" w:type="dxa"/>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其中：财政资金</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1,023.05</w:t>
            </w:r>
          </w:p>
        </w:tc>
        <w:tc>
          <w:tcPr>
            <w:tcW w:w="264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1,023.04</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100.00%</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78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597"/>
          <w:gridAfter w:val="1"/>
          <w:wAfter w:w="7" w:type="dxa"/>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财政专户管理资金</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264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78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04"/>
          <w:gridAfter w:val="1"/>
          <w:wAfter w:w="7" w:type="dxa"/>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单位资金</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264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0.00%</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78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304"/>
          <w:gridAfter w:val="1"/>
          <w:wAfter w:w="7" w:type="dxa"/>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其他资金</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c>
          <w:tcPr>
            <w:tcW w:w="264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786" w:type="dxa"/>
            <w:gridSpan w:val="2"/>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597"/>
        </w:trPr>
        <w:tc>
          <w:tcPr>
            <w:tcW w:w="60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绩效指标（90分）</w:t>
            </w: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一级指标</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二级指标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三级指标</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指标性质</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指标值</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度量单位</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完成值</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权重</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得分</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未完成原因分析</w:t>
            </w:r>
          </w:p>
        </w:tc>
      </w:tr>
      <w:tr>
        <w:trPr>
          <w:trHeight w:val="597"/>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产出指标</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数量指标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禁牧草原面积</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62</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万亩</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62</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597"/>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草畜平衡面积</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219.5</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万亩</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219.5</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891"/>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质量指标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15个乡镇完成草原禁牧任务</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891"/>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19个乡镇完成草畜平衡任务</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597"/>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时效指标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2024年底完成</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891"/>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效益指标</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经济效益指标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提升农牧民收入水平</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定性</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高中低</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val="0"/>
                <w:iCs w:val="0"/>
                <w:color w:val="000000"/>
                <w:sz w:val="15"/>
                <w:szCs w:val="15"/>
                <w:u w:val="none"/>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 xml:space="preserve">高            </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891"/>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社会效益指标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农牧民对两项政策知晓率</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95</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95</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5</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597"/>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生态效益指标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改善草原生态环境</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定性</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高中低</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val="0"/>
                <w:iCs w:val="0"/>
                <w:color w:val="000000"/>
                <w:sz w:val="15"/>
                <w:szCs w:val="15"/>
                <w:u w:val="none"/>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 xml:space="preserve">  高                                                  </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891"/>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满意度指标</w:t>
            </w:r>
          </w:p>
        </w:tc>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服务对象满意度指标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农牧民满意度</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95</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95</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9</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iCs/>
                <w:color w:val="000000"/>
                <w:sz w:val="15"/>
                <w:szCs w:val="15"/>
                <w:u w:val="none"/>
              </w:rPr>
            </w:pPr>
            <w:r>
              <w:rPr>
                <w:rFonts w:ascii="仿宋" w:eastAsia="仿宋" w:cs="仿宋" w:hint="eastAsia"/>
                <w:i/>
                <w:iCs/>
                <w:color w:val="000000"/>
                <w:kern w:val="0"/>
                <w:sz w:val="15"/>
                <w:szCs w:val="15"/>
                <w:u w:val="none"/>
                <w:bdr w:val="none" w:sz="0" w:space="0" w:color="auto"/>
                <w:lang w:val="en-US" w:eastAsia="zh-CN"/>
              </w:rPr>
              <w:t>实施补助标准偏低</w:t>
            </w:r>
          </w:p>
        </w:tc>
      </w:tr>
      <w:tr>
        <w:trPr>
          <w:trHeight w:val="597"/>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成本指标</w:t>
            </w:r>
          </w:p>
        </w:tc>
        <w:tc>
          <w:tcPr>
            <w:tcW w:w="75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经济成本指标</w:t>
            </w: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草畜平衡激励标准</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2.5</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元/亩</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2.5</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597"/>
        </w:trPr>
        <w:tc>
          <w:tcPr>
            <w:tcW w:w="608"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9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09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禁牧补助标准</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w:t>
            </w:r>
          </w:p>
        </w:tc>
        <w:tc>
          <w:tcPr>
            <w:tcW w:w="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7.65</w:t>
            </w:r>
          </w:p>
        </w:tc>
        <w:tc>
          <w:tcPr>
            <w:tcW w:w="125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元/亩</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7.65</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55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jc w:val="center"/>
              <w:rPr>
                <w:rFonts w:ascii="仿宋" w:eastAsia="仿宋" w:cs="仿宋" w:hint="eastAsia"/>
                <w:i/>
                <w:iCs/>
                <w:color w:val="000000"/>
                <w:sz w:val="15"/>
                <w:szCs w:val="15"/>
                <w:u w:val="none"/>
              </w:rPr>
            </w:pPr>
          </w:p>
        </w:tc>
      </w:tr>
      <w:tr>
        <w:trPr>
          <w:trHeight w:val="304"/>
          <w:gridAfter w:val="1"/>
          <w:wAfter w:w="7" w:type="dxa"/>
        </w:trPr>
        <w:tc>
          <w:tcPr>
            <w:tcW w:w="7144"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合计</w:t>
            </w:r>
          </w:p>
        </w:tc>
        <w:tc>
          <w:tcPr>
            <w:tcW w:w="7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100</w:t>
            </w:r>
          </w:p>
        </w:tc>
        <w:tc>
          <w:tcPr>
            <w:tcW w:w="5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98</w:t>
            </w:r>
          </w:p>
        </w:tc>
        <w:tc>
          <w:tcPr>
            <w:tcW w:w="78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rPr>
                <w:rFonts w:ascii="仿宋" w:eastAsia="仿宋" w:cs="仿宋" w:hint="eastAsia"/>
                <w:i w:val="0"/>
                <w:iCs w:val="0"/>
                <w:color w:val="000000"/>
                <w:sz w:val="15"/>
                <w:szCs w:val="15"/>
                <w:u w:val="none"/>
              </w:rPr>
            </w:pPr>
          </w:p>
        </w:tc>
      </w:tr>
      <w:tr>
        <w:trPr>
          <w:trHeight w:val="597"/>
          <w:gridAfter w:val="1"/>
          <w:wAfter w:w="7" w:type="dxa"/>
        </w:trPr>
        <w:tc>
          <w:tcPr>
            <w:tcW w:w="6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评价结论</w:t>
            </w:r>
          </w:p>
        </w:tc>
        <w:tc>
          <w:tcPr>
            <w:tcW w:w="85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绩效评价得分98分，通过该项目实施改善了草原生态环境 ，加快了畜群周转，优化畜群结构，转变畜牧业生产方式，提高农牧民物质文化水平。</w:t>
            </w:r>
          </w:p>
        </w:tc>
      </w:tr>
      <w:tr>
        <w:trPr>
          <w:trHeight w:val="650"/>
          <w:gridAfter w:val="1"/>
          <w:wAfter w:w="7" w:type="dxa"/>
        </w:trPr>
        <w:tc>
          <w:tcPr>
            <w:tcW w:w="6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存在问题</w:t>
            </w:r>
          </w:p>
        </w:tc>
        <w:tc>
          <w:tcPr>
            <w:tcW w:w="85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实施项目涉及部门较多，各部门之间职能职责未能捋清；项目实施补助标准偏低，群众整体评价不高。</w:t>
            </w:r>
          </w:p>
        </w:tc>
      </w:tr>
      <w:tr>
        <w:trPr>
          <w:trHeight w:val="744"/>
          <w:gridAfter w:val="1"/>
          <w:wAfter w:w="7" w:type="dxa"/>
        </w:trPr>
        <w:tc>
          <w:tcPr>
            <w:tcW w:w="6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改进措施</w:t>
            </w:r>
          </w:p>
        </w:tc>
        <w:tc>
          <w:tcPr>
            <w:tcW w:w="8572" w:type="dxa"/>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进一步明确各部门相关职能职责；建议草原补奖政策中自然资源部门及时完成所有国土资源的清理，林草部门及时对天然草原进行草原确权。</w:t>
            </w:r>
          </w:p>
        </w:tc>
      </w:tr>
      <w:tr>
        <w:trPr>
          <w:trHeight w:val="313"/>
          <w:gridAfter w:val="1"/>
          <w:wAfter w:w="7" w:type="dxa"/>
        </w:trPr>
        <w:tc>
          <w:tcPr>
            <w:tcW w:w="4502"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项目负责人：邬尚萍</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仿宋" w:eastAsia="仿宋" w:cs="仿宋" w:hint="eastAsia"/>
                <w:i w:val="0"/>
                <w:iCs w:val="0"/>
                <w:color w:val="000000"/>
                <w:sz w:val="15"/>
                <w:szCs w:val="15"/>
                <w:u w:val="none"/>
              </w:rPr>
            </w:pPr>
            <w:r>
              <w:rPr>
                <w:rFonts w:ascii="仿宋" w:eastAsia="仿宋" w:cs="仿宋" w:hint="eastAsia"/>
                <w:i w:val="0"/>
                <w:iCs w:val="0"/>
                <w:color w:val="000000"/>
                <w:kern w:val="0"/>
                <w:sz w:val="15"/>
                <w:szCs w:val="15"/>
                <w:u w:val="none"/>
                <w:bdr w:val="none" w:sz="0" w:space="0" w:color="auto"/>
                <w:lang w:val="en-US" w:eastAsia="zh-CN"/>
              </w:rPr>
              <w:t>财务负责人：唐炳贵</w:t>
            </w:r>
          </w:p>
        </w:tc>
      </w:tr>
    </w:tbl>
    <w:p>
      <w:pPr>
        <w:tabs>
          <w:tab w:val="left" w:pos="0"/>
        </w:tabs>
        <w:spacing w:line="600" w:lineRule="exact"/>
        <w:jc w:val="both"/>
        <w:outlineLvl w:val="0"/>
        <w:rPr>
          <w:rFonts w:ascii="仿宋_GB2312" w:cs="仿宋" w:hAnsi="仿宋_GB2312" w:hint="eastAsia"/>
          <w:b w:val="0"/>
          <w:bCs w:val="0"/>
          <w:color w:val="000000"/>
          <w:kern w:val="0"/>
          <w:sz w:val="32"/>
          <w:szCs w:val="32"/>
          <w:lang w:val="zh-CN" w:eastAsia="zh-CN" w:bidi="ar-SA"/>
        </w:rPr>
      </w:pPr>
    </w:p>
    <w:p>
      <w:pPr>
        <w:tabs>
          <w:tab w:val="left" w:pos="0"/>
        </w:tabs>
        <w:spacing w:line="600" w:lineRule="exact"/>
        <w:jc w:val="center"/>
        <w:outlineLvl w:val="0"/>
        <w:rPr>
          <w:rFonts w:ascii="黑体" w:eastAsia="黑体" w:cs="黑体" w:hint="eastAsia"/>
          <w:b w:val="0"/>
          <w:bCs w:val="0"/>
          <w:color w:val="000000"/>
          <w:kern w:val="0"/>
          <w:sz w:val="44"/>
          <w:szCs w:val="44"/>
          <w:lang w:val="zh-CN" w:eastAsia="zh-CN" w:bidi="ar-SA"/>
        </w:rPr>
      </w:pPr>
      <w:r>
        <w:rPr>
          <w:rFonts w:ascii="黑体" w:eastAsia="黑体" w:cs="黑体" w:hint="eastAsia"/>
          <w:b w:val="0"/>
          <w:bCs w:val="0"/>
          <w:color w:val="000000"/>
          <w:kern w:val="0"/>
          <w:sz w:val="44"/>
          <w:szCs w:val="44"/>
          <w:lang w:val="zh-CN" w:eastAsia="zh-CN" w:bidi="ar-SA"/>
        </w:rPr>
        <w:t>第五部分</w:t>
      </w:r>
      <w:r>
        <w:rPr>
          <w:rFonts w:ascii="黑体" w:eastAsia="黑体" w:cs="黑体" w:hint="eastAsia"/>
          <w:b w:val="0"/>
          <w:bCs w:val="0"/>
          <w:color w:val="000000"/>
          <w:kern w:val="0"/>
          <w:sz w:val="44"/>
          <w:szCs w:val="44"/>
          <w:lang w:val="en-US" w:eastAsia="zh-CN" w:bidi="ar-SA"/>
        </w:rPr>
        <w:t xml:space="preserve">  </w:t>
      </w:r>
      <w:r>
        <w:rPr>
          <w:rFonts w:ascii="黑体" w:eastAsia="黑体" w:cs="黑体" w:hint="eastAsia"/>
          <w:b w:val="0"/>
          <w:bCs w:val="0"/>
          <w:color w:val="000000"/>
          <w:kern w:val="0"/>
          <w:sz w:val="44"/>
          <w:szCs w:val="44"/>
          <w:lang w:val="zh-CN" w:eastAsia="zh-CN" w:bidi="ar-SA"/>
        </w:rPr>
        <w:t>附表</w:t>
      </w:r>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一、收入支出决算总表</w:t>
      </w:r>
      <w:bookmarkStart w:id="85" w:name="_Toc79163637"/>
      <w:bookmarkStart w:id="86" w:name="_Toc79163887"/>
      <w:bookmarkStart w:id="87" w:name="_Toc15396620"/>
      <w:bookmarkEnd w:id="82"/>
      <w:bookmarkEnd w:id="83"/>
      <w:bookmarkEnd w:id="84"/>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二、收入决算表</w:t>
      </w:r>
      <w:bookmarkStart w:id="88" w:name="_Toc79163888"/>
      <w:bookmarkStart w:id="89" w:name="_Toc79163638"/>
      <w:bookmarkStart w:id="90" w:name="_Toc15396621"/>
      <w:bookmarkEnd w:id="85"/>
      <w:bookmarkEnd w:id="86"/>
      <w:bookmarkEnd w:id="87"/>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三、支出决算表</w:t>
      </w:r>
      <w:bookmarkStart w:id="91" w:name="_Toc15396622"/>
      <w:bookmarkStart w:id="92" w:name="_Toc79163639"/>
      <w:bookmarkStart w:id="93" w:name="_Toc79163889"/>
      <w:bookmarkEnd w:id="88"/>
      <w:bookmarkEnd w:id="89"/>
      <w:bookmarkEnd w:id="90"/>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四、财政拨款收入支出决算总表</w:t>
      </w:r>
      <w:bookmarkStart w:id="94" w:name="_Toc15396623"/>
      <w:bookmarkStart w:id="95" w:name="_Toc79163890"/>
      <w:bookmarkStart w:id="96" w:name="_Toc79163640"/>
      <w:bookmarkEnd w:id="91"/>
      <w:bookmarkEnd w:id="92"/>
      <w:bookmarkEnd w:id="93"/>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五、财政拨款支出决算明细表</w:t>
      </w:r>
      <w:bookmarkStart w:id="97" w:name="_Toc79163891"/>
      <w:bookmarkStart w:id="98" w:name="_Toc79163641"/>
      <w:bookmarkStart w:id="99" w:name="_Toc15396624"/>
      <w:bookmarkEnd w:id="94"/>
      <w:bookmarkEnd w:id="95"/>
      <w:bookmarkEnd w:id="96"/>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六、一般公共预算财政拨款支出决算表</w:t>
      </w:r>
      <w:bookmarkStart w:id="100" w:name="_Toc79163642"/>
      <w:bookmarkStart w:id="101" w:name="_Toc15396625"/>
      <w:bookmarkStart w:id="102" w:name="_Toc79163892"/>
      <w:bookmarkEnd w:id="97"/>
      <w:bookmarkEnd w:id="98"/>
      <w:bookmarkEnd w:id="99"/>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七、一般公共预算财政拨款支出决算明细表</w:t>
      </w:r>
      <w:bookmarkStart w:id="103" w:name="_Toc79163893"/>
      <w:bookmarkStart w:id="104" w:name="_Toc79163643"/>
      <w:bookmarkStart w:id="105" w:name="_Toc15396626"/>
      <w:bookmarkEnd w:id="100"/>
      <w:bookmarkEnd w:id="101"/>
      <w:bookmarkEnd w:id="102"/>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八、一般公共预算财政拨款基本支出决算表</w:t>
      </w:r>
      <w:bookmarkStart w:id="106" w:name="_Toc15396627"/>
      <w:bookmarkStart w:id="107" w:name="_Toc79163644"/>
      <w:bookmarkStart w:id="108" w:name="_Toc79163894"/>
      <w:bookmarkEnd w:id="103"/>
      <w:bookmarkEnd w:id="104"/>
      <w:bookmarkEnd w:id="105"/>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九、一般公共预算财政拨款项目支出决算表</w:t>
      </w:r>
      <w:bookmarkStart w:id="109" w:name="_Toc15396628"/>
      <w:bookmarkStart w:id="110" w:name="_Toc79163895"/>
      <w:bookmarkStart w:id="111" w:name="_Toc79163645"/>
      <w:bookmarkEnd w:id="106"/>
      <w:bookmarkEnd w:id="107"/>
      <w:bookmarkEnd w:id="108"/>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十、</w:t>
      </w:r>
      <w:bookmarkStart w:id="112" w:name="_Toc79163646"/>
      <w:bookmarkStart w:id="113" w:name="_Toc15396629"/>
      <w:bookmarkStart w:id="114" w:name="_Toc79163896"/>
      <w:bookmarkEnd w:id="109"/>
      <w:bookmarkEnd w:id="110"/>
      <w:bookmarkEnd w:id="111"/>
      <w:r>
        <w:rPr>
          <w:rFonts w:ascii="仿宋_GB2312" w:eastAsia="仿宋_GB2312" w:cs="仿宋" w:hint="eastAsia"/>
          <w:b w:val="0"/>
          <w:bCs w:val="0"/>
          <w:color w:val="000000"/>
          <w:kern w:val="0"/>
          <w:sz w:val="32"/>
          <w:szCs w:val="32"/>
          <w:lang w:val="zh-CN" w:eastAsia="zh-CN" w:bidi="ar-SA"/>
        </w:rPr>
        <w:t>政府性基金预算财政拨款收入支出决算表</w:t>
      </w:r>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十一、</w:t>
      </w:r>
      <w:bookmarkStart w:id="115" w:name="_Toc79163897"/>
      <w:bookmarkStart w:id="116" w:name="_Toc15396630"/>
      <w:bookmarkStart w:id="117" w:name="_Toc79163647"/>
      <w:bookmarkEnd w:id="112"/>
      <w:bookmarkEnd w:id="113"/>
      <w:bookmarkEnd w:id="114"/>
      <w:r>
        <w:rPr>
          <w:rFonts w:ascii="仿宋_GB2312" w:eastAsia="仿宋_GB2312" w:cs="仿宋" w:hint="eastAsia"/>
          <w:b w:val="0"/>
          <w:bCs w:val="0"/>
          <w:color w:val="000000"/>
          <w:kern w:val="0"/>
          <w:sz w:val="32"/>
          <w:szCs w:val="32"/>
          <w:lang w:val="zh-CN" w:eastAsia="zh-CN" w:bidi="ar-SA"/>
        </w:rPr>
        <w:t>国有资本经营预算财政拨款收入支出决算表</w:t>
      </w:r>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十二、</w:t>
      </w:r>
      <w:bookmarkStart w:id="118" w:name="_Toc79163648"/>
      <w:bookmarkStart w:id="119" w:name="_Toc79163898"/>
      <w:bookmarkStart w:id="120" w:name="_Toc15396631"/>
      <w:bookmarkEnd w:id="115"/>
      <w:bookmarkEnd w:id="116"/>
      <w:bookmarkEnd w:id="117"/>
      <w:r>
        <w:rPr>
          <w:rFonts w:ascii="仿宋_GB2312" w:eastAsia="仿宋_GB2312" w:cs="仿宋" w:hint="eastAsia"/>
          <w:b w:val="0"/>
          <w:bCs w:val="0"/>
          <w:color w:val="000000"/>
          <w:kern w:val="0"/>
          <w:sz w:val="32"/>
          <w:szCs w:val="32"/>
          <w:lang w:val="zh-CN" w:eastAsia="zh-CN" w:bidi="ar-SA"/>
        </w:rPr>
        <w:t>国有资本经营预算财政拨款支出决算表</w:t>
      </w:r>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r>
        <w:rPr>
          <w:rFonts w:ascii="仿宋_GB2312" w:eastAsia="仿宋_GB2312" w:cs="仿宋" w:hint="eastAsia"/>
          <w:b w:val="0"/>
          <w:bCs w:val="0"/>
          <w:color w:val="000000"/>
          <w:kern w:val="0"/>
          <w:sz w:val="32"/>
          <w:szCs w:val="32"/>
          <w:lang w:val="zh-CN" w:eastAsia="zh-CN" w:bidi="ar-SA"/>
        </w:rPr>
        <w:t>十三、</w:t>
      </w:r>
      <w:bookmarkEnd w:id="118"/>
      <w:bookmarkEnd w:id="119"/>
      <w:bookmarkEnd w:id="120"/>
      <w:r>
        <w:rPr>
          <w:rFonts w:ascii="仿宋_GB2312" w:eastAsia="仿宋_GB2312" w:cs="仿宋" w:hint="eastAsia"/>
          <w:b w:val="0"/>
          <w:bCs w:val="0"/>
          <w:color w:val="000000"/>
          <w:kern w:val="0"/>
          <w:sz w:val="32"/>
          <w:szCs w:val="32"/>
          <w:lang w:val="zh-CN" w:eastAsia="zh-CN" w:bidi="ar-SA"/>
        </w:rPr>
        <w:t>财政拨款“三公”经费支出决算表</w:t>
      </w:r>
    </w:p>
    <w:p>
      <w:pPr>
        <w:pStyle w:val="30"/>
        <w:spacing w:line="560" w:lineRule="exact"/>
        <w:ind w:left="0" w:firstLineChars="200" w:firstLine="640"/>
        <w:rPr>
          <w:rFonts w:ascii="仿宋_GB2312" w:eastAsia="仿宋_GB2312" w:cs="仿宋" w:hint="eastAsia"/>
          <w:b w:val="0"/>
          <w:bCs w:val="0"/>
          <w:color w:val="000000"/>
          <w:kern w:val="0"/>
          <w:sz w:val="32"/>
          <w:szCs w:val="32"/>
          <w:lang w:val="zh-CN" w:eastAsia="zh-CN" w:bidi="ar-SA"/>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auto"/>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仿宋_GB2312">
    <w:altName w:val="仿宋"/>
    <w:panose1 w:val="02010609030101010101"/>
    <w:charset w:val="86"/>
    <w:family w:val="modern"/>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宋体">
    <w:altName w:val="方正书宋_GBK"/>
    <w:panose1 w:val="02010600030101010101"/>
    <w:charset w:val="7A"/>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tabs>
        <w:tab w:val="center" w:pos="4153"/>
        <w:tab w:val="right" w:pos="8306"/>
      </w:tabs>
      <w:jc w:val="center"/>
    </w:pPr>
    <w:r>
      <w:fldChar w:fldCharType="begin"/>
    </w:r>
    <w:r>
      <w:instrText>PAGE   \* MERGEFORMAT</w:instrText>
    </w:r>
    <w:r>
      <w:fldChar w:fldCharType="separate"/>
    </w:r>
    <w:r>
      <w:rPr>
        <w:lang w:val="zh-CN"/>
      </w:rPr>
      <w:t>2</w:t>
    </w:r>
    <w:r>
      <w:rPr>
        <w:lang w:val="zh-CN"/>
      </w:rPr>
      <w:fldChar w:fldCharType="end"/>
    </w:r>
  </w:p>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3EA822E5"/>
    <w:multiLevelType w:val="singleLevel"/>
    <w:tmpl w:val="3EA822E5"/>
    <w:lvl w:ilvl="0">
      <w:start w:val="1"/>
      <w:numFmt w:val="chineseCounting"/>
      <w:lvlRestart w:val="0"/>
      <w:suff w:val="space"/>
      <w:lvlText w:val="第%1部分"/>
      <w:lvlJc w:val="left"/>
      <w:pPr>
        <w:tabs>
          <w:tab w:val="num" w:pos="0"/>
        </w:tabs>
        <w:ind w:left="0" w:hanging="0"/>
      </w:pPr>
      <w:rPr>
        <w:rFonts w:hint="eastAsia"/>
      </w:r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abstractNum w:abstractNumId="2">
    <w:nsid w:val="38102E4A"/>
    <w:multiLevelType w:val="singleLevel"/>
    <w:tmpl w:val="38102E4A"/>
    <w:lvl w:ilvl="0">
      <w:start w:val="3"/>
      <w:numFmt w:val="decimal"/>
      <w:lvlRestart w:val="0"/>
      <w:suff w:val="space"/>
      <w:lvlText w:val="%1、"/>
      <w:lvlJc w:val="left"/>
      <w:pPr>
        <w:tabs>
          <w:tab w:val="num" w:pos="0"/>
        </w:tabs>
        <w:ind w:left="0" w:hanging="0"/>
      </w:p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cs="Times New Roman" w:hint="eastAsia"/>
      </w:rPr>
    </w:lvl>
  </w:abstractNum>
  <w:abstractNum w:abstractNumId="4">
    <w:nsid w:val="5DCC8A94"/>
    <w:multiLevelType w:val="singleLevel"/>
    <w:tmpl w:val="5DCC8A94"/>
    <w:lvl w:ilvl="0">
      <w:start w:val="2"/>
      <w:numFmt w:val="chineseCounting"/>
      <w:lvlRestart w:val="0"/>
      <w:suff w:val="space"/>
      <w:lvlText w:val="%1、"/>
      <w:lvlJc w:val="left"/>
      <w:pPr>
        <w:tabs>
          <w:tab w:val="num" w:pos="0"/>
        </w:tabs>
        <w:ind w:left="640" w:hanging="0"/>
      </w:pPr>
      <w:rPr>
        <w:rFonts w:hint="eastAsia"/>
      </w:rPr>
    </w:lvl>
  </w:abstractNum>
  <w:abstractNum w:abstractNumId="5">
    <w:nsid w:val="D1D3EC28"/>
    <w:multiLevelType w:val="singleLevel"/>
    <w:tmpl w:val="D1D3EC28"/>
    <w:lvl w:ilvl="0">
      <w:start w:val="2"/>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noLineBreaksAfter w:lang="zh-CN" w:val="$([{£¥·‘“〈《「『【〔〖〝﹙﹛﹝＄（．［｛￡￥"/>
  <w:noLineBreaksBefore w:lang="zh-CN" w:val="!%),.:;&gt;?]}¢¨°·ˇˉ―‖’”…‰′″›℃∶、。〃〉》」』】〕〗〞︶︺︾﹀﹄﹚﹜﹞！＂％＇），．：；？］｀｜｝～￠"/>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OWMyZGEzY2NhZDZiNGJlZDIxOGQ3MGRlYzBjZjVlYz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Normal Indent"/>
    <w:basedOn w:val="0"/>
    <w:autoRedefine/>
    <w:pPr>
      <w:ind w:firstLine="420"/>
    </w:pPr>
    <w:rPr>
      <w:rFonts w:ascii="Times New Roman" w:cs="Times New Roman" w:hAnsi="Times New Roman"/>
    </w:rPr>
  </w:style>
  <w:style w:type="paragraph" w:styleId="16">
    <w:name w:val="Body Text"/>
    <w:basedOn w:val="0"/>
    <w:autoRedefine/>
    <w:pPr>
      <w:spacing w:beforeLines="30" w:before="30"/>
    </w:pPr>
    <w:rPr>
      <w:rFonts w:ascii="仿宋_GB2312" w:eastAsia="仿宋_GB2312"/>
      <w:kern w:val="0"/>
      <w:sz w:val="30"/>
    </w:rPr>
  </w:style>
  <w:style w:type="paragraph" w:styleId="17">
    <w:name w:val="toc 3"/>
    <w:basedOn w:val="0"/>
    <w:autoRedefine/>
    <w:next w:val="0"/>
    <w:pPr>
      <w:tabs>
        <w:tab w:val="right" w:leader="dot" w:pos="8296"/>
      </w:tabs>
      <w:ind w:leftChars="400" w:left="400"/>
    </w:pPr>
  </w:style>
  <w:style w:type="paragraph" w:styleId="18">
    <w:name w:val="Balloon Text"/>
    <w:basedOn w:val="0"/>
    <w:autoRedefine/>
    <w:rPr>
      <w:sz w:val="18"/>
      <w:szCs w:val="18"/>
    </w:rPr>
  </w:style>
  <w:style w:type="paragraph" w:styleId="19">
    <w:name w:val="footer"/>
    <w:basedOn w:val="0"/>
    <w:autoRedefine/>
    <w:pPr>
      <w:tabs>
        <w:tab w:val="center" w:pos="4153"/>
        <w:tab w:val="right" w:pos="8306"/>
      </w:tabs>
      <w:snapToGrid w:val="0"/>
      <w:jc w:val="left"/>
    </w:pPr>
    <w:rPr>
      <w:rFonts w:ascii="Calibri" w:hAnsi="Calibri"/>
      <w:kern w:val="0"/>
      <w:sz w:val="18"/>
      <w:szCs w:val="18"/>
    </w:rPr>
  </w:style>
  <w:style w:type="paragraph" w:styleId="20">
    <w:name w:val="header"/>
    <w:basedOn w:val="0"/>
    <w:autoRedefine/>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autoRedefine/>
    <w:next w:val="0"/>
    <w:pPr>
      <w:tabs>
        <w:tab w:val="right" w:leader="dot" w:pos="8296"/>
      </w:tabs>
      <w:spacing w:before="93"/>
      <w:jc w:val="center"/>
    </w:pPr>
    <w:rPr>
      <w:rFonts w:ascii="仿宋" w:eastAsia="仿宋"/>
      <w:sz w:val="28"/>
      <w:szCs w:val="28"/>
    </w:rPr>
  </w:style>
  <w:style w:type="paragraph" w:styleId="22">
    <w:name w:val="toc 2"/>
    <w:basedOn w:val="0"/>
    <w:autoRedefine/>
    <w:next w:val="0"/>
    <w:pPr>
      <w:tabs>
        <w:tab w:val="right" w:leader="dot" w:pos="8296"/>
      </w:tabs>
      <w:ind w:leftChars="200" w:left="200"/>
    </w:pPr>
  </w:style>
  <w:style w:type="paragraph" w:styleId="23">
    <w:name w:val="HTML Preformatted"/>
    <w:basedOn w:val="0"/>
    <w:autoRedefin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24">
    <w:name w:val="Normal (Web)"/>
    <w:basedOn w:val="0"/>
    <w:autoRedefine/>
    <w:pPr>
      <w:spacing w:before="0" w:beforeAutospacing="1" w:after="0" w:afterAutospacing="1"/>
      <w:ind w:left="0" w:right="0"/>
      <w:jc w:val="left"/>
    </w:pPr>
    <w:rPr>
      <w:kern w:val="0"/>
      <w:sz w:val="24"/>
      <w:lang w:val="en-US" w:eastAsia="zh-CN"/>
    </w:rPr>
  </w:style>
  <w:style w:type="character" w:styleId="25">
    <w:name w:val="Strong"/>
    <w:basedOn w:val="10"/>
    <w:autoRedefine/>
    <w:rPr>
      <w:rFonts w:cs="Times New Roman"/>
      <w:b/>
    </w:rPr>
  </w:style>
  <w:style w:type="character" w:styleId="26">
    <w:name w:val="Hyperlink"/>
    <w:basedOn w:val="10"/>
    <w:autoRedefine/>
    <w:rPr>
      <w:rFonts w:cs="Times New Roman"/>
      <w:color w:val="0000FF"/>
      <w:u w:val="single"/>
    </w:rPr>
  </w:style>
  <w:style w:type="paragraph" w:customStyle="1" w:styleId="27">
    <w:name w:val="Default"/>
    <w:autoRedefine/>
    <w:pPr>
      <w:widowControl w:val="0"/>
      <w:autoSpaceDE w:val="0"/>
      <w:autoSpaceDN w:val="0"/>
      <w:adjustRightInd w:val="0"/>
    </w:pPr>
    <w:rPr>
      <w:rFonts w:ascii="仿宋" w:eastAsia="仿宋" w:cs="仿宋"/>
      <w:color w:val="000000"/>
      <w:kern w:val="0"/>
      <w:sz w:val="24"/>
      <w:szCs w:val="24"/>
      <w:lang w:val="en-US" w:eastAsia="zh-CN" w:bidi="ar-SA"/>
    </w:rPr>
  </w:style>
  <w:style w:type="paragraph" w:styleId="28">
    <w:name w:val="List Paragraph"/>
    <w:basedOn w:val="0"/>
    <w:autoRedefine/>
    <w:pPr>
      <w:ind w:firstLineChars="200" w:firstLine="200"/>
    </w:pPr>
  </w:style>
  <w:style w:type="paragraph" w:customStyle="1" w:styleId="29">
    <w:name w:val="TOC Heading1"/>
    <w:basedOn w:val="1"/>
    <w:autoRedefine/>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0">
    <w:name w:val="NormalIndent"/>
    <w:autoRedefine/>
    <w:next w:val="20"/>
    <w:pPr>
      <w:widowControl w:val="0"/>
      <w:ind w:firstLineChars="200" w:firstLine="200"/>
      <w:jc w:val="both"/>
    </w:pPr>
    <w:rPr>
      <w:rFonts w:ascii="Times New Roman" w:eastAsia="仿宋_GB2312" w:cs="Times New Roman" w:hAnsi="Times New Roman"/>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chart" Target="charts/chart8.xml"/><Relationship Id="rId12" Type="http://schemas.openxmlformats.org/officeDocument/2006/relationships/styles" Target="styles.xml"/><Relationship Id="rId13" Type="http://schemas.openxmlformats.org/officeDocument/2006/relationships/numbering" Target="numbering.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image" Target="../media/pimg1.png"/><Relationship Id="rId2" Type="http://schemas.openxmlformats.org/officeDocument/2006/relationships/image" Target="../media/pimg2.png"/><Relationship Id="rId3" Type="http://schemas.openxmlformats.org/officeDocument/2006/relationships/image" Target="../media/pimg3.png"/><Relationship Id="rId4" Type="http://schemas.openxmlformats.org/officeDocument/2006/relationships/image" Target="../media/pimg4.png"/><Relationship Id="rId5" Type="http://schemas.openxmlformats.org/officeDocument/2006/relationships/image" Target="../media/pimg5.png"/><Relationship Id="rId6"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image" Target="../media/pimg6.png"/><Relationship Id="rId2" Type="http://schemas.openxmlformats.org/officeDocument/2006/relationships/image" Target="../media/pimg7.png"/><Relationship Id="rId3" Type="http://schemas.openxmlformats.org/officeDocument/2006/relationships/image" Target="../media/pimg8.png"/><Relationship Id="rId4"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image" Target="../media/pimg9.png"/><Relationship Id="rId2" Type="http://schemas.openxmlformats.org/officeDocument/2006/relationships/image" Target="../media/pimg10.png"/><Relationship Id="rId3" Type="http://schemas.openxmlformats.org/officeDocument/2006/relationships/image" Target="../media/pimg11.png"/><Relationship Id="rId4" Type="http://schemas.openxmlformats.org/officeDocument/2006/relationships/image" Target="../media/pimg12.png"/><Relationship Id="rId5" Type="http://schemas.openxmlformats.org/officeDocument/2006/relationships/image" Target="../media/pimg13.png"/><Relationship Id="rId6"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image" Target="../media/pimg14.png"/><Relationship Id="rId2"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char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404040"/>
                </a:solidFill>
                <a:latin typeface="微软雅黑"/>
                <a:ea typeface="微软雅黑"/>
                <a:cs typeface="Lucida Sans"/>
              </a:defRPr>
            </a:pPr>
            <a:r>
              <a:rPr lang="zh-CN"/>
              <a:t>收支对比图</a:t>
            </a:r>
          </a:p>
        </c:rich>
      </c:tx>
      <c:layout/>
      <c:overlay val="0"/>
      <c:spPr>
        <a:noFill/>
        <a:ln>
          <a:noFill/>
        </a:ln>
      </c:spPr>
    </c:title>
    <c:autoTitleDeleted val="1"/>
    <c:plotArea>
      <c:layout/>
      <c:barChart>
        <c:barDir val="col"/>
        <c:grouping val="clustered"/>
        <c:varyColors val="0"/>
        <c:ser>
          <c:idx val="0"/>
          <c:order val="0"/>
          <c:spPr>
            <a:blipFill rotWithShape="1">
              <a:blip r:embed="rId1"/>
              <a:stretch/>
            </a:blipFill>
            <a:ln>
              <a:noFill/>
            </a:ln>
            <a:effectLst>
              <a:outerShdw dist="35921" dir="2700000" algn="br">
                <a:srgbClr val="000000"/>
              </a:outerShdw>
            </a:effectLst>
          </c:spPr>
          <c:invertIfNegative val="0"/>
          <c:dPt>
            <c:idx val="0"/>
            <c:invertIfNegative val="0"/>
            <c:bubble3D val="0"/>
            <c:spPr>
              <a:blipFill rotWithShape="1">
                <a:blip r:embed="rId2"/>
                <a:stretch/>
              </a:blipFill>
              <a:ln>
                <a:noFill/>
              </a:ln>
              <a:effectLst>
                <a:outerShdw dist="35921" dir="2700000" algn="br">
                  <a:srgbClr val="000000"/>
                </a:outerShdw>
              </a:effectLst>
            </c:spPr>
          </c:dPt>
          <c:dPt>
            <c:idx val="1"/>
            <c:invertIfNegative val="0"/>
            <c:bubble3D val="0"/>
            <c:spPr>
              <a:blipFill rotWithShape="1">
                <a:blip r:embed="rId3"/>
                <a:stretch/>
              </a:blipFill>
              <a:ln>
                <a:noFill/>
              </a:ln>
              <a:effectLst>
                <a:outerShdw dist="35921" dir="2700000" algn="br">
                  <a:srgbClr val="000000"/>
                </a:outerShdw>
              </a:effectLst>
            </c:spPr>
          </c:dPt>
          <c:dPt>
            <c:idx val="2"/>
            <c:invertIfNegative val="0"/>
            <c:bubble3D val="0"/>
            <c:spPr>
              <a:blipFill rotWithShape="1">
                <a:blip r:embed="rId4"/>
                <a:stretch/>
              </a:blipFill>
              <a:ln>
                <a:noFill/>
              </a:ln>
              <a:effectLst>
                <a:outerShdw dist="35921" dir="2700000" algn="br">
                  <a:srgbClr val="000000"/>
                </a:outerShdw>
              </a:effectLst>
            </c:spPr>
          </c:dPt>
          <c:dPt>
            <c:idx val="3"/>
            <c:invertIfNegative val="0"/>
            <c:bubble3D val="0"/>
            <c:spPr>
              <a:blipFill rotWithShape="1">
                <a:blip r:embed="rId5"/>
                <a:stretch/>
              </a:blipFill>
              <a:ln>
                <a:noFill/>
              </a:ln>
              <a:effectLst>
                <a:outerShdw dist="35921" dir="2700000" algn="br">
                  <a:srgbClr val="000000"/>
                </a:outerShdw>
              </a:effectLst>
            </c:spPr>
          </c:dPt>
          <c:dLbls>
            <c:spPr>
              <a:no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numFmt formatCode="General" sourceLinked="0"/>
            <c:dLbl>
              <c:idx val="0"/>
              <c:numFmt formatCode="General" sourceLinked="0"/>
              <c:spPr>
                <a:solidFill>
                  <a:srgbClr val="0FB0C8"/>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
              <c:idx val="1"/>
              <c:numFmt formatCode="General" sourceLinked="0"/>
              <c:spPr>
                <a:solidFill>
                  <a:srgbClr val="FCA768"/>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
              <c:idx val="2"/>
              <c:numFmt formatCode="General" sourceLinked="0"/>
              <c:spPr>
                <a:solidFill>
                  <a:srgbClr val="F96F7C"/>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
              <c:idx val="3"/>
              <c:numFmt formatCode="General" sourceLinked="0"/>
              <c:spPr>
                <a:solidFill>
                  <a:srgbClr val="8AB1E6"/>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2023年收入</c:v>
              </c:pt>
              <c:pt idx="1">
                <c:v>2024年收入</c:v>
              </c:pt>
              <c:pt idx="2">
                <c:v>2023年支出</c:v>
              </c:pt>
              <c:pt idx="3">
                <c:v>2024年支出</c:v>
              </c:pt>
            </c:strLit>
          </c:cat>
          <c:val>
            <c:numRef>
              <c:f/>
              <c:numCache>
                <c:formatCode>General</c:formatCode>
                <c:ptCount val="4"/>
                <c:pt idx="0">
                  <c:v>2025.76</c:v>
                </c:pt>
                <c:pt idx="1">
                  <c:v>2216.19</c:v>
                </c:pt>
                <c:pt idx="2">
                  <c:v>2025.76</c:v>
                </c:pt>
                <c:pt idx="3">
                  <c:v>2216.19</c:v>
                </c:pt>
              </c:numCache>
            </c:numRef>
          </c:val>
        </c:ser>
        <c:overlap val="-21"/>
        <c:gapWidth val="152"/>
        <c:axId val="0"/>
        <c:axId val="1"/>
      </c:barChart>
      <c:catAx>
        <c:axId val="0"/>
        <c:scaling>
          <c:orientation val="minMax"/>
        </c:scaling>
        <c:delete val="0"/>
        <c:axPos val="b"/>
        <c:numFmt formatCode="General" sourceLinked="0"/>
        <c:majorGridlines>
          <c:spPr>
            <a:ln w="6350">
              <a:solidFill>
                <a:srgbClr val="808080"/>
              </a:solidFill>
              <a:prstDash val="solid"/>
            </a:ln>
          </c:spPr>
        </c:majorGridlines>
        <c:majorTickMark val="none"/>
        <c:minorTickMark val="none"/>
        <c:tickLblPos val="nextTo"/>
        <c:spPr>
          <a:ln w="6350">
            <a:solidFill>
              <a:srgbClr val="808080"/>
            </a:solidFill>
            <a:prstDash val="solid"/>
          </a:ln>
        </c:spPr>
        <c:txPr>
          <a:bodyPr/>
          <a:lstStyle/>
          <a:p>
            <a:pPr>
              <a:defRPr sz="900" b="0" i="0" u="none" strike="noStrike" baseline="0">
                <a:solidFill>
                  <a:srgbClr val="404040"/>
                </a:solidFill>
                <a:latin typeface="微软雅黑"/>
                <a:ea typeface="微软雅黑"/>
                <a:cs typeface="Lucida Sans"/>
              </a:defRPr>
            </a:pPr>
            <a:endParaRPr lang="zh-CN"/>
          </a:p>
        </c:txPr>
        <c:crosses val="autoZero"/>
        <c:auto val="1"/>
        <c:lblOffset val="100"/>
        <c:lblAlgn val="ctr"/>
        <c:noMultiLvlLbl val="0"/>
        <c:crossAx val="1"/>
      </c:catAx>
      <c:valAx>
        <c:axId val="1"/>
        <c:scaling>
          <c:orientation val="minMax"/>
        </c:scaling>
        <c:delete val="1"/>
        <c:axPos val="l"/>
        <c:numFmt formatCode="General" sourceLinked="1"/>
        <c:majorTickMark val="none"/>
        <c:minorTickMark val="none"/>
        <c:tickLblPos val="nextTo"/>
        <c:txPr>
          <a:bodyPr/>
          <a:lstStyle/>
          <a:p>
            <a:pPr>
              <a:defRPr sz="900" b="0" i="0" u="none" strike="noStrike" baseline="0">
                <a:solidFill>
                  <a:srgbClr val="595959"/>
                </a:solidFill>
                <a:latin typeface="微软雅黑"/>
                <a:ea typeface="微软雅黑"/>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404040"/>
              </a:solidFill>
              <a:latin typeface="微软雅黑"/>
              <a:ea typeface="微软雅黑"/>
              <a:cs typeface="Lucida Sans"/>
            </a:defRPr>
          </a:pPr>
          <a:endParaRPr lang="zh-CN"/>
        </a:p>
      </c:txPr>
    </c:legend>
    <c:plotVisOnly val="1"/>
    <c:dispBlanksAs val="gap"/>
    <c:showDLblsOverMax val="0"/>
  </c:chart>
  <c:spPr>
    <a:solidFill>
      <a:srgbClr val="DAE3F5"/>
    </a:solidFill>
    <a:ln w="6350">
      <a:solidFill>
        <a:srgbClr val="808080"/>
      </a:solidFill>
      <a:prstDash val="solid"/>
    </a:ln>
  </c:spPr>
  <c:txPr>
    <a:bodyPr/>
    <a:lstStyle/>
    <a:p>
      <a:pPr>
        <a:defRPr sz="1000" b="0" i="0" u="none" strike="noStrike" baseline="0">
          <a:solidFill>
            <a:srgbClr val="000000"/>
          </a:solidFill>
          <a:latin typeface="微软雅黑"/>
          <a:ea typeface="微软雅黑"/>
          <a:cs typeface="Lucida Sans"/>
        </a:defRPr>
      </a:pPr>
      <a:endParaRPr lang="zh-CN"/>
    </a:p>
  </c:txPr>
  <c:printSettings>
    <c:headerFooter/>
    <c:pageMargins b="0.75" l="0.7" r="0.7" t="0.75" header="0.3" footer="0.3"/>
    <c:pageSetup/>
  </c:printSettings>
  <c:externalData r:id="rId6">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404040"/>
                </a:solidFill>
                <a:latin typeface="微软雅黑"/>
                <a:ea typeface="微软雅黑"/>
                <a:cs typeface="Lucida Sans"/>
              </a:defRPr>
            </a:pPr>
            <a:r>
              <a:rPr lang="zh-CN"/>
              <a:t>收入对比图</a:t>
            </a:r>
          </a:p>
        </c:rich>
      </c:tx>
      <c:layout/>
      <c:overlay val="0"/>
      <c:spPr>
        <a:noFill/>
        <a:ln>
          <a:noFill/>
        </a:ln>
      </c:spPr>
    </c:title>
    <c:autoTitleDeleted val="1"/>
    <c:plotArea>
      <c:layout/>
      <c:barChart>
        <c:barDir val="col"/>
        <c:grouping val="clustered"/>
        <c:varyColors val="0"/>
        <c:ser>
          <c:idx val="0"/>
          <c:order val="0"/>
          <c:spPr>
            <a:blipFill rotWithShape="1">
              <a:blip r:embed="rId1"/>
              <a:stretch/>
            </a:blipFill>
            <a:ln>
              <a:noFill/>
            </a:ln>
            <a:effectLst>
              <a:outerShdw dist="35921" dir="2700000" algn="br">
                <a:srgbClr val="000000"/>
              </a:outerShdw>
            </a:effectLst>
          </c:spPr>
          <c:invertIfNegative val="0"/>
          <c:dPt>
            <c:idx val="0"/>
            <c:invertIfNegative val="0"/>
            <c:bubble3D val="0"/>
            <c:spPr>
              <a:blipFill rotWithShape="1">
                <a:blip r:embed="rId2"/>
                <a:stretch/>
              </a:blipFill>
              <a:ln>
                <a:noFill/>
              </a:ln>
              <a:effectLst>
                <a:outerShdw dist="35921" dir="2700000" algn="br">
                  <a:srgbClr val="000000"/>
                </a:outerShdw>
              </a:effectLst>
            </c:spPr>
          </c:dPt>
          <c:dPt>
            <c:idx val="1"/>
            <c:invertIfNegative val="0"/>
            <c:bubble3D val="0"/>
            <c:spPr>
              <a:blipFill rotWithShape="1">
                <a:blip r:embed="rId3"/>
                <a:stretch/>
              </a:blipFill>
              <a:ln>
                <a:noFill/>
              </a:ln>
              <a:effectLst>
                <a:outerShdw dist="35921" dir="2700000" algn="br">
                  <a:srgbClr val="000000"/>
                </a:outerShdw>
              </a:effectLst>
            </c:spPr>
          </c:dPt>
          <c:dLbls>
            <c:spPr>
              <a:no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numFmt formatCode="General" sourceLinked="0"/>
            <c:dLbl>
              <c:idx val="0"/>
              <c:numFmt formatCode="General" sourceLinked="0"/>
              <c:spPr>
                <a:solidFill>
                  <a:srgbClr val="0FB0C8"/>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
              <c:idx val="1"/>
              <c:numFmt formatCode="General" sourceLinked="0"/>
              <c:spPr>
                <a:solidFill>
                  <a:srgbClr val="FCA768"/>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2023年收入</c:v>
              </c:pt>
              <c:pt idx="1">
                <c:v>2024年收入</c:v>
              </c:pt>
            </c:strLit>
          </c:cat>
          <c:val>
            <c:numRef>
              <c:f/>
              <c:numCache>
                <c:formatCode>General</c:formatCode>
                <c:ptCount val="2"/>
                <c:pt idx="0">
                  <c:v>2025.76</c:v>
                </c:pt>
                <c:pt idx="1">
                  <c:v>2216.19</c:v>
                </c:pt>
              </c:numCache>
            </c:numRef>
          </c:val>
        </c:ser>
        <c:overlap val="-21"/>
        <c:gapWidth val="152"/>
        <c:axId val="0"/>
        <c:axId val="1"/>
      </c:barChart>
      <c:catAx>
        <c:axId val="0"/>
        <c:scaling>
          <c:orientation val="minMax"/>
        </c:scaling>
        <c:delete val="0"/>
        <c:axPos val="b"/>
        <c:numFmt formatCode="General" sourceLinked="0"/>
        <c:majorGridlines>
          <c:spPr>
            <a:ln w="6350">
              <a:solidFill>
                <a:srgbClr val="808080"/>
              </a:solidFill>
              <a:prstDash val="solid"/>
            </a:ln>
          </c:spPr>
        </c:majorGridlines>
        <c:majorTickMark val="none"/>
        <c:minorTickMark val="none"/>
        <c:tickLblPos val="nextTo"/>
        <c:spPr>
          <a:ln w="6350">
            <a:solidFill>
              <a:srgbClr val="808080"/>
            </a:solidFill>
            <a:prstDash val="solid"/>
          </a:ln>
        </c:spPr>
        <c:txPr>
          <a:bodyPr/>
          <a:lstStyle/>
          <a:p>
            <a:pPr>
              <a:defRPr sz="900" b="0" i="0" u="none" strike="noStrike" baseline="0">
                <a:solidFill>
                  <a:srgbClr val="404040"/>
                </a:solidFill>
                <a:latin typeface="微软雅黑"/>
                <a:ea typeface="微软雅黑"/>
                <a:cs typeface="Lucida Sans"/>
              </a:defRPr>
            </a:pPr>
            <a:endParaRPr lang="zh-CN"/>
          </a:p>
        </c:txPr>
        <c:crosses val="autoZero"/>
        <c:auto val="1"/>
        <c:lblOffset val="100"/>
        <c:lblAlgn val="ctr"/>
        <c:noMultiLvlLbl val="0"/>
        <c:crossAx val="1"/>
      </c:catAx>
      <c:valAx>
        <c:axId val="1"/>
        <c:scaling>
          <c:orientation val="minMax"/>
        </c:scaling>
        <c:delete val="1"/>
        <c:axPos val="l"/>
        <c:numFmt formatCode="General" sourceLinked="1"/>
        <c:majorTickMark val="none"/>
        <c:minorTickMark val="none"/>
        <c:tickLblPos val="nextTo"/>
        <c:txPr>
          <a:bodyPr/>
          <a:lstStyle/>
          <a:p>
            <a:pPr>
              <a:defRPr sz="900" b="0" i="0" u="none" strike="noStrike" baseline="0">
                <a:solidFill>
                  <a:srgbClr val="595959"/>
                </a:solidFill>
                <a:latin typeface="微软雅黑"/>
                <a:ea typeface="微软雅黑"/>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404040"/>
              </a:solidFill>
              <a:latin typeface="微软雅黑"/>
              <a:ea typeface="微软雅黑"/>
              <a:cs typeface="Lucida Sans"/>
            </a:defRPr>
          </a:pPr>
          <a:endParaRPr lang="zh-CN"/>
        </a:p>
      </c:txPr>
    </c:legend>
    <c:plotVisOnly val="1"/>
    <c:dispBlanksAs val="gap"/>
    <c:showDLblsOverMax val="0"/>
  </c:chart>
  <c:spPr>
    <a:solidFill>
      <a:srgbClr val="D4F4F2"/>
    </a:solidFill>
    <a:ln w="6350">
      <a:solidFill>
        <a:srgbClr val="808080"/>
      </a:solidFill>
      <a:prstDash val="solid"/>
    </a:ln>
  </c:spPr>
  <c:txPr>
    <a:bodyPr/>
    <a:lstStyle/>
    <a:p>
      <a:pPr>
        <a:defRPr sz="1000" b="0" i="0" u="none" strike="noStrike" baseline="0">
          <a:solidFill>
            <a:srgbClr val="000000"/>
          </a:solidFill>
          <a:latin typeface="微软雅黑"/>
          <a:ea typeface="微软雅黑"/>
          <a:cs typeface="Lucida Sans"/>
        </a:defRPr>
      </a:pPr>
      <a:endParaRPr lang="zh-CN"/>
    </a:p>
  </c:txPr>
  <c:printSettings>
    <c:headerFooter/>
    <c:pageMargins b="0.75" l="0.7" r="0.7" t="0.75" header="0.3" footer="0.3"/>
    <c:pageSetup/>
  </c:printSettings>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cap="all" baseline="0">
                <a:solidFill>
                  <a:srgbClr val="404040"/>
                </a:solidFill>
                <a:latin typeface="微软雅黑"/>
                <a:ea typeface="微软雅黑"/>
                <a:cs typeface="Lucida Sans"/>
              </a:defRPr>
            </a:pPr>
            <a:r>
              <a:rPr lang="zh-CN"/>
              <a:t>支出结构图</a:t>
            </a:r>
          </a:p>
        </c:rich>
      </c:tx>
      <c:layout/>
      <c:overlay val="0"/>
      <c:spPr>
        <a:noFill/>
        <a:ln>
          <a:noFill/>
        </a:ln>
      </c:spPr>
    </c:title>
    <c:autoTitleDeleted val="1"/>
    <c:plotArea>
      <c:layout/>
      <c:pieChart>
        <c:varyColors val="1"/>
        <c:ser>
          <c:idx val="0"/>
          <c:order val="0"/>
          <c:spPr>
            <a:ln w="6350">
              <a:solidFill>
                <a:srgbClr val="FFFFFF"/>
              </a:solidFill>
              <a:prstDash val="solid"/>
            </a:ln>
          </c:spPr>
          <c:dPt>
            <c:idx val="0"/>
            <c:bubble3D val="0"/>
            <c:explosion val="10"/>
            <c:spPr>
              <a:solidFill>
                <a:srgbClr val="3CB8EC"/>
              </a:solidFill>
              <a:ln w="6350">
                <a:solidFill>
                  <a:srgbClr val="FFFFFF"/>
                </a:solidFill>
                <a:prstDash val="solid"/>
              </a:ln>
            </c:spPr>
          </c:dPt>
          <c:dPt>
            <c:idx val="1"/>
            <c:bubble3D val="0"/>
            <c:spPr>
              <a:solidFill>
                <a:srgbClr val="77D1E8"/>
              </a:solidFill>
              <a:ln w="6350">
                <a:solidFill>
                  <a:srgbClr val="FFFFFF"/>
                </a:solidFill>
                <a:prstDash val="solid"/>
              </a:ln>
            </c:spPr>
          </c:dPt>
          <c:dLbls>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numFmt formatCode="General" sourceLinked="0"/>
            <c:dLbl>
              <c:idx val="0"/>
              <c:numFmt formatCode="General" sourceLinked="0"/>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dLblPos val="inEnd"/>
              <c:showLegendKey val="0"/>
              <c:showVal val="1"/>
              <c:showCatName val="1"/>
              <c:showSerName val="0"/>
              <c:showPercent val="0"/>
              <c:showBubbleSize val="0"/>
              <c:separator>
</c:separator>
            </c:dLbl>
            <c:dLbl>
              <c:idx val="1"/>
              <c:numFmt formatCode="General" sourceLinked="0"/>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dLblPos val="inEnd"/>
              <c:showLegendKey val="0"/>
              <c:showVal val="1"/>
              <c:showCatName val="1"/>
              <c:showSerName val="0"/>
              <c:showPercent val="0"/>
              <c:showBubbleSize val="0"/>
              <c:separator>
</c:separator>
            </c:dLbl>
            <c:dLblPos val="inEnd"/>
            <c:showLegendKey val="0"/>
            <c:showVal val="1"/>
            <c:showCatName val="1"/>
            <c:showSerName val="0"/>
            <c:showPercent val="0"/>
            <c:showBubbleSize val="0"/>
            <c:separator>
</c:separator>
            <c:showLeaderLines val="1"/>
          </c:dLbls>
          <c:cat>
            <c:strLit>
              <c:ptCount val="2"/>
              <c:pt idx="0">
                <c:v>基本支出</c:v>
              </c:pt>
              <c:pt idx="1">
                <c:v>项目支出</c:v>
              </c:pt>
            </c:strLit>
          </c:cat>
          <c:val>
            <c:numRef>
              <c:f/>
              <c:numCache>
                <c:formatCode>General</c:formatCode>
                <c:ptCount val="2"/>
                <c:pt idx="0">
                  <c:v>783.77</c:v>
                </c:pt>
                <c:pt idx="1">
                  <c:v>1432.42</c:v>
                </c:pt>
              </c:numCache>
            </c:numRef>
          </c:val>
        </c:ser>
        <c:firstSliceAng val="0"/>
      </c:pieChart>
      <c:spPr>
        <a:noFill/>
        <a:ln>
          <a:noFill/>
        </a:ln>
      </c:spPr>
    </c:plotArea>
    <c:plotVisOnly val="1"/>
    <c:dispBlanksAs val="gap"/>
    <c:showDLblsOverMax val="0"/>
  </c:chart>
  <c:spPr>
    <a:solidFill>
      <a:srgbClr val="C3D69B"/>
    </a:solidFill>
    <a:ln w="6350">
      <a:solidFill>
        <a:srgbClr val="808080"/>
      </a:solidFill>
      <a:prstDash val="solid"/>
    </a:ln>
    <a:effectLst>
      <a:outerShdw blurRad="50800" dist="38100" dir="2700000" algn="tl" rotWithShape="0">
        <a:prstClr val="black">
          <a:alpha val="40000"/>
        </a:prstClr>
      </a:outerShdw>
    </a:effectLst>
  </c:spPr>
  <c:txPr>
    <a:bodyPr/>
    <a:lstStyle/>
    <a:p>
      <a:pPr>
        <a:defRPr sz="1000" b="0" i="0" u="none" strike="noStrike" baseline="0">
          <a:solidFill>
            <a:srgbClr val="404040"/>
          </a:solidFill>
          <a:latin typeface="微软雅黑"/>
          <a:ea typeface="微软雅黑"/>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404040"/>
                </a:solidFill>
                <a:latin typeface="微软雅黑"/>
                <a:ea typeface="微软雅黑"/>
                <a:cs typeface="Lucida Sans"/>
              </a:defRPr>
            </a:pPr>
            <a:r>
              <a:rPr lang="zh-CN"/>
              <a:t>收支对比图</a:t>
            </a:r>
          </a:p>
        </c:rich>
      </c:tx>
      <c:layout/>
      <c:overlay val="0"/>
      <c:spPr>
        <a:noFill/>
        <a:ln>
          <a:noFill/>
        </a:ln>
      </c:spPr>
    </c:title>
    <c:autoTitleDeleted val="1"/>
    <c:plotArea>
      <c:layout/>
      <c:barChart>
        <c:barDir val="col"/>
        <c:grouping val="clustered"/>
        <c:varyColors val="0"/>
        <c:ser>
          <c:idx val="0"/>
          <c:order val="0"/>
          <c:spPr>
            <a:blipFill rotWithShape="1">
              <a:blip r:embed="rId1"/>
              <a:stretch/>
            </a:blipFill>
            <a:ln>
              <a:noFill/>
            </a:ln>
            <a:effectLst>
              <a:outerShdw dist="35921" dir="2700000" algn="br">
                <a:srgbClr val="000000"/>
              </a:outerShdw>
            </a:effectLst>
          </c:spPr>
          <c:invertIfNegative val="0"/>
          <c:dPt>
            <c:idx val="0"/>
            <c:invertIfNegative val="0"/>
            <c:bubble3D val="0"/>
            <c:spPr>
              <a:blipFill rotWithShape="1">
                <a:blip r:embed="rId2"/>
                <a:stretch/>
              </a:blipFill>
              <a:ln>
                <a:noFill/>
              </a:ln>
              <a:effectLst>
                <a:outerShdw dist="35921" dir="2700000" algn="br">
                  <a:srgbClr val="000000"/>
                </a:outerShdw>
              </a:effectLst>
            </c:spPr>
          </c:dPt>
          <c:dPt>
            <c:idx val="1"/>
            <c:invertIfNegative val="0"/>
            <c:bubble3D val="0"/>
            <c:spPr>
              <a:blipFill rotWithShape="1">
                <a:blip r:embed="rId3"/>
                <a:stretch/>
              </a:blipFill>
              <a:ln>
                <a:noFill/>
              </a:ln>
              <a:effectLst>
                <a:outerShdw dist="35921" dir="2700000" algn="br">
                  <a:srgbClr val="000000"/>
                </a:outerShdw>
              </a:effectLst>
            </c:spPr>
          </c:dPt>
          <c:dPt>
            <c:idx val="2"/>
            <c:invertIfNegative val="0"/>
            <c:bubble3D val="0"/>
            <c:spPr>
              <a:blipFill rotWithShape="1">
                <a:blip r:embed="rId4"/>
                <a:stretch/>
              </a:blipFill>
              <a:ln>
                <a:noFill/>
              </a:ln>
              <a:effectLst>
                <a:outerShdw dist="35921" dir="2700000" algn="br">
                  <a:srgbClr val="000000"/>
                </a:outerShdw>
              </a:effectLst>
            </c:spPr>
          </c:dPt>
          <c:dPt>
            <c:idx val="3"/>
            <c:invertIfNegative val="0"/>
            <c:bubble3D val="0"/>
            <c:spPr>
              <a:blipFill rotWithShape="1">
                <a:blip r:embed="rId5"/>
                <a:stretch/>
              </a:blipFill>
              <a:ln>
                <a:noFill/>
              </a:ln>
              <a:effectLst>
                <a:outerShdw dist="35921" dir="2700000" algn="br">
                  <a:srgbClr val="000000"/>
                </a:outerShdw>
              </a:effectLst>
            </c:spPr>
          </c:dPt>
          <c:dLbls>
            <c:spPr>
              <a:no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numFmt formatCode="General" sourceLinked="0"/>
            <c:dLbl>
              <c:idx val="0"/>
              <c:numFmt formatCode="General" sourceLinked="0"/>
              <c:spPr>
                <a:solidFill>
                  <a:srgbClr val="0FB0C8"/>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
              <c:idx val="1"/>
              <c:numFmt formatCode="General" sourceLinked="0"/>
              <c:spPr>
                <a:solidFill>
                  <a:srgbClr val="FCA768"/>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
              <c:idx val="2"/>
              <c:numFmt formatCode="General" sourceLinked="0"/>
              <c:spPr>
                <a:solidFill>
                  <a:srgbClr val="F96F7C"/>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
              <c:idx val="3"/>
              <c:numFmt formatCode="General" sourceLinked="0"/>
              <c:spPr>
                <a:solidFill>
                  <a:srgbClr val="8AB1E6"/>
                </a:solidFill>
                <a:ln>
                  <a:noFill/>
                </a:ln>
              </c:spPr>
              <c:txPr>
                <a:bodyPr vert="horz"/>
                <a:lstStyle/>
                <a:p>
                  <a:pPr>
                    <a:defRPr sz="900" b="0" i="0" u="none" strike="noStrike" baseline="0">
                      <a:solidFill>
                        <a:srgbClr val="FFFFFF"/>
                      </a:solidFill>
                      <a:latin typeface="微软雅黑"/>
                      <a:ea typeface="微软雅黑"/>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4"/>
              <c:pt idx="0">
                <c:v>2023年收入</c:v>
              </c:pt>
              <c:pt idx="1">
                <c:v>2024年收入</c:v>
              </c:pt>
              <c:pt idx="2">
                <c:v>2023年支出</c:v>
              </c:pt>
              <c:pt idx="3">
                <c:v>2024年支出</c:v>
              </c:pt>
            </c:strLit>
          </c:cat>
          <c:val>
            <c:numRef>
              <c:f/>
              <c:numCache>
                <c:formatCode>General</c:formatCode>
                <c:ptCount val="4"/>
                <c:pt idx="0">
                  <c:v>2025.76</c:v>
                </c:pt>
                <c:pt idx="1">
                  <c:v>2216.19</c:v>
                </c:pt>
                <c:pt idx="2">
                  <c:v>2025.76</c:v>
                </c:pt>
                <c:pt idx="3">
                  <c:v>2216.19</c:v>
                </c:pt>
              </c:numCache>
            </c:numRef>
          </c:val>
        </c:ser>
        <c:overlap val="-21"/>
        <c:gapWidth val="152"/>
        <c:axId val="0"/>
        <c:axId val="1"/>
      </c:barChart>
      <c:catAx>
        <c:axId val="0"/>
        <c:scaling>
          <c:orientation val="minMax"/>
        </c:scaling>
        <c:delete val="0"/>
        <c:axPos val="b"/>
        <c:numFmt formatCode="General" sourceLinked="0"/>
        <c:majorGridlines>
          <c:spPr>
            <a:ln w="6350">
              <a:solidFill>
                <a:srgbClr val="808080"/>
              </a:solidFill>
              <a:prstDash val="solid"/>
            </a:ln>
          </c:spPr>
        </c:majorGridlines>
        <c:majorTickMark val="none"/>
        <c:minorTickMark val="none"/>
        <c:tickLblPos val="nextTo"/>
        <c:spPr>
          <a:ln w="6350">
            <a:solidFill>
              <a:srgbClr val="808080"/>
            </a:solidFill>
            <a:prstDash val="solid"/>
          </a:ln>
        </c:spPr>
        <c:txPr>
          <a:bodyPr/>
          <a:lstStyle/>
          <a:p>
            <a:pPr>
              <a:defRPr sz="900" b="0" i="0" u="none" strike="noStrike" baseline="0">
                <a:solidFill>
                  <a:srgbClr val="404040"/>
                </a:solidFill>
                <a:latin typeface="微软雅黑"/>
                <a:ea typeface="微软雅黑"/>
                <a:cs typeface="Lucida Sans"/>
              </a:defRPr>
            </a:pPr>
            <a:endParaRPr lang="zh-CN"/>
          </a:p>
        </c:txPr>
        <c:crosses val="autoZero"/>
        <c:auto val="1"/>
        <c:lblOffset val="100"/>
        <c:lblAlgn val="ctr"/>
        <c:noMultiLvlLbl val="0"/>
        <c:crossAx val="1"/>
      </c:catAx>
      <c:valAx>
        <c:axId val="1"/>
        <c:scaling>
          <c:orientation val="minMax"/>
        </c:scaling>
        <c:delete val="1"/>
        <c:axPos val="l"/>
        <c:numFmt formatCode="General" sourceLinked="1"/>
        <c:majorTickMark val="none"/>
        <c:minorTickMark val="none"/>
        <c:tickLblPos val="nextTo"/>
        <c:txPr>
          <a:bodyPr/>
          <a:lstStyle/>
          <a:p>
            <a:pPr>
              <a:defRPr sz="900" b="0" i="0" u="none" strike="noStrike" baseline="0">
                <a:solidFill>
                  <a:srgbClr val="595959"/>
                </a:solidFill>
                <a:latin typeface="微软雅黑"/>
                <a:ea typeface="微软雅黑"/>
                <a:cs typeface="Lucida Sans"/>
              </a:defRPr>
            </a:pPr>
            <a:endParaRPr lang="zh-CN"/>
          </a:p>
        </c:txPr>
        <c:crossesAt val="1.0"/>
        <c:crossBetween val="between"/>
        <c:crossAx val="0"/>
      </c:valAx>
      <c:spPr>
        <a:noFill/>
        <a:ln>
          <a:noFill/>
        </a:ln>
      </c:spPr>
    </c:plotArea>
    <c:legend>
      <c:legendPos val="t"/>
      <c:layout/>
      <c:overlay val="0"/>
      <c:spPr>
        <a:noFill/>
        <a:ln>
          <a:noFill/>
        </a:ln>
      </c:spPr>
      <c:txPr>
        <a:bodyPr/>
        <a:lstStyle/>
        <a:p>
          <a:pPr>
            <a:defRPr sz="900" b="0" i="0" u="none" strike="noStrike" baseline="0">
              <a:solidFill>
                <a:srgbClr val="404040"/>
              </a:solidFill>
              <a:latin typeface="微软雅黑"/>
              <a:ea typeface="微软雅黑"/>
              <a:cs typeface="Lucida Sans"/>
            </a:defRPr>
          </a:pPr>
          <a:endParaRPr lang="zh-CN"/>
        </a:p>
      </c:txPr>
    </c:legend>
    <c:plotVisOnly val="1"/>
    <c:dispBlanksAs val="gap"/>
    <c:showDLblsOverMax val="0"/>
  </c:chart>
  <c:spPr>
    <a:solidFill>
      <a:srgbClr val="D4F4F2"/>
    </a:solidFill>
    <a:ln w="6350">
      <a:solidFill>
        <a:srgbClr val="808080"/>
      </a:solidFill>
      <a:prstDash val="solid"/>
    </a:ln>
  </c:spPr>
  <c:txPr>
    <a:bodyPr/>
    <a:lstStyle/>
    <a:p>
      <a:pPr>
        <a:defRPr sz="1000" b="0" i="0" u="none" strike="noStrike" baseline="0">
          <a:solidFill>
            <a:srgbClr val="000000"/>
          </a:solidFill>
          <a:latin typeface="微软雅黑"/>
          <a:ea typeface="微软雅黑"/>
          <a:cs typeface="Lucida Sans"/>
        </a:defRPr>
      </a:pPr>
      <a:endParaRPr lang="zh-CN"/>
    </a:p>
  </c:txPr>
  <c:printSettings>
    <c:headerFooter/>
    <c:pageMargins b="0.75" l="0.7" r="0.7" t="0.75" header="0.3" footer="0.3"/>
    <c:pageSetup/>
  </c:printSettings>
  <c:externalData r:id="rId6">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404040"/>
                </a:solidFill>
                <a:latin typeface="微软雅黑"/>
                <a:ea typeface="微软雅黑"/>
                <a:cs typeface="Lucida Sans"/>
              </a:defRPr>
            </a:pPr>
            <a:r>
              <a:rPr lang="zh-CN"/>
              <a:t>支出对比图</a:t>
            </a:r>
          </a:p>
        </c:rich>
      </c:tx>
      <c:layout/>
      <c:overlay val="0"/>
      <c:spPr>
        <a:noFill/>
        <a:ln>
          <a:noFill/>
        </a:ln>
      </c:spPr>
    </c:title>
    <c:autoTitleDeleted val="1"/>
    <c:plotArea>
      <c:layout/>
      <c:barChart>
        <c:barDir val="col"/>
        <c:grouping val="clustered"/>
        <c:varyColors val="0"/>
        <c:ser>
          <c:idx val="0"/>
          <c:order val="0"/>
          <c:spPr>
            <a:blipFill rotWithShape="1">
              <a:blip r:embed="rId1"/>
              <a:stretch/>
            </a:blipFill>
            <a:ln>
              <a:noFill/>
            </a:ln>
            <a:effectLst>
              <a:outerShdw dist="35921" dir="2700000" algn="br">
                <a:srgbClr val="000000"/>
              </a:outerShdw>
            </a:effectLst>
          </c:spPr>
          <c:invertIfNegative val="0"/>
          <c:dLbls>
            <c:spPr>
              <a:noFill/>
              <a:ln>
                <a:noFill/>
              </a:ln>
            </c:spPr>
            <c:txPr>
              <a:bodyPr vert="horz"/>
              <a:lstStyle/>
              <a:p>
                <a:pPr>
                  <a:defRPr sz="900" b="0" i="0" u="none" strike="noStrike" baseline="0">
                    <a:solidFill>
                      <a:srgbClr val="404040"/>
                    </a:solidFill>
                    <a:latin typeface="微软雅黑"/>
                    <a:ea typeface="微软雅黑"/>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2023年支出</c:v>
              </c:pt>
              <c:pt idx="1">
                <c:v>2024年支出</c:v>
              </c:pt>
            </c:strLit>
          </c:cat>
          <c:val>
            <c:numRef>
              <c:f/>
              <c:numCache>
                <c:formatCode>General</c:formatCode>
                <c:ptCount val="2"/>
                <c:pt idx="0">
                  <c:v>2025.76</c:v>
                </c:pt>
                <c:pt idx="1">
                  <c:v>2216.19</c:v>
                </c:pt>
              </c:numCache>
            </c:numRef>
          </c:val>
        </c:ser>
        <c:overlap val="-10"/>
        <c:gapWidth val="100"/>
        <c:axId val="0"/>
        <c:axId val="1"/>
      </c:barChart>
      <c:catAx>
        <c:axId val="0"/>
        <c:scaling>
          <c:orientation val="minMax"/>
        </c:scaling>
        <c:delete val="0"/>
        <c:axPos val="b"/>
        <c:numFmt formatCode="General" sourceLinked="0"/>
        <c:majorGridlines>
          <c:spPr>
            <a:ln w="6350">
              <a:solidFill>
                <a:srgbClr val="808080"/>
              </a:solidFill>
              <a:prstDash val="solid"/>
            </a:ln>
          </c:spPr>
        </c:majorGridlines>
        <c:majorTickMark val="none"/>
        <c:minorTickMark val="none"/>
        <c:tickLblPos val="nextTo"/>
        <c:spPr>
          <a:ln w="6350">
            <a:solidFill>
              <a:srgbClr val="808080"/>
            </a:solidFill>
            <a:prstDash val="solid"/>
          </a:ln>
        </c:spPr>
        <c:txPr>
          <a:bodyPr/>
          <a:lstStyle/>
          <a:p>
            <a:pPr>
              <a:defRPr sz="900" b="0" i="0" u="none" strike="noStrike" baseline="0">
                <a:solidFill>
                  <a:srgbClr val="404040"/>
                </a:solidFill>
                <a:latin typeface="微软雅黑"/>
                <a:ea typeface="微软雅黑"/>
                <a:cs typeface="Lucida Sans"/>
              </a:defRPr>
            </a:pPr>
            <a:endParaRPr lang="zh-CN"/>
          </a:p>
        </c:txPr>
        <c:crosses val="autoZero"/>
        <c:auto val="1"/>
        <c:lblOffset val="100"/>
        <c:lblAlgn val="ctr"/>
        <c:noMultiLvlLbl val="0"/>
        <c:crossAx val="1"/>
      </c:catAx>
      <c:valAx>
        <c:axId val="1"/>
        <c:scaling>
          <c:orientation val="minMax"/>
        </c:scaling>
        <c:delete val="1"/>
        <c:axPos val="l"/>
        <c:majorGridlines>
          <c:spPr>
            <a:ln w="6350">
              <a:solidFill>
                <a:srgbClr val="808080"/>
              </a:solidFill>
              <a:prstDash val="solid"/>
            </a:ln>
          </c:spPr>
        </c:majorGridlines>
        <c:numFmt formatCode="General" sourceLinked="1"/>
        <c:majorTickMark val="none"/>
        <c:minorTickMark val="none"/>
        <c:tickLblPos val="nextTo"/>
        <c:txPr>
          <a:bodyPr/>
          <a:lstStyle/>
          <a:p>
            <a:pPr>
              <a:defRPr sz="900" b="0" i="0" u="none" strike="noStrike" baseline="0">
                <a:solidFill>
                  <a:srgbClr val="404040"/>
                </a:solidFill>
                <a:latin typeface="微软雅黑"/>
                <a:ea typeface="微软雅黑"/>
                <a:cs typeface="Lucida Sans"/>
              </a:defRPr>
            </a:pPr>
            <a:endParaRPr lang="zh-CN"/>
          </a:p>
        </c:txPr>
        <c:crossesAt val="1.0"/>
        <c:crossBetween val="between"/>
        <c:crossAx val="0"/>
      </c:valAx>
      <c:spPr>
        <a:noFill/>
        <a:ln>
          <a:noFill/>
        </a:ln>
      </c:spPr>
    </c:plotArea>
    <c:plotVisOnly val="1"/>
    <c:dispBlanksAs val="gap"/>
    <c:showDLblsOverMax val="0"/>
  </c:chart>
  <c:spPr>
    <a:solidFill>
      <a:srgbClr val="D4F4F2"/>
    </a:solidFill>
    <a:ln w="6350">
      <a:solidFill>
        <a:srgbClr val="808080"/>
      </a:solidFill>
      <a:prstDash val="solid"/>
    </a:ln>
  </c:spPr>
  <c:txPr>
    <a:bodyPr/>
    <a:lstStyle/>
    <a:p>
      <a:pPr>
        <a:defRPr sz="1000" b="0" i="0" u="none" strike="noStrike" baseline="0">
          <a:solidFill>
            <a:srgbClr val="404040"/>
          </a:solidFill>
          <a:latin typeface="微软雅黑"/>
          <a:ea typeface="微软雅黑"/>
          <a:cs typeface="Lucida Sans"/>
        </a:defRPr>
      </a:pPr>
      <a:endParaRPr lang="zh-CN"/>
    </a:p>
  </c:txPr>
  <c:printSettings>
    <c:headerFooter/>
    <c:pageMargins b="0.75" l="0.7" r="0.7" t="0.75" header="0.3" footer="0.3"/>
    <c:pageSetup/>
  </c:printSettings>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cap="all" baseline="0">
                <a:solidFill>
                  <a:srgbClr val="404040"/>
                </a:solidFill>
                <a:latin typeface="微软雅黑"/>
                <a:ea typeface="微软雅黑"/>
                <a:cs typeface="Lucida Sans"/>
              </a:defRPr>
            </a:pPr>
            <a:r>
              <a:rPr lang="zh-CN"/>
              <a:t>支出结构图</a:t>
            </a:r>
          </a:p>
        </c:rich>
      </c:tx>
      <c:layout/>
      <c:overlay val="0"/>
      <c:spPr>
        <a:noFill/>
        <a:ln>
          <a:noFill/>
        </a:ln>
      </c:spPr>
    </c:title>
    <c:autoTitleDeleted val="1"/>
    <c:plotArea>
      <c:layout/>
      <c:pieChart>
        <c:varyColors val="1"/>
        <c:ser>
          <c:idx val="0"/>
          <c:order val="0"/>
          <c:spPr>
            <a:ln w="6350">
              <a:solidFill>
                <a:srgbClr val="FFFFFF"/>
              </a:solidFill>
              <a:prstDash val="solid"/>
            </a:ln>
          </c:spPr>
          <c:dPt>
            <c:idx val="0"/>
            <c:bubble3D val="0"/>
            <c:explosion val="10"/>
            <c:spPr>
              <a:solidFill>
                <a:srgbClr val="3CB8EC"/>
              </a:solidFill>
              <a:ln w="6350">
                <a:solidFill>
                  <a:srgbClr val="FFFFFF"/>
                </a:solidFill>
                <a:prstDash val="solid"/>
              </a:ln>
            </c:spPr>
          </c:dPt>
          <c:dPt>
            <c:idx val="1"/>
            <c:bubble3D val="0"/>
            <c:spPr>
              <a:solidFill>
                <a:srgbClr val="77D1E8"/>
              </a:solidFill>
              <a:ln w="6350">
                <a:solidFill>
                  <a:srgbClr val="FFFFFF"/>
                </a:solidFill>
                <a:prstDash val="solid"/>
              </a:ln>
            </c:spPr>
          </c:dPt>
          <c:dPt>
            <c:idx val="2"/>
            <c:bubble3D val="0"/>
            <c:spPr>
              <a:solidFill>
                <a:srgbClr val="FAC114"/>
              </a:solidFill>
              <a:ln w="6350">
                <a:solidFill>
                  <a:srgbClr val="FFFFFF"/>
                </a:solidFill>
                <a:prstDash val="solid"/>
              </a:ln>
            </c:spPr>
          </c:dPt>
          <c:dPt>
            <c:idx val="3"/>
            <c:bubble3D val="0"/>
            <c:spPr>
              <a:solidFill>
                <a:srgbClr val="FE961C"/>
              </a:solidFill>
              <a:ln w="6350">
                <a:solidFill>
                  <a:srgbClr val="FFFFFF"/>
                </a:solidFill>
                <a:prstDash val="solid"/>
              </a:ln>
            </c:spPr>
          </c:dPt>
          <c:dPt>
            <c:idx val="4"/>
            <c:bubble3D val="0"/>
            <c:explosion val="0"/>
            <c:spPr>
              <a:solidFill>
                <a:srgbClr val="E15441"/>
              </a:solidFill>
              <a:ln w="6350">
                <a:solidFill>
                  <a:srgbClr val="FFFFFF"/>
                </a:solidFill>
                <a:prstDash val="solid"/>
              </a:ln>
            </c:spPr>
          </c:dPt>
          <c:dLbls>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numFmt formatCode="General" sourceLinked="0"/>
            <c:dLbl>
              <c:idx val="0"/>
              <c:numFmt formatCode="General" sourceLinked="0"/>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dLblPos val="inEnd"/>
              <c:showLegendKey val="0"/>
              <c:showVal val="1"/>
              <c:showCatName val="1"/>
              <c:showSerName val="0"/>
              <c:showPercent val="0"/>
              <c:showBubbleSize val="0"/>
              <c:separator>
</c:separator>
            </c:dLbl>
            <c:dLbl>
              <c:idx val="1"/>
              <c:numFmt formatCode="General" sourceLinked="0"/>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dLblPos val="inEnd"/>
              <c:showLegendKey val="0"/>
              <c:showVal val="1"/>
              <c:showCatName val="1"/>
              <c:showSerName val="0"/>
              <c:showPercent val="0"/>
              <c:showBubbleSize val="0"/>
              <c:separator>
</c:separator>
            </c:dLbl>
            <c:dLbl>
              <c:idx val="2"/>
              <c:numFmt formatCode="General" sourceLinked="0"/>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dLblPos val="inEnd"/>
              <c:showLegendKey val="0"/>
              <c:showVal val="1"/>
              <c:showCatName val="1"/>
              <c:showSerName val="0"/>
              <c:showPercent val="0"/>
              <c:showBubbleSize val="0"/>
              <c:separator>
</c:separator>
            </c:dLbl>
            <c:dLbl>
              <c:idx val="3"/>
              <c:numFmt formatCode="General" sourceLinked="0"/>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dLblPos val="inEnd"/>
              <c:showLegendKey val="0"/>
              <c:showVal val="1"/>
              <c:showCatName val="1"/>
              <c:showSerName val="0"/>
              <c:showPercent val="0"/>
              <c:showBubbleSize val="0"/>
              <c:separator>
</c:separator>
            </c:dLbl>
            <c:dLbl>
              <c:idx val="4"/>
              <c:numFmt formatCode="General" sourceLinked="0"/>
              <c:spPr>
                <a:noFill/>
                <a:ln>
                  <a:noFill/>
                </a:ln>
              </c:spPr>
              <c:txPr>
                <a:bodyPr vert="horz"/>
                <a:lstStyle/>
                <a:p>
                  <a:pPr>
                    <a:defRPr sz="900" b="1" i="0" u="none" strike="noStrike" baseline="0">
                      <a:solidFill>
                        <a:srgbClr val="FFFFFF"/>
                      </a:solidFill>
                      <a:latin typeface="微软雅黑"/>
                      <a:ea typeface="微软雅黑"/>
                      <a:cs typeface="Lucida Sans"/>
                    </a:defRPr>
                  </a:pPr>
                  <a:endParaRPr lang="zh-CN"/>
                </a:p>
              </c:txPr>
              <c:dLblPos val="inEnd"/>
              <c:showLegendKey val="0"/>
              <c:showVal val="1"/>
              <c:showCatName val="1"/>
              <c:showSerName val="0"/>
              <c:showPercent val="0"/>
              <c:showBubbleSize val="0"/>
              <c:separator>
</c:separator>
            </c:dLbl>
            <c:dLblPos val="inEnd"/>
            <c:showLegendKey val="0"/>
            <c:showVal val="1"/>
            <c:showCatName val="1"/>
            <c:showSerName val="0"/>
            <c:showPercent val="0"/>
            <c:showBubbleSize val="0"/>
            <c:separator>
</c:separator>
            <c:showLeaderLines val="1"/>
          </c:dLbls>
          <c:cat>
            <c:strLit>
              <c:ptCount val="5"/>
              <c:pt idx="0">
                <c:v>教育支出</c:v>
              </c:pt>
              <c:pt idx="1">
                <c:v>农林水支出</c:v>
              </c:pt>
              <c:pt idx="2">
                <c:v>社会保障和就业</c:v>
              </c:pt>
              <c:pt idx="3">
                <c:v>卫生健康支出</c:v>
              </c:pt>
              <c:pt idx="4">
                <c:v>住房保障支出</c:v>
              </c:pt>
            </c:strLit>
          </c:cat>
          <c:val>
            <c:numRef>
              <c:f/>
              <c:numCache>
                <c:formatCode>General</c:formatCode>
                <c:ptCount val="5"/>
                <c:pt idx="0">
                  <c:v>0.84</c:v>
                </c:pt>
                <c:pt idx="1">
                  <c:v>1979.23</c:v>
                </c:pt>
                <c:pt idx="2">
                  <c:v>121.37</c:v>
                </c:pt>
                <c:pt idx="3">
                  <c:v>57.54</c:v>
                </c:pt>
                <c:pt idx="4">
                  <c:v>57.22</c:v>
                </c:pt>
              </c:numCache>
            </c:numRef>
          </c:val>
        </c:ser>
        <c:firstSliceAng val="0"/>
      </c:pieChart>
      <c:spPr>
        <a:noFill/>
        <a:ln>
          <a:noFill/>
        </a:ln>
      </c:spPr>
    </c:plotArea>
    <c:plotVisOnly val="1"/>
    <c:dispBlanksAs val="gap"/>
    <c:showDLblsOverMax val="0"/>
  </c:chart>
  <c:spPr>
    <a:solidFill>
      <a:srgbClr val="D4F4F2"/>
    </a:solidFill>
    <a:ln w="6350">
      <a:solidFill>
        <a:srgbClr val="808080"/>
      </a:solidFill>
      <a:prstDash val="solid"/>
    </a:ln>
    <a:effectLst>
      <a:outerShdw blurRad="50800" dist="38100" dir="2700000" algn="tl" rotWithShape="0">
        <a:prstClr val="black">
          <a:alpha val="40000"/>
        </a:prstClr>
      </a:outerShdw>
    </a:effectLst>
  </c:spPr>
  <c:txPr>
    <a:bodyPr/>
    <a:lstStyle/>
    <a:p>
      <a:pPr>
        <a:defRPr sz="1000" b="0" i="0" u="none" strike="noStrike" baseline="0">
          <a:solidFill>
            <a:srgbClr val="404040"/>
          </a:solidFill>
          <a:latin typeface="微软雅黑"/>
          <a:ea typeface="微软雅黑"/>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公务用车运行维护费对比</a:t>
            </a:r>
          </a:p>
        </c:rich>
      </c:tx>
      <c:layout/>
      <c:overlay val="0"/>
      <c:spPr>
        <a:noFill/>
        <a:ln>
          <a:noFill/>
        </a:ln>
      </c:spPr>
    </c:title>
    <c:autoTitleDeleted val="1"/>
    <c:plotArea>
      <c:layout/>
      <c:barChart>
        <c:barDir val="col"/>
        <c:grouping val="clustered"/>
        <c:varyColors val="0"/>
        <c:ser>
          <c:idx val="0"/>
          <c:order val="0"/>
          <c:spPr>
            <a:solidFill>
              <a:srgbClr val="3B73FF"/>
            </a:solidFill>
            <a:ln>
              <a:noFill/>
            </a:ln>
          </c:spPr>
          <c:invertIfNegative val="0"/>
          <c:dLbls>
            <c:spPr>
              <a:solidFill>
                <a:srgbClr val="3B73FF"/>
              </a:solidFill>
              <a:ln>
                <a:noFill/>
              </a:ln>
            </c:spPr>
            <c:txPr>
              <a:bodyPr vert="horz"/>
              <a:lstStyle/>
              <a:p>
                <a:pPr>
                  <a:defRPr sz="1100" b="1" i="0" u="none" strike="noStrike" baseline="0">
                    <a:solidFill>
                      <a:srgbClr val="FFFFFF"/>
                    </a:solidFill>
                    <a:latin typeface="AR PL UKai CN"/>
                    <a:ea typeface="AR PL UKai CN"/>
                    <a:cs typeface="Lucida Sans"/>
                  </a:defRPr>
                </a:pPr>
                <a:endParaRPr lang="zh-CN"/>
              </a:p>
            </c:txPr>
            <c:numFmt formatCode="General" sourceLinked="0"/>
            <c:dLbl>
              <c:idx val="0"/>
              <c:numFmt formatCode="General" sourceLinked="0"/>
              <c:spPr>
                <a:solidFill>
                  <a:srgbClr val="3B73FF"/>
                </a:solidFill>
                <a:ln>
                  <a:noFill/>
                </a:ln>
              </c:spPr>
              <c:txPr>
                <a:bodyPr vert="horz"/>
                <a:lstStyle/>
                <a:p>
                  <a:pPr>
                    <a:defRPr sz="1100" b="1" i="0" u="none" strike="noStrike" baseline="0">
                      <a:solidFill>
                        <a:srgbClr val="FFFFFF"/>
                      </a:solidFill>
                      <a:latin typeface="AR PL UKai CN"/>
                      <a:ea typeface="AR PL UKai CN"/>
                      <a:cs typeface="Lucida Sans"/>
                    </a:defRPr>
                  </a:pPr>
                  <a:endParaRPr lang="zh-CN"/>
                </a:p>
              </c:txPr>
              <c:dLblPos val="outEnd"/>
              <c:showLegendKey val="0"/>
              <c:showVal val="1"/>
              <c:showCatName val="0"/>
              <c:showSerName val="0"/>
              <c:showPercent val="0"/>
              <c:showBubbleSize val="0"/>
            </c:dLbl>
            <c:dLbl>
              <c:idx val="1"/>
              <c:numFmt formatCode="General" sourceLinked="0"/>
              <c:spPr>
                <a:solidFill>
                  <a:srgbClr val="3B73FF"/>
                </a:solidFill>
                <a:ln>
                  <a:noFill/>
                </a:ln>
              </c:spPr>
              <c:txPr>
                <a:bodyPr vert="horz"/>
                <a:lstStyle/>
                <a:p>
                  <a:pPr>
                    <a:defRPr sz="1100" b="1" i="0" u="none" strike="noStrike" baseline="0">
                      <a:solidFill>
                        <a:srgbClr val="FFFFFF"/>
                      </a:solidFill>
                      <a:latin typeface="AR PL UKai CN"/>
                      <a:ea typeface="AR PL UKai CN"/>
                      <a:cs typeface="Lucida Sans"/>
                    </a:defRPr>
                  </a:pPr>
                  <a:endParaRPr lang="zh-CN"/>
                </a:p>
              </c:txPr>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2023年</c:v>
              </c:pt>
              <c:pt idx="1">
                <c:v>2024年</c:v>
              </c:pt>
            </c:strLit>
          </c:cat>
          <c:val>
            <c:numRef>
              <c:f/>
              <c:numCache>
                <c:formatCode>General</c:formatCode>
                <c:ptCount val="2"/>
                <c:pt idx="0">
                  <c:v>1.9</c:v>
                </c:pt>
                <c:pt idx="1">
                  <c:v>1.8</c:v>
                </c:pt>
              </c:numCache>
            </c:numRef>
          </c:val>
        </c:ser>
        <c:overlap val="-21"/>
        <c:gapWidth val="233"/>
        <c:axId val="0"/>
        <c:axId val="1"/>
      </c:barChart>
      <c:catAx>
        <c:axId val="0"/>
        <c:scaling>
          <c:orientation val="minMax"/>
        </c:scaling>
        <c:delete val="0"/>
        <c:axPos val="b"/>
        <c:numFmt formatCode="General" sourceLinked="0"/>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1"/>
        <c:axPos val="l"/>
        <c:numFmt formatCode="General" sourceLinked="1"/>
        <c:majorTickMark val="none"/>
        <c:minorTickMark val="none"/>
        <c:tickLblPos val="nextTo"/>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C8E5B3"/>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404040"/>
                </a:solidFill>
                <a:latin typeface="微软雅黑"/>
                <a:ea typeface="微软雅黑"/>
                <a:cs typeface="Lucida Sans"/>
              </a:defRPr>
            </a:pPr>
            <a:r>
              <a:rPr lang="zh-CN"/>
              <a:t>公务接待费对比</a:t>
            </a:r>
          </a:p>
        </c:rich>
      </c:tx>
      <c:layout/>
      <c:overlay val="0"/>
      <c:spPr>
        <a:noFill/>
        <a:ln>
          <a:noFill/>
        </a:ln>
      </c:spPr>
    </c:title>
    <c:autoTitleDeleted val="1"/>
    <c:plotArea>
      <c:layout/>
      <c:barChart>
        <c:barDir val="bar"/>
        <c:grouping val="clustered"/>
        <c:varyColors val="0"/>
        <c:ser>
          <c:idx val="0"/>
          <c:order val="0"/>
          <c:spPr>
            <a:pattFill prst="dkVert">
              <a:fgClr>
                <a:srgbClr val="4F80FF"/>
              </a:fgClr>
              <a:bgClr>
                <a:srgbClr val="DCE6FF"/>
              </a:bgClr>
            </a:pattFill>
            <a:ln>
              <a:noFill/>
            </a:ln>
          </c:spPr>
          <c:invertIfNegative val="0"/>
          <c:dLbls>
            <c:txPr>
              <a:bodyPr/>
              <a:lstStyle/>
              <a:p>
                <a:pPr>
                  <a:defRPr sz="1000" b="0" i="0" u="none" strike="noStrike" baseline="0">
                    <a:solidFill>
                      <a:srgbClr val="404040"/>
                    </a:solidFill>
                    <a:latin typeface="微软雅黑"/>
                    <a:ea typeface="微软雅黑"/>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2023年</c:v>
              </c:pt>
              <c:pt idx="1">
                <c:v>2024年</c:v>
              </c:pt>
            </c:strLit>
          </c:cat>
          <c:val>
            <c:numRef>
              <c:f/>
              <c:numCache>
                <c:formatCode>General</c:formatCode>
                <c:ptCount val="2"/>
                <c:pt idx="0">
                  <c:v>0.0</c:v>
                </c:pt>
                <c:pt idx="1">
                  <c:v>0.0</c:v>
                </c:pt>
              </c:numCache>
            </c:numRef>
          </c:val>
        </c:ser>
        <c:overlap val="-26"/>
        <c:gapWidth val="326"/>
        <c:axId val="0"/>
        <c:axId val="1"/>
      </c:barChart>
      <c:catAx>
        <c:axId val="0"/>
        <c:scaling>
          <c:orientation val="minMax"/>
        </c:scaling>
        <c:delete val="0"/>
        <c:axPos val="l"/>
        <c:numFmt formatCode="General" sourceLinked="0"/>
        <c:majorTickMark val="out"/>
        <c:minorTickMark val="none"/>
        <c:tickLblPos val="nextTo"/>
        <c:spPr>
          <a:ln w="6350">
            <a:solidFill>
              <a:srgbClr val="808080"/>
            </a:solidFill>
            <a:prstDash val="solid"/>
          </a:ln>
        </c:spPr>
        <c:txPr>
          <a:bodyPr/>
          <a:lstStyle/>
          <a:p>
            <a:pPr>
              <a:defRPr sz="900" b="0" i="0" u="none" strike="noStrike" baseline="0">
                <a:solidFill>
                  <a:srgbClr val="404040"/>
                </a:solidFill>
                <a:latin typeface="微软雅黑"/>
                <a:ea typeface="微软雅黑"/>
                <a:cs typeface="Lucida Sans"/>
              </a:defRPr>
            </a:pPr>
            <a:endParaRPr lang="zh-CN"/>
          </a:p>
        </c:txPr>
        <c:crosses val="autoZero"/>
        <c:auto val="1"/>
        <c:lblOffset val="100"/>
        <c:lblAlgn val="ctr"/>
        <c:noMultiLvlLbl val="0"/>
        <c:crossAx val="1"/>
      </c:catAx>
      <c:valAx>
        <c:axId val="1"/>
        <c:scaling>
          <c:orientation val="minMax"/>
        </c:scaling>
        <c:delete val="0"/>
        <c:axPos val="b"/>
        <c:numFmt formatCode="General" sourceLinked="1"/>
        <c:majorTickMark val="out"/>
        <c:minorTickMark val="none"/>
        <c:tickLblPos val="nextTo"/>
        <c:spPr>
          <a:ln>
            <a:noFill/>
          </a:ln>
        </c:spPr>
        <c:txPr>
          <a:bodyPr/>
          <a:lstStyle/>
          <a:p>
            <a:pPr>
              <a:defRPr sz="900" b="0" i="0" u="none" strike="noStrike" baseline="0">
                <a:solidFill>
                  <a:srgbClr val="404040"/>
                </a:solidFill>
                <a:latin typeface="微软雅黑"/>
                <a:ea typeface="微软雅黑"/>
                <a:cs typeface="Lucida Sans"/>
              </a:defRPr>
            </a:pPr>
            <a:endParaRPr lang="zh-CN"/>
          </a:p>
        </c:txPr>
        <c:crossesAt val="1.0"/>
        <c:crossBetween val="between"/>
        <c:crossAx val="0"/>
      </c:valAx>
      <c:spPr>
        <a:noFill/>
        <a:ln>
          <a:noFill/>
        </a:ln>
      </c:spPr>
    </c:plotArea>
    <c:plotVisOnly val="1"/>
    <c:dispBlanksAs val="gap"/>
    <c:showDLblsOverMax val="0"/>
  </c:chart>
  <c:spPr>
    <a:gradFill rotWithShape="1">
      <a:gsLst>
        <a:gs pos="0">
          <a:srgbClr val="56A0B9">
            <a:alpha val="100000"/>
          </a:srgbClr>
        </a:gs>
        <a:gs pos="100000">
          <a:srgbClr val="5DBDC3">
            <a:alpha val="100000"/>
          </a:srgbClr>
        </a:gs>
      </a:gsLst>
      <a:lin ang="2700000" scaled="1"/>
    </a:gradFill>
    <a:ln w="6350">
      <a:solidFill>
        <a:srgbClr val="808080"/>
      </a:solidFill>
      <a:prstDash val="solid"/>
    </a:ln>
  </c:spPr>
  <c:txPr>
    <a:bodyPr/>
    <a:lstStyle/>
    <a:p>
      <a:pPr>
        <a:defRPr sz="1000" b="0" i="0" u="none" strike="noStrike" baseline="0">
          <a:solidFill>
            <a:srgbClr val="404040"/>
          </a:solidFill>
          <a:latin typeface="微软雅黑"/>
          <a:ea typeface="微软雅黑"/>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31</TotalTime>
  <Application>Yozo_Office27021597764231179</Application>
  <Pages>32</Pages>
  <Words>14110</Words>
  <Characters>15421</Characters>
  <Lines>1120</Lines>
  <Paragraphs>588</Paragraphs>
  <CharactersWithSpaces>15678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2021年度</dc:title>
  <dc:creator>guixiang1984</dc:creator>
  <cp:lastModifiedBy>user</cp:lastModifiedBy>
  <cp:revision>2</cp:revision>
  <cp:lastPrinted>2025-08-19T03:57:13Z</cp:lastPrinted>
  <dcterms:created xsi:type="dcterms:W3CDTF">2022-08-16T09:05:00Z</dcterms:created>
  <dcterms:modified xsi:type="dcterms:W3CDTF">2025-08-25T03:52:36Z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2052-12.1.0.21915</vt:lpwstr>
  </property>
  <property fmtid="{D5CDD505-2E9C-101B-9397-08002B2CF9AE}" pid="3" name="ICV">
    <vt:lpwstr>453547ED99734E6A8D54F9EA760BCA2A_13</vt:lpwstr>
  </property>
  <property fmtid="{D5CDD505-2E9C-101B-9397-08002B2CF9AE}" pid="4" name="KSOTemplateDocerSaveRecord">
    <vt:lpwstr>eyJoZGlkIjoiMmU1MDk4MWIzNDEyODQ2ODg3Y2MxMGQ4ZGYxY2QxN2EiLCJ1c2VySWQiOiIyNDU5MDIyNzQifQ==</vt:lpwstr>
  </property>
</Properties>
</file>