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F5F1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金川县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2025年畜牧兽医服务中心</w:t>
      </w:r>
    </w:p>
    <w:p w14:paraId="53F448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36" w:lineRule="exact"/>
        <w:jc w:val="center"/>
        <w:textAlignment w:val="auto"/>
        <w:rPr>
          <w:rFonts w:hint="eastAsia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预算绩效目标情况说明</w:t>
      </w:r>
    </w:p>
    <w:p w14:paraId="676EF9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2025年，我单位部门预算774.82万元 ，均严格按绩效管理要求实现项目绩效目标管理，其中重点项目预算1个，现将情况说明如下：</w:t>
      </w:r>
    </w:p>
    <w:p w14:paraId="6C50F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78F238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完成了2025年本级部门预算整体绩效目标申报和1个重点项目预算绩效目标申报，并编报1个重点项目预算事前绩效评估报告。</w:t>
      </w:r>
    </w:p>
    <w:p w14:paraId="580B022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 w14:paraId="6E6BCD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县畜牧兽医服务中心属独立编制机构和独立核算的参公事业单位。人员机构编制情况：编制数34人，实有在职数34人。独立核算机构2个，独立编制机构数4个。</w:t>
      </w:r>
    </w:p>
    <w:tbl>
      <w:tblPr>
        <w:tblStyle w:val="7"/>
        <w:tblW w:w="1003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1051"/>
        <w:gridCol w:w="1057"/>
        <w:gridCol w:w="1479"/>
        <w:gridCol w:w="1611"/>
        <w:gridCol w:w="1078"/>
        <w:gridCol w:w="1263"/>
        <w:gridCol w:w="846"/>
        <w:gridCol w:w="1076"/>
      </w:tblGrid>
      <w:tr w14:paraId="40867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1003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7E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2025年部门整体绩效</w:t>
            </w:r>
          </w:p>
        </w:tc>
      </w:tr>
      <w:tr w14:paraId="699AD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26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D7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年度部门整体预算</w:t>
            </w:r>
          </w:p>
        </w:tc>
        <w:tc>
          <w:tcPr>
            <w:tcW w:w="3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2A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资金总额</w:t>
            </w:r>
          </w:p>
        </w:tc>
        <w:tc>
          <w:tcPr>
            <w:tcW w:w="2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C7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财政拨款</w:t>
            </w:r>
          </w:p>
        </w:tc>
        <w:tc>
          <w:tcPr>
            <w:tcW w:w="1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5D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其他资金</w:t>
            </w:r>
          </w:p>
        </w:tc>
      </w:tr>
      <w:tr w14:paraId="1890B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26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B3E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收入预算</w:t>
            </w:r>
          </w:p>
        </w:tc>
        <w:tc>
          <w:tcPr>
            <w:tcW w:w="3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83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774.82</w:t>
            </w:r>
          </w:p>
        </w:tc>
        <w:tc>
          <w:tcPr>
            <w:tcW w:w="2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DE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774.82</w:t>
            </w:r>
          </w:p>
        </w:tc>
        <w:tc>
          <w:tcPr>
            <w:tcW w:w="1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A02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71563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26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D2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支出预算</w:t>
            </w:r>
          </w:p>
        </w:tc>
        <w:tc>
          <w:tcPr>
            <w:tcW w:w="3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34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774.82</w:t>
            </w:r>
          </w:p>
        </w:tc>
        <w:tc>
          <w:tcPr>
            <w:tcW w:w="234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E2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774.82</w:t>
            </w:r>
          </w:p>
        </w:tc>
        <w:tc>
          <w:tcPr>
            <w:tcW w:w="192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B4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 w14:paraId="3A35B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  <w:jc w:val="center"/>
        </w:trPr>
        <w:tc>
          <w:tcPr>
            <w:tcW w:w="268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29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735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966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拟订全县畜牧、兽医发展的政策、法规、规划、计划，并组织实施；负责指导畜牧业规模化养殖、标准化生产和产业化经营，引导畜牧产业结构的调整、畜牧业资源的有效配置和产品品质的改善；负责地方畜禽遗传资源的保护利用和外引良种的管理，组织开展畜禽新品种繁育和生产新技术的推广；负责畜产品质量安全监督管理工作，组织开展畜产品质量安全监督管理，指导畜牧业生态环境保护与治理；负责全县动物防疫、检疫、兽医医政、兽药药政及畜牧兽医器械管理工作；负责动物疫病监测及预警预报工作；负责兽药、饲料及畜产品质量安全监督抽检工作；负责畜牧兽医体系建设和管理工作，承担全县畜牧兽医人才开发工作；组织开展畜牧兽医交流与合作；负责农牧业巡防工作；负责生猪定点屠宰监督管理；承担上级交办的其他事项。</w:t>
            </w:r>
          </w:p>
        </w:tc>
      </w:tr>
      <w:tr w14:paraId="7DDC2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003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69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管理效率</w:t>
            </w:r>
          </w:p>
        </w:tc>
      </w:tr>
      <w:tr w14:paraId="2A950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18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0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8E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0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A1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4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AB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6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8D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</w:t>
            </w:r>
          </w:p>
        </w:tc>
        <w:tc>
          <w:tcPr>
            <w:tcW w:w="42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70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指标参考值</w:t>
            </w:r>
          </w:p>
        </w:tc>
      </w:tr>
      <w:tr w14:paraId="7AD51F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8B08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C069E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3EBA3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6921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D917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1F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三年均值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BD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2022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9F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2023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2E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</w:t>
            </w:r>
          </w:p>
        </w:tc>
      </w:tr>
      <w:tr w14:paraId="765B9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A2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D8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18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预算管理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51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财政拨款预算偏离度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67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222%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A5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222.06%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70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271.01%%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0E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174.13%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B0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221.03%</w:t>
            </w:r>
          </w:p>
        </w:tc>
      </w:tr>
      <w:tr w14:paraId="2013B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5B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EC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9A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预算管理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51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预算年终结余率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E19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7%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E4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7.07%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69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0.55%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05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15.63%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8E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5.04%</w:t>
            </w:r>
          </w:p>
        </w:tc>
      </w:tr>
      <w:tr w14:paraId="38821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F3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55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3E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预算管理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2A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一般性支出金额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77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12.09万元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4D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12.09万元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893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AB6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DF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12.09万元</w:t>
            </w:r>
          </w:p>
        </w:tc>
      </w:tr>
      <w:tr w14:paraId="61728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36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36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0C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财务管理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51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财务管理规范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FE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优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BC6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33C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D1B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46E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900D1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92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93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C5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采购管理</w:t>
            </w:r>
          </w:p>
        </w:tc>
        <w:tc>
          <w:tcPr>
            <w:tcW w:w="14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BC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采购执行率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A6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1C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100.00%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84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0B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  <w:tc>
          <w:tcPr>
            <w:tcW w:w="1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A9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100%</w:t>
            </w:r>
          </w:p>
        </w:tc>
      </w:tr>
      <w:tr w14:paraId="3F1CD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  <w:jc w:val="center"/>
        </w:trPr>
        <w:tc>
          <w:tcPr>
            <w:tcW w:w="10037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BF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履职效能</w:t>
            </w:r>
          </w:p>
        </w:tc>
      </w:tr>
      <w:tr w14:paraId="178E4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0B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D7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5C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3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E8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42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22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指标值（包括数字及文字描述）</w:t>
            </w:r>
          </w:p>
        </w:tc>
      </w:tr>
      <w:tr w14:paraId="6F604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BC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C2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58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3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BD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拟订全县畜牧、兽医和草业发展的政策、法规、规划、计划，并组织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实施</w:t>
            </w:r>
          </w:p>
        </w:tc>
        <w:tc>
          <w:tcPr>
            <w:tcW w:w="42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FC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1年</w:t>
            </w:r>
          </w:p>
        </w:tc>
      </w:tr>
      <w:tr w14:paraId="268373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9C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51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75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3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F0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负责牧业巡防工作</w:t>
            </w:r>
          </w:p>
        </w:tc>
        <w:tc>
          <w:tcPr>
            <w:tcW w:w="42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B8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常规巡防</w:t>
            </w:r>
          </w:p>
        </w:tc>
      </w:tr>
      <w:tr w14:paraId="5A04D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55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25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12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3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F1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负责全县动物防疫、检疫、兽医医政、兽药药政及畜牧兽医器械管理工作；</w:t>
            </w:r>
          </w:p>
        </w:tc>
        <w:tc>
          <w:tcPr>
            <w:tcW w:w="42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E1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春秋季常规免疫</w:t>
            </w:r>
          </w:p>
        </w:tc>
      </w:tr>
      <w:tr w14:paraId="17BD55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BF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7E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42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3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E0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负责动物疫病监测及预警预报工作</w:t>
            </w:r>
          </w:p>
        </w:tc>
        <w:tc>
          <w:tcPr>
            <w:tcW w:w="42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5B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春秋季常规免疫</w:t>
            </w:r>
          </w:p>
        </w:tc>
      </w:tr>
      <w:tr w14:paraId="0FD4A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44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DC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7B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3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94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本县动物防疫、检疫、动物产品安全监管和畜产品加工企业驻厂检疫等行政工作</w:t>
            </w:r>
          </w:p>
        </w:tc>
        <w:tc>
          <w:tcPr>
            <w:tcW w:w="42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1D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宣传≥2次，培训≥2次</w:t>
            </w:r>
          </w:p>
        </w:tc>
      </w:tr>
      <w:tr w14:paraId="1B3397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84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E9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99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3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76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负责畜牧兽医体系建设和管理工作，承担全县畜牧兽医人才开发工作；组织开展畜牧兽医交流与合作</w:t>
            </w:r>
          </w:p>
        </w:tc>
        <w:tc>
          <w:tcPr>
            <w:tcW w:w="42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BB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兽医管理培训覆盖率100%</w:t>
            </w:r>
          </w:p>
        </w:tc>
      </w:tr>
      <w:tr w14:paraId="41F11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3E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70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4D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3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DE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负责兽药、饲料及畜产品质量安全监督抽检工作</w:t>
            </w:r>
          </w:p>
        </w:tc>
        <w:tc>
          <w:tcPr>
            <w:tcW w:w="42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73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兽药管理覆盖率100%</w:t>
            </w:r>
          </w:p>
        </w:tc>
      </w:tr>
      <w:tr w14:paraId="248B6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00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EA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B4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3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70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负责动物疫病监测及预警预报工作</w:t>
            </w:r>
          </w:p>
        </w:tc>
        <w:tc>
          <w:tcPr>
            <w:tcW w:w="42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D6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负责全县动物防疫检疫，抗体合格率达到70%，动物强制免疫密度达到90%</w:t>
            </w:r>
          </w:p>
        </w:tc>
      </w:tr>
      <w:tr w14:paraId="3C22D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AF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B9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DC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3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27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负责畜产品质量安全监督管理工作，组织开展畜产品质量安全监督管理，指导畜牧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生态环境保护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与治理</w:t>
            </w:r>
          </w:p>
        </w:tc>
        <w:tc>
          <w:tcPr>
            <w:tcW w:w="42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9A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覆盖率100%</w:t>
            </w:r>
          </w:p>
        </w:tc>
      </w:tr>
      <w:tr w14:paraId="32AC0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2A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30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7C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3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A2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负责生猪定点屠宰监督管理</w:t>
            </w:r>
          </w:p>
        </w:tc>
        <w:tc>
          <w:tcPr>
            <w:tcW w:w="42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80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生猪完成定点屠宰100%</w:t>
            </w:r>
          </w:p>
        </w:tc>
      </w:tr>
      <w:tr w14:paraId="0A62F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E7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5B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02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可持续发展指标</w:t>
            </w:r>
          </w:p>
        </w:tc>
        <w:tc>
          <w:tcPr>
            <w:tcW w:w="3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F2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负责指导畜牧业规模化养殖、标准化生产和产业化经营，引导畜牧产业结构的调整、畜牧业资源的有效配置和产品品质的改善</w:t>
            </w:r>
          </w:p>
        </w:tc>
        <w:tc>
          <w:tcPr>
            <w:tcW w:w="42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5E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畜牧业良好发展</w:t>
            </w:r>
          </w:p>
        </w:tc>
      </w:tr>
      <w:tr w14:paraId="08C85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C03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0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38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88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30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A8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负责地方畜禽遗传资源的保护利用和外引良种的管理，组织开展畜禽新品种繁育和生产新技术的推广</w:t>
            </w:r>
          </w:p>
        </w:tc>
        <w:tc>
          <w:tcPr>
            <w:tcW w:w="426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BD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畜禽遗传资源保护利用良好发展</w:t>
            </w:r>
          </w:p>
        </w:tc>
      </w:tr>
    </w:tbl>
    <w:p w14:paraId="0DDCD844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41AA1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 w14:paraId="54387E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重点项目：2025年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zh-TW" w:eastAsia="zh-TW" w:bidi="ar-SA"/>
        </w:rPr>
        <w:t>村级动物防疫员补助经费项目</w:t>
      </w:r>
    </w:p>
    <w:p w14:paraId="312CAE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zh-TW" w:eastAsia="zh-TW" w:bidi="ar-SA"/>
        </w:rPr>
        <w:t>认真贯彻落实农业农村部和省、州重大动物疫病防控指挥部有关文件精神，紧紧围绕高致病性禽流感、口蹄疫、小反刍兽疫、布病、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zh-TW" w:eastAsia="zh-CN" w:bidi="ar-SA"/>
        </w:rPr>
        <w:t>棘球蚴病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zh-TW" w:eastAsia="zh-TW" w:bidi="ar-SA"/>
        </w:rPr>
        <w:t>等防控工作重点，狠抓强制免疫、疫情监测、检疫监管等工作环节，落实强制免疫村级防疫保障，确保我县无重大动物疫情发生，促进养殖业健康稳定高质量发展和人民群众身体健康。</w:t>
      </w:r>
    </w:p>
    <w:p w14:paraId="5ED8CC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640" w:firstLineChars="200"/>
        <w:textAlignment w:val="auto"/>
        <w:rPr>
          <w:rFonts w:hint="eastAsia"/>
          <w:rtl w:val="0"/>
          <w:lang w:val="zh-TW" w:eastAsia="zh-TW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zh-TW" w:eastAsia="zh-TW" w:bidi="ar-SA"/>
        </w:rPr>
        <w:t>项目绩效目标情况具体如下：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en-US" w:eastAsia="zh-TW" w:bidi="ar-SA"/>
        </w:rPr>
        <w:t>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zh-TW" w:eastAsia="zh-TW" w:bidi="ar-SA"/>
        </w:rPr>
        <w:t>、时效目标：所有项目在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en-US" w:eastAsia="zh-CN" w:bidi="ar-SA"/>
        </w:rPr>
        <w:t>2025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zh-TW" w:eastAsia="zh-TW" w:bidi="ar-SA"/>
        </w:rPr>
        <w:t>年底前完成。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en-US" w:eastAsia="zh-TW" w:bidi="ar-SA"/>
        </w:rPr>
        <w:t>2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zh-TW" w:eastAsia="zh-TW" w:bidi="ar-SA"/>
        </w:rPr>
        <w:t>、成本目标：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en-US" w:eastAsia="zh-CN" w:bidi="ar-SA"/>
        </w:rPr>
        <w:t>2025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zh-TW" w:eastAsia="zh-TW" w:bidi="ar-SA"/>
        </w:rPr>
        <w:t>县级财政资金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en-US" w:eastAsia="zh-TW" w:bidi="ar-SA"/>
        </w:rPr>
        <w:t>10.464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zh-TW" w:eastAsia="zh-TW" w:bidi="ar-SA"/>
        </w:rPr>
        <w:t>万元。经费用于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en-US" w:eastAsia="zh-CN" w:bidi="ar-SA"/>
        </w:rPr>
        <w:t>2025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zh-TW" w:eastAsia="zh-TW" w:bidi="ar-SA"/>
        </w:rPr>
        <w:t>年动物疫病防控村防疫员生活补助费。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en-US" w:eastAsia="zh-TW" w:bidi="ar-SA"/>
        </w:rPr>
        <w:t>3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zh-TW" w:eastAsia="zh-TW" w:bidi="ar-SA"/>
        </w:rPr>
        <w:t>、数量目标：完成全县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en-US" w:eastAsia="zh-TW" w:bidi="ar-SA"/>
        </w:rPr>
        <w:t>85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zh-TW" w:eastAsia="zh-TW" w:bidi="ar-SA"/>
        </w:rPr>
        <w:t>个村（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en-US" w:eastAsia="zh-TW" w:bidi="ar-SA"/>
        </w:rPr>
        <w:t>109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zh-TW" w:eastAsia="zh-TW" w:bidi="ar-SA"/>
        </w:rPr>
        <w:t>个点）重大动物疫病防疫工作。</w:t>
      </w:r>
    </w:p>
    <w:p w14:paraId="462D11B4">
      <w:pPr>
        <w:pStyle w:val="9"/>
        <w:spacing w:line="560" w:lineRule="exact"/>
        <w:ind w:left="0"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zh-TW" w:eastAsia="zh-TW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zh-TW" w:eastAsia="zh-TW" w:bidi="ar-SA"/>
        </w:rPr>
        <w:t>项目绩效目标全面完整，契合习近平总书记关于加强国家生物安全风险防控和治理体系建设</w:t>
      </w:r>
      <w:r>
        <w:rPr>
          <w:rFonts w:hint="eastAsia" w:ascii="仿宋_GB2312" w:hAnsi="仿宋_GB2312" w:cs="仿宋_GB2312"/>
          <w:kern w:val="2"/>
          <w:sz w:val="32"/>
          <w:szCs w:val="32"/>
          <w:rtl w:val="0"/>
          <w:lang w:val="en-US" w:eastAsia="zh-CN" w:bidi="ar-SA"/>
        </w:rPr>
        <w:t>重要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zh-TW" w:eastAsia="zh-TW" w:bidi="ar-SA"/>
        </w:rPr>
        <w:t>指示精神，坚持人病兽防、关口前移，从源头前端阻断人畜共患病的传播路径的防控理念，预计区域内农牧民满意度达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en-US" w:eastAsia="zh-TW" w:bidi="ar-SA"/>
        </w:rPr>
        <w:t>9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en-US" w:eastAsia="zh-CN" w:bidi="ar-SA"/>
        </w:rPr>
        <w:t>5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en-US" w:eastAsia="zh-TW" w:bidi="ar-SA"/>
        </w:rPr>
        <w:t>%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rtl w:val="0"/>
          <w:lang w:val="zh-TW" w:eastAsia="zh-TW" w:bidi="ar-SA"/>
        </w:rPr>
        <w:t>以上。</w:t>
      </w:r>
    </w:p>
    <w:p w14:paraId="7DD85775">
      <w:pPr>
        <w:pStyle w:val="9"/>
        <w:spacing w:line="560" w:lineRule="exact"/>
        <w:ind w:left="0"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rtl w:val="0"/>
          <w:lang w:val="en-US" w:eastAsia="zh-CN"/>
        </w:rPr>
      </w:pPr>
      <w:r>
        <w:rPr>
          <w:rFonts w:ascii="仿宋" w:hAnsi="仿宋" w:eastAsia="仿宋" w:cs="仿宋"/>
          <w:rtl w:val="0"/>
          <w:lang w:val="zh-TW" w:eastAsia="zh-TW"/>
        </w:rPr>
        <w:t>村级动物防疫员补助经费</w:t>
      </w:r>
      <w:r>
        <w:rPr>
          <w:rFonts w:hint="eastAsia" w:ascii="仿宋_GB2312" w:eastAsia="仿宋_GB2312"/>
        </w:rPr>
        <w:t>项目绩效目标表</w:t>
      </w:r>
    </w:p>
    <w:tbl>
      <w:tblPr>
        <w:tblStyle w:val="7"/>
        <w:tblW w:w="85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1093"/>
        <w:gridCol w:w="1227"/>
        <w:gridCol w:w="1457"/>
        <w:gridCol w:w="2237"/>
        <w:gridCol w:w="468"/>
        <w:gridCol w:w="1404"/>
      </w:tblGrid>
      <w:tr w14:paraId="2FA98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768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6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597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村防疫员州级财政补助经费项目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9DAD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项目负责人及联系电话</w:t>
            </w:r>
          </w:p>
        </w:tc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348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张爽 17336803860</w:t>
            </w:r>
          </w:p>
        </w:tc>
      </w:tr>
      <w:tr w14:paraId="52E10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7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1F7A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26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CBA7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金川县科学技术和农业畜牧局</w:t>
            </w:r>
          </w:p>
        </w:tc>
        <w:tc>
          <w:tcPr>
            <w:tcW w:w="2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40ED2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18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5B3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金川县畜牧兽医服务中心</w:t>
            </w:r>
          </w:p>
        </w:tc>
      </w:tr>
      <w:tr w14:paraId="42CEE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75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56D1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资金情况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26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2964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年度资金总额：</w:t>
            </w:r>
          </w:p>
        </w:tc>
        <w:tc>
          <w:tcPr>
            <w:tcW w:w="41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7AE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10.464</w:t>
            </w:r>
          </w:p>
        </w:tc>
      </w:tr>
      <w:tr w14:paraId="0D1B7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7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82498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3AEE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其中：财政拨款</w:t>
            </w:r>
          </w:p>
        </w:tc>
        <w:tc>
          <w:tcPr>
            <w:tcW w:w="41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0C3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10.464</w:t>
            </w:r>
          </w:p>
        </w:tc>
      </w:tr>
      <w:tr w14:paraId="7E7BE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175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36FD4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64170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其他资金</w:t>
            </w:r>
          </w:p>
        </w:tc>
        <w:tc>
          <w:tcPr>
            <w:tcW w:w="410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2C7E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</w:tr>
      <w:tr w14:paraId="47519E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  <w:jc w:val="center"/>
        </w:trPr>
        <w:tc>
          <w:tcPr>
            <w:tcW w:w="6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A07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体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目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</w:t>
            </w:r>
          </w:p>
        </w:tc>
        <w:tc>
          <w:tcPr>
            <w:tcW w:w="788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AFD3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年度目标</w:t>
            </w:r>
          </w:p>
        </w:tc>
      </w:tr>
      <w:tr w14:paraId="3CFA1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B3335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88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6598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高致病性禽流感、口蹄疫、小反刍兽疫、布病、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棘球蚴病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等应免畜禽免疫密度达90%以上；抗体合格率达70%以上；完成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棘球蚴病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犬驱虫，病死畜禽100%实现无害化处理。</w:t>
            </w:r>
          </w:p>
        </w:tc>
      </w:tr>
      <w:tr w14:paraId="69336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FB4EF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绩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C903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434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41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6EA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7F51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指标值</w:t>
            </w:r>
          </w:p>
        </w:tc>
      </w:tr>
      <w:tr w14:paraId="0AC82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A4DC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3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4E09E2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12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9C39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41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21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完成全县牲畜的重大动物疫病免疫工作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03372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100%</w:t>
            </w:r>
          </w:p>
        </w:tc>
      </w:tr>
      <w:tr w14:paraId="59F82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B349E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F1631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0CA51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BC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棘球蚴病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犬只驱虫工作、羊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棘球蚴病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免疫工作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AA2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4293</w:t>
            </w:r>
          </w:p>
        </w:tc>
      </w:tr>
      <w:tr w14:paraId="00234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4507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BB6E8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7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69029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质量指标</w:t>
            </w:r>
          </w:p>
        </w:tc>
        <w:tc>
          <w:tcPr>
            <w:tcW w:w="41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F2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突发重大疫病处置率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FF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</w:tr>
      <w:tr w14:paraId="24B50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AACB3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4A3FA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7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7FA664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0BC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重大动物疫病应免畜禽免疫率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D4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</w:tr>
      <w:tr w14:paraId="5EFC2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6B45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4EFB8C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7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F3DE4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A0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抗体合格率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BD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70%</w:t>
            </w:r>
          </w:p>
        </w:tc>
      </w:tr>
      <w:tr w14:paraId="7EC36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7FD2C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591D3F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7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4F85BF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DE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病死畜禽无害化处理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B9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</w:tr>
      <w:tr w14:paraId="2CAED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141B7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41BCF6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1C196B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41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77A9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重大动物疫病防控完成时限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9F0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年12月</w:t>
            </w:r>
          </w:p>
        </w:tc>
      </w:tr>
      <w:tr w14:paraId="459A7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7EBDE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3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150667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3F3EB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41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D9FE0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村防疫员生活补助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33C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10.464</w:t>
            </w:r>
          </w:p>
        </w:tc>
      </w:tr>
      <w:tr w14:paraId="7D4E71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E1659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7771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12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6C52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</w:t>
            </w:r>
          </w:p>
        </w:tc>
        <w:tc>
          <w:tcPr>
            <w:tcW w:w="41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CC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政策知晓率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E26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</w:t>
            </w:r>
          </w:p>
        </w:tc>
      </w:tr>
      <w:tr w14:paraId="1D900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5E1E0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4069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91CB3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AD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项目覆盖村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B0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个</w:t>
            </w:r>
          </w:p>
        </w:tc>
      </w:tr>
      <w:tr w14:paraId="5244F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7A661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1C2A6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1F83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可持续影响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指标</w:t>
            </w:r>
          </w:p>
        </w:tc>
        <w:tc>
          <w:tcPr>
            <w:tcW w:w="41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FC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科学防治，有效预防和控制重大动物疫情发生，确保不发生区域性重大动物疫病，保障畜牧业生产安全和人民群众的身体健康，为确保畜产品供应、保障公共卫生安全、构建和谐社会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作出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新的成绩。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75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</w:t>
            </w:r>
          </w:p>
        </w:tc>
      </w:tr>
      <w:tr w14:paraId="2F2FA2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1F38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A443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2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15C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服务对象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41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A9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区域内新型主体和农牧民满意度</w:t>
            </w: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AF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Fonts w:hint="eastAsia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%以上</w:t>
            </w:r>
          </w:p>
        </w:tc>
      </w:tr>
      <w:tr w14:paraId="308AD8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6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71676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CD4F0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CC8C4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16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E8F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2EA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1D365EA3">
      <w:pPr>
        <w:pStyle w:val="9"/>
        <w:spacing w:line="560" w:lineRule="exact"/>
        <w:ind w:left="0"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32"/>
          <w:rtl w:val="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1MDk4MWIzNDEyODQ2ODg3Y2MxMGQ4ZGYxY2QxN2EifQ=="/>
  </w:docVars>
  <w:rsids>
    <w:rsidRoot w:val="36F0070A"/>
    <w:rsid w:val="01145609"/>
    <w:rsid w:val="01E85369"/>
    <w:rsid w:val="022655F4"/>
    <w:rsid w:val="03757E97"/>
    <w:rsid w:val="03BC7892"/>
    <w:rsid w:val="04D255BF"/>
    <w:rsid w:val="05B021EC"/>
    <w:rsid w:val="081952B3"/>
    <w:rsid w:val="087F780C"/>
    <w:rsid w:val="08D613F6"/>
    <w:rsid w:val="0978425B"/>
    <w:rsid w:val="09AB4631"/>
    <w:rsid w:val="0A6767AA"/>
    <w:rsid w:val="0D907DC5"/>
    <w:rsid w:val="0FB57FB7"/>
    <w:rsid w:val="103365A2"/>
    <w:rsid w:val="10702130"/>
    <w:rsid w:val="10E50428"/>
    <w:rsid w:val="11232FC8"/>
    <w:rsid w:val="12AF5192"/>
    <w:rsid w:val="12DB7D35"/>
    <w:rsid w:val="134C0C32"/>
    <w:rsid w:val="1537146E"/>
    <w:rsid w:val="153B4ABB"/>
    <w:rsid w:val="16B40FC8"/>
    <w:rsid w:val="17217485"/>
    <w:rsid w:val="183F2B14"/>
    <w:rsid w:val="19267830"/>
    <w:rsid w:val="1A98650B"/>
    <w:rsid w:val="1AD75285"/>
    <w:rsid w:val="1ADF238C"/>
    <w:rsid w:val="1B677821"/>
    <w:rsid w:val="1BA07D6D"/>
    <w:rsid w:val="1DF03A8C"/>
    <w:rsid w:val="1F3C7DAD"/>
    <w:rsid w:val="1FBC2C9C"/>
    <w:rsid w:val="20FA1CCE"/>
    <w:rsid w:val="21D20555"/>
    <w:rsid w:val="224D2894"/>
    <w:rsid w:val="22761828"/>
    <w:rsid w:val="22A30143"/>
    <w:rsid w:val="260B04D9"/>
    <w:rsid w:val="264A1001"/>
    <w:rsid w:val="26C11D65"/>
    <w:rsid w:val="294A756A"/>
    <w:rsid w:val="294F4B81"/>
    <w:rsid w:val="2A2E2F51"/>
    <w:rsid w:val="2A7F3244"/>
    <w:rsid w:val="2DB476A8"/>
    <w:rsid w:val="2EBF4B81"/>
    <w:rsid w:val="2F6A2AA8"/>
    <w:rsid w:val="3175714F"/>
    <w:rsid w:val="332F4207"/>
    <w:rsid w:val="33641229"/>
    <w:rsid w:val="340A0022"/>
    <w:rsid w:val="36F0070A"/>
    <w:rsid w:val="379B5D1D"/>
    <w:rsid w:val="39AB195F"/>
    <w:rsid w:val="3A287454"/>
    <w:rsid w:val="3A8F7C6A"/>
    <w:rsid w:val="3B002017"/>
    <w:rsid w:val="3F9C7B8C"/>
    <w:rsid w:val="4013200C"/>
    <w:rsid w:val="428216CB"/>
    <w:rsid w:val="43925508"/>
    <w:rsid w:val="444C1F91"/>
    <w:rsid w:val="462417D4"/>
    <w:rsid w:val="48B95DC2"/>
    <w:rsid w:val="49997A26"/>
    <w:rsid w:val="49AA39E1"/>
    <w:rsid w:val="4A58168F"/>
    <w:rsid w:val="4B8D5369"/>
    <w:rsid w:val="4BE17463"/>
    <w:rsid w:val="4BF076A6"/>
    <w:rsid w:val="4C344725"/>
    <w:rsid w:val="4EE51018"/>
    <w:rsid w:val="4F530677"/>
    <w:rsid w:val="507C59AC"/>
    <w:rsid w:val="50832083"/>
    <w:rsid w:val="51DC2BA6"/>
    <w:rsid w:val="5311687F"/>
    <w:rsid w:val="56A11917"/>
    <w:rsid w:val="57106E4E"/>
    <w:rsid w:val="57877110"/>
    <w:rsid w:val="57AE0B41"/>
    <w:rsid w:val="589A10C5"/>
    <w:rsid w:val="59AF6DF2"/>
    <w:rsid w:val="5A252C10"/>
    <w:rsid w:val="5AA97774"/>
    <w:rsid w:val="5AB75F5E"/>
    <w:rsid w:val="5B2B4256"/>
    <w:rsid w:val="5D8E7A68"/>
    <w:rsid w:val="5DBE7604"/>
    <w:rsid w:val="5E914D18"/>
    <w:rsid w:val="5F0E6369"/>
    <w:rsid w:val="5F5E1B86"/>
    <w:rsid w:val="5FEF1CF6"/>
    <w:rsid w:val="60564844"/>
    <w:rsid w:val="60C0478C"/>
    <w:rsid w:val="617F70AA"/>
    <w:rsid w:val="61F66B9E"/>
    <w:rsid w:val="63554566"/>
    <w:rsid w:val="63576530"/>
    <w:rsid w:val="653D3504"/>
    <w:rsid w:val="66430FEE"/>
    <w:rsid w:val="66611474"/>
    <w:rsid w:val="67566AFF"/>
    <w:rsid w:val="676A4358"/>
    <w:rsid w:val="67EC6580"/>
    <w:rsid w:val="686D2352"/>
    <w:rsid w:val="6A05114C"/>
    <w:rsid w:val="6A4964A7"/>
    <w:rsid w:val="6B0C5E52"/>
    <w:rsid w:val="6CD52274"/>
    <w:rsid w:val="711C4915"/>
    <w:rsid w:val="71E82A49"/>
    <w:rsid w:val="72D82ABE"/>
    <w:rsid w:val="74A215D5"/>
    <w:rsid w:val="76AE0049"/>
    <w:rsid w:val="773F135E"/>
    <w:rsid w:val="77AD4F1C"/>
    <w:rsid w:val="78850FF2"/>
    <w:rsid w:val="79737E7A"/>
    <w:rsid w:val="7A9E283F"/>
    <w:rsid w:val="7AEF4E49"/>
    <w:rsid w:val="7B137C6F"/>
    <w:rsid w:val="7BD06A28"/>
    <w:rsid w:val="7C5036C5"/>
    <w:rsid w:val="7FD8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/>
    </w:pPr>
    <w:rPr>
      <w:rFonts w:ascii="Times New Roman" w:hAnsi="Times New Roman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able of figures"/>
    <w:basedOn w:val="1"/>
    <w:next w:val="1"/>
    <w:qFormat/>
    <w:uiPriority w:val="0"/>
    <w:pPr>
      <w:keepNext w:val="0"/>
      <w:keepLines w:val="0"/>
      <w:pageBreakBefore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400" w:leftChars="200" w:right="0" w:hanging="200" w:hangingChars="200"/>
      <w:jc w:val="both"/>
      <w:textAlignment w:val="auto"/>
      <w:outlineLvl w:val="9"/>
    </w:pPr>
    <w:rPr>
      <w:rFonts w:ascii="Calibri" w:hAnsi="Calibri" w:eastAsia="宋体" w:cs="Times New Roman"/>
      <w:snapToGrid/>
      <w:color w:val="auto"/>
      <w:spacing w:val="0"/>
      <w:w w:val="100"/>
      <w:kern w:val="2"/>
      <w:position w:val="0"/>
      <w:sz w:val="21"/>
      <w:szCs w:val="21"/>
      <w:u w:val="none" w:color="auto"/>
      <w:vertAlign w:val="baseline"/>
      <w:lang w:val="en-US" w:eastAsia="zh-CN" w:bidi="ar-SA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9">
    <w:name w:val="NormalIndent"/>
    <w:next w:val="4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1293</Words>
  <Characters>1435</Characters>
  <Lines>0</Lines>
  <Paragraphs>0</Paragraphs>
  <TotalTime>21</TotalTime>
  <ScaleCrop>false</ScaleCrop>
  <LinksUpToDate>false</LinksUpToDate>
  <CharactersWithSpaces>1436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2025-03-04T09:21:09Z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B013A2EA00DB4085B33A2CE7C5C012B3_13</vt:lpwstr>
  </property>
  <property fmtid="{D5CDD505-2E9C-101B-9397-08002B2CF9AE}" pid="4" name="KSOTemplateDocerSaveRecord">
    <vt:lpwstr>eyJoZGlkIjoiOTE2ZDllODRiODE2ZDJhYjhiNzIxNGU1Mjk2ZDY5YmQiLCJ1c2VySWQiOiI0NDY1MjUyNDgifQ==</vt:lpwstr>
  </property>
</Properties>
</file>